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32" w:rsidRDefault="00816126">
      <w:pPr>
        <w:shd w:val="clear" w:color="auto" w:fill="FFFFFF"/>
        <w:spacing w:after="0" w:line="240" w:lineRule="auto"/>
        <w:ind w:left="223"/>
        <w:jc w:val="center"/>
        <w:rPr>
          <w:rFonts w:ascii="Times New Roman" w:eastAsia="Calibri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/>
          <w:sz w:val="28"/>
          <w:szCs w:val="28"/>
          <w:lang w:val="kk-KZ"/>
        </w:rPr>
        <w:t>Казахский Национальный Медицинский Университет имени С.Д.Асфендиярова</w:t>
      </w: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750932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932" w:rsidRDefault="00816126">
            <w:pPr>
              <w:autoSpaceDE w:val="0"/>
              <w:autoSpaceDN w:val="0"/>
              <w:spacing w:after="0" w:line="240" w:lineRule="auto"/>
              <w:ind w:firstLine="40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УДК</w:t>
            </w:r>
            <w:r>
              <w:rPr>
                <w:rFonts w:ascii="Times New Roman" w:eastAsia="Calibri" w:hAnsi="Times New Roman"/>
                <w:sz w:val="28"/>
                <w:szCs w:val="28"/>
                <w:lang w:val="kk-KZ"/>
              </w:rPr>
              <w:t xml:space="preserve"> 616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.62-003.7-089.879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932" w:rsidRDefault="00816126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 правах рукописи</w:t>
            </w:r>
          </w:p>
        </w:tc>
      </w:tr>
    </w:tbl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 </w:t>
      </w: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750932" w:rsidRDefault="008161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  <w:lang w:val="kk-KZ"/>
        </w:rPr>
        <w:t>ә</w:t>
      </w:r>
      <w:r>
        <w:rPr>
          <w:rFonts w:ascii="Times New Roman" w:hAnsi="Times New Roman"/>
          <w:b/>
          <w:sz w:val="28"/>
          <w:szCs w:val="28"/>
        </w:rPr>
        <w:t xml:space="preserve">ми Дархан </w:t>
      </w:r>
      <w:r>
        <w:rPr>
          <w:rFonts w:ascii="Times New Roman" w:hAnsi="Times New Roman"/>
          <w:b/>
          <w:sz w:val="28"/>
          <w:szCs w:val="28"/>
          <w:lang w:val="kk-KZ"/>
        </w:rPr>
        <w:t>Ерланұлы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 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 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Малоинвазивные эндоскопические методы лечения 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>пациентов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 мочекаменной болезнью</w:t>
      </w:r>
    </w:p>
    <w:p w:rsidR="00750932" w:rsidRDefault="00750932">
      <w:pPr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110100 «Медицина»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 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Диссертация на соискание степени 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доктора философ</w:t>
      </w:r>
      <w:r>
        <w:rPr>
          <w:rFonts w:ascii="Times New Roman" w:eastAsia="Calibri" w:hAnsi="Times New Roman"/>
          <w:sz w:val="28"/>
          <w:szCs w:val="28"/>
          <w:lang w:val="kk-KZ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и </w:t>
      </w:r>
      <w:r>
        <w:rPr>
          <w:rFonts w:ascii="Times New Roman" w:eastAsia="Calibri" w:hAnsi="Times New Roman"/>
          <w:sz w:val="28"/>
          <w:szCs w:val="28"/>
          <w:lang w:val="en-US"/>
        </w:rPr>
        <w:t>(PhD)</w:t>
      </w: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 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 </w:t>
      </w: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Научный консультант:</w:t>
      </w: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Академик НАН РК, доктор медицинских наук, </w:t>
      </w: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профессор, заведующий кафедры</w:t>
      </w: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урологии «НМУ им. С.Д. Асфендиярова - Алчинбаев М.К.</w:t>
      </w:r>
    </w:p>
    <w:p w:rsidR="00750932" w:rsidRDefault="00750932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Зарубежный консультант:</w:t>
      </w: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Доктор медицинских</w:t>
      </w:r>
      <w:r>
        <w:rPr>
          <w:rFonts w:ascii="Times New Roman" w:eastAsia="Calibri" w:hAnsi="Times New Roman"/>
          <w:sz w:val="28"/>
          <w:szCs w:val="28"/>
        </w:rPr>
        <w:t xml:space="preserve"> наук, Заместитель директора </w:t>
      </w: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 лечебной работе - Казаченко А.В.</w:t>
      </w: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Россия, г. Москва, НИИ урологии и интервенционной радиологии </w:t>
      </w:r>
    </w:p>
    <w:p w:rsidR="00750932" w:rsidRDefault="00816126">
      <w:pPr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им. Н.А. Лопаткина – филиал ФГБУ «НМИЦ радиологии» Минздрава России</w:t>
      </w:r>
    </w:p>
    <w:p w:rsidR="00750932" w:rsidRDefault="00816126">
      <w:pPr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sans-serif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Профессор к</w:t>
      </w:r>
      <w:r>
        <w:rPr>
          <w:rFonts w:ascii="Times New Roman" w:eastAsia="SimSun" w:hAnsi="Times New Roman"/>
          <w:sz w:val="28"/>
          <w:szCs w:val="28"/>
          <w:shd w:val="clear" w:color="auto" w:fill="FFFFFF"/>
        </w:rPr>
        <w:t>афедры урологии и оперативной нефрологии с курсо</w:t>
      </w:r>
      <w:r>
        <w:rPr>
          <w:rFonts w:ascii="Times New Roman" w:eastAsia="SimSun" w:hAnsi="Times New Roman"/>
          <w:sz w:val="28"/>
          <w:szCs w:val="28"/>
          <w:shd w:val="clear" w:color="auto" w:fill="FFFFFF"/>
        </w:rPr>
        <w:t>м онкоурологии </w:t>
      </w:r>
      <w:r>
        <w:rPr>
          <w:rFonts w:ascii="Times New Roman" w:eastAsia="sans-serif" w:hAnsi="Times New Roman"/>
          <w:sz w:val="28"/>
          <w:szCs w:val="28"/>
          <w:shd w:val="clear" w:color="auto" w:fill="FFFFFF"/>
        </w:rPr>
        <w:t>ФГАОУ ВО "Российский университет дружбы народов" РФ.</w:t>
      </w: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Республика Казахстан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Алматы, 2022</w:t>
      </w:r>
    </w:p>
    <w:p w:rsidR="00750932" w:rsidRDefault="0081612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СОДЕРЖАНИЕ</w:t>
      </w:r>
    </w:p>
    <w:p w:rsidR="00750932" w:rsidRDefault="0075093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5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9"/>
        <w:gridCol w:w="804"/>
        <w:gridCol w:w="7660"/>
        <w:gridCol w:w="710"/>
        <w:gridCol w:w="7"/>
      </w:tblGrid>
      <w:tr w:rsidR="00750932">
        <w:trPr>
          <w:cantSplit/>
          <w:trHeight w:val="296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НОРМАТИВНЫЕ ССЫЛКИ</w:t>
            </w:r>
          </w:p>
        </w:tc>
        <w:tc>
          <w:tcPr>
            <w:tcW w:w="717" w:type="dxa"/>
            <w:gridSpan w:val="2"/>
            <w:vAlign w:val="center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4</w:t>
            </w:r>
          </w:p>
        </w:tc>
      </w:tr>
      <w:tr w:rsidR="00750932">
        <w:trPr>
          <w:cantSplit/>
          <w:trHeight w:val="258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СПИСОК СОКРАЩЕНИЙ</w:t>
            </w:r>
          </w:p>
        </w:tc>
        <w:tc>
          <w:tcPr>
            <w:tcW w:w="717" w:type="dxa"/>
            <w:gridSpan w:val="2"/>
            <w:vAlign w:val="center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5</w:t>
            </w:r>
          </w:p>
        </w:tc>
      </w:tr>
      <w:tr w:rsidR="00750932">
        <w:trPr>
          <w:cantSplit/>
          <w:trHeight w:val="233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ВВЕДЕНИЕ</w:t>
            </w:r>
          </w:p>
        </w:tc>
        <w:tc>
          <w:tcPr>
            <w:tcW w:w="717" w:type="dxa"/>
            <w:gridSpan w:val="2"/>
            <w:vAlign w:val="center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6</w:t>
            </w:r>
          </w:p>
        </w:tc>
      </w:tr>
      <w:tr w:rsidR="00750932">
        <w:trPr>
          <w:trHeight w:val="337"/>
        </w:trPr>
        <w:tc>
          <w:tcPr>
            <w:tcW w:w="359" w:type="dxa"/>
            <w:vMerge w:val="restart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1</w:t>
            </w:r>
          </w:p>
        </w:tc>
        <w:tc>
          <w:tcPr>
            <w:tcW w:w="8464" w:type="dxa"/>
            <w:gridSpan w:val="2"/>
          </w:tcPr>
          <w:p w:rsidR="00750932" w:rsidRDefault="00816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СРАВНИТЕЛЬНАЯ ОЦЕНКА ЭФФЕКТИВНОСТИ МАЛОИНВАЗИВНЫХ МЕТОДОВ ЛЕЧЕНИЯ МОЧЕКАМЕННОЙ БОЛЕЗНИ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(обзор литературы)</w:t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12</w:t>
            </w:r>
          </w:p>
        </w:tc>
      </w:tr>
      <w:tr w:rsidR="00750932">
        <w:trPr>
          <w:gridAfter w:val="1"/>
          <w:wAfter w:w="7" w:type="dxa"/>
          <w:trHeight w:val="220"/>
        </w:trPr>
        <w:tc>
          <w:tcPr>
            <w:tcW w:w="359" w:type="dxa"/>
            <w:vMerge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Распространённость и заболеваемость мочекаменной болезнью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12</w:t>
            </w:r>
          </w:p>
        </w:tc>
      </w:tr>
      <w:tr w:rsidR="00750932">
        <w:trPr>
          <w:gridAfter w:val="1"/>
          <w:wAfter w:w="7" w:type="dxa"/>
          <w:trHeight w:val="172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Малоинвазивные методы лечения мочекаменной болезни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50932">
        <w:trPr>
          <w:gridAfter w:val="1"/>
          <w:wAfter w:w="7" w:type="dxa"/>
          <w:trHeight w:val="10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1.2.1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Дистанционная ударно-волновая литотрипсия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50932">
        <w:trPr>
          <w:gridAfter w:val="1"/>
          <w:wAfter w:w="7" w:type="dxa"/>
          <w:trHeight w:val="10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1.2.2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Перкутанная нефролитотрипсия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750932">
        <w:trPr>
          <w:gridAfter w:val="1"/>
          <w:wAfter w:w="7" w:type="dxa"/>
          <w:trHeight w:val="10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1.2.3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Ретроградная пиелолитотрипсия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750932">
        <w:trPr>
          <w:gridAfter w:val="1"/>
          <w:wAfter w:w="7" w:type="dxa"/>
          <w:trHeight w:val="10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сравнения эффективности малоинвазивных методов лечения мочекаменной болезни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750932">
        <w:trPr>
          <w:trHeight w:val="347"/>
        </w:trPr>
        <w:tc>
          <w:tcPr>
            <w:tcW w:w="359" w:type="dxa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2</w:t>
            </w:r>
          </w:p>
        </w:tc>
        <w:tc>
          <w:tcPr>
            <w:tcW w:w="8464" w:type="dxa"/>
            <w:gridSpan w:val="2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МАТЕРИАЛЫ И МЕТОДЫ ИССЛЕДОВАНИЯ</w:t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widowControl w:val="0"/>
              <w:shd w:val="clear" w:color="auto" w:fill="FFFFFF"/>
              <w:tabs>
                <w:tab w:val="left" w:pos="374"/>
                <w:tab w:val="left" w:leader="dot" w:pos="835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750932">
        <w:trPr>
          <w:gridAfter w:val="1"/>
          <w:wAfter w:w="7" w:type="dxa"/>
          <w:trHeight w:val="10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Дизайн исследования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750932">
        <w:trPr>
          <w:gridAfter w:val="1"/>
          <w:wAfter w:w="7" w:type="dxa"/>
          <w:trHeight w:val="124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Материалы исследования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Методы исследования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2.3.1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Клинические методы исследования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2.3.2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Лабораторные методы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2.3.3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Инструментальные методы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2.3.4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Статистический метод обработки данных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660" w:type="dxa"/>
          </w:tcPr>
          <w:p w:rsidR="00750932" w:rsidRDefault="00816126">
            <w:pPr>
              <w:pStyle w:val="ab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Методика проведения спинномозговой анестезии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66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Эндоскопические методы лечения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2.5.1 </w:t>
            </w:r>
          </w:p>
        </w:tc>
        <w:tc>
          <w:tcPr>
            <w:tcW w:w="766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Перкутанная нефролитотрипсия 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2.5.2 </w:t>
            </w:r>
          </w:p>
        </w:tc>
        <w:tc>
          <w:tcPr>
            <w:tcW w:w="766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Ретроградная пиелолитотрипсия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2.5.3</w:t>
            </w:r>
          </w:p>
        </w:tc>
        <w:tc>
          <w:tcPr>
            <w:tcW w:w="766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Комбинированный метод лечения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2.6</w:t>
            </w:r>
          </w:p>
        </w:tc>
        <w:tc>
          <w:tcPr>
            <w:tcW w:w="7660" w:type="dxa"/>
          </w:tcPr>
          <w:p w:rsidR="00750932" w:rsidRDefault="00816126">
            <w:pPr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Общая характеристика пациентов 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</w:p>
        </w:tc>
      </w:tr>
      <w:tr w:rsidR="00750932">
        <w:trPr>
          <w:trHeight w:val="190"/>
        </w:trPr>
        <w:tc>
          <w:tcPr>
            <w:tcW w:w="359" w:type="dxa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3</w:t>
            </w:r>
          </w:p>
        </w:tc>
        <w:tc>
          <w:tcPr>
            <w:tcW w:w="8464" w:type="dxa"/>
            <w:gridSpan w:val="2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РЕЗУЛЬТАТЫ СОБСТВЕННЫХ ИССЛЕДОВАНИЙ. 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РЕЗУЛЬТАТЫ СРАВНИТЕЛЬНОЙ ОЦЕНКИ ЭФФЕКТИВНОСТИ МАЛОИНВАЗИВНЫХ МЕТОДОВ ЛЕЧЕНИЯ МОЧЕКАМЕННОЙ БОЛЕЗНИ</w:t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  <w:lang w:val="kk-KZ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4</w:t>
            </w:r>
            <w:r>
              <w:rPr>
                <w:rFonts w:ascii="Times New Roman" w:hAnsi="Times New Roman"/>
                <w:b w:val="0"/>
                <w:szCs w:val="28"/>
                <w:lang w:val="kk-KZ"/>
              </w:rPr>
              <w:t>3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3.1 </w:t>
            </w:r>
          </w:p>
        </w:tc>
        <w:tc>
          <w:tcPr>
            <w:tcW w:w="766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Мета – анализ </w:t>
            </w:r>
            <w:r>
              <w:rPr>
                <w:rFonts w:ascii="Times New Roman" w:hAnsi="Times New Roman"/>
                <w:sz w:val="28"/>
                <w:szCs w:val="28"/>
              </w:rPr>
              <w:t>малоинвазивных методов лечения мочекаменной болезни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</w:tr>
      <w:tr w:rsidR="00750932">
        <w:trPr>
          <w:gridAfter w:val="1"/>
          <w:wAfter w:w="7" w:type="dxa"/>
          <w:trHeight w:val="24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7660" w:type="dxa"/>
          </w:tcPr>
          <w:p w:rsidR="00750932" w:rsidRDefault="00816126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Ретроградная пиелолитотрипсия.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Результаты лечения.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50</w:t>
            </w:r>
          </w:p>
        </w:tc>
      </w:tr>
      <w:tr w:rsidR="00750932">
        <w:trPr>
          <w:gridAfter w:val="1"/>
          <w:wAfter w:w="7" w:type="dxa"/>
          <w:trHeight w:val="232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766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pacing w:val="1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Перкутанная нефролитотрипсия. Результаты лечения.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</w:tr>
      <w:tr w:rsidR="00750932">
        <w:trPr>
          <w:gridAfter w:val="1"/>
          <w:wAfter w:w="7" w:type="dxa"/>
          <w:trHeight w:val="343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7660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1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омбинированный метод лечения нефро и уретеролитиаза.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</w:tr>
      <w:tr w:rsidR="00750932">
        <w:trPr>
          <w:gridAfter w:val="1"/>
          <w:wAfter w:w="7" w:type="dxa"/>
          <w:trHeight w:val="321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766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Сравнительный анализ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малоинвазивных методов лечения нефро и уретеролитиаза.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</w:tc>
      </w:tr>
      <w:tr w:rsidR="00750932">
        <w:trPr>
          <w:gridAfter w:val="1"/>
          <w:wAfter w:w="7" w:type="dxa"/>
          <w:trHeight w:val="100"/>
        </w:trPr>
        <w:tc>
          <w:tcPr>
            <w:tcW w:w="359" w:type="dxa"/>
          </w:tcPr>
          <w:p w:rsidR="00750932" w:rsidRDefault="00750932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 w:val="0"/>
                <w:szCs w:val="28"/>
              </w:rPr>
            </w:pPr>
          </w:p>
        </w:tc>
        <w:tc>
          <w:tcPr>
            <w:tcW w:w="804" w:type="dxa"/>
          </w:tcPr>
          <w:p w:rsidR="00750932" w:rsidRDefault="00816126">
            <w:pPr>
              <w:pStyle w:val="ab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7660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 изучения </w:t>
            </w:r>
            <w:r>
              <w:rPr>
                <w:rFonts w:ascii="Times New Roman" w:hAnsi="Times New Roman"/>
                <w:sz w:val="28"/>
                <w:szCs w:val="28"/>
              </w:rPr>
              <w:t>факторов риска камнеобразования и оценка эффективности проводимой метафилактики.</w:t>
            </w:r>
          </w:p>
        </w:tc>
        <w:tc>
          <w:tcPr>
            <w:tcW w:w="710" w:type="dxa"/>
            <w:vAlign w:val="bottom"/>
          </w:tcPr>
          <w:p w:rsidR="00750932" w:rsidRDefault="00816126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9</w:t>
            </w:r>
          </w:p>
        </w:tc>
      </w:tr>
      <w:tr w:rsidR="00750932">
        <w:trPr>
          <w:cantSplit/>
          <w:trHeight w:val="279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tabs>
                <w:tab w:val="center" w:pos="430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ЗАКЛЮЧЕНИЕ</w:t>
            </w:r>
            <w:r>
              <w:rPr>
                <w:rFonts w:ascii="Times New Roman" w:hAnsi="Times New Roman"/>
                <w:bCs/>
                <w:szCs w:val="28"/>
              </w:rPr>
              <w:tab/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  <w:lang w:val="kk-KZ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9</w:t>
            </w:r>
            <w:r>
              <w:rPr>
                <w:rFonts w:ascii="Times New Roman" w:hAnsi="Times New Roman"/>
                <w:b w:val="0"/>
                <w:szCs w:val="28"/>
                <w:lang w:val="kk-KZ"/>
              </w:rPr>
              <w:t>6</w:t>
            </w:r>
          </w:p>
        </w:tc>
      </w:tr>
      <w:tr w:rsidR="00750932">
        <w:trPr>
          <w:cantSplit/>
          <w:trHeight w:val="135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lastRenderedPageBreak/>
              <w:t>ВЫВОДЫ</w:t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  <w:lang w:val="kk-KZ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10</w:t>
            </w:r>
            <w:r>
              <w:rPr>
                <w:rFonts w:ascii="Times New Roman" w:hAnsi="Times New Roman"/>
                <w:b w:val="0"/>
                <w:szCs w:val="28"/>
                <w:lang w:val="kk-KZ"/>
              </w:rPr>
              <w:t>6</w:t>
            </w:r>
          </w:p>
        </w:tc>
      </w:tr>
      <w:tr w:rsidR="00750932">
        <w:trPr>
          <w:cantSplit/>
          <w:trHeight w:val="383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 xml:space="preserve">ПРАКТИЧЕСКИЕ РЕКОМЕНДАЦИИ </w:t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  <w:lang w:val="kk-KZ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10</w:t>
            </w:r>
            <w:r>
              <w:rPr>
                <w:rFonts w:ascii="Times New Roman" w:hAnsi="Times New Roman"/>
                <w:b w:val="0"/>
                <w:szCs w:val="28"/>
                <w:lang w:val="kk-KZ"/>
              </w:rPr>
              <w:t>6</w:t>
            </w:r>
          </w:p>
        </w:tc>
      </w:tr>
      <w:tr w:rsidR="00750932">
        <w:trPr>
          <w:cantSplit/>
          <w:trHeight w:val="383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8"/>
              </w:rPr>
              <w:t>СПИСОК ИСПОЛЬЗОВАННЫХ ИСТОЧНИКОВ</w:t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  <w:lang w:val="kk-KZ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10</w:t>
            </w:r>
            <w:r>
              <w:rPr>
                <w:rFonts w:ascii="Times New Roman" w:hAnsi="Times New Roman"/>
                <w:b w:val="0"/>
                <w:szCs w:val="28"/>
                <w:lang w:val="kk-KZ"/>
              </w:rPr>
              <w:t>7</w:t>
            </w:r>
          </w:p>
        </w:tc>
      </w:tr>
      <w:tr w:rsidR="00750932">
        <w:trPr>
          <w:cantSplit/>
          <w:trHeight w:val="383"/>
        </w:trPr>
        <w:tc>
          <w:tcPr>
            <w:tcW w:w="8823" w:type="dxa"/>
            <w:gridSpan w:val="3"/>
          </w:tcPr>
          <w:p w:rsidR="00750932" w:rsidRDefault="00816126">
            <w:pPr>
              <w:pStyle w:val="ad"/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Cs w:val="28"/>
                <w:lang w:val="kk-KZ"/>
              </w:rPr>
              <w:t>ПРИЛОЖЕНИЯ</w:t>
            </w:r>
          </w:p>
        </w:tc>
        <w:tc>
          <w:tcPr>
            <w:tcW w:w="717" w:type="dxa"/>
            <w:gridSpan w:val="2"/>
            <w:vAlign w:val="bottom"/>
          </w:tcPr>
          <w:p w:rsidR="00750932" w:rsidRDefault="00816126">
            <w:pPr>
              <w:pStyle w:val="ad"/>
              <w:widowControl w:val="0"/>
              <w:spacing w:after="0" w:line="240" w:lineRule="auto"/>
              <w:rPr>
                <w:rFonts w:ascii="Times New Roman" w:hAnsi="Times New Roman"/>
                <w:b w:val="0"/>
                <w:szCs w:val="28"/>
                <w:lang w:val="kk-KZ"/>
              </w:rPr>
            </w:pPr>
            <w:r>
              <w:rPr>
                <w:rFonts w:ascii="Times New Roman" w:hAnsi="Times New Roman"/>
                <w:b w:val="0"/>
                <w:szCs w:val="28"/>
                <w:lang w:val="kk-KZ"/>
              </w:rPr>
              <w:t>119</w:t>
            </w:r>
          </w:p>
        </w:tc>
      </w:tr>
    </w:tbl>
    <w:p w:rsidR="00750932" w:rsidRDefault="00750932">
      <w:pPr>
        <w:shd w:val="clear" w:color="auto" w:fill="FFFFFF"/>
        <w:tabs>
          <w:tab w:val="left" w:leader="dot" w:pos="839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shd w:val="clear" w:color="auto" w:fill="FFFFFF"/>
        <w:tabs>
          <w:tab w:val="left" w:leader="dot" w:pos="839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НОРМАТИВНЫЕ ССЫЛКИ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настоящей диссертации использованы ссылки на следующие стандарты: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Государственная программа развития здравоохранения Республики Казахстан «Саламатты Қазахстан» на 2011-2015 гг., утвержденная Указом Президента Республики Казахстан от 29 ноября 2010 года </w:t>
      </w:r>
      <w:r>
        <w:rPr>
          <w:rFonts w:ascii="Times New Roman" w:hAnsi="Times New Roman"/>
          <w:sz w:val="28"/>
          <w:szCs w:val="28"/>
        </w:rPr>
        <w:t>№1113.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Государственная программа развития здравоохранения Республики Казахстан «Денсаулық» на 2016-2019 гг. по Указу Президента Республики Казахстан от 15 января 2016 года №176.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Клинический протокол МЗ РК №24 от 29 июня 2017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</w:rPr>
        <w:t>года. «Мочекаменная болезнь».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СОКРАЩЕНИЙ</w:t>
      </w: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387"/>
        <w:gridCol w:w="7605"/>
      </w:tblGrid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артериальное давление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ДУВЛ, ЭУВЛ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дистанционная ударно-волновая литотрипсия,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tlid-translation"/>
                <w:rFonts w:ascii="Times New Roman" w:hAnsi="Times New Roman"/>
                <w:sz w:val="28"/>
                <w:szCs w:val="28"/>
              </w:rPr>
              <w:t>ЕАУ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tlid-translation"/>
                <w:rFonts w:ascii="Times New Roman" w:hAnsi="Times New Roman"/>
                <w:sz w:val="28"/>
                <w:szCs w:val="28"/>
              </w:rPr>
              <w:t xml:space="preserve">Европейская ассоциация урологов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МКБ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 w:hanging="14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мочекаменная болезнь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МСКТ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мультиспиральная компьютерная томография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КК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коралловидный камень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ККТ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комбинированные конечные точки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ОПН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острая почечная недостаточность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ОСМ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осмолярность мочи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УЗИ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ультразвуковое исследование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перкутанная нефролитотрипсия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перкутанная нефролитотомия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РК 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Республика Казахстан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ретроградная пиелолитотрипсия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спинномозговая анестезия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СКФ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скорость клубочковой фильтрации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ХБП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хроническая болезнь почек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ЧД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частота дыхания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ЧЛС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чашечно-лоханочная система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ЧСС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частота сердечных сокращений 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ЭКГ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электрокардиография</w:t>
            </w:r>
          </w:p>
        </w:tc>
      </w:tr>
      <w:tr w:rsidR="00750932">
        <w:tc>
          <w:tcPr>
            <w:tcW w:w="1254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RIRS</w:t>
            </w:r>
          </w:p>
        </w:tc>
        <w:tc>
          <w:tcPr>
            <w:tcW w:w="387" w:type="dxa"/>
          </w:tcPr>
          <w:p w:rsidR="00750932" w:rsidRDefault="00816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-</w:t>
            </w:r>
          </w:p>
        </w:tc>
        <w:tc>
          <w:tcPr>
            <w:tcW w:w="7605" w:type="dxa"/>
          </w:tcPr>
          <w:p w:rsidR="00750932" w:rsidRDefault="00816126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Retrograde Intra Renal Surgery</w:t>
            </w:r>
          </w:p>
        </w:tc>
      </w:tr>
    </w:tbl>
    <w:p w:rsidR="00750932" w:rsidRDefault="00750932">
      <w:pPr>
        <w:pStyle w:val="af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750932">
      <w:pPr>
        <w:pStyle w:val="af2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50932" w:rsidRDefault="00816126">
      <w:pPr>
        <w:pStyle w:val="af2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50932" w:rsidRDefault="00750932">
      <w:pPr>
        <w:pStyle w:val="af2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50932" w:rsidRDefault="00816126">
      <w:pPr>
        <w:pStyle w:val="af2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темы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Мочекаменная болезнь (МКБ) среди урологических заболеваний, является одной из самых распространенных, поражающая</w:t>
      </w:r>
      <w:r>
        <w:rPr>
          <w:rFonts w:ascii="Times New Roman" w:hAnsi="Times New Roman"/>
          <w:sz w:val="28"/>
          <w:szCs w:val="28"/>
        </w:rPr>
        <w:t xml:space="preserve"> лиц мужского и женского пола в любом возрасте, чаще всего страдают люди трудоспособного возраста. В связи с этим актуальным остается как изучение различных способов профилактики и метафилактики, так и совершенствование и разработка новых метод</w:t>
      </w:r>
      <w:r>
        <w:rPr>
          <w:rFonts w:ascii="Times New Roman" w:hAnsi="Times New Roman"/>
          <w:sz w:val="28"/>
          <w:szCs w:val="28"/>
          <w:lang w:val="kk-KZ"/>
        </w:rPr>
        <w:t>ов</w:t>
      </w:r>
      <w:r>
        <w:rPr>
          <w:rFonts w:ascii="Times New Roman" w:hAnsi="Times New Roman"/>
          <w:sz w:val="28"/>
          <w:szCs w:val="28"/>
        </w:rPr>
        <w:t xml:space="preserve"> оперативн</w:t>
      </w:r>
      <w:r>
        <w:rPr>
          <w:rFonts w:ascii="Times New Roman" w:hAnsi="Times New Roman"/>
          <w:sz w:val="28"/>
          <w:szCs w:val="28"/>
        </w:rPr>
        <w:t>ого лечения. Руководства и клинические рекомендации Европейской Ассоциации урологов по лечению уролитиаза пересматриваются ежегодно, однако в течении последнего десятилетия перкутанная нефролитотрипсия (ПНЛТ) и экстракорпоральная ударно-волновая литотрипси</w:t>
      </w:r>
      <w:r>
        <w:rPr>
          <w:rFonts w:ascii="Times New Roman" w:hAnsi="Times New Roman"/>
          <w:sz w:val="28"/>
          <w:szCs w:val="28"/>
        </w:rPr>
        <w:t xml:space="preserve">я (ЭУВЛ) являются наиболее рекомендуемыми методами малоинвазивной хирургии конкрементов почек. ЭУВЛ является «золотым» стандартом лечения конкрементов менее 2 см и по данным некоторых авторов, процент эффективности ее достигает 90% [1]. Эффективность ЭУВЛ </w:t>
      </w:r>
      <w:r>
        <w:rPr>
          <w:rFonts w:ascii="Times New Roman" w:hAnsi="Times New Roman"/>
          <w:sz w:val="28"/>
          <w:szCs w:val="28"/>
        </w:rPr>
        <w:t>зависит от множества факторов: локализации конкремента, размера, плотности. Ввиду того, что в 54% случаев после ЭУВЛ диагностируются резидуальные конкременты, требующие повторного дробления конкремента. Этот метод мало применим при размерах конкремента бол</w:t>
      </w:r>
      <w:r>
        <w:rPr>
          <w:rFonts w:ascii="Times New Roman" w:hAnsi="Times New Roman"/>
          <w:sz w:val="28"/>
          <w:szCs w:val="28"/>
        </w:rPr>
        <w:t>ее 2 см. Egilmez T., Keoghane S. с соавт. в своем исследовании установили, что эффективность ЭУВЛ при конкрементах более 1,5 см составляет около 45-60% [2-3]. Albala D. с соавт. указывают, что при локализации конкремента в нижних чашечках эффективность ЭУВ</w:t>
      </w:r>
      <w:r>
        <w:rPr>
          <w:rFonts w:ascii="Times New Roman" w:hAnsi="Times New Roman"/>
          <w:sz w:val="28"/>
          <w:szCs w:val="28"/>
        </w:rPr>
        <w:t xml:space="preserve">Л около 37 – 50% [4].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ПНЛТ обладает наиболее высокой эффективностью при лечении конкрементов более 2 см, в том числе и коралловидных. По данным Singla  M. c соавт. (2008г), эффективность ПНЛТ при коралловидных конкрементах составляет от 74 до 83% [5]. Pre</w:t>
      </w:r>
      <w:r>
        <w:rPr>
          <w:rFonts w:ascii="Times New Roman" w:hAnsi="Times New Roman"/>
          <w:sz w:val="28"/>
          <w:szCs w:val="28"/>
        </w:rPr>
        <w:t>minger G. (2005г) и Michel M. (2007г) указывают эффективность этого метода лечения от 78–95%. Однако достоверно доказано, что проведение ПНЛТ сопровождается высоким риском развития таких осложнений, как кровотечение, уросепсис [6,7].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усовершенствованием </w:t>
      </w:r>
      <w:r>
        <w:rPr>
          <w:rFonts w:ascii="Times New Roman" w:hAnsi="Times New Roman"/>
          <w:sz w:val="28"/>
          <w:szCs w:val="28"/>
        </w:rPr>
        <w:t>эндоурологического оборудования, внедрением гибких уретероскопов и лазерных литотриптеров, в 2005 году стал активно внедряться, как альтернативный метод - ретроградная пиелолитотрипсия (РПТ). На сегодняшний день, в литературе встречаются исследования по из</w:t>
      </w:r>
      <w:r>
        <w:rPr>
          <w:rFonts w:ascii="Times New Roman" w:hAnsi="Times New Roman"/>
          <w:sz w:val="28"/>
          <w:szCs w:val="28"/>
        </w:rPr>
        <w:t xml:space="preserve">учению эффективности РПТ, в том числе и в сравнительном аспекте с другими малоинвазивными методами лечения МКБ.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использования РПТ зарубежными исследователями пока противоречивы. Так Perlmutter с соавт. при изучении эффективности РПТ конкременто</w:t>
      </w:r>
      <w:r>
        <w:rPr>
          <w:rFonts w:ascii="Times New Roman" w:hAnsi="Times New Roman"/>
          <w:sz w:val="28"/>
          <w:szCs w:val="28"/>
        </w:rPr>
        <w:t>в почки размером до 2 см разной локализации указывает на 100% эффективность метода при конкрементах верхних групп чашечек, 95,8% эффективность при локализации конкрементов в средних группах чашечек и 90,9% эффективность при конкрементах нижних чашечек поче</w:t>
      </w:r>
      <w:r>
        <w:rPr>
          <w:rFonts w:ascii="Times New Roman" w:hAnsi="Times New Roman"/>
          <w:sz w:val="28"/>
          <w:szCs w:val="28"/>
        </w:rPr>
        <w:t xml:space="preserve">к. Также, в заключении авторы сделали вывод о том, что локализация конкремента не </w:t>
      </w:r>
      <w:r>
        <w:rPr>
          <w:rFonts w:ascii="Times New Roman" w:hAnsi="Times New Roman"/>
          <w:sz w:val="28"/>
          <w:szCs w:val="28"/>
        </w:rPr>
        <w:lastRenderedPageBreak/>
        <w:t>влияет на эффективность РПТ и процент освобождения от конкрементов [8-9]. Напротив, исследование Pearle с соавт. утверждают, что эффективность РПТ составляет 50% и не имеет с</w:t>
      </w:r>
      <w:r>
        <w:rPr>
          <w:rFonts w:ascii="Times New Roman" w:hAnsi="Times New Roman"/>
          <w:sz w:val="28"/>
          <w:szCs w:val="28"/>
        </w:rPr>
        <w:t xml:space="preserve">татистически достоверных преимуществ перед ЭУВЛ в дроблении конкрементов нижних групп чашечек почки размером до 1см [10].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Breda c соавт. в своем исследовании показали эффективность РПТ при множественных односторонних конкрементах почки: после 1 сеанса про</w:t>
      </w:r>
      <w:r>
        <w:rPr>
          <w:rFonts w:ascii="Times New Roman" w:hAnsi="Times New Roman"/>
          <w:sz w:val="28"/>
          <w:szCs w:val="28"/>
        </w:rPr>
        <w:t xml:space="preserve">цент очищения почки от конкрементов составил 64,7%, после 2 сеанса – 92,2% [11].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2010 году корейскими учеными были опубликованы результаты анализа эффективности РПТ и факторы, влияющие на этот метод. В исследование были включены 66 пациентов. Средний ра</w:t>
      </w:r>
      <w:r>
        <w:rPr>
          <w:rFonts w:ascii="Times New Roman" w:hAnsi="Times New Roman"/>
          <w:sz w:val="28"/>
          <w:szCs w:val="28"/>
        </w:rPr>
        <w:t>змер конкрементов составил 1,7см. У 25 пациентов было диагностировано более 2 конкрементов в почке. У 18 пациентов локализация конкрементов наблюдалась в верхней или средней группе чашечек, у 48 пациентов в нижней группе чашечек. 32 пациентам РПТ проводило</w:t>
      </w:r>
      <w:r>
        <w:rPr>
          <w:rFonts w:ascii="Times New Roman" w:hAnsi="Times New Roman"/>
          <w:sz w:val="28"/>
          <w:szCs w:val="28"/>
        </w:rPr>
        <w:t>сь ввиду неэффективности ЭУВЛ. 4 пациентам в анамнезе ранее проводилось ПНЛТ. Эффективность РПТ в данном исследовании составила 69,7%, а через 1 месяц до 72,7%. У 13 пациентов РПТ оказалось неэффективной. Исследователи провели анализ факторов, повлиявших н</w:t>
      </w:r>
      <w:r>
        <w:rPr>
          <w:rFonts w:ascii="Times New Roman" w:hAnsi="Times New Roman"/>
          <w:sz w:val="28"/>
          <w:szCs w:val="28"/>
        </w:rPr>
        <w:t>а эффективность РПТ. Было выявлено, что важными факторами являлись локализация, размер конкремента (общий при множественных конкрементах), а также первичность проведения операции. Было достоверно доказано, что эффективность РПТ при конкрементах общей площа</w:t>
      </w:r>
      <w:r>
        <w:rPr>
          <w:rFonts w:ascii="Times New Roman" w:hAnsi="Times New Roman"/>
          <w:sz w:val="28"/>
          <w:szCs w:val="28"/>
        </w:rPr>
        <w:t>дью меньше 150 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составила 83,7%, тогда как при больших размерах 29,4%. При локализации конкрементов в верхних группах чашечек эффективность РПТ составила 94,4%, при локализации в нижних чашечках 73,3%, при расположении множественных конкрементах в разли</w:t>
      </w:r>
      <w:r>
        <w:rPr>
          <w:rFonts w:ascii="Times New Roman" w:hAnsi="Times New Roman"/>
          <w:sz w:val="28"/>
          <w:szCs w:val="28"/>
        </w:rPr>
        <w:t>чных группах чашечек, эффективность РПТ снизилась до 38,9%. Также была оценена эффективность РПТ в зависимости от первичности операции. Так, у пациентов, которым РПТ проводилась в качестве первого этапа лечения, эффективность метода составила 83,3%, у паци</w:t>
      </w:r>
      <w:r>
        <w:rPr>
          <w:rFonts w:ascii="Times New Roman" w:hAnsi="Times New Roman"/>
          <w:sz w:val="28"/>
          <w:szCs w:val="28"/>
        </w:rPr>
        <w:t xml:space="preserve">ентов, которым РПТ проводилась после неудачных сеансов ПНЛТ и ЭУВЛ – 58,3% [12-13].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 году группа китайских ученых провела исследование эффективности использования РПТ при коралловидных конкрементах у пациентов с единственно оставшейся почкой. Коралл</w:t>
      </w:r>
      <w:r>
        <w:rPr>
          <w:rFonts w:ascii="Times New Roman" w:hAnsi="Times New Roman"/>
          <w:sz w:val="28"/>
          <w:szCs w:val="28"/>
        </w:rPr>
        <w:t>овидные конкременты у пациентов с единственной почкой являются наиболее опасными клиническими случаями в урологии. Потенциальный риск развития осложнений возрастает в 2-3 раза при любом оперативном вмешательстве. В исследовании участие приняли 20 пациентов</w:t>
      </w:r>
      <w:r>
        <w:rPr>
          <w:rFonts w:ascii="Times New Roman" w:hAnsi="Times New Roman"/>
          <w:sz w:val="28"/>
          <w:szCs w:val="28"/>
        </w:rPr>
        <w:t>. Средний размер конкремента составил 1,0 см. У всех пациентов были сопутствующие заболевания, также у всех имелся избыточный вес. В анамнезе 5 пациентов, ранее перенесли операцию, у 10 пациентов нефрэктомия была произведена по причине коралловидного конкр</w:t>
      </w:r>
      <w:r>
        <w:rPr>
          <w:rFonts w:ascii="Times New Roman" w:hAnsi="Times New Roman"/>
          <w:sz w:val="28"/>
          <w:szCs w:val="28"/>
        </w:rPr>
        <w:t xml:space="preserve">емента. Средний возраст пациентов составил 52,7 лет. Операция состояла одновременно из двух этапов, однако проводились они двумя врачебными бригадами. Первая бригада проводила ПНЛТ, вторая – </w:t>
      </w:r>
      <w:r>
        <w:rPr>
          <w:rFonts w:ascii="Times New Roman" w:hAnsi="Times New Roman"/>
          <w:sz w:val="28"/>
          <w:szCs w:val="28"/>
        </w:rPr>
        <w:lastRenderedPageBreak/>
        <w:t>РПТ. Среднее время операции составило 154 минуты. Послеоперационн</w:t>
      </w:r>
      <w:r>
        <w:rPr>
          <w:rFonts w:ascii="Times New Roman" w:hAnsi="Times New Roman"/>
          <w:sz w:val="28"/>
          <w:szCs w:val="28"/>
        </w:rPr>
        <w:t xml:space="preserve">ые осложнения наблюдались у 5 пациентов. Полное освобождение почки от конкрементов наблюдалось в 95%. У 1 пациента был обнаружен резидуальный конкремент в нижней чашечке (менее 6 мм), через 1 месяц у второго пациента был выявлен рецидивный конкремент до 4 </w:t>
      </w:r>
      <w:r>
        <w:rPr>
          <w:rFonts w:ascii="Times New Roman" w:hAnsi="Times New Roman"/>
          <w:sz w:val="28"/>
          <w:szCs w:val="28"/>
        </w:rPr>
        <w:t xml:space="preserve">мм. В заключении авторы указывают на необходимость комбинированного малоинвазивного оперативного метода и важную роль использования РПТ в тяжелых клинических случаях [14].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2013 году группа турецких ученых провели сравнительный анализ эффективности - лап</w:t>
      </w:r>
      <w:r>
        <w:rPr>
          <w:rFonts w:ascii="Times New Roman" w:hAnsi="Times New Roman"/>
          <w:sz w:val="28"/>
          <w:szCs w:val="28"/>
        </w:rPr>
        <w:t>ароскопическая уретеротомия, ЭУВЛ и РПТ. Средний размер конкрементов составил 1,4 см. Локализация конкрементов была в лоханочно-мочеточниковом сегменте и проксимальном отделе мочеточника. 51 пациенту был произведен лапароскопический метод операции, 52 – ЭУ</w:t>
      </w:r>
      <w:r>
        <w:rPr>
          <w:rFonts w:ascii="Times New Roman" w:hAnsi="Times New Roman"/>
          <w:sz w:val="28"/>
          <w:szCs w:val="28"/>
        </w:rPr>
        <w:t>ВЛ, 48 – РПТ. Полное освобождение от  конкрементов (stone-free rate) было достигнуто в 92%, 81% и 79% соответственно [15]. Наименьший процент осложнений наблюдался в группе пациентов, кому была проведена ретроградная пиелолитотрипсия с использованием гибко</w:t>
      </w:r>
      <w:r>
        <w:rPr>
          <w:rFonts w:ascii="Times New Roman" w:hAnsi="Times New Roman"/>
          <w:sz w:val="28"/>
          <w:szCs w:val="28"/>
        </w:rPr>
        <w:t>го уретероскопа. Несмотря на то, что ЭУВЛ является наиболее оптимальным и рекомендуемым методом лечения конкрементов почки, авторы указывают, что у данного метода имеются значительные недостатки – образование каменных дорожек, воспалительные процессы, мигр</w:t>
      </w:r>
      <w:r>
        <w:rPr>
          <w:rFonts w:ascii="Times New Roman" w:hAnsi="Times New Roman"/>
          <w:sz w:val="28"/>
          <w:szCs w:val="28"/>
        </w:rPr>
        <w:t>ация мелких фрагментов в нижние чашечки, резидуальные конкременты, которые требуют повторных сеансов. Yuruk E. с соавт. доказал, что морфологические изменения в паренхиме почки после ударной волны присутствуют и в отдаленный период, а при множественных сеа</w:t>
      </w:r>
      <w:r>
        <w:rPr>
          <w:rFonts w:ascii="Times New Roman" w:hAnsi="Times New Roman"/>
          <w:sz w:val="28"/>
          <w:szCs w:val="28"/>
        </w:rPr>
        <w:t xml:space="preserve">нсах могут вызывать процессы фиброза. Поэтому метод ЭУВЛ не может считаться неинвазивным [16-17].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Лапароскопический метод является так же эффективным методом извлечения конкремента, однако авторы рекомендуют его использование только в случае неэффективнос</w:t>
      </w:r>
      <w:r>
        <w:rPr>
          <w:rFonts w:ascii="Times New Roman" w:hAnsi="Times New Roman"/>
          <w:sz w:val="28"/>
          <w:szCs w:val="28"/>
        </w:rPr>
        <w:t>ти других методов. Traxer O. с соавт. в исследовании эффективности РПТ взяли 445 пациентов. Средняя продолжительность операции составила 82,5 минут (28-215 мин). Средний размер конкремента 25 мм. Общая частота осложнений составила 10,1%. Основные осложнени</w:t>
      </w:r>
      <w:r>
        <w:rPr>
          <w:rFonts w:ascii="Times New Roman" w:hAnsi="Times New Roman"/>
          <w:sz w:val="28"/>
          <w:szCs w:val="28"/>
        </w:rPr>
        <w:t>я наблюдались у 21 (5,3%) пациентов и незначительные осложнения развились у 19 (4,8%) пациентов. Анализ показал, что метод РПТ имеет 95,7% очищения почки от конкрементов, размером до 2-3 см и 84,6% в тех случаях, когда конкремент &gt; 3см (р = 0,01), с незнач</w:t>
      </w:r>
      <w:r>
        <w:rPr>
          <w:rFonts w:ascii="Times New Roman" w:hAnsi="Times New Roman"/>
          <w:sz w:val="28"/>
          <w:szCs w:val="28"/>
        </w:rPr>
        <w:t>ительным количеством осложнений 14,3% и 15,4%, соответственно, и основная частота осложнений 0% и 11,5%, соответственно [18].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множество исследований, по-прежнему остается открытым ряд вопросов, связанных с РПТ. Прежде всего, это связано с небол</w:t>
      </w:r>
      <w:r>
        <w:rPr>
          <w:rFonts w:ascii="Times New Roman" w:hAnsi="Times New Roman"/>
          <w:sz w:val="28"/>
          <w:szCs w:val="28"/>
        </w:rPr>
        <w:t>ьшим количеством пациентов, а также отсутствия изучения отдаленных результатов. Не определены четкие показания и противопоказания к данному методу, однако многими авторами РПТ описывается как безопасный и эффективный метод оперативного малоинвазивного лече</w:t>
      </w:r>
      <w:r>
        <w:rPr>
          <w:rFonts w:ascii="Times New Roman" w:hAnsi="Times New Roman"/>
          <w:sz w:val="28"/>
          <w:szCs w:val="28"/>
        </w:rPr>
        <w:t xml:space="preserve">ния </w:t>
      </w:r>
      <w:r>
        <w:rPr>
          <w:rFonts w:ascii="Times New Roman" w:hAnsi="Times New Roman"/>
          <w:sz w:val="28"/>
          <w:szCs w:val="28"/>
          <w:lang w:val="kk-KZ"/>
        </w:rPr>
        <w:t>конкрементов</w:t>
      </w:r>
      <w:r>
        <w:rPr>
          <w:rFonts w:ascii="Times New Roman" w:hAnsi="Times New Roman"/>
          <w:sz w:val="28"/>
          <w:szCs w:val="28"/>
        </w:rPr>
        <w:t xml:space="preserve"> почек. </w:t>
      </w:r>
      <w:r>
        <w:rPr>
          <w:rFonts w:ascii="Times New Roman" w:hAnsi="Times New Roman"/>
          <w:sz w:val="28"/>
          <w:szCs w:val="28"/>
        </w:rPr>
        <w:lastRenderedPageBreak/>
        <w:t xml:space="preserve">Достаточно противоречивы результаты исследований по использованию РПТ при коралловидных и множественных конкрементах верхних мочевых путей. 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не смотря на внедрение новых и постоянное совершенствование существующих энд</w:t>
      </w:r>
      <w:r>
        <w:rPr>
          <w:rFonts w:ascii="Times New Roman" w:hAnsi="Times New Roman"/>
          <w:sz w:val="28"/>
          <w:szCs w:val="28"/>
        </w:rPr>
        <w:t>оскопических методов и методик лечения, данная проблема остается актуальной</w:t>
      </w:r>
      <w:r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</w:rPr>
        <w:t>особенно в разделе очередности их использования и комбинации различных методов.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23"/>
          <w:szCs w:val="23"/>
        </w:rPr>
      </w:pPr>
      <w:r>
        <w:rPr>
          <w:rFonts w:ascii="Times New Roman" w:hAnsi="Times New Roman"/>
          <w:b/>
          <w:bCs/>
          <w:sz w:val="28"/>
          <w:szCs w:val="28"/>
        </w:rPr>
        <w:t>Цель: </w:t>
      </w:r>
      <w:r>
        <w:rPr>
          <w:rFonts w:ascii="Times New Roman" w:hAnsi="Times New Roman"/>
          <w:sz w:val="28"/>
          <w:szCs w:val="28"/>
        </w:rPr>
        <w:t>Обосновать метод комбинированного эндоскопического лечения у  пациентов с нефро - и уретеролит</w:t>
      </w:r>
      <w:r>
        <w:rPr>
          <w:rFonts w:ascii="Times New Roman" w:hAnsi="Times New Roman"/>
          <w:sz w:val="28"/>
          <w:szCs w:val="28"/>
        </w:rPr>
        <w:t>иазом в зависимости от размера, локализации и плотности конкремента при мочекаменной болезни.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23"/>
          <w:szCs w:val="23"/>
        </w:rPr>
      </w:pPr>
      <w:r>
        <w:rPr>
          <w:rFonts w:ascii="Times New Roman" w:hAnsi="Times New Roman"/>
          <w:b/>
          <w:bCs/>
          <w:sz w:val="28"/>
          <w:szCs w:val="28"/>
        </w:rPr>
        <w:t>Задачи исследования:</w:t>
      </w:r>
    </w:p>
    <w:p w:rsidR="00750932" w:rsidRDefault="00816126">
      <w:pPr>
        <w:numPr>
          <w:ilvl w:val="0"/>
          <w:numId w:val="1"/>
        </w:numPr>
        <w:shd w:val="clear" w:color="auto" w:fill="FFFFFF"/>
        <w:tabs>
          <w:tab w:val="clear" w:pos="425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Сравнить эффективность эндоскопических методов лечения нефролитиаза и уретеролитиаза. Ретроградная пиелолитотрипсия (РПТ), перкутанная нефрол</w:t>
      </w:r>
      <w:r>
        <w:rPr>
          <w:rFonts w:ascii="Times New Roman" w:hAnsi="Times New Roman"/>
          <w:sz w:val="28"/>
          <w:szCs w:val="28"/>
        </w:rPr>
        <w:t>итотрипсия (ПНЛТ) и комбинированный метод лечения в зависимости от размера, локализации и плотности конкремента при мочекаменной болезни.</w:t>
      </w:r>
    </w:p>
    <w:p w:rsidR="00750932" w:rsidRDefault="00816126">
      <w:pPr>
        <w:numPr>
          <w:ilvl w:val="0"/>
          <w:numId w:val="1"/>
        </w:numPr>
        <w:shd w:val="clear" w:color="auto" w:fill="FFFFFF"/>
        <w:tabs>
          <w:tab w:val="clear" w:pos="425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эффективность ретроградной пиелолитотрипсии в лечении коралловидных, крупных и множественных конкрементах.</w:t>
      </w:r>
    </w:p>
    <w:p w:rsidR="00750932" w:rsidRDefault="00816126">
      <w:pPr>
        <w:numPr>
          <w:ilvl w:val="0"/>
          <w:numId w:val="1"/>
        </w:numPr>
        <w:shd w:val="clear" w:color="auto" w:fill="FFFFFF"/>
        <w:tabs>
          <w:tab w:val="clear" w:pos="425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</w:t>
      </w:r>
      <w:r>
        <w:rPr>
          <w:rFonts w:ascii="Times New Roman" w:hAnsi="Times New Roman"/>
          <w:sz w:val="28"/>
          <w:szCs w:val="28"/>
        </w:rPr>
        <w:t>еделить оптимальный эндоскопический метод лечения нефролитиаза в зависимости от размера, локализации и плотности конкремента при мочекаменной болезни.</w:t>
      </w: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Научная новизна</w:t>
      </w:r>
    </w:p>
    <w:p w:rsidR="00750932" w:rsidRDefault="00816126">
      <w:pPr>
        <w:pStyle w:val="af2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Оценена эффективность разработанного комбинированного эндоскопического метода лечения пац</w:t>
      </w:r>
      <w:r>
        <w:rPr>
          <w:rFonts w:ascii="Times New Roman" w:hAnsi="Times New Roman"/>
          <w:sz w:val="28"/>
          <w:szCs w:val="28"/>
        </w:rPr>
        <w:t xml:space="preserve">иентов с нефроуретеролитиазом основанного на сочетании ретроградной пиелолитотрипсии и перкутанной нефролитотрипсии при множественных и крупных </w:t>
      </w:r>
      <w:r>
        <w:rPr>
          <w:rFonts w:ascii="Times New Roman" w:hAnsi="Times New Roman"/>
          <w:sz w:val="28"/>
          <w:szCs w:val="28"/>
          <w:lang w:val="kk-KZ"/>
        </w:rPr>
        <w:t>конкрементах</w:t>
      </w:r>
      <w:r>
        <w:rPr>
          <w:rFonts w:ascii="Times New Roman" w:hAnsi="Times New Roman"/>
          <w:sz w:val="28"/>
          <w:szCs w:val="28"/>
        </w:rPr>
        <w:t xml:space="preserve"> почек.</w:t>
      </w:r>
    </w:p>
    <w:p w:rsidR="00750932" w:rsidRDefault="00816126">
      <w:pPr>
        <w:pStyle w:val="af2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Дана оценка эффективности различных этапов метафилактики камнеобразования и определена их да</w:t>
      </w:r>
      <w:r>
        <w:rPr>
          <w:rFonts w:ascii="Times New Roman" w:hAnsi="Times New Roman"/>
          <w:sz w:val="28"/>
          <w:szCs w:val="28"/>
        </w:rPr>
        <w:t xml:space="preserve">льнейшая перспектива. </w:t>
      </w:r>
    </w:p>
    <w:p w:rsidR="00750932" w:rsidRDefault="00816126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Практическая значимость</w:t>
      </w:r>
    </w:p>
    <w:p w:rsidR="00750932" w:rsidRDefault="0081612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 результате внедрения в клиническую практику малоинвазивных оперативных вмешательств, при мочекаменной болезни значительно улучшилось качество жизни пациентов в послеоперационном периоде, снизилась частота</w:t>
      </w:r>
      <w:r>
        <w:rPr>
          <w:rFonts w:ascii="Times New Roman" w:hAnsi="Times New Roman"/>
          <w:sz w:val="28"/>
          <w:szCs w:val="28"/>
        </w:rPr>
        <w:t xml:space="preserve"> осложнений, уменьшилась продолжительность оперативного вмешательства и сократились сроки госпитализации.</w:t>
      </w:r>
    </w:p>
    <w:p w:rsidR="00750932" w:rsidRDefault="0081612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 основании анализа применения малоинвазивных оперативных вмешательств удалось избежать повторных операций, что значительно повысило качество жизн</w:t>
      </w:r>
      <w:r>
        <w:rPr>
          <w:rFonts w:ascii="Times New Roman" w:hAnsi="Times New Roman"/>
          <w:sz w:val="28"/>
          <w:szCs w:val="28"/>
        </w:rPr>
        <w:t>и пациентов, сокращении частоты осложнений и продолжительности оперативного вмешательства, сроков госпитализации.</w:t>
      </w:r>
    </w:p>
    <w:p w:rsidR="00750932" w:rsidRDefault="0081612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Доказано преимущество комбинированного метода РПТ+ПНЛТ, одномоментное использование малоинвазивных методов при сложных клинических случаях, </w:t>
      </w:r>
      <w:r>
        <w:rPr>
          <w:rFonts w:ascii="Times New Roman" w:hAnsi="Times New Roman"/>
          <w:sz w:val="28"/>
          <w:szCs w:val="28"/>
        </w:rPr>
        <w:t>что позволило о</w:t>
      </w:r>
      <w:r>
        <w:rPr>
          <w:rFonts w:ascii="Times New Roman" w:hAnsi="Times New Roman"/>
          <w:color w:val="000000"/>
          <w:sz w:val="28"/>
          <w:szCs w:val="28"/>
        </w:rPr>
        <w:t>пределить показания и противопоказания к данному методу.</w:t>
      </w:r>
    </w:p>
    <w:p w:rsidR="00750932" w:rsidRDefault="0081612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 Достигнут высокий процент клинических случаев с полной элиминацией конкрементов после одной операции при комбинированном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оперативном вмешательстве, вследствие чего количество повторных госпитализаций уменьшилось. 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Основные положения, выносимые на защиту</w:t>
      </w:r>
    </w:p>
    <w:p w:rsidR="00750932" w:rsidRDefault="00816126">
      <w:pPr>
        <w:numPr>
          <w:ilvl w:val="0"/>
          <w:numId w:val="3"/>
        </w:numPr>
        <w:tabs>
          <w:tab w:val="left" w:pos="851"/>
        </w:tabs>
        <w:spacing w:after="0" w:line="259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Результаты применения ретроградной пиелолитотрипсии, перкутанной нефролитотрипсии и комбинированного эндоскопического метода, при </w:t>
      </w:r>
      <w:r>
        <w:rPr>
          <w:rFonts w:ascii="Times New Roman" w:hAnsi="Times New Roman"/>
          <w:color w:val="000000"/>
          <w:sz w:val="28"/>
          <w:szCs w:val="28"/>
        </w:rPr>
        <w:t>лечении нефроуретеролитиаза</w:t>
      </w:r>
      <w:r>
        <w:rPr>
          <w:rFonts w:ascii="Times New Roman" w:eastAsia="Calibri" w:hAnsi="Times New Roman"/>
          <w:sz w:val="28"/>
          <w:szCs w:val="28"/>
        </w:rPr>
        <w:t xml:space="preserve"> позволяет свидетельствовать об эффективности использования малоинвазивных оперативных вмешательств</w:t>
      </w:r>
      <w:r>
        <w:rPr>
          <w:rFonts w:ascii="Times New Roman" w:eastAsia="Calibri" w:hAnsi="Times New Roman"/>
          <w:sz w:val="28"/>
          <w:szCs w:val="28"/>
        </w:rPr>
        <w:t xml:space="preserve"> у пациентов с мочекаменной болезнью. </w:t>
      </w:r>
    </w:p>
    <w:p w:rsidR="00750932" w:rsidRDefault="0081612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Результаты оценки эффективности применения малоинвазивных оперативных вмешательств позволяют утверждать о </w:t>
      </w:r>
      <w:r>
        <w:rPr>
          <w:rFonts w:ascii="Times New Roman" w:hAnsi="Times New Roman"/>
          <w:sz w:val="28"/>
          <w:szCs w:val="28"/>
        </w:rPr>
        <w:t>значительном улучшении качества жизни пациентов, сокращение осложнений, продолжительности оперативного вмеша</w:t>
      </w:r>
      <w:r>
        <w:rPr>
          <w:rFonts w:ascii="Times New Roman" w:hAnsi="Times New Roman"/>
          <w:sz w:val="28"/>
          <w:szCs w:val="28"/>
        </w:rPr>
        <w:t>тельства и сроков госпитализации.</w:t>
      </w:r>
    </w:p>
    <w:p w:rsidR="00750932" w:rsidRDefault="00816126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Одномоментное использование различных доступов к почке при комбинированном эндоскопическом методе, </w:t>
      </w:r>
      <w:r>
        <w:rPr>
          <w:rFonts w:ascii="Times New Roman" w:eastAsia="Calibri" w:hAnsi="Times New Roman"/>
          <w:bCs/>
          <w:sz w:val="28"/>
          <w:szCs w:val="28"/>
        </w:rPr>
        <w:t xml:space="preserve">в рамках одной анестезии, за одно оперативное вмешательство избавляет пациента от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eastAsia="Calibri" w:hAnsi="Times New Roman"/>
          <w:bCs/>
          <w:sz w:val="28"/>
          <w:szCs w:val="28"/>
        </w:rPr>
        <w:t xml:space="preserve"> почки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и в/3 мочеточника. </w:t>
      </w:r>
      <w:r>
        <w:rPr>
          <w:rFonts w:ascii="Times New Roman" w:eastAsia="Calibri" w:hAnsi="Times New Roman"/>
          <w:bCs/>
          <w:sz w:val="28"/>
          <w:szCs w:val="28"/>
        </w:rPr>
        <w:t>Неоспоримым преимуществом данного метода является сокращения сроков госпитализации и скорая социальная реабилитация пациента.</w:t>
      </w:r>
    </w:p>
    <w:p w:rsidR="00750932" w:rsidRDefault="0081612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Результаты оценки </w:t>
      </w:r>
      <w:r>
        <w:rPr>
          <w:rFonts w:ascii="Times New Roman" w:eastAsia="Calibri" w:hAnsi="Times New Roman"/>
          <w:sz w:val="28"/>
          <w:szCs w:val="28"/>
        </w:rPr>
        <w:t>качества проведения метафилактики мочекаменной болезни.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Апробация диссертации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Основные положения диссертацион</w:t>
      </w:r>
      <w:r>
        <w:rPr>
          <w:rFonts w:ascii="Times New Roman" w:eastAsia="Calibri" w:hAnsi="Times New Roman"/>
          <w:sz w:val="28"/>
          <w:szCs w:val="28"/>
        </w:rPr>
        <w:t>ной работы изложены: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  На 4-ой научно-практической конференции Урологов Северо-Западного федерального округа РФ. 19 – 20 апреля, 2018г. Санкт-Петербург, Россия.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На </w:t>
      </w:r>
      <w:r>
        <w:rPr>
          <w:rFonts w:ascii="Times New Roman" w:eastAsia="Calibri" w:hAnsi="Times New Roman"/>
          <w:sz w:val="28"/>
          <w:szCs w:val="28"/>
          <w:lang w:val="en-US"/>
        </w:rPr>
        <w:t>XIII</w:t>
      </w:r>
      <w:r>
        <w:rPr>
          <w:rFonts w:ascii="Times New Roman" w:eastAsia="Calibri" w:hAnsi="Times New Roman"/>
          <w:sz w:val="28"/>
          <w:szCs w:val="28"/>
        </w:rPr>
        <w:t xml:space="preserve"> научно-практической конференции молодых ученых и студентов с международным участие</w:t>
      </w:r>
      <w:r>
        <w:rPr>
          <w:rFonts w:ascii="Times New Roman" w:eastAsia="Calibri" w:hAnsi="Times New Roman"/>
          <w:sz w:val="28"/>
          <w:szCs w:val="28"/>
        </w:rPr>
        <w:t xml:space="preserve">м, посвященной «Году развития туризма и народных ремесел». 27 апреля 2018г. Душанбе. Таджикистан. 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</w:rPr>
        <w:t xml:space="preserve">3. На 56-й Польской и 14-й международной научно-практической конференции студенческих научных обществ и врачей.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Juvenes pro medicina.25-26 </w:t>
      </w:r>
      <w:r>
        <w:rPr>
          <w:rFonts w:ascii="Times New Roman" w:eastAsia="Calibri" w:hAnsi="Times New Roman"/>
          <w:sz w:val="28"/>
          <w:szCs w:val="28"/>
        </w:rPr>
        <w:t>мая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2018 </w:t>
      </w:r>
      <w:r>
        <w:rPr>
          <w:rFonts w:ascii="Times New Roman" w:eastAsia="Calibri" w:hAnsi="Times New Roman"/>
          <w:sz w:val="28"/>
          <w:szCs w:val="28"/>
        </w:rPr>
        <w:t>г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val="kk-KZ"/>
        </w:rPr>
        <w:t>Лодзь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Польша</w:t>
      </w:r>
      <w:r>
        <w:rPr>
          <w:rFonts w:ascii="Times New Roman" w:eastAsia="Calibri" w:hAnsi="Times New Roman"/>
          <w:sz w:val="28"/>
          <w:szCs w:val="28"/>
          <w:lang w:val="en-US"/>
        </w:rPr>
        <w:t>.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4. </w:t>
      </w:r>
      <w:r>
        <w:rPr>
          <w:rFonts w:ascii="Times New Roman" w:eastAsia="Calibri" w:hAnsi="Times New Roman"/>
          <w:sz w:val="28"/>
          <w:szCs w:val="28"/>
        </w:rPr>
        <w:t>На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международной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конференции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«Fundamental research carried out by young researchers and doctoral students» Almaty. November</w:t>
      </w:r>
      <w:r>
        <w:rPr>
          <w:rFonts w:ascii="Times New Roman" w:eastAsia="Calibri" w:hAnsi="Times New Roman"/>
          <w:sz w:val="28"/>
          <w:szCs w:val="28"/>
        </w:rPr>
        <w:t xml:space="preserve"> 20-21, 2018.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Сведения о внедрении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Разработанный комбинированный метод лечения МКБ внедрен в лечебную работу АО «Научный центр урологии им. Академика Б.У. Джарбусынова», а также материалы исследования используются при Центре в учебном процессе резидентов по специальности «Урология и андроло</w:t>
      </w:r>
      <w:r>
        <w:rPr>
          <w:rFonts w:ascii="Times New Roman" w:hAnsi="Times New Roman"/>
          <w:sz w:val="28"/>
          <w:szCs w:val="28"/>
        </w:rPr>
        <w:t xml:space="preserve">гия, в том числе детская». </w:t>
      </w:r>
    </w:p>
    <w:p w:rsidR="00750932" w:rsidRDefault="00816126">
      <w:pPr>
        <w:tabs>
          <w:tab w:val="center" w:pos="4960"/>
        </w:tabs>
        <w:spacing w:after="0" w:line="259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Публикации</w:t>
      </w:r>
      <w:r>
        <w:rPr>
          <w:rFonts w:ascii="Times New Roman" w:eastAsia="Calibri" w:hAnsi="Times New Roman"/>
          <w:b/>
          <w:sz w:val="28"/>
          <w:szCs w:val="28"/>
        </w:rPr>
        <w:tab/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По результатам исследования опубликовано 7 научных работ, из них 3 - в журналах, рекомендованных </w:t>
      </w:r>
      <w:r>
        <w:rPr>
          <w:rFonts w:ascii="Times New Roman" w:hAnsi="Times New Roman"/>
          <w:color w:val="191C1F"/>
          <w:sz w:val="28"/>
          <w:szCs w:val="28"/>
          <w:lang w:val="zh-CN"/>
        </w:rPr>
        <w:t xml:space="preserve">Комитетом по </w:t>
      </w:r>
      <w:r>
        <w:rPr>
          <w:rFonts w:ascii="Times New Roman" w:hAnsi="Times New Roman"/>
          <w:color w:val="191C1F"/>
          <w:sz w:val="28"/>
          <w:szCs w:val="28"/>
        </w:rPr>
        <w:t>обеспечению качества</w:t>
      </w:r>
      <w:r>
        <w:rPr>
          <w:rFonts w:ascii="Times New Roman" w:hAnsi="Times New Roman"/>
          <w:color w:val="191C1F"/>
          <w:sz w:val="28"/>
          <w:szCs w:val="28"/>
          <w:lang w:val="zh-CN"/>
        </w:rPr>
        <w:t xml:space="preserve"> в сфере образования и науки МОН РК;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из них 1 – с импакт-фактором; 3 тезиса научных </w:t>
      </w:r>
      <w:r>
        <w:rPr>
          <w:rFonts w:ascii="Times New Roman" w:eastAsia="Calibri" w:hAnsi="Times New Roman"/>
          <w:color w:val="000000"/>
          <w:sz w:val="28"/>
          <w:szCs w:val="28"/>
        </w:rPr>
        <w:lastRenderedPageBreak/>
        <w:t>ко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нференций, в том числе 2 в международных и 1 в зарубежных конференциях; 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</w:rPr>
        <w:t>Объём и структура диссертации</w:t>
      </w:r>
    </w:p>
    <w:p w:rsidR="00750932" w:rsidRDefault="00816126">
      <w:pPr>
        <w:spacing w:after="0" w:line="259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Диссертационная работа изложена на </w:t>
      </w:r>
      <w:r>
        <w:rPr>
          <w:rFonts w:ascii="Times New Roman" w:eastAsia="Calibri" w:hAnsi="Times New Roman"/>
          <w:color w:val="000000"/>
          <w:sz w:val="28"/>
          <w:szCs w:val="28"/>
          <w:lang w:val="kk-KZ"/>
        </w:rPr>
        <w:t>1</w:t>
      </w:r>
      <w:r>
        <w:rPr>
          <w:rFonts w:ascii="Times New Roman" w:eastAsia="Calibri" w:hAnsi="Times New Roman"/>
          <w:color w:val="000000"/>
          <w:sz w:val="28"/>
          <w:szCs w:val="28"/>
        </w:rPr>
        <w:t>2</w:t>
      </w:r>
      <w:r>
        <w:rPr>
          <w:rFonts w:ascii="Times New Roman" w:eastAsia="Calibri" w:hAnsi="Times New Roman"/>
          <w:color w:val="000000"/>
          <w:sz w:val="28"/>
          <w:szCs w:val="28"/>
          <w:lang w:val="kk-KZ"/>
        </w:rPr>
        <w:t>2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страницах компьютерного текста, состоит из введения, 3 глав: обзора литературы, описания материала и методов исследования, собственных результатов исследования; обсуждения; заключения; выводов; списка литературы из </w:t>
      </w:r>
      <w:r>
        <w:rPr>
          <w:rFonts w:ascii="Times New Roman" w:eastAsia="Calibri" w:hAnsi="Times New Roman"/>
          <w:color w:val="000000"/>
          <w:sz w:val="28"/>
          <w:szCs w:val="28"/>
          <w:lang w:val="kk-KZ"/>
        </w:rPr>
        <w:t>170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источников. Работа иллюстрирована </w:t>
      </w:r>
      <w:r>
        <w:rPr>
          <w:rFonts w:ascii="Times New Roman" w:eastAsia="Calibri" w:hAnsi="Times New Roman"/>
          <w:color w:val="000000"/>
          <w:sz w:val="28"/>
          <w:szCs w:val="28"/>
          <w:lang w:val="kk-KZ"/>
        </w:rPr>
        <w:t>32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рисунками и 34 таблицами.</w:t>
      </w:r>
    </w:p>
    <w:p w:rsidR="00750932" w:rsidRDefault="00750932">
      <w:pPr>
        <w:pStyle w:val="af2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/>
          <w:b/>
          <w:sz w:val="28"/>
          <w:szCs w:val="28"/>
        </w:rPr>
        <w:t xml:space="preserve">СРАВНИТЕЛЬНАЯ ОЦЕНКА ЭФФЕКТИВНОСТИ МАЛОИНВАЗИВНЫХ МЕТОДОВ ЛЕЧЕНИЯ МОЧЕКАМЕННОЙ БОЛЕЗНИ </w:t>
      </w:r>
      <w:r>
        <w:rPr>
          <w:rFonts w:ascii="Times New Roman" w:hAnsi="Times New Roman"/>
          <w:b/>
          <w:sz w:val="28"/>
          <w:szCs w:val="28"/>
        </w:rPr>
        <w:t>(обзор литературы)</w:t>
      </w: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 Распространённость и заболеваемость мочекаменной болезнью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Мочекаменная болезнь является актуальной проблемой современной медицины, так как занимает одно из ведущих мест среди урологических заболеваний. Распространенность и заболеваемость МКБ увеличивается ежегодно в среднем на 0,7% среди популяции, поражает до 20</w:t>
      </w:r>
      <w:r>
        <w:rPr>
          <w:rFonts w:ascii="Times New Roman" w:hAnsi="Times New Roman"/>
          <w:sz w:val="28"/>
          <w:szCs w:val="28"/>
        </w:rPr>
        <w:t xml:space="preserve">% работоспособного населения. 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Мочекаменная болезнь встречается в европейских странах примерно у 4–5% населения. В США из-за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Style w:val="tlid-translation"/>
          <w:rFonts w:ascii="Times New Roman" w:hAnsi="Times New Roman"/>
          <w:sz w:val="28"/>
          <w:szCs w:val="28"/>
        </w:rPr>
        <w:t>почек 13% мужчины и 7% женщины обращаются к неотложной помощи, в свою очередь это приводит к значительным расходам диагностики и лечения в отделении неотложной помощи. За последние десятилетия увеличение заболеваемости мочекаменной болезни является результ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атом комплексного воздействия (возраст, пол, привычки питания, потребление жидкости, климат, род занятий и уровень образования, социально-экономический статус, расовое или национальное распределение, генетические и метаболические заболевания) </w:t>
      </w:r>
      <w:r>
        <w:rPr>
          <w:rFonts w:ascii="Times New Roman" w:hAnsi="Times New Roman"/>
          <w:sz w:val="28"/>
          <w:szCs w:val="28"/>
        </w:rPr>
        <w:t>[19].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Один из</w:t>
      </w:r>
      <w:r>
        <w:rPr>
          <w:sz w:val="28"/>
          <w:szCs w:val="28"/>
        </w:rPr>
        <w:t xml:space="preserve"> факторов </w:t>
      </w:r>
      <w:r>
        <w:rPr>
          <w:rStyle w:val="tlid-translation"/>
          <w:sz w:val="28"/>
          <w:szCs w:val="28"/>
        </w:rPr>
        <w:t>увеличения заболеваемости мочекаменной болезни</w:t>
      </w:r>
      <w:r>
        <w:rPr>
          <w:sz w:val="28"/>
          <w:szCs w:val="28"/>
        </w:rPr>
        <w:t xml:space="preserve"> является изменения состояния здоровья населения планеты. Нарастания пожилых и старческих групп населения, безусловно, приводит к увеличению частоты мочекаменной болезни и составляет 8,8 % - у мужчин </w:t>
      </w:r>
      <w:r>
        <w:rPr>
          <w:sz w:val="28"/>
          <w:szCs w:val="28"/>
        </w:rPr>
        <w:t>и 5,6 % - у женщин в группе 65–69 лет по сравнению с 3,7% и 2,8 % соответственно в группе 30 - 34 лет [20]. По данным исследова</w:t>
      </w:r>
      <w:r>
        <w:rPr>
          <w:sz w:val="28"/>
          <w:szCs w:val="28"/>
        </w:rPr>
        <w:softHyphen/>
        <w:t>ния эпидемиологии МКБ, проведен</w:t>
      </w:r>
      <w:r>
        <w:rPr>
          <w:sz w:val="28"/>
          <w:szCs w:val="28"/>
        </w:rPr>
        <w:softHyphen/>
        <w:t>ного Romero в 2012 году, частота МКБ в таких странах, как США, Италия, Германия, Испания, Япония</w:t>
      </w:r>
      <w:r>
        <w:rPr>
          <w:sz w:val="28"/>
          <w:szCs w:val="28"/>
        </w:rPr>
        <w:t xml:space="preserve">, за последние 20 лет удвоилась, при этом именно в последние годы наблюдается наиболее высокий рост этого показателя [21]. 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Распространенность и эпидемиологические характеристики мочекаменной болезни в мире, по-видимому, изменились за последнее время. Пред</w:t>
      </w:r>
      <w:r>
        <w:rPr>
          <w:rStyle w:val="tlid-translation"/>
          <w:rFonts w:ascii="Times New Roman" w:hAnsi="Times New Roman"/>
          <w:sz w:val="28"/>
          <w:szCs w:val="28"/>
        </w:rPr>
        <w:t>ставленные данные эпидемиологических исследований Marshfield (США) МКБ с 1992 по 2008 гг. сельского населения штата Висконсин выявило увеличение уролитиаза. Инструментом наблюдения были показатели заболеваемости и распространенности среди 85 000 человек. С</w:t>
      </w:r>
      <w:r>
        <w:rPr>
          <w:rStyle w:val="tlid-translation"/>
          <w:rFonts w:ascii="Times New Roman" w:hAnsi="Times New Roman"/>
          <w:sz w:val="28"/>
          <w:szCs w:val="28"/>
        </w:rPr>
        <w:t>редняя скорректированная по возрасту заболеваемость новым случаем мочекаменной болезнью на 100 000 человек-лет составила 202 (95% / 168–235) в 1992 году и 289 (95% / 253–325) в 2008 году. У женщин увеличение на 100 000 человек - лет было выше чем у мужчин,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то есть 171 (95% /129–213) и 289 (95% / 238–340) против 238 (95% / 184–290) и 296 (95% / 244–348) соответственно. Коэффициент заболеваемости мужчин и женщин снизился с 1,4 до 1,0. Скорректированная по возрасту распространенность на 100 000 человек состави</w:t>
      </w:r>
      <w:r>
        <w:rPr>
          <w:rStyle w:val="tlid-translation"/>
          <w:rFonts w:ascii="Times New Roman" w:hAnsi="Times New Roman"/>
          <w:sz w:val="28"/>
          <w:szCs w:val="28"/>
        </w:rPr>
        <w:t>ла 1 968 (2%) и 3554 (3,5%) в 1992 и 2008 годах, соответственно. Увеличение у женщин было выше, чем у мужчин (52% против 26%). Скорректированный по возрасту показатель рецидивов на 100 000 человек составил 553 (0,72%) и 676 (1,0%) в 1992 и 2008 годах соотв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етственно. Увеличение у женщин было выше, чем у мужчин (88% против 20%) [22].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lastRenderedPageBreak/>
        <w:t>В Азии от 1 до 19,1% населения страдают мочекаменной болезнью. Однако из-за различий в социально-экономическом статусе и географическом положении распространенность и заболеваем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ость в разных странах или регионах с годами изменились. Исследование факторов риска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мочевыводящих путей имеет первостепенное значение, поэтому в Западной, Юго-Восточной, Южной Азии распространенность мочекаменной болезни составляет 5–19,1%, а 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в некоторых развитых странах такие как Южная Корея и Япония всего 1–8%. Большая часть Восточной и Северной Азии частота рецидивов колеблется от 21% до 53% каждые 3–5 лет </w:t>
      </w:r>
      <w:r>
        <w:rPr>
          <w:rFonts w:ascii="Times New Roman" w:hAnsi="Times New Roman"/>
          <w:bCs/>
          <w:kern w:val="36"/>
          <w:sz w:val="28"/>
          <w:szCs w:val="28"/>
        </w:rPr>
        <w:t>[23, 24, 25</w:t>
      </w:r>
      <w:r>
        <w:rPr>
          <w:rStyle w:val="tlid-translation"/>
          <w:rFonts w:ascii="Times New Roman" w:hAnsi="Times New Roman"/>
          <w:sz w:val="28"/>
          <w:szCs w:val="28"/>
        </w:rPr>
        <w:t>].</w:t>
      </w:r>
    </w:p>
    <w:p w:rsidR="00750932" w:rsidRDefault="00816126">
      <w:pPr>
        <w:pStyle w:val="1"/>
        <w:spacing w:before="0" w:line="240" w:lineRule="auto"/>
        <w:ind w:firstLine="567"/>
        <w:jc w:val="both"/>
        <w:rPr>
          <w:rStyle w:val="tlid-translation"/>
          <w:rFonts w:ascii="Times New Roman" w:hAnsi="Times New Roman"/>
          <w:color w:val="auto"/>
          <w:sz w:val="28"/>
          <w:szCs w:val="28"/>
        </w:rPr>
      </w:pPr>
      <w:r>
        <w:rPr>
          <w:rStyle w:val="tlid-translation"/>
          <w:rFonts w:ascii="Times New Roman" w:hAnsi="Times New Roman"/>
          <w:color w:val="auto"/>
          <w:sz w:val="28"/>
          <w:szCs w:val="28"/>
        </w:rPr>
        <w:t xml:space="preserve">В исследовании </w:t>
      </w:r>
      <w:hyperlink r:id="rId8" w:history="1">
        <w:r>
          <w:rPr>
            <w:rFonts w:ascii="Times New Roman" w:eastAsia="Calibri" w:hAnsi="Times New Roman"/>
            <w:color w:val="auto"/>
            <w:sz w:val="28"/>
            <w:szCs w:val="28"/>
            <w:lang w:val="en-US"/>
          </w:rPr>
          <w:t>Muslumanoglu</w:t>
        </w:r>
        <w:r>
          <w:rPr>
            <w:rFonts w:ascii="Times New Roman" w:eastAsia="Calibri" w:hAnsi="Times New Roman"/>
            <w:color w:val="auto"/>
            <w:sz w:val="28"/>
            <w:szCs w:val="28"/>
          </w:rPr>
          <w:t xml:space="preserve"> </w:t>
        </w:r>
        <w:r>
          <w:rPr>
            <w:rFonts w:ascii="Times New Roman" w:eastAsia="Calibri" w:hAnsi="Times New Roman"/>
            <w:color w:val="auto"/>
            <w:sz w:val="28"/>
            <w:szCs w:val="28"/>
            <w:lang w:val="en-US"/>
          </w:rPr>
          <w:t>A</w:t>
        </w:r>
        <w:r>
          <w:rPr>
            <w:rFonts w:ascii="Times New Roman" w:eastAsia="Calibri" w:hAnsi="Times New Roman"/>
            <w:color w:val="auto"/>
            <w:sz w:val="28"/>
            <w:szCs w:val="28"/>
          </w:rPr>
          <w:t>.</w:t>
        </w:r>
        <w:r>
          <w:rPr>
            <w:rFonts w:ascii="Times New Roman" w:eastAsia="Calibri" w:hAnsi="Times New Roman"/>
            <w:color w:val="auto"/>
            <w:sz w:val="28"/>
            <w:szCs w:val="28"/>
            <w:lang w:val="en-US"/>
          </w:rPr>
          <w:t>Y</w:t>
        </w:r>
      </w:hyperlink>
      <w:r>
        <w:rPr>
          <w:rFonts w:ascii="Times New Roman" w:eastAsia="Calibri" w:hAnsi="Times New Roman"/>
          <w:color w:val="auto"/>
          <w:sz w:val="28"/>
          <w:szCs w:val="28"/>
        </w:rPr>
        <w:t xml:space="preserve"> </w:t>
      </w:r>
      <w:r>
        <w:rPr>
          <w:rStyle w:val="tlid-translation"/>
          <w:rFonts w:ascii="Times New Roman" w:hAnsi="Times New Roman"/>
          <w:color w:val="auto"/>
          <w:sz w:val="28"/>
          <w:szCs w:val="28"/>
        </w:rPr>
        <w:t>с соавторами в Турции показан результат репрезентативной выборки, насчитывающей 2468 участников ввозрасте от 18 до 70 лет из 33 провинций Турции. Участники оценивались в инте</w:t>
      </w:r>
      <w:r>
        <w:rPr>
          <w:rStyle w:val="tlid-translation"/>
          <w:rFonts w:ascii="Times New Roman" w:hAnsi="Times New Roman"/>
          <w:color w:val="auto"/>
          <w:sz w:val="28"/>
          <w:szCs w:val="28"/>
        </w:rPr>
        <w:t xml:space="preserve">рвью студентов-медиков с использованием стандартной анкеты. Из 2468 участников 274 (11,1%) сообщили в анамнезе о мочекаменной болезни, уже установленным диагнозом, и еще у 52 (2,1%) опрошенных была колика как минимум один раз в жизни. </w:t>
      </w:r>
    </w:p>
    <w:p w:rsidR="00750932" w:rsidRDefault="00816126">
      <w:pPr>
        <w:pStyle w:val="1"/>
        <w:spacing w:before="0" w:line="240" w:lineRule="auto"/>
        <w:ind w:firstLine="567"/>
        <w:jc w:val="both"/>
        <w:rPr>
          <w:rFonts w:ascii="Times New Roman" w:hAnsi="Times New Roman"/>
          <w:bCs/>
          <w:color w:val="auto"/>
          <w:kern w:val="36"/>
          <w:sz w:val="28"/>
          <w:szCs w:val="28"/>
        </w:rPr>
      </w:pPr>
      <w:r>
        <w:rPr>
          <w:rStyle w:val="tlid-translation"/>
          <w:rFonts w:ascii="Times New Roman" w:hAnsi="Times New Roman"/>
          <w:color w:val="auto"/>
          <w:sz w:val="28"/>
          <w:szCs w:val="28"/>
        </w:rPr>
        <w:t>По итогам анкет выяснилась, что годовая заболеваемость мочекаменной болезнью в 2008 году составила 1,7%, а соотношение мужчин и женщин составляло 1:1 у участников с мочекаменной болезнью. Наследственный характер мочекаменной болезни был обнаружен у 28,5% р</w:t>
      </w:r>
      <w:r>
        <w:rPr>
          <w:rStyle w:val="tlid-translation"/>
          <w:rFonts w:ascii="Times New Roman" w:hAnsi="Times New Roman"/>
          <w:color w:val="auto"/>
          <w:sz w:val="28"/>
          <w:szCs w:val="28"/>
        </w:rPr>
        <w:t xml:space="preserve">одственников у камнеобразователей, по сравнению с 4,4% родственников участников без </w:t>
      </w:r>
      <w:r>
        <w:rPr>
          <w:rFonts w:ascii="Times New Roman" w:hAnsi="Times New Roman"/>
          <w:color w:val="auto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auto"/>
          <w:sz w:val="28"/>
          <w:szCs w:val="28"/>
        </w:rPr>
        <w:t xml:space="preserve"> (р = 0,01) [26].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данным Алчинбаева М.К. с соавторами абсолютное число зарегистрированных больных с мочекаменной болезнью в Республике Казахстан (РК) в перио</w:t>
      </w:r>
      <w:r>
        <w:rPr>
          <w:sz w:val="28"/>
          <w:szCs w:val="28"/>
        </w:rPr>
        <w:t>д с 2016 по 2018 гг. увеличилось на 5,3 %.</w:t>
      </w:r>
    </w:p>
    <w:p w:rsidR="00750932" w:rsidRDefault="00750932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50932" w:rsidRDefault="00816126">
      <w:pPr>
        <w:pStyle w:val="af0"/>
        <w:spacing w:before="0" w:beforeAutospacing="0" w:after="0" w:afterAutospacing="0"/>
        <w:jc w:val="both"/>
        <w:rPr>
          <w:i/>
          <w:sz w:val="28"/>
          <w:szCs w:val="28"/>
          <w:highlight w:val="cyan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23915" cy="2571750"/>
            <wp:effectExtent l="0" t="0" r="0" b="0"/>
            <wp:docPr id="4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50932" w:rsidRDefault="0081612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 – Мочекаменная болезнь </w:t>
      </w:r>
      <w:r>
        <w:rPr>
          <w:rFonts w:ascii="Times New Roman" w:hAnsi="Times New Roman"/>
          <w:bCs/>
          <w:sz w:val="28"/>
          <w:szCs w:val="28"/>
        </w:rPr>
        <w:t>(динамика в 2016-2018 гг.) в РК</w:t>
      </w:r>
    </w:p>
    <w:p w:rsidR="00750932" w:rsidRDefault="00750932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</w:p>
    <w:p w:rsidR="00750932" w:rsidRDefault="00816126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t>Заметный рост заболеваемости в 2018 году в сравнении с 2017 годом  выявлен в Туркестанской  области – с 477 случаев до 1229. Снижение показателя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отмечено в г. Нур-Султан, Западно-Казахстанской, Кызылординской областях. </w:t>
      </w:r>
    </w:p>
    <w:p w:rsidR="00750932" w:rsidRDefault="00816126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kern w:val="24"/>
          <w:sz w:val="28"/>
          <w:szCs w:val="28"/>
        </w:rPr>
        <w:lastRenderedPageBreak/>
        <w:t>В 2018 году в динамике с 2016 годом стабильно более высокие показатели заболеваемости населения мочекаменной болезнью отмечены в г. Алматы, Восточно-Казахстанской и Павлодарской об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ластях </w:t>
      </w:r>
      <w:r>
        <w:rPr>
          <w:rFonts w:ascii="Times New Roman" w:hAnsi="Times New Roman"/>
          <w:sz w:val="28"/>
          <w:szCs w:val="28"/>
        </w:rPr>
        <w:t>[27].</w:t>
      </w:r>
    </w:p>
    <w:p w:rsidR="00750932" w:rsidRDefault="00750932">
      <w:pPr>
        <w:spacing w:after="0" w:line="240" w:lineRule="auto"/>
        <w:ind w:firstLine="425"/>
        <w:jc w:val="both"/>
        <w:rPr>
          <w:rFonts w:ascii="Times New Roman" w:hAnsi="Times New Roman"/>
          <w:color w:val="000000"/>
          <w:kern w:val="24"/>
          <w:sz w:val="28"/>
          <w:szCs w:val="28"/>
        </w:rPr>
      </w:pPr>
    </w:p>
    <w:p w:rsidR="00750932" w:rsidRDefault="00816126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3125" cy="3228975"/>
            <wp:effectExtent l="0" t="0" r="0" b="0"/>
            <wp:docPr id="2" name="Изображение 2" descr="карт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карта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816126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 – Заболеваемость мочекаменной болезнью в 2018 г. в расчете на 100 тыс. населения в РК </w:t>
      </w:r>
    </w:p>
    <w:p w:rsidR="00750932" w:rsidRDefault="00750932">
      <w:pPr>
        <w:pStyle w:val="Default"/>
        <w:ind w:firstLine="567"/>
        <w:jc w:val="center"/>
        <w:rPr>
          <w:sz w:val="28"/>
          <w:szCs w:val="28"/>
        </w:rPr>
      </w:pP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Заболеваемость мочекаменной болезнью в 2018 г. в расчете на 100 тыс. населения в целом по республике составила 10,4% (в 2017 г. – 10,2, в 2016 г. –9,9), при этом наиболее высокие показатели, как и в 2017 г., отмечены в Павлодарской (1,14%), Восточно – Каза</w:t>
      </w:r>
      <w:r>
        <w:rPr>
          <w:color w:val="000000"/>
          <w:kern w:val="24"/>
          <w:sz w:val="28"/>
          <w:szCs w:val="28"/>
        </w:rPr>
        <w:t xml:space="preserve">хстанской (1,09%), Туркестанской областях (1,22%) и г. Алматы (1,03%). Наиболее низкие показатели выявлены в Западно-Казахстанской (0,17%), Атырауской (0,18%) областях и г. Шымкент (0,06%) </w:t>
      </w:r>
      <w:r>
        <w:rPr>
          <w:sz w:val="28"/>
        </w:rPr>
        <w:t>[27, 28].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Общая летальность при мочекаменной болезни в среднем по </w:t>
      </w:r>
      <w:r>
        <w:rPr>
          <w:color w:val="000000"/>
          <w:kern w:val="24"/>
          <w:sz w:val="28"/>
          <w:szCs w:val="28"/>
        </w:rPr>
        <w:t>республике составила 0,05% (в 2017 г. – 0,05%, в 2016 г. – 0,1%). В динамике растет хирургическая активность при лечении мочекаменной болезни. Так, в 2018 г. данный показатель в среднем по республике составил 73,2% (в 2017 г. – 70,5%, в 2016 г. – 65,4, в 2</w:t>
      </w:r>
      <w:r>
        <w:rPr>
          <w:color w:val="000000"/>
          <w:kern w:val="24"/>
          <w:sz w:val="28"/>
          <w:szCs w:val="28"/>
        </w:rPr>
        <w:t>018 г. - 58,9%). В разрезе областей минимальная хирургическая активность отмечалась в Актюбинской (30,6%), Карагандинской (35,7%), Восточно-Казахстанской (39,7%), максимальная  –  в Акмолинской (100%), Алматинской (92,5%), Северо-Казахстанской (94,5%), Кыз</w:t>
      </w:r>
      <w:r>
        <w:rPr>
          <w:color w:val="000000"/>
          <w:kern w:val="24"/>
          <w:sz w:val="28"/>
          <w:szCs w:val="28"/>
        </w:rPr>
        <w:t>ылординской (87,4%)  и  Павлодарской (89,1%) областях.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Послеоперационная летальность при мочекаменной болезни составила 0,1% (в 2017 г. – 0,12%, в 2016 г. - 0,18%, в 2015 г. – 0,18%), причем в Акмолинской, Алматинской и Северо-Казахстанской областях данный</w:t>
      </w:r>
      <w:r>
        <w:rPr>
          <w:color w:val="000000"/>
          <w:kern w:val="24"/>
          <w:sz w:val="28"/>
          <w:szCs w:val="28"/>
        </w:rPr>
        <w:t xml:space="preserve"> показатель оказался значительно выше республиканского (0,5% - 0,8%)</w:t>
      </w:r>
      <w:r>
        <w:rPr>
          <w:sz w:val="28"/>
        </w:rPr>
        <w:t>[29].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 xml:space="preserve">Фундаментальными причинами такой динамики являются: изменение образа жизни и питания людей, находящие свое выражение в эпидемии </w:t>
      </w:r>
      <w:r>
        <w:rPr>
          <w:sz w:val="28"/>
        </w:rPr>
        <w:lastRenderedPageBreak/>
        <w:t>метаболического синдрома [30, 31], и глобальные климат</w:t>
      </w:r>
      <w:r>
        <w:rPr>
          <w:sz w:val="28"/>
        </w:rPr>
        <w:t xml:space="preserve">ические изменения [32]. По прогнозам некоторых специалистов, в связи с глобальным потеплением ожидается увеличение доли населения, живущего в зонах повышенного риска камнеобразования, с 40% на начало текущего столетия до 70% к его завершению. 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Таким образо</w:t>
      </w:r>
      <w:r>
        <w:rPr>
          <w:sz w:val="28"/>
        </w:rPr>
        <w:t>м, становится очевидной тенденция прогрессивного роста распространенности МКБ, которая с учетом социально-экономической значимости проблемы требует развития высокоэффективных способов ее профилактики и малоинвазивных методов лечения [33].</w:t>
      </w:r>
    </w:p>
    <w:p w:rsidR="00750932" w:rsidRDefault="00750932">
      <w:pPr>
        <w:pStyle w:val="af0"/>
        <w:spacing w:before="0" w:beforeAutospacing="0" w:after="0" w:afterAutospacing="0"/>
        <w:ind w:firstLine="567"/>
        <w:jc w:val="both"/>
        <w:rPr>
          <w:sz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1.2 Малоинвазивн</w:t>
      </w:r>
      <w:r>
        <w:rPr>
          <w:rFonts w:ascii="Times New Roman" w:eastAsia="Calibri" w:hAnsi="Times New Roman"/>
          <w:b/>
          <w:sz w:val="28"/>
          <w:szCs w:val="28"/>
        </w:rPr>
        <w:t>ые методы лечения мочекаменной болезни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урологи под термином уролитиаз понимают любое камнеобразование в просвете органов мочевыделительной системы, включая «первичное» и «вторичное» образование конкрементов вследствие инфекции, уростаза, инородны</w:t>
      </w:r>
      <w:r>
        <w:rPr>
          <w:rFonts w:ascii="Times New Roman" w:hAnsi="Times New Roman"/>
          <w:sz w:val="28"/>
          <w:szCs w:val="28"/>
        </w:rPr>
        <w:t xml:space="preserve">х тел и других причин. Независимо от трактовки понятия «уролитиаз», конкремент в просвете мочевыделительной системы подлежит удалению </w:t>
      </w:r>
      <w:r>
        <w:rPr>
          <w:rFonts w:ascii="Times New Roman" w:hAnsi="Symbol"/>
          <w:sz w:val="28"/>
          <w:szCs w:val="28"/>
        </w:rPr>
        <w:t>[34</w:t>
      </w:r>
      <w:r>
        <w:rPr>
          <w:rFonts w:ascii="Times New Roman" w:hAnsi="Times New Roman"/>
          <w:sz w:val="28"/>
          <w:szCs w:val="28"/>
        </w:rPr>
        <w:t>]. Исключение составляют некоторые конкременты, расположенные в чашечках с узкой шейкой, когда конкремент не нарушает у</w:t>
      </w:r>
      <w:r>
        <w:rPr>
          <w:rFonts w:ascii="Times New Roman" w:hAnsi="Times New Roman"/>
          <w:sz w:val="28"/>
          <w:szCs w:val="28"/>
        </w:rPr>
        <w:t>родинамику, не проявляет себя клинически и его миграция с возникновением обструктивных осложений маловероятна. К сожалению, радикально избавлять человека от МКБ еще не научились, можно только снизить интенсивность камнеобразования и предотвратить фатальные</w:t>
      </w:r>
      <w:r>
        <w:rPr>
          <w:rFonts w:ascii="Times New Roman" w:hAnsi="Times New Roman"/>
          <w:sz w:val="28"/>
          <w:szCs w:val="28"/>
        </w:rPr>
        <w:t xml:space="preserve"> последствия, вовремя дренировав почку и удалив конкремент. В случае вторичного камнеобразования после устранения первопричины, например, стриктуры мочеточника, часто удается избавить пациента от повторного камнеобразования и в этом случае наступает выздор</w:t>
      </w:r>
      <w:r>
        <w:rPr>
          <w:rFonts w:ascii="Times New Roman" w:hAnsi="Times New Roman"/>
          <w:sz w:val="28"/>
          <w:szCs w:val="28"/>
        </w:rPr>
        <w:t xml:space="preserve">овление. Методы удаления мочевых конкрементов различны в зависимости от клинического течения болезни, размера, состава и локализации конкремента </w:t>
      </w:r>
      <w:r>
        <w:rPr>
          <w:rFonts w:ascii="Times New Roman" w:hAnsi="Symbol"/>
          <w:sz w:val="28"/>
          <w:szCs w:val="28"/>
        </w:rPr>
        <w:t>[35</w:t>
      </w:r>
      <w:r>
        <w:rPr>
          <w:rFonts w:ascii="Times New Roman" w:hAnsi="Times New Roman"/>
          <w:sz w:val="28"/>
          <w:szCs w:val="28"/>
        </w:rPr>
        <w:t>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Научно-технический прогресс второй половины ХХ века значительно изменил тактику в диагностике и лечении М</w:t>
      </w:r>
      <w:r>
        <w:rPr>
          <w:rFonts w:ascii="Times New Roman" w:hAnsi="Times New Roman"/>
          <w:sz w:val="28"/>
          <w:szCs w:val="28"/>
        </w:rPr>
        <w:t>КБ, привел к формированию нового, малоинвазивного направления в лечении уролитиаза. В результате этого послеоперационная летальность снизилась с 7% до 1,3% [36, 37]. На замену традиционным «открытым» оперативным методикам лечения нефролитиаза были внедрены</w:t>
      </w:r>
      <w:r>
        <w:rPr>
          <w:rFonts w:ascii="Times New Roman" w:hAnsi="Times New Roman"/>
          <w:sz w:val="28"/>
          <w:szCs w:val="28"/>
        </w:rPr>
        <w:t xml:space="preserve"> такие лечебные мероприятия, как экстракорпоральная ударно-волновая литотрипсия (ДУВЛ), ретроградная интраренальная хирургия, перкутанная нефролитотрипсия и лапароскопическая пиелолитотомия. Это позволило значительно повысить эффективность и безопасность л</w:t>
      </w:r>
      <w:r>
        <w:rPr>
          <w:rFonts w:ascii="Times New Roman" w:hAnsi="Times New Roman"/>
          <w:sz w:val="28"/>
          <w:szCs w:val="28"/>
        </w:rPr>
        <w:t xml:space="preserve">ечения пациентов с нефролитиазом [38, 39, 40].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1.2.1 Дистанционная ударно-волновая литотрипсия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rStyle w:val="tlid-translation"/>
          <w:sz w:val="28"/>
          <w:szCs w:val="28"/>
        </w:rPr>
      </w:pPr>
      <w:r>
        <w:rPr>
          <w:sz w:val="28"/>
          <w:szCs w:val="28"/>
        </w:rPr>
        <w:t xml:space="preserve">В литературе представлено огромное количество работ по применению </w:t>
      </w:r>
      <w:r>
        <w:rPr>
          <w:rStyle w:val="tlid-translation"/>
          <w:sz w:val="28"/>
          <w:szCs w:val="28"/>
        </w:rPr>
        <w:t>ударно-волновой литотрипсии в урологии. Успех ДУВЛ пришелся на начало 1980 годов, как метод б</w:t>
      </w:r>
      <w:r>
        <w:rPr>
          <w:rStyle w:val="tlid-translation"/>
          <w:sz w:val="28"/>
          <w:szCs w:val="28"/>
        </w:rPr>
        <w:t xml:space="preserve">езопасный и эффективный вариант неинвазивного </w:t>
      </w:r>
      <w:r>
        <w:rPr>
          <w:rStyle w:val="tlid-translation"/>
          <w:sz w:val="28"/>
          <w:szCs w:val="28"/>
        </w:rPr>
        <w:lastRenderedPageBreak/>
        <w:t>лечения нефролитиаза [41]. С тех пор технология литотриптеров была усовершенствованаи показания для ДУВЛ расширились. ДУВЛ является удобным для пациента, поскольку он обеспечивает действительно минимально инваз</w:t>
      </w:r>
      <w:r>
        <w:rPr>
          <w:rStyle w:val="tlid-translation"/>
          <w:sz w:val="28"/>
          <w:szCs w:val="28"/>
        </w:rPr>
        <w:t>ивный подход с эффективностью лечения до75% [42].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Широко используемый в настоящее время метод ДУВЛ весьма эффективен, однако имеет ряд недостатков и противопоказаний. Если при литотрипсии мелких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eastAsia="TimesNewRomanPSMT" w:hAnsi="Times New Roman"/>
          <w:sz w:val="28"/>
          <w:szCs w:val="28"/>
        </w:rPr>
        <w:t xml:space="preserve"> почки и мочеточника и нормальной уродинамике ДУВЛ является методом выбора, то при отягощающих обстоятельствах нередко возникают осложнения. Показанием кДУВЛ является размер </w:t>
      </w:r>
      <w:r>
        <w:rPr>
          <w:rFonts w:ascii="Times New Roman" w:hAnsi="Times New Roman"/>
          <w:sz w:val="28"/>
          <w:szCs w:val="28"/>
        </w:rPr>
        <w:t>конкремента</w:t>
      </w:r>
      <w:r>
        <w:rPr>
          <w:rFonts w:ascii="Times New Roman" w:eastAsia="TimesNewRomanPSMT" w:hAnsi="Times New Roman"/>
          <w:sz w:val="28"/>
          <w:szCs w:val="28"/>
        </w:rPr>
        <w:t xml:space="preserve"> до 2 см, хотя есть методики дистанционногоразрушения за несколько сеан</w:t>
      </w:r>
      <w:r>
        <w:rPr>
          <w:rFonts w:ascii="Times New Roman" w:eastAsia="TimesNewRomanPSMT" w:hAnsi="Times New Roman"/>
          <w:sz w:val="28"/>
          <w:szCs w:val="28"/>
        </w:rPr>
        <w:t>сов даже коралловидных конкрементов. Противопоказания — активная фаза пиелонефрита, нарушение уродинамики верхних мочевых путей, беременность, ожирение, почечная недостаточность и некоторые другие. После ДУВЛ, особенно крупных конкрементов, нередко образуе</w:t>
      </w:r>
      <w:r>
        <w:rPr>
          <w:rFonts w:ascii="Times New Roman" w:eastAsia="TimesNewRomanPSMT" w:hAnsi="Times New Roman"/>
          <w:sz w:val="28"/>
          <w:szCs w:val="28"/>
        </w:rPr>
        <w:t>тся «каменная дорожка», которая зачастую требует повторных сеансов литотрипсии, стентирования мочеточника, а иногда и оперативных вмешательств. Сам метод может вызвать травму почки с образованием паранефральных гематом, интенсивной гематурии, нефросклероза</w:t>
      </w:r>
      <w:r>
        <w:rPr>
          <w:rFonts w:ascii="Times New Roman" w:eastAsia="TimesNewRomanPSMT" w:hAnsi="Times New Roman"/>
          <w:sz w:val="28"/>
          <w:szCs w:val="28"/>
        </w:rPr>
        <w:t xml:space="preserve"> уже на 10</w:t>
      </w:r>
      <w:r>
        <w:rPr>
          <w:rFonts w:ascii="MS Mincho" w:eastAsia="MS Mincho" w:hAnsi="MS Mincho" w:cs="MS Mincho" w:hint="eastAsia"/>
          <w:sz w:val="28"/>
          <w:szCs w:val="28"/>
        </w:rPr>
        <w:t>‑</w:t>
      </w:r>
      <w:r>
        <w:rPr>
          <w:rFonts w:ascii="Times New Roman" w:eastAsia="TimesNewRomanPSMT" w:hAnsi="Times New Roman"/>
          <w:sz w:val="28"/>
          <w:szCs w:val="28"/>
        </w:rPr>
        <w:t>е сутки после процедуры [43].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авторы отмечают, что широкое применение ДУВЛ, а также внедрение новых малоинвазивных вмешательств изменили частоту и характер послеоперационных осложнений.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проведение ДУВЛ всегда сопровождается т</w:t>
      </w:r>
      <w:r>
        <w:rPr>
          <w:sz w:val="28"/>
          <w:szCs w:val="28"/>
        </w:rPr>
        <w:t>равмой почки разной степени тяжести, иногда сопровождающейся формированием интрапаренхиматозных, субкапсулярных или паранефральных гематом, приводящих к склерозированию почечной ткани и снижению функции почки.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этого, на результаты лечебной процедуры </w:t>
      </w:r>
      <w:r>
        <w:rPr>
          <w:rFonts w:ascii="Times New Roman" w:hAnsi="Times New Roman"/>
          <w:sz w:val="28"/>
          <w:szCs w:val="28"/>
        </w:rPr>
        <w:t xml:space="preserve">оказывают влияние плотность конкремента, его размеры и локализация. От этих факторов зависит количество сеансов литотрипсии, увеличение числа которых оказывает негативное влияние на почку [44, 45]. 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Cs/>
          <w:kern w:val="36"/>
          <w:sz w:val="28"/>
          <w:szCs w:val="28"/>
        </w:rPr>
      </w:pPr>
      <w:r>
        <w:rPr>
          <w:rStyle w:val="authorsname"/>
          <w:rFonts w:ascii="Times New Roman" w:hAnsi="Times New Roman"/>
          <w:sz w:val="28"/>
          <w:szCs w:val="28"/>
        </w:rPr>
        <w:t xml:space="preserve">Massimo Tonolini с соавторами исследовали </w:t>
      </w:r>
      <w:r>
        <w:rPr>
          <w:rStyle w:val="tlid-translation"/>
          <w:rFonts w:ascii="Times New Roman" w:hAnsi="Times New Roman"/>
          <w:sz w:val="28"/>
          <w:szCs w:val="28"/>
        </w:rPr>
        <w:t>76 пациентов п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одвергнутых ДУВЛ в качестве основного метода лечения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со средним размером 10,5мм. Наблюдалось, что частота отсутствия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в группе ДУВЛ была выше (97,7%), когда размер </w:t>
      </w:r>
      <w:r>
        <w:rPr>
          <w:rFonts w:ascii="Times New Roman" w:hAnsi="Times New Roman"/>
          <w:sz w:val="28"/>
          <w:szCs w:val="28"/>
        </w:rPr>
        <w:t xml:space="preserve">конкремента </w:t>
      </w:r>
      <w:r>
        <w:rPr>
          <w:rStyle w:val="tlid-translation"/>
          <w:rFonts w:ascii="Times New Roman" w:hAnsi="Times New Roman"/>
          <w:sz w:val="28"/>
          <w:szCs w:val="28"/>
        </w:rPr>
        <w:t>составлял ≤ 10мм и продолжительность симптомов составля</w:t>
      </w:r>
      <w:r>
        <w:rPr>
          <w:rStyle w:val="tlid-translation"/>
          <w:rFonts w:ascii="Times New Roman" w:hAnsi="Times New Roman"/>
          <w:sz w:val="28"/>
          <w:szCs w:val="28"/>
        </w:rPr>
        <w:t>ла &lt;1 месяца. Осложнения после ДУВЛ были незначительными по своей природе и не были статистически значимыми.</w:t>
      </w:r>
      <w:r>
        <w:rPr>
          <w:rFonts w:ascii="Times New Roman" w:hAnsi="Times New Roman"/>
          <w:sz w:val="28"/>
          <w:szCs w:val="28"/>
        </w:rPr>
        <w:t>Э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то исследование показывает, что ДУВЛ является важным методом при лечении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Style w:val="tlid-translation"/>
          <w:rFonts w:ascii="Times New Roman" w:hAnsi="Times New Roman"/>
          <w:sz w:val="28"/>
          <w:szCs w:val="28"/>
        </w:rPr>
        <w:t>размером ≤ 20мм, и настоятельно рекомендуют ДУВЛ в качестве п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ервого метода выбора при одиночных </w:t>
      </w:r>
      <w:r>
        <w:rPr>
          <w:rFonts w:ascii="Times New Roman" w:hAnsi="Times New Roman"/>
          <w:sz w:val="28"/>
          <w:szCs w:val="28"/>
        </w:rPr>
        <w:t>конкрементах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размером ≤ 10 мм. [46</w:t>
      </w:r>
      <w:r>
        <w:rPr>
          <w:rFonts w:ascii="Times New Roman" w:hAnsi="Times New Roman"/>
          <w:sz w:val="28"/>
          <w:szCs w:val="28"/>
        </w:rPr>
        <w:t>].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исследования Антонова А. В. применения ДУВЛ с конкрементами мочеточников размером более 9 мм и лоханки более 25 мм у 29 больных показало, что полную фрагментацию конкрем</w:t>
      </w:r>
      <w:r>
        <w:rPr>
          <w:rFonts w:ascii="Times New Roman" w:hAnsi="Times New Roman"/>
          <w:sz w:val="28"/>
          <w:szCs w:val="28"/>
        </w:rPr>
        <w:t xml:space="preserve">ентов после первого сеанса ДУВЛ была достигнута у 23 из 29 (79,3 %) пациентов. У 9 из указанных </w:t>
      </w:r>
      <w:r>
        <w:rPr>
          <w:rFonts w:ascii="Times New Roman" w:hAnsi="Times New Roman"/>
          <w:sz w:val="28"/>
          <w:szCs w:val="28"/>
        </w:rPr>
        <w:lastRenderedPageBreak/>
        <w:t>23 пациентов наблюдали приступы почечных колик, вызванных отхождением фрагментов конкремента, из них двум пациентам был установлен стент-катетер в связи с некуп</w:t>
      </w:r>
      <w:r>
        <w:rPr>
          <w:rFonts w:ascii="Times New Roman" w:hAnsi="Times New Roman"/>
          <w:sz w:val="28"/>
          <w:szCs w:val="28"/>
        </w:rPr>
        <w:t xml:space="preserve">ирующейся почечной коликой. Полное самостоятельное отхождение фрагментов в стационаре было у 12 больных, остальные пациенты выписаны на амбулаторное лечение </w:t>
      </w:r>
      <w:r>
        <w:rPr>
          <w:rFonts w:ascii="Times New Roman" w:eastAsia="TimesNewRomanPSMT" w:hAnsi="Times New Roman"/>
          <w:sz w:val="28"/>
          <w:szCs w:val="28"/>
        </w:rPr>
        <w:t>[</w:t>
      </w:r>
      <w:r>
        <w:rPr>
          <w:rFonts w:ascii="Times New Roman" w:hAnsi="Times New Roman"/>
          <w:bCs/>
          <w:iCs/>
          <w:sz w:val="28"/>
          <w:szCs w:val="28"/>
        </w:rPr>
        <w:t>43</w:t>
      </w:r>
      <w:r>
        <w:rPr>
          <w:rFonts w:ascii="Times New Roman" w:eastAsia="TimesNewRomanPSMT" w:hAnsi="Times New Roman"/>
          <w:sz w:val="28"/>
          <w:szCs w:val="28"/>
        </w:rPr>
        <w:t>].</w:t>
      </w:r>
    </w:p>
    <w:p w:rsidR="00750932" w:rsidRDefault="00816126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Паршенкова И. Г. с соавторами [41] </w:t>
      </w:r>
      <w:r>
        <w:rPr>
          <w:rFonts w:ascii="Times New Roman" w:hAnsi="Times New Roman"/>
          <w:sz w:val="28"/>
          <w:szCs w:val="28"/>
        </w:rPr>
        <w:t>дистанционную литотрипсию выполняли 62 пациентам МКБ с единственной почкой размерами конкремента менее 2 см. Суммарно произведено 94 сеанса ДУВЛ. Для фрагментации конкремента требовалось от одного до 4-х сеансов, в среднем 1,5±0,7 сеанса длительностью 51,6</w:t>
      </w:r>
      <w:r>
        <w:rPr>
          <w:rFonts w:ascii="Times New Roman" w:hAnsi="Times New Roman"/>
          <w:sz w:val="28"/>
          <w:szCs w:val="28"/>
        </w:rPr>
        <w:t>±8,7 минут, с интервалом между ними не менее 7 дней. Уровень ударно-волновых импульсов за один сеанс не превышал 3000, составив в среднем 2700±295 импульсов. Эффективность ДУВЛ в исследовании составила 85,5%, что несколько ниже, чем у больных с двумя полно</w:t>
      </w:r>
      <w:r>
        <w:rPr>
          <w:rFonts w:ascii="Times New Roman" w:hAnsi="Times New Roman"/>
          <w:sz w:val="28"/>
          <w:szCs w:val="28"/>
        </w:rPr>
        <w:t>ценными почками, ввиду выбора более щадящих режимов литотрипсии. Уровень осложнений (32,2%) и вспомогательных манипуляций (16,1%) оказался относительно невысоким, что связано с применением предварительного дренирования почки стент-катетером или мочеточнико</w:t>
      </w:r>
      <w:r>
        <w:rPr>
          <w:rFonts w:ascii="Times New Roman" w:hAnsi="Times New Roman"/>
          <w:sz w:val="28"/>
          <w:szCs w:val="28"/>
        </w:rPr>
        <w:t xml:space="preserve">вым катетером перед сеансом ДУВЛ у пациентов с крупными (более 13 мм) и множественными конкрементами. 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анализ литературных данных применения ДУВЛ при МКБ, показал ее эффективность 75–78%, при условии правильного выбора показаний к применени</w:t>
      </w:r>
      <w:r>
        <w:rPr>
          <w:rFonts w:ascii="Times New Roman" w:hAnsi="Times New Roman"/>
          <w:sz w:val="28"/>
          <w:szCs w:val="28"/>
        </w:rPr>
        <w:t xml:space="preserve">ю данного метода лечения, при этом </w:t>
      </w:r>
      <w:r>
        <w:rPr>
          <w:rStyle w:val="tlid-translation"/>
          <w:rFonts w:ascii="Times New Roman" w:hAnsi="Times New Roman"/>
          <w:sz w:val="28"/>
          <w:szCs w:val="28"/>
        </w:rPr>
        <w:t>осложнения после ДУВЛ были незначительными. Однако, эффективность ДУВЛ при камнях более 1,5–2  см значительно снижается, что создает предпосылки применения более эффективных методов оперативного лечения с использованием м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алоинвазивных технологий </w:t>
      </w:r>
      <w:r>
        <w:rPr>
          <w:rFonts w:ascii="Times New Roman" w:hAnsi="Times New Roman"/>
          <w:sz w:val="28"/>
          <w:szCs w:val="28"/>
        </w:rPr>
        <w:t>[44, 47].</w:t>
      </w:r>
    </w:p>
    <w:p w:rsidR="00750932" w:rsidRDefault="00750932">
      <w:pPr>
        <w:pStyle w:val="Default"/>
        <w:ind w:firstLine="567"/>
        <w:jc w:val="both"/>
        <w:rPr>
          <w:i/>
          <w:sz w:val="28"/>
          <w:szCs w:val="28"/>
        </w:rPr>
      </w:pPr>
    </w:p>
    <w:p w:rsidR="00750932" w:rsidRDefault="00816126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1.2.2 Перкутанная нефролитотрипсия </w:t>
      </w:r>
    </w:p>
    <w:p w:rsidR="00750932" w:rsidRDefault="0081612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перкутанная нефролитотрипсия (ПНЛТ) - один из наиболее применяемых методов оперативного лечения МКБ. Несмотря на широкое внедрение в последние два десятилетия ДУВЛ, </w:t>
      </w:r>
      <w:r>
        <w:rPr>
          <w:sz w:val="28"/>
          <w:szCs w:val="28"/>
        </w:rPr>
        <w:t>на долю ПНЛТ, как монотерапии, приходится по разным данным от 45 до 60 % [48, 49].</w:t>
      </w:r>
    </w:p>
    <w:p w:rsidR="00750932" w:rsidRDefault="0081612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данным Европейской ассоциации урологов, перкутанная нефролитотрипсия является первой линией в лечении крупных конкрементов почек [50, 51]. Несмотря на то, что ПНЛТ являет</w:t>
      </w:r>
      <w:r>
        <w:rPr>
          <w:sz w:val="28"/>
          <w:szCs w:val="28"/>
        </w:rPr>
        <w:t>ся общепринятой методикой лечения нефролитиаза, в современной литературе приводятся данные о высокой частоте осложнений после перкутанной нефролитотрипсии, наиболее тяжелым из которых является почечное кровотечение [52-55].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ПНЛТ также считается первой лини</w:t>
      </w:r>
      <w:r>
        <w:rPr>
          <w:rFonts w:ascii="Times New Roman" w:hAnsi="Times New Roman"/>
          <w:sz w:val="28"/>
          <w:szCs w:val="28"/>
        </w:rPr>
        <w:t>ей оперативного лечения при конкрементах аномальных и в частности, подковообразной почки [56]. Учитывая обычно сложную стереометрическую конфигурацию чашечно-лоханочной системы (ЧЛС) подковообразной почки нередко для полного избавления пациента от конкреме</w:t>
      </w:r>
      <w:r>
        <w:rPr>
          <w:rFonts w:ascii="Times New Roman" w:hAnsi="Times New Roman"/>
          <w:sz w:val="28"/>
          <w:szCs w:val="28"/>
        </w:rPr>
        <w:t xml:space="preserve">нтов, требуется сочетание ПНЛТ с ДУВЛ (т. н. «сэндвич-терапия»). </w:t>
      </w:r>
    </w:p>
    <w:p w:rsidR="00750932" w:rsidRDefault="0081612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Среди очевидных преимуществ перкутанного эндоскопического лечения больных с МКБ - малая травматичность, сокращение сроков нахождения в стационаре, снижение объемов анестезиологического пособ</w:t>
      </w:r>
      <w:r>
        <w:rPr>
          <w:sz w:val="28"/>
          <w:szCs w:val="28"/>
        </w:rPr>
        <w:t>ия и малый круг противопоказаний. Себестоимость одной ПНЛТ в 2–4 раза меньше традиционной операции, а послеоперационный койко-день при этом сокращается в 2-3 раза [57]. Перечень противопоказаний к проведению ПНЛТ весьма невелик. Одни авторы вообще не видят</w:t>
      </w:r>
      <w:r>
        <w:rPr>
          <w:sz w:val="28"/>
          <w:szCs w:val="28"/>
        </w:rPr>
        <w:t xml:space="preserve"> абсолютных противопоказаний к ПНЛТ, другие считают абсолютными противопоказаниями коагулопатии, и таких большинство. В ряде работ указываются такие противопоказания к ПНЛТ, как ожирение, узкие шейки чашечек, недавно перенесенные операции в забрюшинном про</w:t>
      </w:r>
      <w:r>
        <w:rPr>
          <w:sz w:val="28"/>
          <w:szCs w:val="28"/>
        </w:rPr>
        <w:t xml:space="preserve">странстве, наличие инфраренальной обструкции, которая не может быть скорректирована во время эндоскопической операции (протяженные стриктуры мочеточника, его высокое отхождение, нефроптоз, наличие добавочного сосуда), туберкулёз почек и др. [58, 59]. 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sz w:val="28"/>
          <w:szCs w:val="28"/>
        </w:rPr>
        <w:t>несомненной актуальности МКБ аномальных, в том числе и подковообразных почек, применение ПНЛТ у подобных пациентов не нашло достаточного отражения в литературе. Необычность синтопии, скелетотопии и строения подковообразной почки, её ангиоархитектоники и не</w:t>
      </w:r>
      <w:r>
        <w:rPr>
          <w:sz w:val="28"/>
          <w:szCs w:val="28"/>
        </w:rPr>
        <w:t>обычной конфигурации ЧЛС затрудняет выполнение как открытых, так и малоинвазивных операций, создаёт предпосылки для снижения их эффективности и увеличения количества осложнений [60, 61, 62].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Ganesh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.с соавторами [63] выполнили ПНЛТ 37 пациентам с конкреме</w:t>
      </w:r>
      <w:r>
        <w:rPr>
          <w:sz w:val="28"/>
          <w:szCs w:val="28"/>
        </w:rPr>
        <w:t xml:space="preserve">нтами в подковообразной почке. </w:t>
      </w:r>
      <w:r>
        <w:rPr>
          <w:rStyle w:val="tlid-translation"/>
          <w:sz w:val="28"/>
          <w:szCs w:val="28"/>
        </w:rPr>
        <w:t>24 (65%) пациента перенесли ПНЛТ в качестве основного лечения. Почечный доступ был получен через верхнюю чашечку в 63% случаев, нижнюю чашечку в 25% и среднюю чашечку в 4%. Место доступа не было задокументировано у 1 пациента</w:t>
      </w:r>
      <w:r>
        <w:rPr>
          <w:rStyle w:val="tlid-translation"/>
          <w:sz w:val="28"/>
          <w:szCs w:val="28"/>
        </w:rPr>
        <w:t xml:space="preserve"> (4%). Из 24 пациентов у 21 (87,5%) </w:t>
      </w:r>
      <w:r>
        <w:rPr>
          <w:sz w:val="28"/>
          <w:szCs w:val="28"/>
        </w:rPr>
        <w:t>конкременты</w:t>
      </w:r>
      <w:r>
        <w:rPr>
          <w:rStyle w:val="tlid-translation"/>
          <w:sz w:val="28"/>
          <w:szCs w:val="28"/>
        </w:rPr>
        <w:t xml:space="preserve"> полностью удалены после одного сеанса. Гибкая нефроскопия была использована в 84% случаев. Незначительные осложнения возникли у 4 пациентов (16,7%), тогда как у 3 (12,5%) возникли серьезные осложнения, включа</w:t>
      </w:r>
      <w:r>
        <w:rPr>
          <w:rStyle w:val="tlid-translation"/>
          <w:sz w:val="28"/>
          <w:szCs w:val="28"/>
        </w:rPr>
        <w:t xml:space="preserve">я интенсивное кровотечение, требующее раннего прекращения операции, а так же формирование нефроплеврального свища и пневмоторакса </w:t>
      </w:r>
      <w:r>
        <w:rPr>
          <w:sz w:val="28"/>
          <w:szCs w:val="28"/>
        </w:rPr>
        <w:t>[63].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rStyle w:val="tlid-translation"/>
          <w:sz w:val="28"/>
          <w:szCs w:val="28"/>
        </w:rPr>
      </w:pPr>
      <w:r>
        <w:rPr>
          <w:rStyle w:val="tlid-translation"/>
          <w:sz w:val="28"/>
          <w:szCs w:val="28"/>
        </w:rPr>
        <w:t xml:space="preserve">По данным Арабских ученых проанализировано проспективное исследование 88 пациентов с </w:t>
      </w:r>
      <w:r>
        <w:rPr>
          <w:sz w:val="28"/>
          <w:szCs w:val="28"/>
        </w:rPr>
        <w:t>конкрементами</w:t>
      </w:r>
      <w:r>
        <w:rPr>
          <w:rStyle w:val="tlid-translation"/>
          <w:sz w:val="28"/>
          <w:szCs w:val="28"/>
        </w:rPr>
        <w:t xml:space="preserve"> различной локализации</w:t>
      </w:r>
      <w:r>
        <w:rPr>
          <w:rStyle w:val="tlid-translation"/>
          <w:sz w:val="28"/>
          <w:szCs w:val="28"/>
        </w:rPr>
        <w:t xml:space="preserve"> почек и мочеточников, перенесших ПНЛТ в положении на спине. 78 пациентам (88,6%) удаления </w:t>
      </w:r>
      <w:r>
        <w:rPr>
          <w:sz w:val="28"/>
          <w:szCs w:val="28"/>
        </w:rPr>
        <w:t xml:space="preserve">конкрементов </w:t>
      </w:r>
      <w:r>
        <w:rPr>
          <w:rStyle w:val="tlid-translation"/>
          <w:sz w:val="28"/>
          <w:szCs w:val="28"/>
        </w:rPr>
        <w:t xml:space="preserve">ПНЛТ потребовалосьодно вмешательство, а 10 (11,4%) больным с МКБ потребовалось выполнение повторных ПНЛТ. После ПНЛТ у 62 пациентов (70,5%) наблюдалось </w:t>
      </w:r>
      <w:r>
        <w:rPr>
          <w:rStyle w:val="tlid-translation"/>
          <w:sz w:val="28"/>
          <w:szCs w:val="28"/>
        </w:rPr>
        <w:t xml:space="preserve">полное удаление </w:t>
      </w:r>
      <w:r>
        <w:rPr>
          <w:sz w:val="28"/>
          <w:szCs w:val="28"/>
        </w:rPr>
        <w:t>конкрементов</w:t>
      </w:r>
      <w:r>
        <w:rPr>
          <w:rStyle w:val="tlid-translation"/>
          <w:sz w:val="28"/>
          <w:szCs w:val="28"/>
        </w:rPr>
        <w:t xml:space="preserve">. 5 пациентам (5,7%) потребовалось переливание компонентов крови. Серьезные осложнения наблюдались в трех случаях (3,4%) в виде непроходимости мочеточника из-за миграции </w:t>
      </w:r>
      <w:r>
        <w:rPr>
          <w:sz w:val="28"/>
          <w:szCs w:val="28"/>
        </w:rPr>
        <w:t>конкрементов</w:t>
      </w:r>
      <w:r>
        <w:rPr>
          <w:rStyle w:val="tlid-translation"/>
          <w:sz w:val="28"/>
          <w:szCs w:val="28"/>
        </w:rPr>
        <w:t>, в 2 (2,3%) тяжелое кровотечение, требующее п</w:t>
      </w:r>
      <w:r>
        <w:rPr>
          <w:rStyle w:val="tlid-translation"/>
          <w:sz w:val="28"/>
          <w:szCs w:val="28"/>
        </w:rPr>
        <w:t xml:space="preserve">роведения рентген-сосудистого вмешательства и выполнения артериальной эмболизации, продолжительная </w:t>
      </w:r>
      <w:r>
        <w:rPr>
          <w:rStyle w:val="tlid-translation"/>
          <w:sz w:val="28"/>
          <w:szCs w:val="28"/>
        </w:rPr>
        <w:lastRenderedPageBreak/>
        <w:t xml:space="preserve">лихорадка была в 4 (4,5%) случаях. Авторы рекомендуют выполнять ПНЛТ в положении лежа на спине, как метод более эффективный и безопасный [64]. </w:t>
      </w:r>
    </w:p>
    <w:p w:rsidR="00750932" w:rsidRDefault="00816126">
      <w:pPr>
        <w:pStyle w:val="a9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Мартов А. Г. 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с соавторами (2011) </w:t>
      </w:r>
      <w:r>
        <w:rPr>
          <w:rFonts w:ascii="Times New Roman" w:hAnsi="Times New Roman"/>
          <w:color w:val="000000"/>
          <w:sz w:val="28"/>
          <w:szCs w:val="28"/>
        </w:rPr>
        <w:t xml:space="preserve">провели анализ первых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результатов </w:t>
      </w:r>
      <w:r>
        <w:rPr>
          <w:rFonts w:ascii="Times New Roman" w:hAnsi="Times New Roman"/>
          <w:color w:val="000000"/>
          <w:sz w:val="28"/>
          <w:szCs w:val="28"/>
        </w:rPr>
        <w:t>чрескожной нефролитотрипсии в положении на спине 34 пациентам. Средний возраст пациентов составил 48,6±16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лет.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результатам </w:t>
      </w:r>
      <w:r>
        <w:rPr>
          <w:rFonts w:ascii="Times New Roman" w:hAnsi="Times New Roman"/>
          <w:color w:val="000000"/>
          <w:sz w:val="28"/>
          <w:szCs w:val="28"/>
        </w:rPr>
        <w:t>проведенного обследования было выявлено, что у 24 пациентов имелись конкремен</w:t>
      </w:r>
      <w:r>
        <w:rPr>
          <w:rFonts w:ascii="Times New Roman" w:hAnsi="Times New Roman"/>
          <w:color w:val="000000"/>
          <w:sz w:val="28"/>
          <w:szCs w:val="28"/>
        </w:rPr>
        <w:t>ты почек, у 7 человек конкременты почек и мочеточников, а у 3 больных только конкременты мочеточника. Размер конкрементов варьировал от 1,0 см до 7,3 см. У 12 пациентов (35%) были диагностированы одиночные конкременты, у 15 человек (44%) конкременты носили</w:t>
      </w:r>
      <w:r>
        <w:rPr>
          <w:rFonts w:ascii="Times New Roman" w:hAnsi="Times New Roman"/>
          <w:color w:val="000000"/>
          <w:sz w:val="28"/>
          <w:szCs w:val="28"/>
        </w:rPr>
        <w:t xml:space="preserve"> множественный характер. В 7 случаях (21%) был зафиксирован коралловидный нефролитиаз.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всех больных дробление конкрементов производи</w:t>
      </w:r>
      <w:r>
        <w:rPr>
          <w:rFonts w:ascii="Times New Roman" w:hAnsi="Times New Roman"/>
          <w:spacing w:val="-6"/>
          <w:sz w:val="28"/>
          <w:szCs w:val="28"/>
        </w:rPr>
        <w:t xml:space="preserve">лось </w:t>
      </w:r>
      <w:r>
        <w:rPr>
          <w:rFonts w:ascii="Times New Roman" w:hAnsi="Times New Roman"/>
          <w:spacing w:val="-9"/>
          <w:sz w:val="28"/>
          <w:szCs w:val="28"/>
        </w:rPr>
        <w:t xml:space="preserve">методом </w:t>
      </w:r>
      <w:r>
        <w:rPr>
          <w:rFonts w:ascii="Times New Roman" w:hAnsi="Times New Roman"/>
          <w:spacing w:val="-10"/>
          <w:sz w:val="28"/>
          <w:szCs w:val="28"/>
        </w:rPr>
        <w:t>ультразвуковой</w:t>
      </w:r>
      <w:r>
        <w:rPr>
          <w:rFonts w:ascii="Times New Roman" w:hAnsi="Times New Roman"/>
          <w:sz w:val="28"/>
          <w:szCs w:val="28"/>
        </w:rPr>
        <w:t xml:space="preserve">литотрипсии. Оперативное </w:t>
      </w:r>
      <w:r>
        <w:rPr>
          <w:rFonts w:ascii="Times New Roman" w:hAnsi="Times New Roman"/>
          <w:spacing w:val="-7"/>
          <w:sz w:val="28"/>
          <w:szCs w:val="28"/>
        </w:rPr>
        <w:t xml:space="preserve">пособие обычно </w:t>
      </w:r>
      <w:r>
        <w:rPr>
          <w:rFonts w:ascii="Times New Roman" w:hAnsi="Times New Roman"/>
          <w:sz w:val="28"/>
          <w:szCs w:val="28"/>
        </w:rPr>
        <w:t xml:space="preserve">заканчивалось установкой нефростомического </w:t>
      </w:r>
      <w:r>
        <w:rPr>
          <w:rFonts w:ascii="Times New Roman" w:hAnsi="Times New Roman"/>
          <w:spacing w:val="-7"/>
          <w:sz w:val="28"/>
          <w:szCs w:val="28"/>
        </w:rPr>
        <w:t xml:space="preserve">дренажа. </w:t>
      </w:r>
      <w:r>
        <w:rPr>
          <w:rFonts w:ascii="Times New Roman" w:hAnsi="Times New Roman"/>
          <w:spacing w:val="-6"/>
          <w:sz w:val="28"/>
          <w:szCs w:val="28"/>
        </w:rPr>
        <w:t xml:space="preserve">Лишь </w:t>
      </w:r>
      <w:r>
        <w:rPr>
          <w:rFonts w:ascii="Times New Roman" w:hAnsi="Times New Roman"/>
          <w:sz w:val="28"/>
          <w:szCs w:val="28"/>
        </w:rPr>
        <w:t xml:space="preserve">в одном </w:t>
      </w:r>
      <w:r>
        <w:rPr>
          <w:rFonts w:ascii="Times New Roman" w:hAnsi="Times New Roman"/>
          <w:spacing w:val="-7"/>
          <w:sz w:val="28"/>
          <w:szCs w:val="28"/>
        </w:rPr>
        <w:t xml:space="preserve">случае </w:t>
      </w:r>
      <w:r>
        <w:rPr>
          <w:rFonts w:ascii="Times New Roman" w:hAnsi="Times New Roman"/>
          <w:sz w:val="28"/>
          <w:szCs w:val="28"/>
        </w:rPr>
        <w:t xml:space="preserve">использовалась техника </w:t>
      </w:r>
      <w:r>
        <w:rPr>
          <w:rFonts w:ascii="Times New Roman" w:hAnsi="Times New Roman"/>
          <w:spacing w:val="-9"/>
          <w:sz w:val="28"/>
          <w:szCs w:val="28"/>
        </w:rPr>
        <w:t xml:space="preserve">tubeless - ЧНЛТ, </w:t>
      </w:r>
      <w:r>
        <w:rPr>
          <w:rFonts w:ascii="Times New Roman" w:hAnsi="Times New Roman"/>
          <w:spacing w:val="-6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 xml:space="preserve">которой </w:t>
      </w:r>
      <w:r>
        <w:rPr>
          <w:rFonts w:ascii="Times New Roman" w:hAnsi="Times New Roman"/>
          <w:spacing w:val="-7"/>
          <w:sz w:val="28"/>
          <w:szCs w:val="28"/>
        </w:rPr>
        <w:t xml:space="preserve">почка </w:t>
      </w:r>
      <w:r>
        <w:rPr>
          <w:rFonts w:ascii="Times New Roman" w:hAnsi="Times New Roman"/>
          <w:sz w:val="28"/>
          <w:szCs w:val="28"/>
        </w:rPr>
        <w:t>дренировалась внутренним стентом.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</w:t>
      </w:r>
      <w:r>
        <w:rPr>
          <w:rFonts w:ascii="Times New Roman" w:hAnsi="Times New Roman"/>
          <w:spacing w:val="-9"/>
          <w:sz w:val="28"/>
          <w:szCs w:val="28"/>
        </w:rPr>
        <w:t xml:space="preserve">продолжительность </w:t>
      </w:r>
      <w:r>
        <w:rPr>
          <w:rFonts w:ascii="Times New Roman" w:hAnsi="Times New Roman"/>
          <w:spacing w:val="-7"/>
          <w:sz w:val="28"/>
          <w:szCs w:val="28"/>
        </w:rPr>
        <w:t xml:space="preserve">операции </w:t>
      </w:r>
      <w:r>
        <w:rPr>
          <w:rFonts w:ascii="Times New Roman" w:hAnsi="Times New Roman"/>
          <w:sz w:val="28"/>
          <w:szCs w:val="28"/>
        </w:rPr>
        <w:t xml:space="preserve">составила </w:t>
      </w:r>
      <w:r>
        <w:rPr>
          <w:rFonts w:ascii="Times New Roman" w:hAnsi="Times New Roman"/>
          <w:spacing w:val="-4"/>
          <w:sz w:val="28"/>
          <w:szCs w:val="28"/>
        </w:rPr>
        <w:t xml:space="preserve">75 </w:t>
      </w:r>
      <w:r>
        <w:rPr>
          <w:rFonts w:ascii="Times New Roman" w:hAnsi="Times New Roman"/>
          <w:spacing w:val="-10"/>
          <w:sz w:val="28"/>
          <w:szCs w:val="28"/>
        </w:rPr>
        <w:t xml:space="preserve">минут. </w:t>
      </w:r>
      <w:r>
        <w:rPr>
          <w:rFonts w:ascii="Times New Roman" w:hAnsi="Times New Roman"/>
          <w:sz w:val="28"/>
          <w:szCs w:val="28"/>
        </w:rPr>
        <w:t>Серьёзных интраоперационных и послеоперацион</w:t>
      </w:r>
      <w:r>
        <w:rPr>
          <w:rFonts w:ascii="Times New Roman" w:hAnsi="Times New Roman"/>
          <w:spacing w:val="-6"/>
          <w:sz w:val="28"/>
          <w:szCs w:val="28"/>
        </w:rPr>
        <w:t xml:space="preserve">ных </w:t>
      </w:r>
      <w:r>
        <w:rPr>
          <w:rFonts w:ascii="Times New Roman" w:hAnsi="Times New Roman"/>
          <w:sz w:val="28"/>
          <w:szCs w:val="28"/>
        </w:rPr>
        <w:t xml:space="preserve">осложнений выявлено </w:t>
      </w:r>
      <w:r>
        <w:rPr>
          <w:rFonts w:ascii="Times New Roman" w:hAnsi="Times New Roman"/>
          <w:spacing w:val="-4"/>
          <w:sz w:val="28"/>
          <w:szCs w:val="28"/>
        </w:rPr>
        <w:t xml:space="preserve">не </w:t>
      </w:r>
      <w:r>
        <w:rPr>
          <w:rFonts w:ascii="Times New Roman" w:hAnsi="Times New Roman"/>
          <w:spacing w:val="-6"/>
          <w:sz w:val="28"/>
          <w:szCs w:val="28"/>
        </w:rPr>
        <w:t xml:space="preserve">было. </w:t>
      </w:r>
      <w:r>
        <w:rPr>
          <w:rFonts w:ascii="Times New Roman" w:hAnsi="Times New Roman"/>
          <w:sz w:val="28"/>
          <w:szCs w:val="28"/>
        </w:rPr>
        <w:t xml:space="preserve">В 1 </w:t>
      </w:r>
      <w:r>
        <w:rPr>
          <w:rFonts w:ascii="Times New Roman" w:hAnsi="Times New Roman"/>
          <w:spacing w:val="-7"/>
          <w:sz w:val="28"/>
          <w:szCs w:val="28"/>
        </w:rPr>
        <w:t xml:space="preserve">случае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отребова</w:t>
      </w:r>
      <w:r>
        <w:rPr>
          <w:rFonts w:ascii="Times New Roman" w:hAnsi="Times New Roman"/>
          <w:spacing w:val="-6"/>
          <w:sz w:val="28"/>
          <w:szCs w:val="28"/>
        </w:rPr>
        <w:t xml:space="preserve">лась </w:t>
      </w:r>
      <w:r>
        <w:rPr>
          <w:rFonts w:ascii="Times New Roman" w:hAnsi="Times New Roman"/>
          <w:sz w:val="28"/>
          <w:szCs w:val="28"/>
        </w:rPr>
        <w:t xml:space="preserve">конверсия в </w:t>
      </w:r>
      <w:r>
        <w:rPr>
          <w:rFonts w:ascii="Times New Roman" w:hAnsi="Times New Roman"/>
          <w:spacing w:val="-7"/>
          <w:sz w:val="28"/>
          <w:szCs w:val="28"/>
        </w:rPr>
        <w:t xml:space="preserve">связи </w:t>
      </w:r>
      <w:r>
        <w:rPr>
          <w:rFonts w:ascii="Times New Roman" w:hAnsi="Times New Roman"/>
          <w:sz w:val="28"/>
          <w:szCs w:val="28"/>
        </w:rPr>
        <w:t xml:space="preserve">с потерей пункционного хода и </w:t>
      </w:r>
      <w:r>
        <w:rPr>
          <w:rFonts w:ascii="Times New Roman" w:hAnsi="Times New Roman"/>
          <w:spacing w:val="-6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 xml:space="preserve">явленного миниатюрного </w:t>
      </w:r>
      <w:r>
        <w:rPr>
          <w:rFonts w:ascii="Times New Roman" w:hAnsi="Times New Roman"/>
          <w:spacing w:val="-7"/>
          <w:sz w:val="28"/>
          <w:szCs w:val="28"/>
        </w:rPr>
        <w:t xml:space="preserve">строения </w:t>
      </w:r>
      <w:r>
        <w:rPr>
          <w:rFonts w:ascii="Times New Roman" w:hAnsi="Times New Roman"/>
          <w:spacing w:val="-9"/>
          <w:sz w:val="28"/>
          <w:szCs w:val="28"/>
        </w:rPr>
        <w:t xml:space="preserve">чашечно-лоханочной </w:t>
      </w:r>
      <w:r>
        <w:rPr>
          <w:rFonts w:ascii="Times New Roman" w:hAnsi="Times New Roman"/>
          <w:sz w:val="28"/>
          <w:szCs w:val="28"/>
        </w:rPr>
        <w:t xml:space="preserve">системы. </w:t>
      </w:r>
      <w:r>
        <w:rPr>
          <w:rFonts w:ascii="Times New Roman" w:hAnsi="Times New Roman"/>
          <w:spacing w:val="-7"/>
          <w:sz w:val="28"/>
          <w:szCs w:val="28"/>
        </w:rPr>
        <w:t xml:space="preserve">Массивных </w:t>
      </w:r>
      <w:r>
        <w:rPr>
          <w:rFonts w:ascii="Times New Roman" w:hAnsi="Times New Roman"/>
          <w:spacing w:val="-9"/>
          <w:sz w:val="28"/>
          <w:szCs w:val="28"/>
        </w:rPr>
        <w:t xml:space="preserve">кровотечений, </w:t>
      </w:r>
      <w:r>
        <w:rPr>
          <w:rFonts w:ascii="Times New Roman" w:hAnsi="Times New Roman"/>
          <w:spacing w:val="-7"/>
          <w:sz w:val="28"/>
          <w:szCs w:val="28"/>
        </w:rPr>
        <w:t xml:space="preserve">ранений </w:t>
      </w:r>
      <w:r>
        <w:rPr>
          <w:rFonts w:ascii="Times New Roman" w:hAnsi="Times New Roman"/>
          <w:sz w:val="28"/>
          <w:szCs w:val="28"/>
        </w:rPr>
        <w:t xml:space="preserve">соседних </w:t>
      </w:r>
      <w:r>
        <w:rPr>
          <w:rFonts w:ascii="Times New Roman" w:hAnsi="Times New Roman"/>
          <w:spacing w:val="-6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 xml:space="preserve">ганов, перфорации лоханки почки зафиксировано </w:t>
      </w:r>
      <w:r>
        <w:rPr>
          <w:rFonts w:ascii="Times New Roman" w:hAnsi="Times New Roman"/>
          <w:spacing w:val="-4"/>
          <w:sz w:val="28"/>
          <w:szCs w:val="28"/>
        </w:rPr>
        <w:t xml:space="preserve">не </w:t>
      </w:r>
      <w:r>
        <w:rPr>
          <w:rFonts w:ascii="Times New Roman" w:hAnsi="Times New Roman"/>
          <w:spacing w:val="-6"/>
          <w:sz w:val="28"/>
          <w:szCs w:val="28"/>
        </w:rPr>
        <w:t xml:space="preserve">было. </w:t>
      </w:r>
      <w:r>
        <w:rPr>
          <w:rFonts w:ascii="Times New Roman" w:hAnsi="Times New Roman"/>
          <w:sz w:val="28"/>
          <w:szCs w:val="28"/>
        </w:rPr>
        <w:t>У 9 пациентов в послеоперационном п</w:t>
      </w:r>
      <w:r>
        <w:rPr>
          <w:rFonts w:ascii="Times New Roman" w:hAnsi="Times New Roman"/>
          <w:sz w:val="28"/>
          <w:szCs w:val="28"/>
        </w:rPr>
        <w:t xml:space="preserve">ериоде </w:t>
      </w:r>
      <w:r>
        <w:rPr>
          <w:rFonts w:ascii="Times New Roman" w:hAnsi="Times New Roman"/>
          <w:spacing w:val="-6"/>
          <w:sz w:val="28"/>
          <w:szCs w:val="28"/>
        </w:rPr>
        <w:t xml:space="preserve">было </w:t>
      </w:r>
      <w:r>
        <w:rPr>
          <w:rFonts w:ascii="Times New Roman" w:hAnsi="Times New Roman"/>
          <w:sz w:val="28"/>
          <w:szCs w:val="28"/>
        </w:rPr>
        <w:t>отме</w:t>
      </w:r>
      <w:r>
        <w:rPr>
          <w:rFonts w:ascii="Times New Roman" w:hAnsi="Times New Roman"/>
          <w:spacing w:val="-6"/>
          <w:sz w:val="28"/>
          <w:szCs w:val="28"/>
        </w:rPr>
        <w:t xml:space="preserve">чено </w:t>
      </w:r>
      <w:r>
        <w:rPr>
          <w:rFonts w:ascii="Times New Roman" w:hAnsi="Times New Roman"/>
          <w:sz w:val="28"/>
          <w:szCs w:val="28"/>
        </w:rPr>
        <w:t>обострение пиелонефрита, купированное консерва</w:t>
      </w:r>
      <w:r>
        <w:rPr>
          <w:rFonts w:ascii="Times New Roman" w:hAnsi="Times New Roman"/>
          <w:spacing w:val="-7"/>
          <w:sz w:val="28"/>
          <w:szCs w:val="28"/>
        </w:rPr>
        <w:t xml:space="preserve">тивными </w:t>
      </w:r>
      <w:r>
        <w:rPr>
          <w:rFonts w:ascii="Times New Roman" w:hAnsi="Times New Roman"/>
          <w:sz w:val="28"/>
          <w:szCs w:val="28"/>
        </w:rPr>
        <w:t xml:space="preserve">мероприятиями. У 1 пациента </w:t>
      </w:r>
      <w:r>
        <w:rPr>
          <w:rFonts w:ascii="Times New Roman" w:hAnsi="Times New Roman"/>
          <w:spacing w:val="-7"/>
          <w:sz w:val="28"/>
          <w:szCs w:val="28"/>
        </w:rPr>
        <w:t xml:space="preserve">после </w:t>
      </w:r>
      <w:r>
        <w:rPr>
          <w:rFonts w:ascii="Times New Roman" w:hAnsi="Times New Roman"/>
          <w:sz w:val="28"/>
          <w:szCs w:val="28"/>
        </w:rPr>
        <w:t xml:space="preserve">удаления нефростомического </w:t>
      </w:r>
      <w:r>
        <w:rPr>
          <w:rFonts w:ascii="Times New Roman" w:hAnsi="Times New Roman"/>
          <w:spacing w:val="-7"/>
          <w:sz w:val="28"/>
          <w:szCs w:val="28"/>
        </w:rPr>
        <w:t xml:space="preserve">дренажа </w:t>
      </w:r>
      <w:r>
        <w:rPr>
          <w:rFonts w:ascii="Times New Roman" w:hAnsi="Times New Roman"/>
          <w:spacing w:val="-4"/>
          <w:sz w:val="28"/>
          <w:szCs w:val="28"/>
        </w:rPr>
        <w:t xml:space="preserve">на </w:t>
      </w:r>
      <w:r>
        <w:rPr>
          <w:rFonts w:ascii="Times New Roman" w:hAnsi="Times New Roman"/>
          <w:spacing w:val="-6"/>
          <w:sz w:val="28"/>
          <w:szCs w:val="28"/>
        </w:rPr>
        <w:t xml:space="preserve">6-е </w:t>
      </w:r>
      <w:r>
        <w:rPr>
          <w:rFonts w:ascii="Times New Roman" w:hAnsi="Times New Roman"/>
          <w:spacing w:val="-7"/>
          <w:sz w:val="28"/>
          <w:szCs w:val="28"/>
        </w:rPr>
        <w:t xml:space="preserve">сутки </w:t>
      </w:r>
      <w:r>
        <w:rPr>
          <w:rFonts w:ascii="Times New Roman" w:hAnsi="Times New Roman"/>
          <w:spacing w:val="-6"/>
          <w:sz w:val="28"/>
          <w:szCs w:val="28"/>
        </w:rPr>
        <w:t xml:space="preserve">было </w:t>
      </w:r>
      <w:r>
        <w:rPr>
          <w:rFonts w:ascii="Times New Roman" w:hAnsi="Times New Roman"/>
          <w:sz w:val="28"/>
          <w:szCs w:val="28"/>
        </w:rPr>
        <w:t xml:space="preserve">выявлено подтекание </w:t>
      </w:r>
      <w:r>
        <w:rPr>
          <w:rFonts w:ascii="Times New Roman" w:hAnsi="Times New Roman"/>
          <w:spacing w:val="-7"/>
          <w:sz w:val="28"/>
          <w:szCs w:val="28"/>
        </w:rPr>
        <w:t xml:space="preserve">мочи </w:t>
      </w:r>
      <w:r>
        <w:rPr>
          <w:rFonts w:ascii="Times New Roman" w:hAnsi="Times New Roman"/>
          <w:spacing w:val="-4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нефростомическому </w:t>
      </w:r>
      <w:r>
        <w:rPr>
          <w:rFonts w:ascii="Times New Roman" w:hAnsi="Times New Roman"/>
          <w:spacing w:val="-10"/>
          <w:sz w:val="28"/>
          <w:szCs w:val="28"/>
        </w:rPr>
        <w:t xml:space="preserve">свищу, </w:t>
      </w:r>
      <w:r>
        <w:rPr>
          <w:rFonts w:ascii="Times New Roman" w:hAnsi="Times New Roman"/>
          <w:spacing w:val="-6"/>
          <w:sz w:val="28"/>
          <w:szCs w:val="28"/>
        </w:rPr>
        <w:t>что по</w:t>
      </w:r>
      <w:r>
        <w:rPr>
          <w:rFonts w:ascii="Times New Roman" w:hAnsi="Times New Roman"/>
          <w:sz w:val="28"/>
          <w:szCs w:val="28"/>
        </w:rPr>
        <w:t xml:space="preserve">требовало установки страхового </w:t>
      </w:r>
      <w:r>
        <w:rPr>
          <w:rFonts w:ascii="Times New Roman" w:hAnsi="Times New Roman"/>
          <w:spacing w:val="-7"/>
          <w:sz w:val="28"/>
          <w:szCs w:val="28"/>
        </w:rPr>
        <w:t>дрен</w:t>
      </w:r>
      <w:r>
        <w:rPr>
          <w:rFonts w:ascii="Times New Roman" w:hAnsi="Times New Roman"/>
          <w:spacing w:val="-7"/>
          <w:sz w:val="28"/>
          <w:szCs w:val="28"/>
        </w:rPr>
        <w:t xml:space="preserve">ажа </w:t>
      </w:r>
      <w:r>
        <w:rPr>
          <w:rFonts w:ascii="Times New Roman" w:hAnsi="Times New Roman"/>
          <w:sz w:val="28"/>
          <w:szCs w:val="28"/>
        </w:rPr>
        <w:t xml:space="preserve">в забрюшинное </w:t>
      </w:r>
      <w:r>
        <w:rPr>
          <w:rFonts w:ascii="Times New Roman" w:hAnsi="Times New Roman"/>
          <w:spacing w:val="-9"/>
          <w:sz w:val="28"/>
          <w:szCs w:val="28"/>
        </w:rPr>
        <w:t xml:space="preserve">пространство. </w:t>
      </w:r>
      <w:r>
        <w:rPr>
          <w:rFonts w:ascii="Times New Roman" w:hAnsi="Times New Roman"/>
          <w:sz w:val="28"/>
          <w:szCs w:val="28"/>
        </w:rPr>
        <w:t xml:space="preserve">Полное освобождение почек </w:t>
      </w:r>
      <w:r>
        <w:rPr>
          <w:rFonts w:ascii="Times New Roman" w:hAnsi="Times New Roman"/>
          <w:spacing w:val="-6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Fonts w:ascii="Times New Roman" w:hAnsi="Times New Roman"/>
          <w:spacing w:val="-6"/>
          <w:sz w:val="28"/>
          <w:szCs w:val="28"/>
        </w:rPr>
        <w:t xml:space="preserve">было </w:t>
      </w:r>
      <w:r>
        <w:rPr>
          <w:rFonts w:ascii="Times New Roman" w:hAnsi="Times New Roman"/>
          <w:spacing w:val="-7"/>
          <w:sz w:val="28"/>
          <w:szCs w:val="28"/>
        </w:rPr>
        <w:t xml:space="preserve">достигнуто </w:t>
      </w:r>
      <w:r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pacing w:val="-6"/>
          <w:sz w:val="28"/>
          <w:szCs w:val="28"/>
        </w:rPr>
        <w:t xml:space="preserve">79% </w:t>
      </w:r>
      <w:r>
        <w:rPr>
          <w:rFonts w:ascii="Times New Roman" w:hAnsi="Times New Roman"/>
          <w:sz w:val="28"/>
          <w:szCs w:val="28"/>
        </w:rPr>
        <w:t xml:space="preserve">пациентов. </w:t>
      </w:r>
      <w:r>
        <w:rPr>
          <w:rFonts w:ascii="Times New Roman" w:hAnsi="Times New Roman"/>
          <w:spacing w:val="-9"/>
          <w:sz w:val="28"/>
          <w:szCs w:val="28"/>
        </w:rPr>
        <w:t xml:space="preserve">Тем </w:t>
      </w:r>
      <w:r>
        <w:rPr>
          <w:rFonts w:ascii="Times New Roman" w:hAnsi="Times New Roman"/>
          <w:sz w:val="28"/>
          <w:szCs w:val="28"/>
        </w:rPr>
        <w:t xml:space="preserve">больным, у которых </w:t>
      </w:r>
      <w:r>
        <w:rPr>
          <w:rFonts w:ascii="Times New Roman" w:hAnsi="Times New Roman"/>
          <w:spacing w:val="-6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 xml:space="preserve">выявлены резидуальные фрагменты, производилась дистанционная литотрипсия, </w:t>
      </w:r>
      <w:r>
        <w:rPr>
          <w:rFonts w:ascii="Times New Roman" w:hAnsi="Times New Roman"/>
          <w:spacing w:val="-6"/>
          <w:sz w:val="28"/>
          <w:szCs w:val="28"/>
        </w:rPr>
        <w:t xml:space="preserve">либо </w:t>
      </w:r>
      <w:r>
        <w:rPr>
          <w:rFonts w:ascii="Times New Roman" w:hAnsi="Times New Roman"/>
          <w:sz w:val="28"/>
          <w:szCs w:val="28"/>
        </w:rPr>
        <w:t xml:space="preserve">повторная чрескожная </w:t>
      </w:r>
      <w:r>
        <w:rPr>
          <w:rFonts w:ascii="Times New Roman" w:hAnsi="Times New Roman"/>
          <w:spacing w:val="-9"/>
          <w:sz w:val="28"/>
          <w:szCs w:val="28"/>
        </w:rPr>
        <w:t>нефролитотрипсия.</w:t>
      </w:r>
    </w:p>
    <w:p w:rsidR="00750932" w:rsidRDefault="00816126">
      <w:pPr>
        <w:pStyle w:val="a9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Нефростомический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дренаж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среднем удалялся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8-е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сутки.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Средняя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продолжительность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госпитализации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после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проведенного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оперативного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вмешательства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составила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порядка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 xml:space="preserve">11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дней. По результатам исследования получили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высокую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эффективность 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безопасность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метода,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что даёт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основание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продолжать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изучение техники чрескожной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нефролитотрипсии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спине,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внедряя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её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широкую клиническую </w:t>
      </w:r>
      <w:r>
        <w:rPr>
          <w:rFonts w:ascii="Times New Roman" w:hAnsi="Times New Roman"/>
          <w:color w:val="000000"/>
          <w:spacing w:val="-9"/>
          <w:sz w:val="28"/>
          <w:szCs w:val="28"/>
        </w:rPr>
        <w:t xml:space="preserve">практику </w:t>
      </w:r>
      <w:r>
        <w:rPr>
          <w:rFonts w:ascii="Times New Roman" w:hAnsi="Times New Roman"/>
          <w:color w:val="000000"/>
          <w:sz w:val="28"/>
          <w:szCs w:val="28"/>
        </w:rPr>
        <w:t>[65- 67].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данным Американской урологической ассоциации частота осложнений ПНЛТ при коралловидных конкрементах составляет 7-27%</w:t>
      </w:r>
      <w:r>
        <w:rPr>
          <w:sz w:val="28"/>
          <w:szCs w:val="28"/>
        </w:rPr>
        <w:t xml:space="preserve">, при этом необходимость в проведении гемотрансфузии достигает 18%. С увеличением каменной нагрузки и сложности коралловидного конкремента возникает необходимость в выполнении дополнительных доступов для достижения скорости и полноты удаления конкремента, </w:t>
      </w:r>
      <w:r>
        <w:rPr>
          <w:sz w:val="28"/>
          <w:szCs w:val="28"/>
        </w:rPr>
        <w:t xml:space="preserve">однако многие урологи воздерживаются от выполнения второго доступа из-за потенциального увеличения осложнений. Учитывая, что при коралловидном нефролитиазе у многих пациентов значительно страдает функция почек, </w:t>
      </w:r>
      <w:r>
        <w:rPr>
          <w:sz w:val="28"/>
          <w:szCs w:val="28"/>
        </w:rPr>
        <w:lastRenderedPageBreak/>
        <w:t>урологи всего мира стремятся сделать операцию</w:t>
      </w:r>
      <w:r>
        <w:rPr>
          <w:sz w:val="28"/>
          <w:szCs w:val="28"/>
        </w:rPr>
        <w:t xml:space="preserve"> менее инвазивной путем применения инструментария меньшего диаметра и переходом от стандартной перкутанной нефролитотомии (maxi perc), к мини- (mini perc), ультрамини- (ultra miniperc) и микроперкутанной нефролитотомии (microperc) [65, 66].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T. Manohar ссоа</w:t>
      </w:r>
      <w:r>
        <w:rPr>
          <w:sz w:val="28"/>
          <w:szCs w:val="28"/>
        </w:rPr>
        <w:t>вт. в 2006 году представили данные мультидоступной    миниперкутанной нефролитотомии (мини-ПНЛТ) с минимальными                осложнениямии 86% эффективностью [68].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О. В. Теодорович с соавт. в 2015 году представили результаты лечения 34 пациентов с коралл</w:t>
      </w:r>
      <w:r>
        <w:rPr>
          <w:sz w:val="28"/>
          <w:szCs w:val="28"/>
        </w:rPr>
        <w:t>овидными конкрементами, которым выполнена            минимально инвазивная перкутанная лазерная нефролитотрипсия с                 эффективностью 88,2% и с крайне малым количеством осложнений [69].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Мета-анализ, проведенный W. Zhu ссоавт. в 2015 году, показ</w:t>
      </w:r>
      <w:r>
        <w:rPr>
          <w:sz w:val="28"/>
          <w:szCs w:val="28"/>
        </w:rPr>
        <w:t>ал, что у пациентов, перенесших мини-ПНЛТ, наблюдаются меньшее снижение               гемоглобина, меньшая частота переливания крови, меньшая морбидность и   меньше сроки госпитализации по сравнению со стандартной ПНЛТ [70].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Y. Wang с соавт. (2014) </w:t>
      </w:r>
      <w:r>
        <w:rPr>
          <w:sz w:val="28"/>
          <w:szCs w:val="28"/>
        </w:rPr>
        <w:t>проанализировали данные 216 пациентов с коралловидным нефролитиазом (158 выполнена стандартная ПНЛТ, 58 –                 стандартная ПНЛТ в комбинации с мини-ПНЛТ) и пришли к выводу, что      комбинированная техника должна быть методом выбора при мультидо</w:t>
      </w:r>
      <w:r>
        <w:rPr>
          <w:sz w:val="28"/>
          <w:szCs w:val="28"/>
        </w:rPr>
        <w:t>ступной чрескожной хирургии у данной категории больных [71].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Акопян Г. Н. с соавторами [72] с целью оценки эффективности и безопасности комбинации стандартной и минимально инвазивной мультиперкутанной нефролитотомии при коралловидном нефролитиазе провел ан</w:t>
      </w:r>
      <w:r>
        <w:rPr>
          <w:rFonts w:ascii="Times New Roman" w:hAnsi="Times New Roman"/>
          <w:sz w:val="28"/>
          <w:szCs w:val="28"/>
        </w:rPr>
        <w:t>ализ 55 пациентов с коралловидными конкрементами. Два доступа выполнено в 48 (87,3%) наблюдениях, 3 в 6 (10,9%), 4 в 1 (1,8%). Полная санация почки после первой процедуры достигнута в 47 (85,5%) наблюдениях, 6 пациентам выполнена повторная нефроскопия, у 2</w:t>
      </w:r>
      <w:r>
        <w:rPr>
          <w:rFonts w:ascii="Times New Roman" w:hAnsi="Times New Roman"/>
          <w:sz w:val="28"/>
          <w:szCs w:val="28"/>
        </w:rPr>
        <w:t xml:space="preserve"> оставшиеся резидуальные конкременты находились в изолированных чашечках и не требовали дополнительного вмешательства. Интраоперационные осложнения в виде геморрагии зафиксированы у 3 пациентов, которым в последующем была выполнена повторная нефроскопия. С</w:t>
      </w:r>
      <w:r>
        <w:rPr>
          <w:rFonts w:ascii="Times New Roman" w:hAnsi="Times New Roman"/>
          <w:sz w:val="28"/>
          <w:szCs w:val="28"/>
        </w:rPr>
        <w:t xml:space="preserve">реди послеоперационных осложнений у 8 пациентов отмечена лихорадка выше 38°С. Полученные результаты демонстрируют высокую эффективность и безопасность комбинированной, стандартной и малоинвазивной ПНЛТ из мультидоступа [72].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Однако до сих пор в современно</w:t>
      </w:r>
      <w:r>
        <w:rPr>
          <w:rFonts w:ascii="Times New Roman" w:hAnsi="Times New Roman"/>
          <w:sz w:val="28"/>
          <w:szCs w:val="28"/>
        </w:rPr>
        <w:t>й литературе нет единого мнения о показаниях к применению мини-ПНЛТ у пациентов с крупными и коралловидными конкрементами почек. Мини-перкутанная нефролитотрипсия является высокоэффективной и безопасной методикой лечения пациентов с крупными и коралловидны</w:t>
      </w:r>
      <w:r>
        <w:rPr>
          <w:rFonts w:ascii="Times New Roman" w:hAnsi="Times New Roman"/>
          <w:sz w:val="28"/>
          <w:szCs w:val="28"/>
        </w:rPr>
        <w:t xml:space="preserve">ми конкрементами почек. Данная лечебная опция может быть выбрана в качестве альтернативной методики стандартной ПНЛТ. К преимуществам мини-ПНЛТ относится минимальная частота осложнений и отсутствие клинически значимой кровопотери [73]. </w:t>
      </w:r>
    </w:p>
    <w:p w:rsidR="00750932" w:rsidRDefault="0081612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данным крупномас</w:t>
      </w:r>
      <w:r>
        <w:rPr>
          <w:sz w:val="28"/>
          <w:szCs w:val="28"/>
        </w:rPr>
        <w:t xml:space="preserve">штабных исследований в 0,1–0,3% проведенных ПНЛТ приходится прибегать к удалению почки, что в данном случае трактуется как вынужденная мера [74]. </w:t>
      </w:r>
    </w:p>
    <w:p w:rsidR="00750932" w:rsidRDefault="0081612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Летальность после ПНЛТ составляет от 0,1 до 0,3%, в основном по причине сердечно-сосудистых осложнений, в час</w:t>
      </w:r>
      <w:r>
        <w:rPr>
          <w:sz w:val="28"/>
          <w:szCs w:val="28"/>
        </w:rPr>
        <w:t xml:space="preserve">тности развития инфаркта миокарда [75]. </w:t>
      </w:r>
    </w:p>
    <w:p w:rsidR="00750932" w:rsidRDefault="0081612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Таким образом, ПНЛТ является достаточно эффективным методом как самостоятельного лечения МКБ, так и в составе комбинированной (“сэндвич”) терапии. По сути, исходя из данных литературы, любая, примененная изолированн</w:t>
      </w:r>
      <w:r>
        <w:rPr>
          <w:sz w:val="28"/>
          <w:szCs w:val="28"/>
        </w:rPr>
        <w:t>о, современная малоинвазивная технология лечения может оказаться недостаточно эффективной для окончательного и</w:t>
      </w:r>
      <w:r>
        <w:rPr>
          <w:color w:val="auto"/>
          <w:sz w:val="28"/>
          <w:szCs w:val="28"/>
        </w:rPr>
        <w:t>збавления от крупных камней. В то же время, сочетанное применение различных малоинвазивных методик может привести к значительно более благоприятно</w:t>
      </w:r>
      <w:r>
        <w:rPr>
          <w:color w:val="auto"/>
          <w:sz w:val="28"/>
          <w:szCs w:val="28"/>
        </w:rPr>
        <w:t>му эффекту путем возможного потенцирования.</w:t>
      </w:r>
    </w:p>
    <w:p w:rsidR="00750932" w:rsidRDefault="007509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1.2.3 Ретроградная пиелолитотрипсия</w:t>
      </w:r>
    </w:p>
    <w:p w:rsidR="00750932" w:rsidRDefault="00816126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последние несколько десятилетий хирургическое лечение мочекаменной болезни претерпело огромные успехи в результате совершенствования технологии. </w:t>
      </w:r>
      <w:r>
        <w:rPr>
          <w:rFonts w:eastAsia="Calibri"/>
          <w:color w:val="000000"/>
          <w:sz w:val="28"/>
          <w:szCs w:val="28"/>
        </w:rPr>
        <w:t xml:space="preserve">В настоящее время </w:t>
      </w:r>
      <w:r>
        <w:rPr>
          <w:color w:val="000000"/>
          <w:sz w:val="28"/>
          <w:szCs w:val="28"/>
        </w:rPr>
        <w:t>интраренальная литотрипсия с ретроградной эндоскопией (RIRS -Retrograde Intra Renal Surgery - ретроградная внутрипочечная хирургия)– это последнее достижение лечения конкрементов в почках. Благодаря прогрессивному усовершенствованию эндоурологических инстр</w:t>
      </w:r>
      <w:r>
        <w:rPr>
          <w:color w:val="000000"/>
          <w:sz w:val="28"/>
          <w:szCs w:val="28"/>
        </w:rPr>
        <w:t>ументов и достижениям цифровых технологий, были разработаны гибкие эндоскопы, которые способны улучшить качество эндоскопических манипуляций.</w:t>
      </w:r>
    </w:p>
    <w:p w:rsidR="00750932" w:rsidRDefault="00816126">
      <w:pPr>
        <w:pStyle w:val="af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Методика выполнения ретроградных интраренальных вмешательств заключается в трансуретральном проведении гибкого моч</w:t>
      </w:r>
      <w:r>
        <w:rPr>
          <w:color w:val="000000"/>
          <w:sz w:val="28"/>
          <w:szCs w:val="28"/>
        </w:rPr>
        <w:t>еточникового кожуха (максимально возможного размера) по струне-проводнику в лоханку почки после предварительной уретеропиелоскопии. Основная часть конкремента удаляется через полужесткий уретеропиелоскоп с использованием Гольмиевого лазера. Недоступные для</w:t>
      </w:r>
      <w:r>
        <w:rPr>
          <w:color w:val="000000"/>
          <w:sz w:val="28"/>
          <w:szCs w:val="28"/>
        </w:rPr>
        <w:t xml:space="preserve"> этого инструмента фрагменты конкремента экстрагируются с использованием фиброуретеропиелоскопа и специальных корзинчатых ультратонких экстракторов, в то время как более мелкие будут выходить самостоятельно вместе с мочой.</w:t>
      </w:r>
    </w:p>
    <w:p w:rsidR="00750932" w:rsidRDefault="00816126">
      <w:pPr>
        <w:pStyle w:val="af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>Эта процедура имеет ряд преимущ</w:t>
      </w:r>
      <w:r>
        <w:rPr>
          <w:color w:val="000000"/>
          <w:sz w:val="28"/>
          <w:szCs w:val="28"/>
        </w:rPr>
        <w:t>еств: отсутствие геморрагических осложнений, связанных с чрескожной литотрипсией, отсутствие рубцов и послеоперационных болей, значительное сокращение продолжительности пребывания в стационаре, а также быстрое восстановление и возвращение к нормальной деят</w:t>
      </w:r>
      <w:r>
        <w:rPr>
          <w:color w:val="000000"/>
          <w:sz w:val="28"/>
          <w:szCs w:val="28"/>
        </w:rPr>
        <w:t xml:space="preserve">ельности. В отличие от этого, для выведения конкремента размером более 2 см, этот метод имеет более низкий процент успешного лечения, чем чрескожная литотрипсия. Для того, чтобы получить аналогичные результаты, как и в чрескожном лечении, вполне вероятно, </w:t>
      </w:r>
      <w:r>
        <w:rPr>
          <w:color w:val="000000"/>
          <w:sz w:val="28"/>
          <w:szCs w:val="28"/>
        </w:rPr>
        <w:t>что примерно в 30% случаев будет выполнена повторная процедура.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Влияние лазерных технологий на разработку волокон для литотриптера произвело революцию во внутрикорпоральной литотрипсии [76, 77].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РПТ сначала использовалась при неэффективности дистанционной </w:t>
      </w:r>
      <w:r>
        <w:rPr>
          <w:rFonts w:ascii="Times New Roman" w:hAnsi="Times New Roman"/>
          <w:sz w:val="28"/>
          <w:szCs w:val="28"/>
        </w:rPr>
        <w:t xml:space="preserve">ударно-волновой литотрипсии, для удаления конкрементов нижней чашечки и </w:t>
      </w:r>
      <w:r>
        <w:rPr>
          <w:rFonts w:ascii="Times New Roman" w:eastAsia="Calibri" w:hAnsi="Times New Roman"/>
          <w:sz w:val="28"/>
          <w:szCs w:val="28"/>
        </w:rPr>
        <w:t>конкрементов</w:t>
      </w:r>
      <w:r>
        <w:rPr>
          <w:rFonts w:ascii="Times New Roman" w:hAnsi="Times New Roman"/>
          <w:sz w:val="28"/>
          <w:szCs w:val="28"/>
        </w:rPr>
        <w:t>менее 1,5 см, то в настоящее время ограничений стало значитель</w:t>
      </w:r>
      <w:r>
        <w:rPr>
          <w:rFonts w:ascii="Times New Roman" w:hAnsi="Times New Roman"/>
          <w:sz w:val="28"/>
          <w:szCs w:val="28"/>
        </w:rPr>
        <w:softHyphen/>
        <w:t>но меньше. Она уже рекомендована к примене</w:t>
      </w:r>
      <w:r>
        <w:rPr>
          <w:rFonts w:ascii="Times New Roman" w:hAnsi="Times New Roman"/>
          <w:sz w:val="28"/>
          <w:szCs w:val="28"/>
        </w:rPr>
        <w:softHyphen/>
        <w:t xml:space="preserve">нию в качестве терапии первой линии при </w:t>
      </w:r>
      <w:r>
        <w:rPr>
          <w:rFonts w:ascii="Times New Roman" w:eastAsia="Calibri" w:hAnsi="Times New Roman"/>
          <w:sz w:val="28"/>
          <w:szCs w:val="28"/>
        </w:rPr>
        <w:t>конкрементах</w:t>
      </w:r>
      <w:r>
        <w:rPr>
          <w:rFonts w:ascii="Times New Roman" w:hAnsi="Times New Roman"/>
          <w:sz w:val="28"/>
          <w:szCs w:val="28"/>
        </w:rPr>
        <w:t>менее 2 см нар</w:t>
      </w:r>
      <w:r>
        <w:rPr>
          <w:rFonts w:ascii="Times New Roman" w:hAnsi="Times New Roman"/>
          <w:sz w:val="28"/>
          <w:szCs w:val="28"/>
        </w:rPr>
        <w:t xml:space="preserve">яду с дистанционной литотрипсией и может быть альтернативой чрескожной нефролитотрипсии при </w:t>
      </w:r>
      <w:r>
        <w:rPr>
          <w:rFonts w:ascii="Times New Roman" w:eastAsia="Calibri" w:hAnsi="Times New Roman"/>
          <w:sz w:val="28"/>
          <w:szCs w:val="28"/>
        </w:rPr>
        <w:t>конкрементах</w:t>
      </w:r>
      <w:r>
        <w:rPr>
          <w:rFonts w:ascii="Times New Roman" w:hAnsi="Times New Roman"/>
          <w:sz w:val="28"/>
          <w:szCs w:val="28"/>
        </w:rPr>
        <w:t>более 2 см [77, 78].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Эффективная фрагментация конкрементов различного состава и с минимальным повреждением окружающих тканей в первую очередь зависит от</w:t>
      </w:r>
      <w:r>
        <w:rPr>
          <w:rFonts w:ascii="Times New Roman" w:eastAsia="Calibri" w:hAnsi="Times New Roman"/>
          <w:sz w:val="28"/>
          <w:szCs w:val="28"/>
        </w:rPr>
        <w:t xml:space="preserve"> лазерных переменных (длины волны, длительности и энергии импульса) и физических свойств конкремента (оптических, механических и химических). </w:t>
      </w:r>
      <w:r>
        <w:rPr>
          <w:rFonts w:ascii="Times New Roman" w:hAnsi="Times New Roman"/>
          <w:color w:val="000000"/>
          <w:sz w:val="28"/>
          <w:szCs w:val="28"/>
        </w:rPr>
        <w:t>В гибкой эндоскопии верхних мочевых путей для разрушения конкрементов может применяться только два вида литотрипто</w:t>
      </w:r>
      <w:r>
        <w:rPr>
          <w:rFonts w:ascii="Times New Roman" w:hAnsi="Times New Roman"/>
          <w:color w:val="000000"/>
          <w:sz w:val="28"/>
          <w:szCs w:val="28"/>
        </w:rPr>
        <w:t>ров: лазерные и электрогидравлические. Последние считаются более травма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тичными, как для тканей, так и для эндоскопа </w:t>
      </w:r>
      <w:r>
        <w:rPr>
          <w:rFonts w:ascii="Times New Roman" w:eastAsia="Calibri" w:hAnsi="Times New Roman"/>
          <w:sz w:val="28"/>
          <w:szCs w:val="28"/>
        </w:rPr>
        <w:t>[78].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Гольмиевый лазер является на сегодняшний день золотым стандартом литотрипсии при ретроградной интраренальной хирургии. Его энергии вс</w:t>
      </w:r>
      <w:r>
        <w:rPr>
          <w:rFonts w:ascii="Times New Roman" w:hAnsi="Times New Roman"/>
          <w:color w:val="000000"/>
          <w:sz w:val="28"/>
          <w:szCs w:val="28"/>
        </w:rPr>
        <w:t xml:space="preserve">егда достаточно для разрушения мочевых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hAnsi="Times New Roman"/>
          <w:color w:val="000000"/>
          <w:sz w:val="28"/>
          <w:szCs w:val="28"/>
        </w:rPr>
        <w:t xml:space="preserve"> любого состава. По рекомендациям </w:t>
      </w:r>
      <w:r>
        <w:rPr>
          <w:rFonts w:ascii="Times New Roman" w:eastAsia="Calibri" w:hAnsi="Times New Roman"/>
          <w:sz w:val="28"/>
          <w:szCs w:val="28"/>
        </w:rPr>
        <w:t xml:space="preserve">Европейской ассоциации урологов, наиболее эффективной лазерной системой для обработки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eastAsia="Calibri" w:hAnsi="Times New Roman"/>
          <w:sz w:val="28"/>
          <w:szCs w:val="28"/>
        </w:rPr>
        <w:t xml:space="preserve"> во всех местах и всех минеральных составах является гольмиево-алюминиево</w:t>
      </w:r>
      <w:r>
        <w:rPr>
          <w:rFonts w:ascii="Times New Roman" w:eastAsia="Calibri" w:hAnsi="Times New Roman"/>
          <w:sz w:val="28"/>
          <w:szCs w:val="28"/>
        </w:rPr>
        <w:t>-гранатовый лазер [79].</w:t>
      </w:r>
    </w:p>
    <w:p w:rsidR="00750932" w:rsidRDefault="00816126">
      <w:pPr>
        <w:pStyle w:val="Pa3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Современные гольмиевые лазеры позволяют получать различные эффекты литотрипсии, варьируя установками энергии и частоты, а иногда и формами импульса. При малой энергии (0,3–0,5 Дж) и высокой частоте (15–20 Гц) получает эффект разруше</w:t>
      </w:r>
      <w:r>
        <w:rPr>
          <w:rFonts w:ascii="Times New Roman" w:hAnsi="Times New Roman"/>
          <w:color w:val="000000"/>
          <w:sz w:val="28"/>
          <w:szCs w:val="28"/>
        </w:rPr>
        <w:t>ния конкремента в «пыль». При высокой энергии (1–2 Дж) и низкой частоте (4–5 Гц) получает фрагментацию конкремента. Если лазерный аппарат позволяет регулировать дли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ну импульса лазерного излучения, то длинный импульс будет способствовать эффекту «пыль», а </w:t>
      </w:r>
      <w:r>
        <w:rPr>
          <w:rFonts w:ascii="Times New Roman" w:hAnsi="Times New Roman"/>
          <w:color w:val="000000"/>
          <w:sz w:val="28"/>
          <w:szCs w:val="28"/>
        </w:rPr>
        <w:t xml:space="preserve">короткий — фрагментации </w:t>
      </w:r>
      <w:r>
        <w:rPr>
          <w:rFonts w:ascii="Times New Roman" w:eastAsia="Calibri" w:hAnsi="Times New Roman"/>
          <w:sz w:val="28"/>
          <w:szCs w:val="28"/>
        </w:rPr>
        <w:t>[78, 79].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Kang</w:t>
      </w:r>
      <w:r>
        <w:rPr>
          <w:rFonts w:ascii="Times New Roman" w:eastAsia="Calibri" w:hAnsi="Times New Roman"/>
          <w:sz w:val="28"/>
          <w:szCs w:val="28"/>
        </w:rPr>
        <w:t xml:space="preserve"> и соавт. [80] исследовали влияние длительности оптического импульса лазерной литотрипсии на разрушения </w:t>
      </w:r>
      <w:r>
        <w:rPr>
          <w:rFonts w:ascii="Times New Roman" w:hAnsi="Times New Roman"/>
          <w:sz w:val="28"/>
          <w:szCs w:val="28"/>
        </w:rPr>
        <w:t>конкремента</w:t>
      </w:r>
      <w:r>
        <w:rPr>
          <w:rFonts w:ascii="Times New Roman" w:eastAsia="Calibri" w:hAnsi="Times New Roman"/>
          <w:sz w:val="28"/>
          <w:szCs w:val="28"/>
        </w:rPr>
        <w:t>. Динамика отдачи исчисления «фантом» контролировалась с помощью высокоскоростной камеры; лазерные лучи</w:t>
      </w:r>
      <w:r>
        <w:rPr>
          <w:rFonts w:ascii="Times New Roman" w:eastAsia="Calibri" w:hAnsi="Times New Roman"/>
          <w:sz w:val="28"/>
          <w:szCs w:val="28"/>
        </w:rPr>
        <w:t xml:space="preserve"> были оценены с помощью оптической когерентной томографии. Образование пузырьков и их разрушение регистрировались с помощью системы быстрой съемки, а акустические переходные процессы измерялись с помощью гидрофона. Авторы показали, что более короткая длите</w:t>
      </w:r>
      <w:r>
        <w:rPr>
          <w:rFonts w:ascii="Times New Roman" w:eastAsia="Calibri" w:hAnsi="Times New Roman"/>
          <w:sz w:val="28"/>
          <w:szCs w:val="28"/>
        </w:rPr>
        <w:t>льность импульса приводили к большему разрушению камня, чем более длительные импульсы при любой заданной энергии импульса. Независимо от длительности импульса, более высокая энергия импульса и более крупные волокна приводили к увеличению объема абляции и р</w:t>
      </w:r>
      <w:r>
        <w:rPr>
          <w:rFonts w:ascii="Times New Roman" w:eastAsia="Calibri" w:hAnsi="Times New Roman"/>
          <w:sz w:val="28"/>
          <w:szCs w:val="28"/>
        </w:rPr>
        <w:t xml:space="preserve">етропульсации (P &lt;0,05). Следовательно, при увеличении </w:t>
      </w:r>
      <w:r>
        <w:rPr>
          <w:rFonts w:ascii="Times New Roman" w:eastAsia="Calibri" w:hAnsi="Times New Roman"/>
          <w:sz w:val="28"/>
          <w:szCs w:val="28"/>
        </w:rPr>
        <w:lastRenderedPageBreak/>
        <w:t>длительности импульса лазера наблюдается меньшая ретропульсация и эквивалентная фрагментация.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трехлетнем ретроспективном исследовании при применении </w:t>
      </w:r>
      <w:r>
        <w:rPr>
          <w:rFonts w:ascii="Times New Roman" w:hAnsi="Times New Roman"/>
          <w:color w:val="000000"/>
          <w:sz w:val="28"/>
          <w:szCs w:val="28"/>
        </w:rPr>
        <w:t>гольмиевой</w:t>
      </w:r>
      <w:r>
        <w:rPr>
          <w:rFonts w:ascii="Times New Roman" w:eastAsia="Calibri" w:hAnsi="Times New Roman"/>
          <w:sz w:val="28"/>
          <w:szCs w:val="28"/>
        </w:rPr>
        <w:t>лазерной литотрипсии у 188 пациентов, по</w:t>
      </w:r>
      <w:r>
        <w:rPr>
          <w:rFonts w:ascii="Times New Roman" w:eastAsia="Calibri" w:hAnsi="Times New Roman"/>
          <w:sz w:val="28"/>
          <w:szCs w:val="28"/>
        </w:rPr>
        <w:t xml:space="preserve">казатель успеха составил 92,7% и 96,7% через 3 месяца [81]. Подобные показатели эффективности гольмиевой лазерной литотрипсии были зарегистрированы в других исследованиях [82].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проспективном исследовании сравнивался гольмиевый лазер и пневматическая </w:t>
      </w:r>
      <w:r>
        <w:rPr>
          <w:rFonts w:ascii="Times New Roman" w:eastAsia="Calibri" w:hAnsi="Times New Roman"/>
          <w:sz w:val="28"/>
          <w:szCs w:val="28"/>
        </w:rPr>
        <w:t>интракорпоральная литотрипсия во время уретероскопии [83]. Среднее время литотрипсии составляло 24 минуты в лазерной группе и 19,8 минут в пневматической группе (P = 0,027). Скорость немедленного очищения от конкрементов была выше в лазерной группе (P = 0,</w:t>
      </w:r>
      <w:r>
        <w:rPr>
          <w:rFonts w:ascii="Times New Roman" w:eastAsia="Calibri" w:hAnsi="Times New Roman"/>
          <w:sz w:val="28"/>
          <w:szCs w:val="28"/>
        </w:rPr>
        <w:t>001), в то время как миграция конкрементовпроисходила только в пневматической группе, у 16% пациентов.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Для лечения пораженных конкрементов мочеточника в недавнем исследовании сравнивался гольмиевый лазер с пневматическим литотриптером. Общие показатели без</w:t>
      </w:r>
      <w:r>
        <w:rPr>
          <w:rFonts w:ascii="Times New Roman" w:eastAsia="Calibri" w:hAnsi="Times New Roman"/>
          <w:sz w:val="28"/>
          <w:szCs w:val="28"/>
        </w:rPr>
        <w:t xml:space="preserve"> конкрементов после однойуретероскопии составили 97,5% и 80% в гольмиевой лазерной и пневматической группах, соответственно (P=0,03). Вспомогательное лечение было необходимо у 2,5% пациентов в лазерной группе и у 17,5% в пневматической группе (P = 0,05) [8</w:t>
      </w:r>
      <w:r>
        <w:rPr>
          <w:rFonts w:ascii="Times New Roman" w:eastAsia="Calibri" w:hAnsi="Times New Roman"/>
          <w:sz w:val="28"/>
          <w:szCs w:val="28"/>
        </w:rPr>
        <w:t>4].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Другое недавнее рандомизированное контролируемое исследование сравнило три различных литотриптера во время полугибкой уретероскопии для конкрементов дистального отдела мочеточника [85]. В частности, 69 пациентов, перенесших уретероскопию, были рандомиз</w:t>
      </w:r>
      <w:r>
        <w:rPr>
          <w:rFonts w:ascii="Times New Roman" w:eastAsia="Calibri" w:hAnsi="Times New Roman"/>
          <w:sz w:val="28"/>
          <w:szCs w:val="28"/>
        </w:rPr>
        <w:t>ированы на три группы, то есть классическую систему LithoClast (EMS SA, Ньон, Швейцария), гольмиевый лазер и пневматический литотриптер LMA StoneBreaker (Cook Medical, Bloomington, IN, USA). Показатели без конкрементов составили 96%, 97% и 96,5% соответств</w:t>
      </w:r>
      <w:r>
        <w:rPr>
          <w:rFonts w:ascii="Times New Roman" w:eastAsia="Calibri" w:hAnsi="Times New Roman"/>
          <w:sz w:val="28"/>
          <w:szCs w:val="28"/>
        </w:rPr>
        <w:t>енно. Размер конкремента и расположение второго рабочего провода были связаны с более коротким временем фрагментации (P &lt;0,01).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Интракорпоральная литотрипсия почек in situ возможна благодаря использованию лазерных волокон с гибкими эндоскопами. В различных</w:t>
      </w:r>
      <w:r>
        <w:rPr>
          <w:rFonts w:ascii="Times New Roman" w:eastAsia="Calibri" w:hAnsi="Times New Roman"/>
          <w:sz w:val="28"/>
          <w:szCs w:val="28"/>
        </w:rPr>
        <w:t xml:space="preserve"> исследованиях сообщалось о том, что эффективность лечениясоставляет 53–87% [86, 87, 88]. Следовательно, гибкийуретероскоп является разумным подходом для низкополярного литиаза, особенно у людей с ожирением, нарушением свёртываемости крови, сопутствующими </w:t>
      </w:r>
      <w:r>
        <w:rPr>
          <w:rFonts w:ascii="Times New Roman" w:eastAsia="Calibri" w:hAnsi="Times New Roman"/>
          <w:sz w:val="28"/>
          <w:szCs w:val="28"/>
        </w:rPr>
        <w:t xml:space="preserve">конкрементами мочеточника и/или двусторонним процессом [89].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Двойной двухимпульсный (FREDDY) лазер с удвоением частоты функционирует благодаря генерации плазменного пузыря [90]. При разрушении пузырьков возникает механическая ударная волна, вызывающая раз</w:t>
      </w:r>
      <w:r>
        <w:rPr>
          <w:rFonts w:ascii="Times New Roman" w:eastAsia="Calibri" w:hAnsi="Times New Roman"/>
          <w:sz w:val="28"/>
          <w:szCs w:val="28"/>
        </w:rPr>
        <w:t xml:space="preserve">рушение конкремента. Действие этого механизма отличается от гольмевого лазера, который вызывает разрушение конкрементапри испарении. Лазер FREDDY представляет собой доступный и безопасный вариант для </w:t>
      </w:r>
      <w:r>
        <w:rPr>
          <w:rFonts w:ascii="Times New Roman" w:eastAsia="Calibri" w:hAnsi="Times New Roman"/>
          <w:sz w:val="28"/>
          <w:szCs w:val="28"/>
        </w:rPr>
        <w:lastRenderedPageBreak/>
        <w:t>интракорпоральной литотрипсии, но он не фрагментирует вс</w:t>
      </w:r>
      <w:r>
        <w:rPr>
          <w:rFonts w:ascii="Times New Roman" w:eastAsia="Calibri" w:hAnsi="Times New Roman"/>
          <w:sz w:val="28"/>
          <w:szCs w:val="28"/>
        </w:rPr>
        <w:t>е конкременты всех композиций и не имеет применения в мягких тканях. Исследования показали, что in vitro фрагментация конкремента была значительно выше у лазера FREDDY, чем у гольмиевого лазера, что позволяет предположить, что FREDDY может предложить недор</w:t>
      </w:r>
      <w:r>
        <w:rPr>
          <w:rFonts w:ascii="Times New Roman" w:eastAsia="Calibri" w:hAnsi="Times New Roman"/>
          <w:sz w:val="28"/>
          <w:szCs w:val="28"/>
        </w:rPr>
        <w:t xml:space="preserve">огую альтернативу [91].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сравнительном исследовании повреждение эндоурологических инструментов, вызванных гольмиевым  лазером, было значительно выше, чем при использовании FREDDY или импульсного лазера на красителе с импульсной лампой [92].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Новые лазеры,</w:t>
      </w:r>
      <w:r>
        <w:rPr>
          <w:rFonts w:ascii="Times New Roman" w:eastAsia="Calibri" w:hAnsi="Times New Roman"/>
          <w:sz w:val="28"/>
          <w:szCs w:val="28"/>
        </w:rPr>
        <w:t xml:space="preserve"> такие как эрбий, более эффективный и более безвредный, чем гольмиевый, в настоящее время находятся в стадии разработки [93]. Первоначальные эксперименты с эрбиевым лазером показали, что он обладает более высокой эффективностью литотрипсии и более точными </w:t>
      </w:r>
      <w:r>
        <w:rPr>
          <w:rFonts w:ascii="Times New Roman" w:eastAsia="Calibri" w:hAnsi="Times New Roman"/>
          <w:sz w:val="28"/>
          <w:szCs w:val="28"/>
        </w:rPr>
        <w:t>абляционными и режущими свойствами, чем гольмиевый лазер, но отсутствие адекватных оптических волокон в настоящее время ограничивает его использование [93, 94]. В частности, высокотемпературный коэффициент водопоглощения на длине волны эрбиевого лазера 2,9</w:t>
      </w:r>
      <w:r>
        <w:rPr>
          <w:rFonts w:ascii="Times New Roman" w:eastAsia="Calibri" w:hAnsi="Times New Roman"/>
          <w:sz w:val="28"/>
          <w:szCs w:val="28"/>
        </w:rPr>
        <w:t>4 мкм в 30 раз больше, чем длина волны гольмиевого лазера, на 2,12 мкм, что привело к увеличению в два-три раза по эффективности для дробления конкрементов [94]. Тем не менее, длина волны эрбия не может быть передана через стандартные доступные кварцевые в</w:t>
      </w:r>
      <w:r>
        <w:rPr>
          <w:rFonts w:ascii="Times New Roman" w:eastAsia="Calibri" w:hAnsi="Times New Roman"/>
          <w:sz w:val="28"/>
          <w:szCs w:val="28"/>
        </w:rPr>
        <w:t>олокна; нужны специальные средне-инфракрасные волокна, и эти волокна, как правило, менее гибкие, более дорогие и менее биосовместимые, чем кварцевые волокна.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Недавние достижения в области лазерных технологий привели к коммерческой доступности тулиевого лаз</w:t>
      </w:r>
      <w:r>
        <w:rPr>
          <w:rFonts w:ascii="Times New Roman" w:eastAsia="Calibri" w:hAnsi="Times New Roman"/>
          <w:sz w:val="28"/>
          <w:szCs w:val="28"/>
        </w:rPr>
        <w:t>ера, который имеет несколько потенциальных преимуществ по сравнению с другими твердотельными лазерами [93]. Длина волны лазера с тулиевым волокном является настраиваемой, и при работе в импульсном режиме она способна к фрагментации мочевых камней. Кроме то</w:t>
      </w:r>
      <w:r>
        <w:rPr>
          <w:rFonts w:ascii="Times New Roman" w:eastAsia="Calibri" w:hAnsi="Times New Roman"/>
          <w:sz w:val="28"/>
          <w:szCs w:val="28"/>
        </w:rPr>
        <w:t>го, диаметр лазерного пучка тулиевого волокна составляет всего 18 мкм, что позволяет легко связывать лазерное излучение с оптическими волокнами с малой сердцевиной [94]. Такие уменьшительные волокна имеют большой потенциал при использовании с гибкими урете</w:t>
      </w:r>
      <w:r>
        <w:rPr>
          <w:rFonts w:ascii="Times New Roman" w:eastAsia="Calibri" w:hAnsi="Times New Roman"/>
          <w:sz w:val="28"/>
          <w:szCs w:val="28"/>
        </w:rPr>
        <w:t>роскопами, особенно в сложных случаях, таких как доступ к нижнему полюсу почки.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Классически, во время гольмиевой лазерной литотрипсии необходимо достичь контакта с поверхностью конкремента [78]. Тем не менее Chawla et al. [95] показали валидность бесконтак</w:t>
      </w:r>
      <w:r>
        <w:rPr>
          <w:rFonts w:ascii="Times New Roman" w:eastAsia="Calibri" w:hAnsi="Times New Roman"/>
          <w:sz w:val="28"/>
          <w:szCs w:val="28"/>
        </w:rPr>
        <w:t>тной фрагментации гольмиевого лазера в модели in vitro. Достаточная энергия и высокая частота оптимизировали эффективность метода «попкорн». Установки 1,0 Дж и 20 Гц были наиболее эффективными, с изменением веса - 18% на кДж. [96]. Длительность лазерного и</w:t>
      </w:r>
      <w:r>
        <w:rPr>
          <w:rFonts w:ascii="Times New Roman" w:eastAsia="Calibri" w:hAnsi="Times New Roman"/>
          <w:sz w:val="28"/>
          <w:szCs w:val="28"/>
        </w:rPr>
        <w:t>мпульса может влиять на генерацию ударной волны и миграцию конкремента. Большая длительность импульса приводит к меньшему движению конкремента после одного удара и большей отдаче энергии во время повторяющихся ударов. Клинически это может снизить потребнос</w:t>
      </w:r>
      <w:r>
        <w:rPr>
          <w:rFonts w:ascii="Times New Roman" w:eastAsia="Calibri" w:hAnsi="Times New Roman"/>
          <w:sz w:val="28"/>
          <w:szCs w:val="28"/>
        </w:rPr>
        <w:t xml:space="preserve">ть в </w:t>
      </w:r>
      <w:r>
        <w:rPr>
          <w:rFonts w:ascii="Times New Roman" w:eastAsia="Calibri" w:hAnsi="Times New Roman"/>
          <w:sz w:val="28"/>
          <w:szCs w:val="28"/>
        </w:rPr>
        <w:lastRenderedPageBreak/>
        <w:t xml:space="preserve">частой и сложной перестройке волокон и привести к более эффективной фрагментации конкремента.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Другое проспективное многоцентровое исследование оценило серию оптических волокон гольмиевого лазера многократного использования [97]. Это исследование пока</w:t>
      </w:r>
      <w:r>
        <w:rPr>
          <w:rFonts w:ascii="Times New Roman" w:eastAsia="Calibri" w:hAnsi="Times New Roman"/>
          <w:sz w:val="28"/>
          <w:szCs w:val="28"/>
        </w:rPr>
        <w:t>зало, что многоразовые оптические лазерные волокна были более экономически выгодным вариантом, чем одноразовые варианты. Кроме того, было обнаружено, что волокна с сердцевиной 365 мкм обеспечили большее использование, чем меньшие варианты 270 мкм.Что касае</w:t>
      </w:r>
      <w:r>
        <w:rPr>
          <w:rFonts w:ascii="Times New Roman" w:eastAsia="Calibri" w:hAnsi="Times New Roman"/>
          <w:sz w:val="28"/>
          <w:szCs w:val="28"/>
        </w:rPr>
        <w:t>тся рутинного использования стента, то в проспективном рандомизированном исследовании сравнивались предоперационные стентированные и рутинно стентированные после лазерной литотрипсии [98]. Всего 110 пациентам была проведена неосложненная лазерная литотрипс</w:t>
      </w:r>
      <w:r>
        <w:rPr>
          <w:rFonts w:ascii="Times New Roman" w:eastAsia="Calibri" w:hAnsi="Times New Roman"/>
          <w:sz w:val="28"/>
          <w:szCs w:val="28"/>
        </w:rPr>
        <w:t>ия. После процедуры пациенты были рандомизированы в группу без стентирования или стентирования (по 55 пациентов в каждой). Стент обычно устанавливался на 3 недели. Авторы показали, что неосложненная лазерная литотрипсия может быть безопасной без размещения</w:t>
      </w:r>
      <w:r>
        <w:rPr>
          <w:rFonts w:ascii="Times New Roman" w:eastAsia="Calibri" w:hAnsi="Times New Roman"/>
          <w:sz w:val="28"/>
          <w:szCs w:val="28"/>
        </w:rPr>
        <w:t xml:space="preserve"> мочеточникового стента. Пациенты без стентов имели более быструю процедуру, меньше боли и гематурии.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Для хирурга от лазера требуется защита глаз, хотя на уровнях энергии, используемых для фрагментации конкрементов, роговица оператора будет повреждена, тол</w:t>
      </w:r>
      <w:r>
        <w:rPr>
          <w:rFonts w:ascii="Times New Roman" w:eastAsia="Calibri" w:hAnsi="Times New Roman"/>
          <w:sz w:val="28"/>
          <w:szCs w:val="28"/>
        </w:rPr>
        <w:t>ько если она будет расположена на расстоянии &lt;10 см от лазерного волокна [93]. Кроме того, лазерные волокна часто повреждают гибкие компоненты эндоскопа, например, рабочий канал, гибкая компонентная кабельная система, провода и волоконно-оптические системы</w:t>
      </w:r>
      <w:r>
        <w:rPr>
          <w:rFonts w:ascii="Times New Roman" w:eastAsia="Calibri" w:hAnsi="Times New Roman"/>
          <w:sz w:val="28"/>
          <w:szCs w:val="28"/>
        </w:rPr>
        <w:t>, во время рутинной гибкой эндоскопии [99]. Разрыв лазерного волокна внутри эндоскопа может разрушить волоконно-оптические пучки эндоскопа, которые передают изображения и свет.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Клиническое использование защитной оболочки FlexGuard (LISA Laser Products, Гер</w:t>
      </w:r>
      <w:r>
        <w:rPr>
          <w:rFonts w:ascii="Times New Roman" w:eastAsia="Calibri" w:hAnsi="Times New Roman"/>
          <w:sz w:val="28"/>
          <w:szCs w:val="28"/>
        </w:rPr>
        <w:t xml:space="preserve">мания) было изучено [100]. Это значительно уменьшило величину силы, необходимой для ввода лазерного волокна через рабочий канал. Это снижение силы защищало от механического повреждения, вызванного введением лазерного волокна. Однако развертывание оболочки </w:t>
      </w:r>
      <w:r>
        <w:rPr>
          <w:rFonts w:ascii="Times New Roman" w:eastAsia="Calibri" w:hAnsi="Times New Roman"/>
          <w:sz w:val="28"/>
          <w:szCs w:val="28"/>
        </w:rPr>
        <w:t>значительно уменьшило скорость потока ирригации и максимальное отклонение гибкого эндоскопа.</w:t>
      </w:r>
    </w:p>
    <w:p w:rsidR="00750932" w:rsidRDefault="00816126">
      <w:pPr>
        <w:pStyle w:val="Pa5"/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Несмотря на свою малую инвазивность, высокую эффективность методика трансуретральной интраренальной лазерной литотрипсии имеет ряд серьезных осложнений. Основными </w:t>
      </w:r>
      <w:r>
        <w:rPr>
          <w:rFonts w:ascii="Times New Roman" w:hAnsi="Times New Roman"/>
          <w:color w:val="000000"/>
          <w:sz w:val="28"/>
          <w:szCs w:val="28"/>
        </w:rPr>
        <w:t xml:space="preserve">осложнениями остаются инфекции мочевых путей и сепсис, кровотечение, формирование внутрипочечной гематомы, повреждение слизистой мочеточника, его перфорация и отрыв </w:t>
      </w:r>
      <w:r>
        <w:rPr>
          <w:rFonts w:ascii="Times New Roman" w:eastAsia="Calibri" w:hAnsi="Times New Roman"/>
          <w:sz w:val="28"/>
          <w:szCs w:val="28"/>
        </w:rPr>
        <w:t>[94]</w:t>
      </w:r>
      <w:r>
        <w:rPr>
          <w:rFonts w:ascii="Times New Roman" w:hAnsi="Times New Roman"/>
          <w:color w:val="000000"/>
          <w:sz w:val="28"/>
          <w:szCs w:val="28"/>
        </w:rPr>
        <w:t>. В наиболее масштабном проспектив</w:t>
      </w:r>
      <w:r>
        <w:rPr>
          <w:rFonts w:ascii="Times New Roman" w:hAnsi="Times New Roman"/>
          <w:color w:val="000000"/>
          <w:sz w:val="28"/>
          <w:szCs w:val="28"/>
        </w:rPr>
        <w:softHyphen/>
        <w:t>ном исследовании CROES, посвященном уретерореноскопи</w:t>
      </w:r>
      <w:r>
        <w:rPr>
          <w:rFonts w:ascii="Times New Roman" w:hAnsi="Times New Roman"/>
          <w:color w:val="000000"/>
          <w:sz w:val="28"/>
          <w:szCs w:val="28"/>
        </w:rPr>
        <w:t>и, среди 11 885 пациентов только 15% выполнялась гибкая ретроградная интраренальная хирургия [101]. Общая частота послеоперационных осложнений составила 3,5%, в основном 1-й и 2-й степени по классификации Clavien-Dindo. Только 0,2% пациентов нуждались в пе</w:t>
      </w:r>
      <w:r>
        <w:rPr>
          <w:rFonts w:ascii="Times New Roman" w:hAnsi="Times New Roman"/>
          <w:color w:val="000000"/>
          <w:sz w:val="28"/>
          <w:szCs w:val="28"/>
        </w:rPr>
        <w:t xml:space="preserve">реливании крови. Было доложено о 5 смертельных исходах по причине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сепсиса, тромбоэмболии легочной артерии, полиорганной недостаточ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ности и сердечных приступов. </w:t>
      </w:r>
    </w:p>
    <w:p w:rsidR="00750932" w:rsidRDefault="00816126">
      <w:pPr>
        <w:pStyle w:val="Pa5"/>
        <w:spacing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Область лазерной литотрипсии развивается в двух разных направлениях, а именно: совершенствовани</w:t>
      </w:r>
      <w:r>
        <w:rPr>
          <w:rFonts w:ascii="Times New Roman" w:eastAsia="Calibri" w:hAnsi="Times New Roman"/>
          <w:sz w:val="28"/>
          <w:szCs w:val="28"/>
        </w:rPr>
        <w:t xml:space="preserve">е существующей гольмиевой лазерной платформы и разработка новых лазерных платформ. Наиболее значительным улучшением лазерной литотрипсии, вероятно, станут волокна с улучшенной доставкой. Действительно, исследование новых волокон, более гибких, экономичных </w:t>
      </w:r>
      <w:r>
        <w:rPr>
          <w:rFonts w:ascii="Times New Roman" w:eastAsia="Calibri" w:hAnsi="Times New Roman"/>
          <w:sz w:val="28"/>
          <w:szCs w:val="28"/>
        </w:rPr>
        <w:t>и долгосрочных, является будущей задачей.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Разработка и внедрение в клиническую практику новых лазерных технологий создает условия для проведения постоянного поиска наиболее эффективных и наименее травматичных методик удаления конкрементов из почек и мочевы</w:t>
      </w:r>
      <w:r>
        <w:rPr>
          <w:rFonts w:ascii="Times New Roman" w:eastAsia="Calibri" w:hAnsi="Times New Roman"/>
          <w:sz w:val="28"/>
          <w:szCs w:val="28"/>
        </w:rPr>
        <w:t>х путей.</w:t>
      </w:r>
    </w:p>
    <w:p w:rsidR="00750932" w:rsidRDefault="00750932">
      <w:pPr>
        <w:pStyle w:val="ab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pStyle w:val="ab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 Результаты сравнения эффективности малоинвазивных методов лечения мочекаменной болезни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>С момента своего появления в начале 1980-х годов экстракорпоральная ударно-волновая литотрипсия (ЭУВЛ) стала методом выбора для лечения большинства конкрем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ентов верхних мочевых путей и заменила открытые и чрескожные процедуры [102-107]. На сегодняшний день ЭУВЛ является методом первого выбора для мелких и средних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ЭУВЛ является «золотым» стандартом лечения конкрементов менее 2 см и по данным нек</w:t>
      </w:r>
      <w:r>
        <w:rPr>
          <w:rFonts w:ascii="Times New Roman" w:hAnsi="Times New Roman"/>
          <w:color w:val="000000"/>
          <w:sz w:val="28"/>
          <w:szCs w:val="28"/>
        </w:rPr>
        <w:t>оторых авторов, процент эффективности ее достигает 90%. Однако эффективность ЭУВЛ зависит от многих факторов: размера, плотности и локализации конкремента. Ввиду того, что в 54% случаев после ЭУВЛ диагностируются резидуальные конкременты, этот метод неприм</w:t>
      </w:r>
      <w:r>
        <w:rPr>
          <w:rFonts w:ascii="Times New Roman" w:hAnsi="Times New Roman"/>
          <w:color w:val="000000"/>
          <w:sz w:val="28"/>
          <w:szCs w:val="28"/>
        </w:rPr>
        <w:t>еним при размерах конкремента более 2 см.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[107-112].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Lingeman с соавторами [113] опубликовали метаанализ в 1994 году, результаты лечения ЭУВЛ и ПНЛТ в сравнении при </w:t>
      </w:r>
      <w:r>
        <w:rPr>
          <w:rFonts w:ascii="Times New Roman" w:hAnsi="Times New Roman"/>
          <w:color w:val="000000"/>
          <w:sz w:val="28"/>
          <w:szCs w:val="28"/>
        </w:rPr>
        <w:t>конкрементах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нижних полюсов. Эффективность ПНЛТ составило более 90%, по сравнению с ЭУВЛ 59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% соответственно. Другая исследовательская группа сообщила о рандомизированном контролируемом исследовании, в сравнении после применения ЭУВЛ и ПНЛТ [4, 114]. Также через 3 месяца, результаты ПНЛТ показали 97% эффективности лечения, а после ЭУВЛ всего 37%.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Таким образом, по результатам многих исследователей ЭУВЛ остается приемлемым подходом для </w:t>
      </w:r>
      <w:r>
        <w:rPr>
          <w:rFonts w:ascii="Times New Roman" w:hAnsi="Times New Roman"/>
          <w:color w:val="000000"/>
          <w:sz w:val="28"/>
          <w:szCs w:val="28"/>
        </w:rPr>
        <w:t xml:space="preserve">конкрементов 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&lt;10 мм, но для более крупных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эндоурологические методы, обеспечивают более высокую эффективность.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>Доступ к нижнему полюсу можно получить пр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актически во всех случаях с помощью гибких эндоскопов последнего поколения. Технические разработки увеличили количество процедур уретероскопии для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в верхних мочевых путях. По сегодняшний день, согласно Европейской ассоциации урологов (ЕАУ), Ре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троградная пиелолитотрипсия (РПТ) рекомендовалась в качестве лечения второй линии для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&lt;10 мм или в качестве третьего выбора для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размером 10–20  мм. РПТ не 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lastRenderedPageBreak/>
        <w:t>рекомендуется для конкрементов&gt;20 мм [51]. Эти рекомендации изменились посл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е обновления ЕАУ 2020 года. В систематическом обзоре, котором оценивали лечение конкрементов почки размером &gt;20 мм, кумулятивная частота удаления камня составила 91%. [115].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РПТ по-прежнему оставили вторым выбором для мелких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и в качестве альте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рнативы ПНЛТ для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среднего размера (10–20 мм), ЭУВЛ был понижен до второго выбора для таких </w:t>
      </w:r>
      <w:r>
        <w:rPr>
          <w:rFonts w:ascii="Times New Roman" w:hAnsi="Times New Roman"/>
          <w:color w:val="000000"/>
          <w:sz w:val="28"/>
          <w:szCs w:val="28"/>
        </w:rPr>
        <w:t>конкрементов.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Исследовательская группа провела второе рандомизированное контролируемое исследование, опубликованное в 2005 году, сравнивая лечения РПТ с ЭУВЛ для небольших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нижнего полюса [6, 116]. Через 3 месяца наблюдения РПТ не дал статистически значимо лучшего результата, чем ЭУВЛ (РПТ-50%, ЭУВЛ-35%). 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В последние годы несколько авторов сообщили о возможности ретроградного удаления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даже для более крупных </w:t>
      </w:r>
      <w:r>
        <w:rPr>
          <w:rFonts w:ascii="Times New Roman" w:hAnsi="Times New Roman"/>
          <w:color w:val="000000"/>
          <w:sz w:val="28"/>
          <w:szCs w:val="28"/>
        </w:rPr>
        <w:t>кон</w:t>
      </w:r>
      <w:r>
        <w:rPr>
          <w:rFonts w:ascii="Times New Roman" w:hAnsi="Times New Roman"/>
          <w:color w:val="000000"/>
          <w:sz w:val="28"/>
          <w:szCs w:val="28"/>
        </w:rPr>
        <w:t>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, которые обычно удаляются с помощью ПНЛТ [111-114]. В исследовании РПТ достиг высокого значения в лечении, а эффективность через 4 недели, были как при ПНЛТ [117</w:t>
      </w:r>
      <w:r>
        <w:rPr>
          <w:rStyle w:val="tlid-translation"/>
          <w:rFonts w:ascii="Times New Roman" w:hAnsi="Times New Roman"/>
          <w:color w:val="000000"/>
          <w:sz w:val="28"/>
          <w:szCs w:val="28"/>
          <w:lang w:val="kk-KZ"/>
        </w:rPr>
        <w:t>, 118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]. Но некоторым пациентам потребовалось две процедуры, со значительно более длит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ельным временем операции и, следовательно, более длительным периодом лечения. Несмотря на то, что предварительное стентирование обычно не является обязательным требованием для РПТ, оно имеет преимущества для пациентов с крупными </w:t>
      </w:r>
      <w:r>
        <w:rPr>
          <w:rFonts w:ascii="Times New Roman" w:hAnsi="Times New Roman"/>
          <w:color w:val="000000"/>
          <w:sz w:val="28"/>
          <w:szCs w:val="28"/>
        </w:rPr>
        <w:t>конкрементами.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>Согласно обн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овленным Рекомендациям ЕАУ (таблица 1) [11,119], результат лечения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размером 1–2  см зависит от прогностических факторов. Если эффективность ЭУВЛ низкая, то рекомендованным подходом является РПТ или ПНЛТ, еще зависит от стоимости. В то время ка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к в более ранних отчетах не было показано превосходство РПТ над ЭУВЛ, авторы теперь считают, что текущий опыт дает другое впечатление [120, 121].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Таблица 1 - Показания, процент успешности операции, риски и противопоказания для проведения эндоскопических </w:t>
      </w:r>
      <w:r>
        <w:rPr>
          <w:rFonts w:ascii="Times New Roman" w:hAnsi="Times New Roman"/>
          <w:color w:val="000000"/>
          <w:sz w:val="28"/>
          <w:szCs w:val="28"/>
        </w:rPr>
        <w:t>вмешательств, при конкрементах почек.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814"/>
        <w:gridCol w:w="1168"/>
        <w:gridCol w:w="1756"/>
        <w:gridCol w:w="4099"/>
      </w:tblGrid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Расположение камня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Размер камня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успешных операций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Риски</w:t>
            </w:r>
          </w:p>
        </w:tc>
        <w:tc>
          <w:tcPr>
            <w:tcW w:w="4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Абсолютные или относительные противопоказания</w:t>
            </w: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50932">
        <w:trPr>
          <w:tblCellSpacing w:w="0" w:type="dxa"/>
        </w:trPr>
        <w:tc>
          <w:tcPr>
            <w:tcW w:w="938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Экстрокорпоральная ударно-волновая литотрипсия</w:t>
            </w: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Верхняя или средняя доли, лоханка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&lt;2 см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50-70%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более чем 15% случаев требуется повторное лечение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2-5% успешных исходов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&lt;2% неудачных исходов</w:t>
            </w:r>
          </w:p>
        </w:tc>
        <w:tc>
          <w:tcPr>
            <w:tcW w:w="40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Коагулопатии, беременность, сложносоставные или радиопрозрачные конкременты, цистеиновые и слишком прочные конкременты, обструкции</w:t>
            </w: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Нижняя доля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&lt;1 см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2% исход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 с инфекцией мочевых путей, гематомами и сепсисом</w:t>
            </w:r>
          </w:p>
        </w:tc>
        <w:tc>
          <w:tcPr>
            <w:tcW w:w="40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0932" w:rsidRDefault="007509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0932">
        <w:trPr>
          <w:tblCellSpacing w:w="0" w:type="dxa"/>
        </w:trPr>
        <w:tc>
          <w:tcPr>
            <w:tcW w:w="938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Ретроградная пиелолитотрипсия</w:t>
            </w: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Верхняя или средняя доли, лоханка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&lt;2 см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60-80%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&gt;25% исходов со стойкой болью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5% исходов с инфекцией мочевых путей, повреждением уретры или с необходимостью повторной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операции</w:t>
            </w:r>
          </w:p>
        </w:tc>
        <w:tc>
          <w:tcPr>
            <w:tcW w:w="40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Пластика мочевого пузыря, реконструированный из подвздошной кишки мочевой пузырь, 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трансплантированная почка, увеличенные доли простаты, стриктура, реимплантация или патологии мочеточника </w:t>
            </w: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7509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7509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9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750932" w:rsidRDefault="007509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Нижняя доля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&lt;1,5 см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50-60%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&lt;1% исходов с сепсисом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или разрывами</w:t>
            </w:r>
          </w:p>
        </w:tc>
        <w:tc>
          <w:tcPr>
            <w:tcW w:w="40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0932" w:rsidRDefault="007509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0932">
        <w:trPr>
          <w:tblCellSpacing w:w="0" w:type="dxa"/>
        </w:trPr>
        <w:tc>
          <w:tcPr>
            <w:tcW w:w="938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Перкутанная нефролитотрипсия</w:t>
            </w: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Верхняя или средняя доли, лоханка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&gt;2 см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80-95%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2-5% исходов с сепсисом или необходимостью переливания крови</w:t>
            </w:r>
          </w:p>
        </w:tc>
        <w:tc>
          <w:tcPr>
            <w:tcW w:w="40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Коагулопатии, беременность, высокий риск легочной недостаточности, предлежание кишки и невозможность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дойти до почки</w:t>
            </w:r>
          </w:p>
        </w:tc>
      </w:tr>
      <w:tr w:rsidR="00750932">
        <w:trPr>
          <w:tblCellSpacing w:w="0" w:type="dxa"/>
        </w:trPr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Нижняя доля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&gt;1,5 см</w:t>
            </w:r>
          </w:p>
        </w:tc>
        <w:tc>
          <w:tcPr>
            <w:tcW w:w="11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70-80%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0,3% исходов с эмболизацией артерий</w:t>
            </w:r>
          </w:p>
        </w:tc>
        <w:tc>
          <w:tcPr>
            <w:tcW w:w="40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0932" w:rsidRDefault="0075093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  <w:lang w:val="en-US"/>
        </w:rPr>
      </w:pP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  <w:lang w:val="en-US"/>
        </w:rPr>
        <w:t>Khan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tlid-translation"/>
          <w:rFonts w:ascii="Times New Roman" w:hAnsi="Times New Roman"/>
          <w:color w:val="000000"/>
          <w:sz w:val="28"/>
          <w:szCs w:val="28"/>
          <w:lang w:val="en-US"/>
        </w:rPr>
        <w:t>S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.</w:t>
      </w:r>
      <w:r>
        <w:rPr>
          <w:rStyle w:val="tlid-translation"/>
          <w:rFonts w:ascii="Times New Roman" w:hAnsi="Times New Roman"/>
          <w:color w:val="000000"/>
          <w:sz w:val="28"/>
          <w:szCs w:val="28"/>
          <w:lang w:val="en-US"/>
        </w:rPr>
        <w:t>R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. с соавторами предлагает алгоритм наиболее распространенных подходов к хирургическому лечению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в почках (рисунок 3) [122].</w:t>
      </w:r>
    </w:p>
    <w:p w:rsidR="00750932" w:rsidRDefault="00750932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B050"/>
          <w:sz w:val="28"/>
          <w:szCs w:val="28"/>
        </w:rPr>
      </w:pPr>
    </w:p>
    <w:p w:rsidR="00750932" w:rsidRDefault="00816126">
      <w:pPr>
        <w:spacing w:after="0" w:line="240" w:lineRule="auto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noProof/>
          <w:color w:val="00B050"/>
        </w:rPr>
        <w:lastRenderedPageBreak/>
        <w:drawing>
          <wp:inline distT="0" distB="0" distL="0" distR="0">
            <wp:extent cx="5981700" cy="4352925"/>
            <wp:effectExtent l="0" t="0" r="0" b="0"/>
            <wp:docPr id="3" name="Рисунок 1" descr="Алгоритм для наиболее общих подходов к хирургическому лечению МКБ (S.R. Khan et al., 2016. Article on-l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Алгоритм для наиболее общих подходов к хирургическому лечению МКБ (S.R. Khan et al., 2016. Article on-line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Рисунок 3 - Алгоритм наиболее распространенных подходов к хирургическому лечению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в почках [122]</w:t>
      </w:r>
    </w:p>
    <w:p w:rsidR="00750932" w:rsidRDefault="00750932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В 2009 году Srisubat с соавторами [120] сообщили о Кокрановском анализе ЭУВЛ с РПТ и с ПНЛТ в лечении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почек. Основываясь на этих данн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ых, ЭУВЛ имел самую низкую эффективность, в то время как ПНЛТ и РПТ существенно не различались. Пребывание в больнице было короче с ЭУВЛ. Все три процедуры, дали хорошую эффективность лечения и полное удаление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за один сеанс. Авторы подвергли к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ритике низкое качество данных доступных исследований; только три исследования включили в метаанализ [111].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На основании текущих сообщений РПТ не может быть рекомендован в качестве терапии первой линии для почечных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&gt;1,5см, хотя некоторые эксперт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ные центры сообщают, что такие подходы эффективны и безопасны. Множество различных этапных процедур РПТ подчеркивают превосходство ПНЛТ. В особых ситуациях комбинированный подход (ПНЛТ + РПТ) может быть вариантом в специализированных центрах. Несмотря на т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акое развитие событий, не может быть никаких сомнений в том, что РПТ, вероятно, никогда не достигнет таких же результатов, как ПНЛТ. В связи с высокой частотой встречаемости сердечно-сосудистых заболеваний у пациентов с МКБ,  все больше пациентов не могут 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лечиться методом ПНЛТ, что в свою очередь привело к широкому применению антикоагулянтов.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color w:val="000000"/>
          <w:sz w:val="28"/>
          <w:szCs w:val="28"/>
        </w:rPr>
      </w:pPr>
      <w:r>
        <w:rPr>
          <w:rStyle w:val="tlid-translation"/>
          <w:rFonts w:ascii="Times New Roman" w:hAnsi="Times New Roman"/>
          <w:color w:val="000000"/>
          <w:sz w:val="28"/>
          <w:szCs w:val="28"/>
        </w:rPr>
        <w:lastRenderedPageBreak/>
        <w:t>Хотя нарушения свертываемости крови рассматриваются как противопоказания как для ЭУВЛ, так и для ПНЛТ, но РПТ продемонстрировал превосходную безопасность у таких пацие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нтов [123]. Кроме того, недостаточная физическая активность и плохое питание приводят к увеличению числа пациентов с ожирением и патологическим ожирением. Из-за большого расстояния от кожи до почки эффективность ЭУВЛ ограничена, и ПНЛТ может быть практичес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>ки невозможным, если пункционная игла не может достичь почки, тогда как РПТ можно использовать без ограничения результатов [124].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Основываясь на доступных источниках, гибкая уретероскопия обладает сопоставимой эффективностью с ЭУВЛ для конкрементов&lt;15 мм [</w:t>
      </w:r>
      <w:r>
        <w:rPr>
          <w:rFonts w:ascii="Times New Roman" w:hAnsi="Times New Roman"/>
          <w:color w:val="000000"/>
          <w:sz w:val="28"/>
          <w:szCs w:val="28"/>
        </w:rPr>
        <w:t>125, 126]. Тем не менее, клинический опыт применения уретерореноскопов последнего поколения свидетельствует о клиническом преимуществе гибкого уретероскопа по сравнению с ЭУВЛ. Недавнее исследование сравнивало гибкую уретероскопию с ПНЛТ для конкрементов 1</w:t>
      </w:r>
      <w:r>
        <w:rPr>
          <w:rFonts w:ascii="Times New Roman" w:hAnsi="Times New Roman"/>
          <w:color w:val="000000"/>
          <w:sz w:val="28"/>
          <w:szCs w:val="28"/>
        </w:rPr>
        <w:t>,5–2 см[127]. Авторы сообщили о схожих показателях без конкрементов, как при начальном лечении (89,3% против 92,8%, для уретероскопии против ПНЛТ), так и при дополнительном вмешательстве (94,6% против 97,6% соответственно). Частота осложнений статистически</w:t>
      </w:r>
      <w:r>
        <w:rPr>
          <w:rFonts w:ascii="Times New Roman" w:hAnsi="Times New Roman"/>
          <w:color w:val="000000"/>
          <w:sz w:val="28"/>
          <w:szCs w:val="28"/>
        </w:rPr>
        <w:t xml:space="preserve"> не различалась, за исключением необходимости переливания крови в группе ПНЛТ. Был сделан вывод о том, что гибкий уретероскоп обладает приемлемой эффективностью для камней среднего размера. Наконец, в недавнем исследовании была исследована роль новых цифро</w:t>
      </w:r>
      <w:r>
        <w:rPr>
          <w:rFonts w:ascii="Times New Roman" w:hAnsi="Times New Roman"/>
          <w:color w:val="000000"/>
          <w:sz w:val="28"/>
          <w:szCs w:val="28"/>
        </w:rPr>
        <w:t>вых гибких уретероскопов в улучшении очищения нижних полюсов [128-130]. По сравнению со стандартным гибким уретероскопом, более низкий доступ к чашечкам был лучше (31% против 69%).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        В других исследованиях приводятся результаты лечения пациентов с п</w:t>
      </w:r>
      <w:r>
        <w:rPr>
          <w:rFonts w:ascii="Times New Roman" w:hAnsi="Times New Roman"/>
          <w:color w:val="000000"/>
          <w:sz w:val="28"/>
          <w:szCs w:val="28"/>
        </w:rPr>
        <w:t>очечными конкрементами &gt; 2см, применения гибкого лазерного литотриптора. Лечение  гольмиевым лазером показало очень благоприятный вариант для выбранных пациентов [131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-133</w:t>
      </w:r>
      <w:r>
        <w:rPr>
          <w:rFonts w:ascii="Times New Roman" w:hAnsi="Times New Roman"/>
          <w:color w:val="000000"/>
          <w:sz w:val="28"/>
          <w:szCs w:val="28"/>
        </w:rPr>
        <w:t>]. ПНЛТ применяли для пациентов получающие антикоагулянтное лечение, патологические о</w:t>
      </w:r>
      <w:r>
        <w:rPr>
          <w:rFonts w:ascii="Times New Roman" w:hAnsi="Times New Roman"/>
          <w:color w:val="000000"/>
          <w:sz w:val="28"/>
          <w:szCs w:val="28"/>
        </w:rPr>
        <w:t xml:space="preserve">жирения, одиночная почка или хронические почечные недостаточности [76].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Хотя ПНЛТ обеспечивает лучшее удаление конкрементов у пациентов с большими почечными конкрементами, а гибкая лазерная литотрипсия достигает приемлемых результатов лечения с низким рис</w:t>
      </w:r>
      <w:r>
        <w:rPr>
          <w:rFonts w:ascii="Times New Roman" w:hAnsi="Times New Roman"/>
          <w:color w:val="000000"/>
          <w:sz w:val="28"/>
          <w:szCs w:val="28"/>
        </w:rPr>
        <w:t>ком последующих связанных с конкрементами событий или вмешательств [134]. Более того, низкая относительная стоимость гибкой лазерной литотрипсии у этих пациентов может иметь значение для разработки соответствующих руководств по лечению. Недавно было исслед</w:t>
      </w:r>
      <w:r>
        <w:rPr>
          <w:rFonts w:ascii="Times New Roman" w:hAnsi="Times New Roman"/>
          <w:color w:val="000000"/>
          <w:sz w:val="28"/>
          <w:szCs w:val="28"/>
        </w:rPr>
        <w:t xml:space="preserve">овано использование гольмиевого лазера с  мини-ПНЛТ [135].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Проспективное исследование было проведено на 273 последовательных пациентах с коралловидными конкрементами, которые были рандомизированы для проведения мини-ПНЛТ с несколькими трактами с малой мощностью 30 Вт или мощной лазерной литотрипсией мощностью 70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т. Операция была значительно быстрее в группе с высокой мощностью, чем в группе с низкой мощностью (129,2 против 105,1 мин) [136].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Sea et al. [137] определили оптимальные параметры мощности гольмиевой лазерной литотрипсии для достижения максимальной </w:t>
      </w:r>
      <w:r>
        <w:rPr>
          <w:rFonts w:ascii="Times New Roman" w:hAnsi="Times New Roman"/>
          <w:color w:val="000000"/>
          <w:sz w:val="28"/>
          <w:szCs w:val="28"/>
        </w:rPr>
        <w:t>фрагментации, минимального размера фрагмента. Авторы пришли к выводу, что при низкой энергии импульса (0,2 Дж) было меньше фрагментации и ретропульсии, и были получены небольшие фрагменты. При высокой энергии импульса (2,0 Дж) было больше фрагментации и ре</w:t>
      </w:r>
      <w:r>
        <w:rPr>
          <w:rFonts w:ascii="Times New Roman" w:hAnsi="Times New Roman"/>
          <w:color w:val="000000"/>
          <w:sz w:val="28"/>
          <w:szCs w:val="28"/>
        </w:rPr>
        <w:t>тропульсии с более крупными фрагментами.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Таким образом, существует множество мнений по малоинвазивному лечению МКБ и нет единого стандартизованного метода. После анализа просмотренной информации мы пришли к выводу, 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что для лечения </w:t>
      </w:r>
      <w:r>
        <w:rPr>
          <w:rFonts w:ascii="Times New Roman" w:hAnsi="Times New Roman"/>
          <w:color w:val="000000"/>
          <w:sz w:val="28"/>
          <w:szCs w:val="28"/>
        </w:rPr>
        <w:t>конкрементов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 в почках ПНЛ</w:t>
      </w:r>
      <w:r>
        <w:rPr>
          <w:rStyle w:val="tlid-translation"/>
          <w:rFonts w:ascii="Times New Roman" w:hAnsi="Times New Roman"/>
          <w:color w:val="000000"/>
          <w:sz w:val="28"/>
          <w:szCs w:val="28"/>
        </w:rPr>
        <w:t xml:space="preserve">Т имеет значительно высокий показатель эффективности, как и РПТ по сравнению с ЭУВЛ. РПТ является хорошим методам выбора, при анатомических трудных доступах, при избыточном весе пациента и необходимости приема антикоагулянтов.  </w:t>
      </w: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kk-KZ"/>
        </w:rPr>
      </w:pPr>
    </w:p>
    <w:p w:rsidR="00750932" w:rsidRDefault="00816126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МАТЕРИАЛ И МЕТОДЫ ИССЛЕДОВАНИЯ</w:t>
      </w:r>
    </w:p>
    <w:p w:rsidR="00750932" w:rsidRDefault="0075093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 xml:space="preserve">2.1. Дизайн исследования </w:t>
      </w:r>
    </w:p>
    <w:p w:rsidR="00750932" w:rsidRDefault="0081612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задачей нашего исследования была проведена сравнительная оценка клинической эффективности ПНЛТ, РПТ и комбинированного метода лечения уролитиаза. Исходя из задачи в качестве дизайн</w:t>
      </w:r>
      <w:r>
        <w:rPr>
          <w:rFonts w:ascii="Times New Roman" w:hAnsi="Times New Roman"/>
          <w:sz w:val="28"/>
          <w:szCs w:val="28"/>
        </w:rPr>
        <w:t>а было выбрано проспективное рандомизированное контролируемое простое слепое исследование.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Материалы исследования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Объем материала: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пациенты в возрасте от 18 до 75лет (средний возраст </w:t>
      </w:r>
      <w:r>
        <w:rPr>
          <w:rFonts w:ascii="Times New Roman" w:hAnsi="Times New Roman"/>
          <w:color w:val="000000"/>
          <w:sz w:val="28"/>
          <w:szCs w:val="28"/>
        </w:rPr>
        <w:t xml:space="preserve">пациентов составил 47,61±12,85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лет), находившиеся на лечении в отделении мочекаменной болезни и эндоурологии АО «Научного центра урологии имени Академика Б.У.Джарубсынова» в период с декабря 2017 по декабрь 2018 г. В исследование были включены </w:t>
      </w:r>
      <w:r>
        <w:rPr>
          <w:rFonts w:ascii="Times New Roman" w:hAnsi="Times New Roman"/>
          <w:color w:val="000000"/>
          <w:sz w:val="28"/>
          <w:szCs w:val="28"/>
        </w:rPr>
        <w:t>144 пациента (из них 81– женщина и 63 - муж</w:t>
      </w:r>
      <w:r>
        <w:rPr>
          <w:rFonts w:ascii="Times New Roman" w:hAnsi="Times New Roman"/>
          <w:color w:val="000000"/>
          <w:sz w:val="28"/>
          <w:szCs w:val="28"/>
        </w:rPr>
        <w:t>чины) с мочекаменной болезнью, в том числе с осложненными формами – двухсторонний нефролитиаз, коралловидных, крупных и множественных конкрементов почек и мочеточника.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 58 пациентов отмечена левосторонняя локализация конкрементов, что составило 40,28%. Пр</w:t>
      </w:r>
      <w:r>
        <w:rPr>
          <w:rFonts w:ascii="Times New Roman" w:hAnsi="Times New Roman"/>
          <w:color w:val="000000"/>
          <w:sz w:val="28"/>
          <w:szCs w:val="28"/>
        </w:rPr>
        <w:t>авосторонняя локализация конкрементов выявлена у 63 пациентов, что составило 43,75%. Двусторонний процесс отмечен у 23 пациентов, что составило 15,97%.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вида выполненного оперативного вмешательства пациенты были разделены на группы: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 групп</w:t>
      </w:r>
      <w:r>
        <w:rPr>
          <w:rFonts w:ascii="Times New Roman" w:hAnsi="Times New Roman"/>
          <w:color w:val="000000"/>
          <w:sz w:val="28"/>
          <w:szCs w:val="28"/>
        </w:rPr>
        <w:t>а – пациенты, которым выполнена ретроградная пиелолитотрипсия (74);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 группа – пациенты, которым выполнена перкутанная нефролитотрипсия (52);</w:t>
      </w:r>
    </w:p>
    <w:p w:rsidR="00750932" w:rsidRDefault="00816126">
      <w:pPr>
        <w:pStyle w:val="af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группа – пациенты, которым проведен комбинированный метод лечения (18). </w:t>
      </w:r>
    </w:p>
    <w:p w:rsidR="00750932" w:rsidRDefault="00816126">
      <w:pPr>
        <w:pStyle w:val="af2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Данная группа включала две подгруппы, в з</w:t>
      </w:r>
      <w:r>
        <w:rPr>
          <w:rFonts w:ascii="Times New Roman" w:hAnsi="Times New Roman"/>
          <w:color w:val="000000"/>
          <w:sz w:val="28"/>
          <w:szCs w:val="28"/>
        </w:rPr>
        <w:t>ависимости от этапности проведенного лечения.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А) пациенты, которым одномоментно проведен комбинированный метод (10).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пациенты, которым комбинированный метод выполнен в 2 этапа </w:t>
      </w:r>
      <w:r>
        <w:rPr>
          <w:rFonts w:ascii="Times New Roman" w:eastAsia="Calibri" w:hAnsi="Times New Roman"/>
          <w:sz w:val="28"/>
          <w:szCs w:val="28"/>
        </w:rPr>
        <w:t>(первый этап - перкутанная нефростомия или установка стент-катетера (8).</w:t>
      </w:r>
    </w:p>
    <w:p w:rsidR="00750932" w:rsidRDefault="0081612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Метод отбора в группы – компьютерный, методом случайных чисел.</w:t>
      </w:r>
    </w:p>
    <w:p w:rsidR="00750932" w:rsidRDefault="0081612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включении пациентов в настоящее исследование учитывали абсолютные и относительные показания и противопоказания к оперативному лечению уролитиаза с применением эндоскопических методов. Соотв</w:t>
      </w:r>
      <w:r>
        <w:rPr>
          <w:rFonts w:ascii="Times New Roman" w:hAnsi="Times New Roman"/>
          <w:sz w:val="28"/>
          <w:szCs w:val="28"/>
        </w:rPr>
        <w:t xml:space="preserve">етственно этим показаниям и противопоказаниям были разработаны критерии включения и исключения пациентов в исследование. </w:t>
      </w: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Критерии включения:</w:t>
      </w:r>
    </w:p>
    <w:p w:rsidR="00750932" w:rsidRDefault="0081612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пациенты с нефро-уретеролитиазом, которым показано проведение оперативного лечения с применением эндоскопическ</w:t>
      </w:r>
      <w:r>
        <w:rPr>
          <w:rFonts w:ascii="Times New Roman" w:hAnsi="Times New Roman"/>
          <w:bCs/>
          <w:sz w:val="28"/>
          <w:szCs w:val="28"/>
        </w:rPr>
        <w:t>их технологий (ретроградная пиелолитотрипсия и перкутанная нефролитотрипсия) в плановом порядке;</w:t>
      </w:r>
    </w:p>
    <w:p w:rsidR="00750932" w:rsidRDefault="0081612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информированное добровольное согласие пациентов на проведение обследования и лечения в соответствии с Хельсинской декларацией.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Критерии для исключения: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во</w:t>
      </w:r>
      <w:r>
        <w:rPr>
          <w:rFonts w:ascii="Times New Roman" w:hAnsi="Times New Roman"/>
          <w:bCs/>
          <w:sz w:val="28"/>
          <w:szCs w:val="28"/>
        </w:rPr>
        <w:t>зраст до 18 лет;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хронические болезни почек (ХБП) 4 -5 стадии;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острая почечная недостаточность (ОПН);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печеночная недостаточность;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сахарный диабет, в стадии декомпенсации;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хроническая легочно-сердечная недостаточность;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злокачественная </w:t>
      </w:r>
      <w:r>
        <w:rPr>
          <w:rFonts w:ascii="Times New Roman" w:hAnsi="Times New Roman"/>
          <w:bCs/>
          <w:sz w:val="28"/>
          <w:szCs w:val="28"/>
        </w:rPr>
        <w:t>(некупируемая) артериальная гипертензия;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острые воспалительные заболевания почек и мочевых путей;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онкологическая патология любой локализации в активной стадии;</w:t>
      </w: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заболевания, связанные с нарушением свертываемости крови.</w:t>
      </w:r>
    </w:p>
    <w:p w:rsidR="00750932" w:rsidRDefault="0075093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2.3. Методы исследования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2.3.1 </w:t>
      </w:r>
      <w:r>
        <w:rPr>
          <w:rFonts w:ascii="Times New Roman" w:hAnsi="Times New Roman"/>
          <w:b/>
          <w:sz w:val="28"/>
          <w:szCs w:val="28"/>
        </w:rPr>
        <w:t>Клинические методы исследования: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жалоб;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сбор анамнеза;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объективный осмотр;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локального статуса;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Регистрация входящей информации проводилась в программе </w:t>
      </w:r>
      <w:r>
        <w:rPr>
          <w:rFonts w:ascii="Times New Roman" w:hAnsi="Times New Roman"/>
          <w:sz w:val="28"/>
          <w:szCs w:val="28"/>
          <w:lang w:val="en-US"/>
        </w:rPr>
        <w:t>SPSS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2.3.2. Лабораторные методы:</w:t>
      </w:r>
    </w:p>
    <w:p w:rsidR="00750932" w:rsidRDefault="0081612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клинико-лабораторных методов и</w:t>
      </w:r>
      <w:r>
        <w:rPr>
          <w:rFonts w:ascii="Times New Roman" w:hAnsi="Times New Roman"/>
          <w:sz w:val="28"/>
          <w:szCs w:val="28"/>
        </w:rPr>
        <w:t>сследований основным материалом служила венозная кровь, осадок мочи, конкременты у 144 обследуемых лиц: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общий анализ крови;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общий анализ мочи, бактериальный посев мочи на микрофлору;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биохимический анализ крови: креатинин, мочевина, общий белок, глюко</w:t>
      </w:r>
      <w:r>
        <w:rPr>
          <w:rFonts w:ascii="Times New Roman" w:hAnsi="Times New Roman"/>
          <w:sz w:val="28"/>
          <w:szCs w:val="28"/>
        </w:rPr>
        <w:t>за, холестерин, АЛТ, АСТ, билирубин;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функциональные пробы мочи: проба по Зимницкому, проба Реберга;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химический анализ конкрементов;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мочи на уреазную активность.</w:t>
      </w: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2.3.3. Инструментальные методы: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Ультразвуковые исследования являлись обязательн</w:t>
      </w:r>
      <w:r>
        <w:rPr>
          <w:rFonts w:ascii="Times New Roman" w:hAnsi="Times New Roman"/>
          <w:sz w:val="28"/>
          <w:szCs w:val="28"/>
        </w:rPr>
        <w:t xml:space="preserve">ыми методами исследования больных МКБ до и в послеоперационном периодах, как в условиях стационара, так и в амбулаторных условиях в период динамического наблюдения.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Рентгенологические методы исследования являлись одними из основных и включали: обзорный </w:t>
      </w:r>
      <w:r>
        <w:rPr>
          <w:rFonts w:ascii="Times New Roman" w:hAnsi="Times New Roman"/>
          <w:sz w:val="28"/>
          <w:szCs w:val="28"/>
        </w:rPr>
        <w:t>снимок мочевых путей, экскреторную урографию, ретроградную или антеградную (по показаниям) пиелографию, рентгентелевизионную пиелоуретероскопию с видеозаписью и</w:t>
      </w:r>
      <w:r>
        <w:rPr>
          <w:rFonts w:ascii="Times New Roman" w:hAnsi="Times New Roman"/>
          <w:color w:val="000000"/>
          <w:sz w:val="28"/>
          <w:szCs w:val="28"/>
        </w:rPr>
        <w:t>мультиспиральную компьютерную томографию (МСКТ), что значительно улучшило визуализацию. МСКТ в н</w:t>
      </w:r>
      <w:r>
        <w:rPr>
          <w:rFonts w:ascii="Times New Roman" w:hAnsi="Times New Roman"/>
          <w:color w:val="000000"/>
          <w:sz w:val="28"/>
          <w:szCs w:val="28"/>
        </w:rPr>
        <w:t>аших исследованиях использована в двух позициях компьютерная томография мочевой системы с реконструкцией и компьютерная томография (с контрастированием) по показаниям.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Магнитно-резонансная томография (МРТ) не эффективна при выявлении конкрементов почек и</w:t>
      </w:r>
      <w:r>
        <w:rPr>
          <w:rFonts w:ascii="Times New Roman" w:hAnsi="Times New Roman"/>
          <w:color w:val="000000"/>
          <w:sz w:val="28"/>
          <w:szCs w:val="28"/>
        </w:rPr>
        <w:t xml:space="preserve"> мочевых путей. Особенностью МРТ является возможность визуализации мягкотканных структур в условиях естественной контрастности, что позволяет использовать метод для изучения паренхимы почек. К недостаткам метода можно отнести его относительно высокую стоим</w:t>
      </w:r>
      <w:r>
        <w:rPr>
          <w:rFonts w:ascii="Times New Roman" w:hAnsi="Times New Roman"/>
          <w:color w:val="000000"/>
          <w:sz w:val="28"/>
          <w:szCs w:val="28"/>
        </w:rPr>
        <w:t>ость и наличие противопоказаний у пациентов с искусственными водителями ритма, а также металлических инородных тел (в том числе и трансплантатов). Однако ее применение является необходимым при непереносимости контрастных веществ, применяемых при рентгеноло</w:t>
      </w:r>
      <w:r>
        <w:rPr>
          <w:rFonts w:ascii="Times New Roman" w:hAnsi="Times New Roman"/>
          <w:color w:val="000000"/>
          <w:sz w:val="28"/>
          <w:szCs w:val="28"/>
        </w:rPr>
        <w:t>гических исследованиях мочевых путей.</w:t>
      </w: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2.3.4 Статистический метод обработки данных.</w:t>
      </w:r>
    </w:p>
    <w:p w:rsidR="00750932" w:rsidRDefault="00816126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Статистический анализ проводился с использованием SAS University Edition, версия 3.8 (SAS Institute Inc., Кэри, Северная Каролина, США). Категориальные переменные </w:t>
      </w:r>
      <w:r>
        <w:rPr>
          <w:rFonts w:ascii="Times New Roman" w:hAnsi="Times New Roman"/>
          <w:sz w:val="28"/>
          <w:szCs w:val="28"/>
        </w:rPr>
        <w:t>выражались как частота и процент. Мы использовали тест хи-квадрат и точный тест Фишера для оценки различий и ассоциаций между переменными. Непрерывные переменные были выражены как среднее значение и стандартное отклонение (СО) и были проанализированы с исп</w:t>
      </w:r>
      <w:r>
        <w:rPr>
          <w:rFonts w:ascii="Times New Roman" w:hAnsi="Times New Roman"/>
          <w:sz w:val="28"/>
          <w:szCs w:val="28"/>
        </w:rPr>
        <w:t>ользованием одностороннего дисперсионного анализа. Тест Краскела-Уоллиса использовался для сравнения ненормально распределенных непрерывных переменных и представленных в виде медианы (межквартильный размах). Мы использовали логистическую регрессию для оцен</w:t>
      </w:r>
      <w:r>
        <w:rPr>
          <w:rFonts w:ascii="Times New Roman" w:hAnsi="Times New Roman"/>
          <w:sz w:val="28"/>
          <w:szCs w:val="28"/>
        </w:rPr>
        <w:t>ки грубого и скорректированного отношения шансов. (OR) и 95% доверительные интервалы (CI) для ассоциаций между потенциальными факторами риска и частота отсутствия конкрементов, интра - и послеоперационные осложнения. Альфа-уровень был установлен на 0,05. с</w:t>
      </w:r>
      <w:r>
        <w:rPr>
          <w:rFonts w:ascii="Times New Roman" w:hAnsi="Times New Roman"/>
          <w:sz w:val="28"/>
          <w:szCs w:val="28"/>
        </w:rPr>
        <w:t>читая его статистически значимым.</w:t>
      </w:r>
    </w:p>
    <w:p w:rsidR="00750932" w:rsidRDefault="0075093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2.4 </w:t>
      </w:r>
      <w:r>
        <w:rPr>
          <w:rFonts w:ascii="Times New Roman" w:hAnsi="Times New Roman"/>
          <w:b/>
          <w:sz w:val="28"/>
          <w:szCs w:val="28"/>
        </w:rPr>
        <w:t xml:space="preserve">Методика проведения спинномозговой анестезии </w:t>
      </w:r>
    </w:p>
    <w:p w:rsidR="00750932" w:rsidRDefault="00816126">
      <w:pPr>
        <w:shd w:val="clear" w:color="auto" w:fill="FFFFFF"/>
        <w:spacing w:after="0" w:line="240" w:lineRule="auto"/>
        <w:ind w:right="58" w:firstLine="567"/>
        <w:contextualSpacing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целью премидикации </w:t>
      </w:r>
      <w:r>
        <w:rPr>
          <w:rFonts w:ascii="Times New Roman" w:eastAsia="Arial" w:hAnsi="Times New Roman"/>
          <w:color w:val="000000"/>
          <w:sz w:val="28"/>
          <w:szCs w:val="28"/>
        </w:rPr>
        <w:t>накануне операции – транквилизатор, в день операции – транквилизатор и антигистаминное средство. Больному в операционной катетеризировалась перифериче</w:t>
      </w:r>
      <w:r>
        <w:rPr>
          <w:rFonts w:ascii="Times New Roman" w:eastAsia="Arial" w:hAnsi="Times New Roman"/>
          <w:color w:val="000000"/>
          <w:sz w:val="28"/>
          <w:szCs w:val="28"/>
        </w:rPr>
        <w:t>ская вена, подключался пульсоксиметр, измерялось артериальное давление. Пункция субарахноидального пространства производилась на уровне L3- L4, L2-L3, в зависимости от уровня локализации конкремента иглами диаметром 25G. В качестве анестетика применялись б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упивакаин 0,5% – 15-20 мг, лидокаин 2% </w:t>
      </w:r>
      <w:r>
        <w:rPr>
          <w:rFonts w:ascii="Times New Roman" w:eastAsia="Arial" w:hAnsi="Times New Roman"/>
          <w:color w:val="000000"/>
          <w:sz w:val="28"/>
          <w:szCs w:val="28"/>
        </w:rPr>
        <w:lastRenderedPageBreak/>
        <w:t xml:space="preserve">– 80 мг. Положение на операционном столе – литотомическое является наиболее распространенным при эндоскопических урологических операциях. </w:t>
      </w:r>
    </w:p>
    <w:p w:rsidR="00750932" w:rsidRDefault="00816126">
      <w:pPr>
        <w:shd w:val="clear" w:color="auto" w:fill="FFFFFF"/>
        <w:spacing w:after="0" w:line="240" w:lineRule="auto"/>
        <w:ind w:right="57" w:firstLine="567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Уровни проведения анестезии и аналгезии определяли после определения пациента </w:t>
      </w:r>
      <w:r>
        <w:rPr>
          <w:rFonts w:ascii="Times New Roman" w:eastAsia="Calibri" w:hAnsi="Times New Roman"/>
          <w:color w:val="000000"/>
          <w:sz w:val="28"/>
          <w:szCs w:val="28"/>
        </w:rPr>
        <w:t>в положение для выполнения операции. Оценивался моторный блок. Анестезию считали полной и эффективной при наступлении аналгезии во всех зонах иннервации кожи нервами, отсутствии спонтанных движений нижних конечностях. Полная эффективная спинномозговая  ане</w:t>
      </w:r>
      <w:r>
        <w:rPr>
          <w:rFonts w:ascii="Times New Roman" w:eastAsia="Calibri" w:hAnsi="Times New Roman"/>
          <w:color w:val="000000"/>
          <w:sz w:val="28"/>
          <w:szCs w:val="28"/>
        </w:rPr>
        <w:t>стезия сопровождалась утратой пациентом чувства положения нижней конечности.</w:t>
      </w:r>
    </w:p>
    <w:p w:rsidR="00750932" w:rsidRDefault="00816126">
      <w:pPr>
        <w:shd w:val="clear" w:color="auto" w:fill="FFFFFF"/>
        <w:spacing w:after="0" w:line="240" w:lineRule="auto"/>
        <w:ind w:right="58" w:firstLine="567"/>
        <w:contextualSpacing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>Мониторинг своевременной коррекции ОЦК с пациентов и адекватность анестезии оценивалась по реакции больных на проводимые манипуляции, изменения гемодинамики (артериальное давление</w:t>
      </w:r>
      <w:r>
        <w:rPr>
          <w:rFonts w:ascii="Times New Roman" w:eastAsia="Arial" w:hAnsi="Times New Roman"/>
          <w:color w:val="000000"/>
          <w:sz w:val="28"/>
          <w:szCs w:val="28"/>
        </w:rPr>
        <w:t>, частота сердечных сокращений, пульсоксиметрия) частоты дыхания, выраженность сенсомоторного блока.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 Эндоскопические методы лечения: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2.5.1 Перкутанная нефролитотрипсия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Перкутанная нефролитотрипсия (ПНЛТ)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 xml:space="preserve">малоинвазивный метод лечения МКБ при </w:t>
      </w:r>
      <w:r>
        <w:rPr>
          <w:rFonts w:ascii="Times New Roman" w:hAnsi="Times New Roman"/>
          <w:color w:val="000000"/>
          <w:sz w:val="28"/>
          <w:szCs w:val="28"/>
        </w:rPr>
        <w:t>одиночных, множественных, крупных и коралловидных конкрементах[138, 139]. ПНЛТ состоит из 2-х этапов: создание антеградного пункционного доступа к почке и удаление конкремента через этот нефростомический ход. При проведении ПНЛТ необходимо обязательно уста</w:t>
      </w:r>
      <w:r>
        <w:rPr>
          <w:rFonts w:ascii="Times New Roman" w:hAnsi="Times New Roman"/>
          <w:color w:val="000000"/>
          <w:sz w:val="28"/>
          <w:szCs w:val="28"/>
        </w:rPr>
        <w:t>навливать две проводниковые струны во время операции, вторая «страховочная» струна остается в черескожном канале, но вне просвета. С помощью «страховочной» струны в любой момент можно восстановить нефростомическую трубку. ПНЛТ производится под спинномозгов</w:t>
      </w:r>
      <w:r>
        <w:rPr>
          <w:rFonts w:ascii="Times New Roman" w:hAnsi="Times New Roman"/>
          <w:color w:val="000000"/>
          <w:sz w:val="28"/>
          <w:szCs w:val="28"/>
        </w:rPr>
        <w:t xml:space="preserve">ой анестезией (СМА). Пациент укладывается на живот. После обработки операционного поля под УЗИ и Рентген контролем пунктируется полость почки через нужную нам группу чашечек. Получена моча. Вводится контрастное вещество, визуализируется чашечно-лоханочная </w:t>
      </w:r>
      <w:r>
        <w:rPr>
          <w:rFonts w:ascii="Times New Roman" w:hAnsi="Times New Roman"/>
          <w:color w:val="000000"/>
          <w:sz w:val="28"/>
          <w:szCs w:val="28"/>
        </w:rPr>
        <w:t>система почки. Затем вводится струна, по струне вводится буж, бужируется ход катетером бужей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Alkon</w:t>
      </w:r>
      <w:r>
        <w:rPr>
          <w:rFonts w:ascii="Times New Roman" w:hAnsi="Times New Roman"/>
          <w:color w:val="000000"/>
          <w:sz w:val="28"/>
          <w:szCs w:val="28"/>
        </w:rPr>
        <w:t>» до №25 по Шарьеру с последующей установкой стержневого ствола для проведения нефроскопа. После чего вводится нефроскоп, далее по нефроскопу вводится контак</w:t>
      </w:r>
      <w:r>
        <w:rPr>
          <w:rFonts w:ascii="Times New Roman" w:hAnsi="Times New Roman"/>
          <w:color w:val="000000"/>
          <w:sz w:val="28"/>
          <w:szCs w:val="28"/>
        </w:rPr>
        <w:t>тный литотриптер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Storz</w:t>
      </w:r>
      <w:r>
        <w:rPr>
          <w:rFonts w:ascii="Times New Roman" w:hAnsi="Times New Roman"/>
          <w:color w:val="000000"/>
          <w:sz w:val="28"/>
          <w:szCs w:val="28"/>
        </w:rPr>
        <w:t>», или ультразвуковой литотриптер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Lithoclastmaster</w:t>
      </w:r>
      <w:r>
        <w:rPr>
          <w:rFonts w:ascii="Times New Roman" w:hAnsi="Times New Roman"/>
          <w:color w:val="000000"/>
          <w:sz w:val="28"/>
          <w:szCs w:val="28"/>
        </w:rPr>
        <w:t>» (Швецария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). </w:t>
      </w:r>
      <w:r>
        <w:rPr>
          <w:rFonts w:ascii="Times New Roman" w:hAnsi="Times New Roman"/>
          <w:color w:val="000000"/>
          <w:sz w:val="28"/>
          <w:szCs w:val="28"/>
        </w:rPr>
        <w:t>Оставшиеся фрагменты извлекались по просвету кожуха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Amplatz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/>
          <w:color w:val="000000"/>
          <w:sz w:val="28"/>
          <w:szCs w:val="28"/>
        </w:rPr>
        <w:t xml:space="preserve"> помощью манипуляционных щипцов. Удаление конкрементов проводится под рентген и эндоскопическим контролем</w:t>
      </w:r>
      <w:r>
        <w:rPr>
          <w:rFonts w:ascii="Times New Roman" w:hAnsi="Times New Roman"/>
          <w:color w:val="000000"/>
          <w:sz w:val="28"/>
          <w:szCs w:val="28"/>
        </w:rPr>
        <w:t>. Операция заканчивается дренированием почки нефростомической трубкой (нефростома №18-20).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2.5.2 Ретроградная пиелолитотрипсия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Ретроградная пиелолитотрипсия (РПТ) основана на разрушении конкрементов мочевых путей при прямом визуальном контакте зонда лит</w:t>
      </w:r>
      <w:r>
        <w:rPr>
          <w:rFonts w:ascii="Times New Roman" w:hAnsi="Times New Roman"/>
          <w:color w:val="000000"/>
          <w:sz w:val="28"/>
          <w:szCs w:val="28"/>
        </w:rPr>
        <w:t>отриптера и конкремента, при этом доступ к конкременту осуществляется ретроградно, через естественные мочевые пути, без нарушения целостности кожных покровов [140, 141]. Операция проводится под спинномозговой анестезией. Пациент укладывается на спину. Посл</w:t>
      </w:r>
      <w:r>
        <w:rPr>
          <w:rFonts w:ascii="Times New Roman" w:hAnsi="Times New Roman"/>
          <w:color w:val="000000"/>
          <w:sz w:val="28"/>
          <w:szCs w:val="28"/>
        </w:rPr>
        <w:t>е обработки операционного поля в уретру вводится цистоскоп №22, с оптикой 30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. Затем под Рентген контролем в устье вводится струна мягким концом до полости почки (чашечно-лоханочную систему). По струне вводится кожух до лоханки, далее по кожуху вводится ур</w:t>
      </w:r>
      <w:r>
        <w:rPr>
          <w:rFonts w:ascii="Times New Roman" w:hAnsi="Times New Roman"/>
          <w:color w:val="000000"/>
          <w:sz w:val="28"/>
          <w:szCs w:val="28"/>
        </w:rPr>
        <w:t>етерореноскоп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Storz</w:t>
      </w:r>
      <w:r>
        <w:rPr>
          <w:rFonts w:ascii="Times New Roman" w:hAnsi="Times New Roman"/>
          <w:color w:val="000000"/>
          <w:sz w:val="28"/>
          <w:szCs w:val="28"/>
        </w:rPr>
        <w:t>» №9 по Шарьеру. Затем после визуализации конкремента вводится гольмиевый лазер «Аурига» и проводится контактная литотрипсия. Затем петлей Дормия безопасно по кожуху можно удалить все оставшиеся крупные конкременты. Полостная система др</w:t>
      </w:r>
      <w:r>
        <w:rPr>
          <w:rFonts w:ascii="Times New Roman" w:hAnsi="Times New Roman"/>
          <w:color w:val="000000"/>
          <w:sz w:val="28"/>
          <w:szCs w:val="28"/>
        </w:rPr>
        <w:t xml:space="preserve">енируется установкой стент-катетера (6/26). Мочевой пузырь дренируется уретральным катетером, который удаляется через 1-2 дня после операции.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2.5.3 Комбинированный метод лечения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Комбинированный метод (РПТ+ПНЛТ) -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высокоэффективный метод лечения, </w:t>
      </w:r>
      <w:r>
        <w:rPr>
          <w:rFonts w:ascii="Times New Roman" w:hAnsi="Times New Roman"/>
          <w:bCs/>
          <w:color w:val="000000"/>
          <w:sz w:val="28"/>
          <w:szCs w:val="28"/>
        </w:rPr>
        <w:t>позволяющий в рамках одной анестезии, за одно оперативное вмешательство избавить пациента от конкрементов указанных локализаций. Неоспоримым преимуществом данного метода является сокращения сроков госпитализации и скорая социальная реабилитация пациента, а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также доступ к любой локализации конкремента. Операция проводится под СМА анестезией. Во время операции пациент укладывается на спину, в начале проводится РПТ, в уретру вводится цистоскоп №22, с оптикой 30</w:t>
      </w:r>
      <w:r>
        <w:rPr>
          <w:rFonts w:ascii="Times New Roman" w:hAnsi="Times New Roman"/>
          <w:bCs/>
          <w:color w:val="000000"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color w:val="000000"/>
          <w:sz w:val="28"/>
          <w:szCs w:val="28"/>
        </w:rPr>
        <w:t>. Затем под Рентген контролем в устье вводится ст</w:t>
      </w:r>
      <w:r>
        <w:rPr>
          <w:rFonts w:ascii="Times New Roman" w:hAnsi="Times New Roman"/>
          <w:bCs/>
          <w:color w:val="000000"/>
          <w:sz w:val="28"/>
          <w:szCs w:val="28"/>
        </w:rPr>
        <w:t>руна мягким концом до полости почки (чашечно-лоханочную систему). По струне вводится кожух до лоханки, далее по кожуху вводится уретерореноскоп «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Storz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» №9 по Шарьеру. Затем после визуализации конкремента вводится гольмиевый лазер «Аурига» и проводится </w:t>
      </w:r>
      <w:r>
        <w:rPr>
          <w:rFonts w:ascii="Times New Roman" w:hAnsi="Times New Roman"/>
          <w:bCs/>
          <w:color w:val="000000"/>
          <w:sz w:val="28"/>
          <w:szCs w:val="28"/>
        </w:rPr>
        <w:t>контактная литотрипсия, при не возможности визуализации или технических трудностях локализации конкремента, пациенту устанавливают мочеточниковый катетер и пациента перекладывают на живот для дальнейшего проведения ПНЛТ. После поворота под УЗИ и Рентген ко</w:t>
      </w:r>
      <w:r>
        <w:rPr>
          <w:rFonts w:ascii="Times New Roman" w:hAnsi="Times New Roman"/>
          <w:bCs/>
          <w:color w:val="000000"/>
          <w:sz w:val="28"/>
          <w:szCs w:val="28"/>
        </w:rPr>
        <w:t>нтролем пунктируется полость почки через нижнюю группу чашечек. Получена моча. Вводится контрастное вещество, визуализируется чашечно-лоханочная система почки. Затем вводится струна, по струне вводится буж, бужируется ход катетером бужей «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Alkon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» до №25 по </w:t>
      </w:r>
      <w:r>
        <w:rPr>
          <w:rFonts w:ascii="Times New Roman" w:hAnsi="Times New Roman"/>
          <w:bCs/>
          <w:color w:val="000000"/>
          <w:sz w:val="28"/>
          <w:szCs w:val="28"/>
        </w:rPr>
        <w:t>Шарьеру с последующей установкой стержневого ствола для проведения нефроскопа. После чего вводится нефроскоп, далее по нефроскопу вводится контактный литотриптер «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Storz</w:t>
      </w:r>
      <w:r>
        <w:rPr>
          <w:rFonts w:ascii="Times New Roman" w:hAnsi="Times New Roman"/>
          <w:bCs/>
          <w:color w:val="000000"/>
          <w:sz w:val="28"/>
          <w:szCs w:val="28"/>
        </w:rPr>
        <w:t>», или ультразвуковой литотриптер «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Lithoclastmaster</w:t>
      </w:r>
      <w:r>
        <w:rPr>
          <w:rFonts w:ascii="Times New Roman" w:hAnsi="Times New Roman"/>
          <w:bCs/>
          <w:color w:val="000000"/>
          <w:sz w:val="28"/>
          <w:szCs w:val="28"/>
        </w:rPr>
        <w:t>» (Швецария). Оставшиеся фрагменты из</w:t>
      </w:r>
      <w:r>
        <w:rPr>
          <w:rFonts w:ascii="Times New Roman" w:hAnsi="Times New Roman"/>
          <w:bCs/>
          <w:color w:val="000000"/>
          <w:sz w:val="28"/>
          <w:szCs w:val="28"/>
        </w:rPr>
        <w:t>влекались по просвету кожуха «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Amplatz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bCs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помощью манипуляционных щипцов. Удаление конкрементов проводится под рентген и эндоскопическим контролем. Операция заканчивается дренированием почки нефростомической трубкой (нефростома №18-20). При полной эвакуации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конкрементов из </w:t>
      </w: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полостной системы нефростома не устанавливается, антеградно устанавливается стент-катетер для дренирования полостной системы почки. </w:t>
      </w:r>
    </w:p>
    <w:p w:rsidR="00750932" w:rsidRDefault="00750932">
      <w:pPr>
        <w:shd w:val="clear" w:color="auto" w:fill="FFFFFF"/>
        <w:spacing w:after="0" w:line="324" w:lineRule="exact"/>
        <w:ind w:left="79" w:right="29" w:firstLine="42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left="79" w:right="29" w:firstLine="42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2.6 Общая характеристика пациентов </w:t>
      </w:r>
    </w:p>
    <w:p w:rsidR="00750932" w:rsidRDefault="00816126">
      <w:pPr>
        <w:shd w:val="clear" w:color="auto" w:fill="FFFFFF"/>
        <w:spacing w:after="0" w:line="324" w:lineRule="exact"/>
        <w:ind w:right="29" w:firstLine="504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основу исследования положен материал, полученный при комплексном об</w:t>
      </w:r>
      <w:r>
        <w:rPr>
          <w:rFonts w:ascii="Times New Roman" w:hAnsi="Times New Roman"/>
          <w:sz w:val="28"/>
          <w:szCs w:val="28"/>
        </w:rPr>
        <w:t>сле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pacing w:val="-1"/>
          <w:sz w:val="28"/>
          <w:szCs w:val="28"/>
        </w:rPr>
        <w:t xml:space="preserve">довании и анализе результатов лечения 144 пациентов с МКБ, из них </w:t>
      </w:r>
      <w:r>
        <w:rPr>
          <w:rFonts w:ascii="Times New Roman" w:hAnsi="Times New Roman"/>
          <w:color w:val="000000"/>
          <w:sz w:val="28"/>
          <w:szCs w:val="28"/>
        </w:rPr>
        <w:t xml:space="preserve">1 группа – РПТ (74 пациента), 2 группа – ПНЛТ (52 пациента), 3 группа – комбинированный метод лечения (18 пациентов). </w:t>
      </w:r>
      <w:r>
        <w:rPr>
          <w:rFonts w:ascii="Times New Roman" w:hAnsi="Times New Roman"/>
          <w:spacing w:val="-1"/>
          <w:sz w:val="28"/>
          <w:szCs w:val="28"/>
        </w:rPr>
        <w:t>Распределение пациентов по возрастным группам и по полу у обследован</w:t>
      </w:r>
      <w:r>
        <w:rPr>
          <w:rFonts w:ascii="Times New Roman" w:hAnsi="Times New Roman"/>
          <w:spacing w:val="-1"/>
          <w:sz w:val="28"/>
          <w:szCs w:val="28"/>
        </w:rPr>
        <w:t>ных пациентов представлено в таблицах 2-5.</w:t>
      </w:r>
    </w:p>
    <w:p w:rsidR="00750932" w:rsidRDefault="00750932">
      <w:pPr>
        <w:shd w:val="clear" w:color="auto" w:fill="FFFFFF"/>
        <w:spacing w:after="0" w:line="324" w:lineRule="exact"/>
        <w:ind w:right="29" w:firstLine="504"/>
        <w:jc w:val="center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Таблица 2 - Распределение пациентов по возрастным группам</w:t>
      </w:r>
    </w:p>
    <w:p w:rsidR="00750932" w:rsidRDefault="00750932">
      <w:pPr>
        <w:shd w:val="clear" w:color="auto" w:fill="FFFFFF"/>
        <w:spacing w:after="0" w:line="324" w:lineRule="exact"/>
        <w:ind w:left="65" w:right="29" w:firstLine="425"/>
        <w:jc w:val="both"/>
        <w:rPr>
          <w:rFonts w:ascii="Times New Roman" w:hAnsi="Times New Roman"/>
          <w:spacing w:val="-1"/>
          <w:sz w:val="28"/>
          <w:szCs w:val="2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9"/>
        <w:gridCol w:w="3306"/>
        <w:gridCol w:w="2468"/>
      </w:tblGrid>
      <w:tr w:rsidR="00750932">
        <w:trPr>
          <w:trHeight w:val="341"/>
        </w:trPr>
        <w:tc>
          <w:tcPr>
            <w:tcW w:w="3469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Возраст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(в годах)</w:t>
            </w:r>
          </w:p>
        </w:tc>
        <w:tc>
          <w:tcPr>
            <w:tcW w:w="5774" w:type="dxa"/>
            <w:gridSpan w:val="2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Всего</w:t>
            </w:r>
          </w:p>
        </w:tc>
      </w:tr>
      <w:tr w:rsidR="00750932">
        <w:trPr>
          <w:trHeight w:val="357"/>
        </w:trPr>
        <w:tc>
          <w:tcPr>
            <w:tcW w:w="3469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абсолютное число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%</w:t>
            </w:r>
          </w:p>
        </w:tc>
      </w:tr>
      <w:tr w:rsidR="00750932">
        <w:trPr>
          <w:trHeight w:val="341"/>
        </w:trPr>
        <w:tc>
          <w:tcPr>
            <w:tcW w:w="346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18-20</w:t>
            </w: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6,2</w:t>
            </w:r>
          </w:p>
        </w:tc>
      </w:tr>
      <w:tr w:rsidR="00750932">
        <w:trPr>
          <w:trHeight w:val="357"/>
        </w:trPr>
        <w:tc>
          <w:tcPr>
            <w:tcW w:w="346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20-29</w:t>
            </w: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5,5</w:t>
            </w:r>
          </w:p>
        </w:tc>
      </w:tr>
      <w:tr w:rsidR="00750932">
        <w:trPr>
          <w:trHeight w:val="357"/>
        </w:trPr>
        <w:tc>
          <w:tcPr>
            <w:tcW w:w="346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30-39</w:t>
            </w: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16,6</w:t>
            </w:r>
          </w:p>
        </w:tc>
      </w:tr>
      <w:tr w:rsidR="00750932">
        <w:trPr>
          <w:trHeight w:val="357"/>
        </w:trPr>
        <w:tc>
          <w:tcPr>
            <w:tcW w:w="346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40-49</w:t>
            </w: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33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22,9</w:t>
            </w:r>
          </w:p>
        </w:tc>
      </w:tr>
      <w:tr w:rsidR="00750932">
        <w:trPr>
          <w:trHeight w:val="357"/>
        </w:trPr>
        <w:tc>
          <w:tcPr>
            <w:tcW w:w="346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50-59</w:t>
            </w: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27,7</w:t>
            </w:r>
          </w:p>
        </w:tc>
      </w:tr>
      <w:tr w:rsidR="00750932">
        <w:trPr>
          <w:trHeight w:val="341"/>
        </w:trPr>
        <w:tc>
          <w:tcPr>
            <w:tcW w:w="346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≥60 </w:t>
            </w: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20,8</w:t>
            </w:r>
          </w:p>
        </w:tc>
      </w:tr>
      <w:tr w:rsidR="00750932">
        <w:trPr>
          <w:trHeight w:val="357"/>
        </w:trPr>
        <w:tc>
          <w:tcPr>
            <w:tcW w:w="346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Итого</w:t>
            </w:r>
          </w:p>
        </w:tc>
        <w:tc>
          <w:tcPr>
            <w:tcW w:w="33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144</w:t>
            </w:r>
          </w:p>
        </w:tc>
        <w:tc>
          <w:tcPr>
            <w:tcW w:w="24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100</w:t>
            </w:r>
          </w:p>
        </w:tc>
      </w:tr>
    </w:tbl>
    <w:p w:rsidR="00750932" w:rsidRDefault="00750932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 из таблицы 2, самый низкий процент МКБ был в возрастных группах 18-20 лет и составил 6,2% и 20-29 лет - 5,5%. Пациентов в возрастной группе 30-39 лет был 16,6%, а ≥60 лет - 20,8%. Наибольшее число пациентов наблюдалось в возрастных группах 40-49 </w:t>
      </w:r>
      <w:r>
        <w:rPr>
          <w:rFonts w:ascii="Times New Roman" w:hAnsi="Times New Roman"/>
          <w:sz w:val="28"/>
          <w:szCs w:val="28"/>
        </w:rPr>
        <w:t xml:space="preserve">лет и составил 22,9%, а 50-59 лет - 27,7%, соответственно. Средний возраст пациентов составил </w:t>
      </w:r>
      <w:r>
        <w:rPr>
          <w:rFonts w:ascii="Times New Roman" w:hAnsi="Times New Roman"/>
          <w:color w:val="000000"/>
          <w:sz w:val="28"/>
          <w:szCs w:val="28"/>
        </w:rPr>
        <w:t>47,61±12,85 лет.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Таблица 3 – Распределение </w:t>
      </w:r>
      <w:r>
        <w:rPr>
          <w:rFonts w:ascii="Times New Roman" w:hAnsi="Times New Roman"/>
          <w:sz w:val="28"/>
          <w:szCs w:val="28"/>
        </w:rPr>
        <w:t xml:space="preserve">пациентов </w:t>
      </w:r>
      <w:r>
        <w:rPr>
          <w:rFonts w:ascii="Times New Roman" w:hAnsi="Times New Roman"/>
          <w:spacing w:val="-1"/>
          <w:sz w:val="28"/>
          <w:szCs w:val="28"/>
        </w:rPr>
        <w:t>в обследуемых группах по возрасту</w:t>
      </w:r>
    </w:p>
    <w:p w:rsidR="00750932" w:rsidRDefault="00750932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</w:p>
    <w:tbl>
      <w:tblPr>
        <w:tblW w:w="9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893"/>
        <w:gridCol w:w="1537"/>
        <w:gridCol w:w="1539"/>
        <w:gridCol w:w="1538"/>
        <w:gridCol w:w="1538"/>
      </w:tblGrid>
      <w:tr w:rsidR="00750932">
        <w:trPr>
          <w:trHeight w:val="477"/>
        </w:trPr>
        <w:tc>
          <w:tcPr>
            <w:tcW w:w="1302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Возраст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(в годах)</w:t>
            </w:r>
          </w:p>
        </w:tc>
        <w:tc>
          <w:tcPr>
            <w:tcW w:w="4969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больных (%)</w:t>
            </w: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Всего (%) </w:t>
            </w: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477"/>
        </w:trPr>
        <w:tc>
          <w:tcPr>
            <w:tcW w:w="1302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537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2-я </w:t>
            </w:r>
            <w:r>
              <w:rPr>
                <w:rFonts w:ascii="Times New Roman" w:hAnsi="Times New Roman"/>
                <w:sz w:val="28"/>
                <w:szCs w:val="24"/>
              </w:rPr>
              <w:t>группа</w:t>
            </w:r>
          </w:p>
        </w:tc>
        <w:tc>
          <w:tcPr>
            <w:tcW w:w="153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9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50932">
        <w:trPr>
          <w:trHeight w:val="388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–</w:t>
            </w: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(3,4)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 (2,08)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(0,7)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 (6,2)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0,2899</w:t>
            </w:r>
          </w:p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(0,8418)</w:t>
            </w:r>
          </w:p>
        </w:tc>
      </w:tr>
      <w:tr w:rsidR="00750932">
        <w:trPr>
          <w:trHeight w:val="368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–</w:t>
            </w:r>
            <w:r>
              <w:rPr>
                <w:rFonts w:ascii="Times New Roman" w:hAnsi="Times New Roman"/>
                <w:sz w:val="28"/>
                <w:szCs w:val="24"/>
              </w:rPr>
              <w:t>29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(3,4)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(0,7)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 (1,3)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 (5,5)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4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–</w:t>
            </w:r>
            <w:r>
              <w:rPr>
                <w:rFonts w:ascii="Times New Roman" w:hAnsi="Times New Roman"/>
                <w:sz w:val="28"/>
                <w:szCs w:val="24"/>
              </w:rPr>
              <w:t>39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 (9,7)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 (6,2)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1(0,7)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 (16,6)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750932" w:rsidRDefault="008161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3</w:t>
      </w:r>
    </w:p>
    <w:tbl>
      <w:tblPr>
        <w:tblW w:w="9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1893"/>
        <w:gridCol w:w="1537"/>
        <w:gridCol w:w="1539"/>
        <w:gridCol w:w="1538"/>
        <w:gridCol w:w="1538"/>
      </w:tblGrid>
      <w:tr w:rsidR="00750932">
        <w:trPr>
          <w:trHeight w:val="223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50932">
        <w:trPr>
          <w:trHeight w:val="223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–</w:t>
            </w:r>
            <w:r>
              <w:rPr>
                <w:rFonts w:ascii="Times New Roman" w:hAnsi="Times New Roman"/>
                <w:sz w:val="28"/>
                <w:szCs w:val="24"/>
              </w:rPr>
              <w:t>49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 (11,8)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 (8,3)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4(2,7)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33 (22,9)</w:t>
            </w: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313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–</w:t>
            </w:r>
            <w:r>
              <w:rPr>
                <w:rFonts w:ascii="Times New Roman" w:hAnsi="Times New Roman"/>
                <w:sz w:val="28"/>
                <w:szCs w:val="24"/>
              </w:rPr>
              <w:t>59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 (11,1)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 (11,8)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 (4,8)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 (27,7)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61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≥60</w:t>
            </w:r>
          </w:p>
        </w:tc>
        <w:tc>
          <w:tcPr>
            <w:tcW w:w="1893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 (11,8)</w:t>
            </w:r>
          </w:p>
        </w:tc>
        <w:tc>
          <w:tcPr>
            <w:tcW w:w="153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 (6,9)</w:t>
            </w:r>
          </w:p>
        </w:tc>
        <w:tc>
          <w:tcPr>
            <w:tcW w:w="153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 (2,08)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 (20,8)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</w:trPr>
        <w:tc>
          <w:tcPr>
            <w:tcW w:w="130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Итого</w:t>
            </w:r>
          </w:p>
        </w:tc>
        <w:tc>
          <w:tcPr>
            <w:tcW w:w="18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74 (51,3)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52 (36,1) 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 (12,5)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144 (100)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hd w:val="clear" w:color="auto" w:fill="FFFFFF"/>
        <w:spacing w:after="0" w:line="240" w:lineRule="auto"/>
        <w:ind w:right="29" w:firstLine="708"/>
        <w:jc w:val="both"/>
        <w:rPr>
          <w:rStyle w:val="y2iqfc"/>
          <w:rFonts w:ascii="inherit" w:hAnsi="inherit"/>
          <w:color w:val="20212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видно из таблицы 3, наибольшее число пациентов наблюдалось в возрастных группах от 40 – 49 лет и 50 – 59 лет, в 1-й группе их составило 17 пациентов (11,8%) и 16 пациентов (11,1%), во 2-й группе 12 пациентов (8,3%) и 17 пациентов (11,8%) и в 3-й группе</w:t>
      </w:r>
      <w:r>
        <w:rPr>
          <w:rFonts w:ascii="Times New Roman" w:hAnsi="Times New Roman"/>
          <w:sz w:val="28"/>
          <w:szCs w:val="28"/>
        </w:rPr>
        <w:t xml:space="preserve"> 4 (2,7%) и 7 пациентов (4,8%), соответственно. Средний возраст пациентов составил </w:t>
      </w:r>
      <w:r>
        <w:rPr>
          <w:rFonts w:ascii="Times New Roman" w:hAnsi="Times New Roman"/>
          <w:color w:val="000000"/>
          <w:sz w:val="28"/>
          <w:szCs w:val="28"/>
        </w:rPr>
        <w:t>47,61±12,85 лет.</w:t>
      </w:r>
    </w:p>
    <w:p w:rsidR="00750932" w:rsidRDefault="00750932">
      <w:pPr>
        <w:shd w:val="clear" w:color="auto" w:fill="FFFFFF"/>
        <w:spacing w:after="0" w:line="240" w:lineRule="auto"/>
        <w:ind w:right="29" w:firstLine="708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Таблица 4 – Распределение пациентов по полу</w:t>
      </w:r>
    </w:p>
    <w:p w:rsidR="00750932" w:rsidRDefault="00750932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0"/>
        <w:gridCol w:w="1778"/>
        <w:gridCol w:w="1580"/>
        <w:gridCol w:w="1580"/>
        <w:gridCol w:w="1523"/>
        <w:gridCol w:w="1315"/>
      </w:tblGrid>
      <w:tr w:rsidR="00750932">
        <w:trPr>
          <w:trHeight w:val="334"/>
        </w:trPr>
        <w:tc>
          <w:tcPr>
            <w:tcW w:w="3358" w:type="dxa"/>
            <w:gridSpan w:val="2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Мужчины</w:t>
            </w:r>
          </w:p>
        </w:tc>
        <w:tc>
          <w:tcPr>
            <w:tcW w:w="3160" w:type="dxa"/>
            <w:gridSpan w:val="2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Женщины</w:t>
            </w:r>
          </w:p>
        </w:tc>
        <w:tc>
          <w:tcPr>
            <w:tcW w:w="2838" w:type="dxa"/>
            <w:gridSpan w:val="2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750932">
        <w:trPr>
          <w:trHeight w:val="334"/>
        </w:trPr>
        <w:tc>
          <w:tcPr>
            <w:tcW w:w="15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77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5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2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131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750932">
        <w:trPr>
          <w:trHeight w:val="334"/>
        </w:trPr>
        <w:tc>
          <w:tcPr>
            <w:tcW w:w="15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77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43,75</w:t>
            </w:r>
          </w:p>
        </w:tc>
        <w:tc>
          <w:tcPr>
            <w:tcW w:w="15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5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56,25</w:t>
            </w:r>
          </w:p>
        </w:tc>
        <w:tc>
          <w:tcPr>
            <w:tcW w:w="152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31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0932" w:rsidRDefault="00750932">
      <w:pPr>
        <w:shd w:val="clear" w:color="auto" w:fill="FFFFFF"/>
        <w:spacing w:after="0" w:line="324" w:lineRule="exact"/>
        <w:ind w:left="65" w:right="29" w:firstLine="425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left="65" w:right="29" w:firstLine="425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Из 144 обследованных пациентов с МКБ 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соотношение мужчин и женщин составило 1:1,28, т.е. </w:t>
      </w:r>
      <w:r>
        <w:rPr>
          <w:rFonts w:ascii="Times New Roman" w:hAnsi="Times New Roman"/>
          <w:spacing w:val="-1"/>
          <w:sz w:val="28"/>
          <w:szCs w:val="28"/>
        </w:rPr>
        <w:t xml:space="preserve">мужчин 63 (43,75%), а женщин 81 (56,25%), соответственно (таблице 4). </w:t>
      </w:r>
    </w:p>
    <w:p w:rsidR="00750932" w:rsidRDefault="00750932">
      <w:pPr>
        <w:shd w:val="clear" w:color="auto" w:fill="FFFFFF"/>
        <w:spacing w:after="0" w:line="324" w:lineRule="exact"/>
        <w:ind w:left="65" w:right="29" w:firstLine="425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Таблица 5 – Распределение пациентов по полу в обследуемых группах</w:t>
      </w:r>
    </w:p>
    <w:tbl>
      <w:tblPr>
        <w:tblpPr w:leftFromText="180" w:rightFromText="180" w:vertAnchor="text" w:horzAnchor="page" w:tblpX="1806" w:tblpY="299"/>
        <w:tblOverlap w:val="never"/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5"/>
        <w:gridCol w:w="1780"/>
        <w:gridCol w:w="1537"/>
        <w:gridCol w:w="1539"/>
        <w:gridCol w:w="1538"/>
        <w:gridCol w:w="1538"/>
      </w:tblGrid>
      <w:tr w:rsidR="00750932">
        <w:trPr>
          <w:trHeight w:val="477"/>
        </w:trPr>
        <w:tc>
          <w:tcPr>
            <w:tcW w:w="1415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Пол </w:t>
            </w:r>
          </w:p>
        </w:tc>
        <w:tc>
          <w:tcPr>
            <w:tcW w:w="4856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больных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Всего (%) </w:t>
            </w: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477"/>
        </w:trPr>
        <w:tc>
          <w:tcPr>
            <w:tcW w:w="1415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78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537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2-я группа</w:t>
            </w:r>
          </w:p>
        </w:tc>
        <w:tc>
          <w:tcPr>
            <w:tcW w:w="153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8"/>
        </w:trPr>
        <w:tc>
          <w:tcPr>
            <w:tcW w:w="141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Мужской</w:t>
            </w:r>
          </w:p>
        </w:tc>
        <w:tc>
          <w:tcPr>
            <w:tcW w:w="178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27 (36,49)</w:t>
            </w:r>
          </w:p>
        </w:tc>
        <w:tc>
          <w:tcPr>
            <w:tcW w:w="153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28 (53,85)</w:t>
            </w:r>
          </w:p>
        </w:tc>
        <w:tc>
          <w:tcPr>
            <w:tcW w:w="153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 (44,44)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63 (43,75)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0932" w:rsidRDefault="0075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0,1538</w:t>
            </w:r>
          </w:p>
        </w:tc>
      </w:tr>
      <w:tr w:rsidR="00750932">
        <w:trPr>
          <w:trHeight w:val="368"/>
        </w:trPr>
        <w:tc>
          <w:tcPr>
            <w:tcW w:w="141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Женский</w:t>
            </w:r>
          </w:p>
        </w:tc>
        <w:tc>
          <w:tcPr>
            <w:tcW w:w="178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47 (63,51)</w:t>
            </w:r>
          </w:p>
        </w:tc>
        <w:tc>
          <w:tcPr>
            <w:tcW w:w="153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 (46,15)</w:t>
            </w:r>
          </w:p>
        </w:tc>
        <w:tc>
          <w:tcPr>
            <w:tcW w:w="153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 (55,56)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81 (56,25)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</w:trPr>
        <w:tc>
          <w:tcPr>
            <w:tcW w:w="141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Итого</w:t>
            </w:r>
          </w:p>
        </w:tc>
        <w:tc>
          <w:tcPr>
            <w:tcW w:w="17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74 (51,3) </w:t>
            </w:r>
          </w:p>
        </w:tc>
        <w:tc>
          <w:tcPr>
            <w:tcW w:w="15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52 (36,1) 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 (12,5)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144 (100)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таблицы 5 следует, что в </w:t>
      </w:r>
      <w:r>
        <w:rPr>
          <w:rFonts w:ascii="Times New Roman" w:hAnsi="Times New Roman"/>
          <w:color w:val="000000"/>
          <w:sz w:val="28"/>
          <w:szCs w:val="28"/>
        </w:rPr>
        <w:t xml:space="preserve">1 группе из 74 пациентов было 27 мужчин 36,49% и 47 женщин (63,51%), во 2 группе – 28 мужчин (53,85%) и 24 женщины - 46,15%, в 3 группе всего 8 мужчин (44,44%) и 10 женщин (55,56%), соответственно. </w:t>
      </w:r>
    </w:p>
    <w:p w:rsidR="00750932" w:rsidRDefault="00750932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Таблица 6 – Распределение пациентов по индексу массы тел</w:t>
      </w:r>
      <w:r>
        <w:rPr>
          <w:rFonts w:ascii="Times New Roman" w:hAnsi="Times New Roman"/>
          <w:spacing w:val="-1"/>
          <w:sz w:val="28"/>
          <w:szCs w:val="28"/>
        </w:rPr>
        <w:t>а (ИМТ) в обследуемых группах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1497"/>
        <w:gridCol w:w="1537"/>
        <w:gridCol w:w="1539"/>
        <w:gridCol w:w="1538"/>
        <w:gridCol w:w="1538"/>
      </w:tblGrid>
      <w:tr w:rsidR="00750932">
        <w:trPr>
          <w:trHeight w:val="477"/>
          <w:jc w:val="center"/>
        </w:trPr>
        <w:tc>
          <w:tcPr>
            <w:tcW w:w="1698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Показатель </w:t>
            </w:r>
          </w:p>
          <w:p w:rsidR="00750932" w:rsidRDefault="007509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573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кг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4"/>
              </w:rPr>
              <w:t>м</w:t>
            </w:r>
            <w:r>
              <w:rPr>
                <w:rFonts w:ascii="Times New Roman" w:hAnsi="Times New Roman"/>
                <w:sz w:val="28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(mean±SD)</w:t>
            </w: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Всего </w:t>
            </w: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477"/>
          <w:jc w:val="center"/>
        </w:trPr>
        <w:tc>
          <w:tcPr>
            <w:tcW w:w="1698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537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2-я группа</w:t>
            </w:r>
          </w:p>
        </w:tc>
        <w:tc>
          <w:tcPr>
            <w:tcW w:w="153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8"/>
          <w:jc w:val="center"/>
        </w:trPr>
        <w:tc>
          <w:tcPr>
            <w:tcW w:w="169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ИМТ</w:t>
            </w:r>
          </w:p>
        </w:tc>
        <w:tc>
          <w:tcPr>
            <w:tcW w:w="149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24,6±4,11</w:t>
            </w:r>
          </w:p>
        </w:tc>
        <w:tc>
          <w:tcPr>
            <w:tcW w:w="153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24,12±4,6</w:t>
            </w:r>
          </w:p>
        </w:tc>
        <w:tc>
          <w:tcPr>
            <w:tcW w:w="153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25,5±3,42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24,54±4,22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0,3220</w:t>
            </w:r>
          </w:p>
        </w:tc>
      </w:tr>
      <w:tr w:rsidR="00750932">
        <w:trPr>
          <w:trHeight w:val="278"/>
          <w:jc w:val="center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Как видно из таблицы 6, что показатель ИМТ в обследуемых группах не имел различий (р = </w:t>
      </w:r>
      <w:r>
        <w:rPr>
          <w:rFonts w:ascii="Times New Roman" w:hAnsi="Times New Roman"/>
          <w:sz w:val="28"/>
          <w:szCs w:val="28"/>
        </w:rPr>
        <w:t>0,3220).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Распределение пациентов по вредным привычкам представлено в таблице 7.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Таблица 7 – Распределение пациентов по вредным привычкам в обследуемых группах</w:t>
      </w:r>
    </w:p>
    <w:p w:rsidR="00750932" w:rsidRDefault="00750932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</w:p>
    <w:tbl>
      <w:tblPr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559"/>
        <w:gridCol w:w="1560"/>
        <w:gridCol w:w="1559"/>
        <w:gridCol w:w="1417"/>
        <w:gridCol w:w="1412"/>
      </w:tblGrid>
      <w:tr w:rsidR="00750932">
        <w:trPr>
          <w:trHeight w:val="477"/>
          <w:jc w:val="center"/>
        </w:trPr>
        <w:tc>
          <w:tcPr>
            <w:tcW w:w="1840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Показатели </w:t>
            </w:r>
          </w:p>
          <w:p w:rsidR="00750932" w:rsidRDefault="007509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больных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Всего (%)</w:t>
            </w:r>
          </w:p>
        </w:tc>
        <w:tc>
          <w:tcPr>
            <w:tcW w:w="1412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342"/>
          <w:jc w:val="center"/>
        </w:trPr>
        <w:tc>
          <w:tcPr>
            <w:tcW w:w="1840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2-я группа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412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385"/>
          <w:jc w:val="center"/>
        </w:trPr>
        <w:tc>
          <w:tcPr>
            <w:tcW w:w="184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Алкаголь 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 (21,62)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 (26,92)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 (22,22)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34 (23,61)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0,7613</w:t>
            </w:r>
          </w:p>
        </w:tc>
      </w:tr>
      <w:tr w:rsidR="00750932">
        <w:trPr>
          <w:trHeight w:val="360"/>
          <w:jc w:val="center"/>
        </w:trPr>
        <w:tc>
          <w:tcPr>
            <w:tcW w:w="184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Курение 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 (25,68)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 (46,15)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 (33,33)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49 (34,03)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0,0576</w:t>
            </w:r>
          </w:p>
        </w:tc>
      </w:tr>
      <w:tr w:rsidR="00750932">
        <w:trPr>
          <w:trHeight w:val="278"/>
          <w:jc w:val="center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Из 144 пациентов с МКБ в анкете отмечали, что страдали от алкоголизма 34 пациента (23,61%), и курение отмечали 49 пациентов (34,03%).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Распределение пациентов по сопутствующим заболеваниям представлено в таблице 8.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shd w:val="clear" w:color="auto" w:fill="FFFFFF"/>
        <w:spacing w:after="0" w:line="324" w:lineRule="exact"/>
        <w:ind w:right="2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Таблица 8 – Распределение пациентов по сопутствующим заболеваниям в обследуемых группах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tbl>
      <w:tblPr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1560"/>
        <w:gridCol w:w="1474"/>
        <w:gridCol w:w="1539"/>
        <w:gridCol w:w="1538"/>
        <w:gridCol w:w="1538"/>
      </w:tblGrid>
      <w:tr w:rsidR="00750932">
        <w:trPr>
          <w:trHeight w:val="477"/>
          <w:jc w:val="center"/>
        </w:trPr>
        <w:tc>
          <w:tcPr>
            <w:tcW w:w="1698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Показатели </w:t>
            </w:r>
          </w:p>
          <w:p w:rsidR="00750932" w:rsidRDefault="007509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573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больных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Всего (%)</w:t>
            </w:r>
          </w:p>
        </w:tc>
        <w:tc>
          <w:tcPr>
            <w:tcW w:w="1538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477"/>
          <w:jc w:val="center"/>
        </w:trPr>
        <w:tc>
          <w:tcPr>
            <w:tcW w:w="1698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474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2-я группа</w:t>
            </w:r>
          </w:p>
        </w:tc>
        <w:tc>
          <w:tcPr>
            <w:tcW w:w="153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38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8"/>
          <w:jc w:val="center"/>
        </w:trPr>
        <w:tc>
          <w:tcPr>
            <w:tcW w:w="1698" w:type="dxa"/>
          </w:tcPr>
          <w:p w:rsidR="00750932" w:rsidRDefault="00816126">
            <w:pPr>
              <w:pStyle w:val="HTML"/>
              <w:shd w:val="clear" w:color="auto" w:fill="F8F9FA"/>
              <w:rPr>
                <w:rStyle w:val="y2iqfc"/>
                <w:rFonts w:ascii="Times New Roman" w:hAnsi="Times New Roman" w:cs="Times New Roman"/>
                <w:color w:val="202124"/>
                <w:sz w:val="28"/>
                <w:szCs w:val="24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8"/>
                <w:szCs w:val="24"/>
              </w:rPr>
              <w:t>Сахарный диабет</w:t>
            </w:r>
          </w:p>
        </w:tc>
        <w:tc>
          <w:tcPr>
            <w:tcW w:w="1560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 (9,46)</w:t>
            </w:r>
          </w:p>
        </w:tc>
        <w:tc>
          <w:tcPr>
            <w:tcW w:w="147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 (7,69)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 (16,67)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 (9,72)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0,5667</w:t>
            </w:r>
          </w:p>
        </w:tc>
      </w:tr>
      <w:tr w:rsidR="00750932">
        <w:trPr>
          <w:trHeight w:val="347"/>
          <w:jc w:val="center"/>
        </w:trPr>
        <w:tc>
          <w:tcPr>
            <w:tcW w:w="1698" w:type="dxa"/>
          </w:tcPr>
          <w:p w:rsidR="00750932" w:rsidRDefault="00816126">
            <w:pPr>
              <w:pStyle w:val="HTML"/>
              <w:shd w:val="clear" w:color="auto" w:fill="F8F9FA"/>
              <w:rPr>
                <w:rFonts w:ascii="Times New Roman" w:hAnsi="Times New Roman" w:cs="Times New Roman"/>
                <w:color w:val="202124"/>
                <w:sz w:val="28"/>
                <w:szCs w:val="24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8"/>
                <w:szCs w:val="24"/>
              </w:rPr>
              <w:t xml:space="preserve">Гипертония </w:t>
            </w:r>
          </w:p>
        </w:tc>
        <w:tc>
          <w:tcPr>
            <w:tcW w:w="1560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23 (31,08)</w:t>
            </w:r>
          </w:p>
        </w:tc>
        <w:tc>
          <w:tcPr>
            <w:tcW w:w="147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 (30,77)</w:t>
            </w:r>
          </w:p>
        </w:tc>
        <w:tc>
          <w:tcPr>
            <w:tcW w:w="1539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(27,78)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44 (30,56)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0,9626</w:t>
            </w:r>
          </w:p>
        </w:tc>
      </w:tr>
      <w:tr w:rsidR="00750932">
        <w:trPr>
          <w:trHeight w:val="312"/>
          <w:jc w:val="center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таблицы 8 следует, что в </w:t>
      </w:r>
      <w:r>
        <w:rPr>
          <w:rFonts w:ascii="Times New Roman" w:hAnsi="Times New Roman"/>
          <w:color w:val="000000"/>
          <w:sz w:val="28"/>
          <w:szCs w:val="28"/>
        </w:rPr>
        <w:t>1 группе – из 74 пациентов страдали сахарным диабетом 7 человек (9,46%), гипертонией 23 пациента (31,08%), во 2 группе – сахарным диабетом 4 человека (7,69%), гипертонией 16 пациентов (30,77%), в 3 группе всего сахарным диабетом болели 3 пациентов (16,67%)</w:t>
      </w:r>
      <w:r>
        <w:rPr>
          <w:rFonts w:ascii="Times New Roman" w:hAnsi="Times New Roman"/>
          <w:color w:val="000000"/>
          <w:sz w:val="28"/>
          <w:szCs w:val="28"/>
        </w:rPr>
        <w:t xml:space="preserve">, гипертонией страдали 5 пациентов (27,78%), соответственно. 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0932" w:rsidRDefault="00816126">
      <w:pPr>
        <w:keepNext/>
        <w:spacing w:after="0" w:line="240" w:lineRule="auto"/>
        <w:outlineLvl w:val="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Таблица 9 - Распределение пациентов по локализации конкрементов</w:t>
      </w:r>
    </w:p>
    <w:p w:rsidR="00750932" w:rsidRDefault="00750932">
      <w:pPr>
        <w:keepNext/>
        <w:spacing w:after="0" w:line="240" w:lineRule="auto"/>
        <w:outlineLvl w:val="1"/>
        <w:rPr>
          <w:rFonts w:ascii="Times New Roman" w:hAnsi="Times New Roman"/>
          <w:bCs/>
          <w:iCs/>
          <w:sz w:val="28"/>
          <w:szCs w:val="2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2342"/>
        <w:gridCol w:w="2221"/>
      </w:tblGrid>
      <w:tr w:rsidR="00750932">
        <w:trPr>
          <w:cantSplit/>
        </w:trPr>
        <w:tc>
          <w:tcPr>
            <w:tcW w:w="4680" w:type="dxa"/>
            <w:vMerge w:val="restart"/>
          </w:tcPr>
          <w:p w:rsidR="00750932" w:rsidRDefault="00816126">
            <w:pPr>
              <w:keepNext/>
              <w:spacing w:after="0" w:line="240" w:lineRule="auto"/>
              <w:ind w:firstLine="540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Локализация конкрементов</w:t>
            </w:r>
          </w:p>
        </w:tc>
        <w:tc>
          <w:tcPr>
            <w:tcW w:w="4563" w:type="dxa"/>
            <w:gridSpan w:val="2"/>
          </w:tcPr>
          <w:p w:rsidR="00750932" w:rsidRDefault="00816126">
            <w:pPr>
              <w:keepNext/>
              <w:spacing w:after="0" w:line="240" w:lineRule="auto"/>
              <w:ind w:firstLine="539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пациентов</w:t>
            </w:r>
          </w:p>
        </w:tc>
      </w:tr>
      <w:tr w:rsidR="00750932">
        <w:trPr>
          <w:cantSplit/>
        </w:trPr>
        <w:tc>
          <w:tcPr>
            <w:tcW w:w="4680" w:type="dxa"/>
            <w:vMerge/>
          </w:tcPr>
          <w:p w:rsidR="00750932" w:rsidRDefault="00750932">
            <w:pPr>
              <w:keepNext/>
              <w:spacing w:after="0" w:line="240" w:lineRule="auto"/>
              <w:ind w:firstLine="540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4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Абс. число</w:t>
            </w:r>
          </w:p>
        </w:tc>
        <w:tc>
          <w:tcPr>
            <w:tcW w:w="2221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% </w:t>
            </w:r>
          </w:p>
        </w:tc>
      </w:tr>
      <w:tr w:rsidR="00750932">
        <w:trPr>
          <w:cantSplit/>
        </w:trPr>
        <w:tc>
          <w:tcPr>
            <w:tcW w:w="9243" w:type="dxa"/>
            <w:gridSpan w:val="3"/>
          </w:tcPr>
          <w:p w:rsidR="00750932" w:rsidRDefault="00816126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Конкременты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почек</w:t>
            </w:r>
          </w:p>
        </w:tc>
      </w:tr>
      <w:tr w:rsidR="00750932">
        <w:trPr>
          <w:cantSplit/>
        </w:trPr>
        <w:tc>
          <w:tcPr>
            <w:tcW w:w="468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Камень правой почки</w:t>
            </w:r>
          </w:p>
        </w:tc>
        <w:tc>
          <w:tcPr>
            <w:tcW w:w="234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</w:t>
            </w:r>
          </w:p>
        </w:tc>
        <w:tc>
          <w:tcPr>
            <w:tcW w:w="2221" w:type="dxa"/>
          </w:tcPr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25,0</w:t>
            </w:r>
          </w:p>
        </w:tc>
      </w:tr>
      <w:tr w:rsidR="00750932">
        <w:trPr>
          <w:cantSplit/>
        </w:trPr>
        <w:tc>
          <w:tcPr>
            <w:tcW w:w="468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Камень левой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почки</w:t>
            </w:r>
          </w:p>
        </w:tc>
        <w:tc>
          <w:tcPr>
            <w:tcW w:w="234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26</w:t>
            </w:r>
          </w:p>
        </w:tc>
        <w:tc>
          <w:tcPr>
            <w:tcW w:w="2221" w:type="dxa"/>
          </w:tcPr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18,05</w:t>
            </w:r>
          </w:p>
        </w:tc>
      </w:tr>
      <w:tr w:rsidR="00750932">
        <w:trPr>
          <w:cantSplit/>
        </w:trPr>
        <w:tc>
          <w:tcPr>
            <w:tcW w:w="468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Камни обеих почек</w:t>
            </w:r>
          </w:p>
        </w:tc>
        <w:tc>
          <w:tcPr>
            <w:tcW w:w="234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2221" w:type="dxa"/>
          </w:tcPr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11,80</w:t>
            </w:r>
          </w:p>
        </w:tc>
      </w:tr>
      <w:tr w:rsidR="00750932">
        <w:trPr>
          <w:cantSplit/>
        </w:trPr>
        <w:tc>
          <w:tcPr>
            <w:tcW w:w="468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Коралловидные камни: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справа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слева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двусторонние КК</w:t>
            </w:r>
          </w:p>
        </w:tc>
        <w:tc>
          <w:tcPr>
            <w:tcW w:w="2342" w:type="dxa"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21" w:type="dxa"/>
          </w:tcPr>
          <w:p w:rsidR="00750932" w:rsidRDefault="00750932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11,11</w:t>
            </w:r>
          </w:p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8,33</w:t>
            </w:r>
          </w:p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4,16</w:t>
            </w:r>
          </w:p>
        </w:tc>
      </w:tr>
      <w:tr w:rsidR="00750932">
        <w:trPr>
          <w:cantSplit/>
        </w:trPr>
        <w:tc>
          <w:tcPr>
            <w:tcW w:w="468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Камни правой почки</w:t>
            </w:r>
          </w:p>
        </w:tc>
        <w:tc>
          <w:tcPr>
            <w:tcW w:w="234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2221" w:type="dxa"/>
          </w:tcPr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10,41</w:t>
            </w:r>
          </w:p>
        </w:tc>
      </w:tr>
      <w:tr w:rsidR="00750932">
        <w:trPr>
          <w:cantSplit/>
        </w:trPr>
        <w:tc>
          <w:tcPr>
            <w:tcW w:w="468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Камни левой почки</w:t>
            </w:r>
          </w:p>
        </w:tc>
        <w:tc>
          <w:tcPr>
            <w:tcW w:w="234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2221" w:type="dxa"/>
          </w:tcPr>
          <w:p w:rsidR="00750932" w:rsidRDefault="00816126">
            <w:pPr>
              <w:spacing w:after="0" w:line="240" w:lineRule="auto"/>
              <w:ind w:firstLine="54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11,11</w:t>
            </w:r>
          </w:p>
        </w:tc>
      </w:tr>
      <w:tr w:rsidR="00750932">
        <w:trPr>
          <w:cantSplit/>
        </w:trPr>
        <w:tc>
          <w:tcPr>
            <w:tcW w:w="468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234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2221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100</w:t>
            </w:r>
          </w:p>
        </w:tc>
      </w:tr>
    </w:tbl>
    <w:p w:rsidR="00750932" w:rsidRDefault="00750932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right="-5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Конкременты почки различной локализации выявлены у 79 пациентов, из них камень правой почки обнаружили у 25,0%, левой почки у 18,05%, обеих почек в 11,80% случаях. Коралловидные камни (КК) выявлены у 34 пациентов, из них справа отмечены в 11,11% случаях, с</w:t>
      </w:r>
      <w:r>
        <w:rPr>
          <w:rFonts w:ascii="Times New Roman" w:hAnsi="Times New Roman"/>
          <w:sz w:val="28"/>
          <w:szCs w:val="28"/>
        </w:rPr>
        <w:t xml:space="preserve">лева - 8,33%, двусторонние КК - 4,16%, соответственно. </w:t>
      </w:r>
      <w:r>
        <w:rPr>
          <w:rFonts w:ascii="Times New Roman" w:hAnsi="Times New Roman"/>
          <w:color w:val="000000"/>
          <w:sz w:val="28"/>
          <w:szCs w:val="28"/>
        </w:rPr>
        <w:t xml:space="preserve">Конкременты правой почки обнаружили у 15 пациентов (10,41%), а левой почки в 16 случаях (11,11%).  </w:t>
      </w:r>
    </w:p>
    <w:p w:rsidR="00750932" w:rsidRDefault="00816126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пациентов по стороне локализации камней представлено в таблице 10.</w:t>
      </w:r>
    </w:p>
    <w:p w:rsidR="00750932" w:rsidRDefault="00750932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10 - </w:t>
      </w:r>
      <w:r>
        <w:rPr>
          <w:rFonts w:ascii="Times New Roman" w:hAnsi="Times New Roman"/>
          <w:sz w:val="28"/>
          <w:szCs w:val="28"/>
        </w:rPr>
        <w:t>Распределение пациентов по стороне локализации конкрементов</w:t>
      </w:r>
    </w:p>
    <w:p w:rsidR="00750932" w:rsidRDefault="00750932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</w:p>
    <w:tbl>
      <w:tblPr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417"/>
        <w:gridCol w:w="1418"/>
        <w:gridCol w:w="1559"/>
        <w:gridCol w:w="1559"/>
        <w:gridCol w:w="1270"/>
      </w:tblGrid>
      <w:tr w:rsidR="00750932">
        <w:trPr>
          <w:trHeight w:val="477"/>
          <w:jc w:val="center"/>
        </w:trPr>
        <w:tc>
          <w:tcPr>
            <w:tcW w:w="2124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Показатели </w:t>
            </w:r>
          </w:p>
        </w:tc>
        <w:tc>
          <w:tcPr>
            <w:tcW w:w="4394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Группа больных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Всего (%) </w:t>
            </w:r>
          </w:p>
        </w:tc>
        <w:tc>
          <w:tcPr>
            <w:tcW w:w="1270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477"/>
          <w:jc w:val="center"/>
        </w:trPr>
        <w:tc>
          <w:tcPr>
            <w:tcW w:w="2124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2-я группа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0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8"/>
          <w:jc w:val="center"/>
        </w:trPr>
        <w:tc>
          <w:tcPr>
            <w:tcW w:w="2124" w:type="dxa"/>
          </w:tcPr>
          <w:p w:rsidR="00750932" w:rsidRDefault="00816126">
            <w:pPr>
              <w:spacing w:after="0" w:line="240" w:lineRule="auto"/>
              <w:ind w:right="-56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Справа</w:t>
            </w:r>
          </w:p>
        </w:tc>
        <w:tc>
          <w:tcPr>
            <w:tcW w:w="141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38 (51,35)</w:t>
            </w:r>
          </w:p>
        </w:tc>
        <w:tc>
          <w:tcPr>
            <w:tcW w:w="1418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 (32,69)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 (44,44)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63 (43,75)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0932" w:rsidRDefault="0075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0,2697</w:t>
            </w:r>
          </w:p>
        </w:tc>
      </w:tr>
      <w:tr w:rsidR="00750932">
        <w:trPr>
          <w:trHeight w:val="368"/>
          <w:jc w:val="center"/>
        </w:trPr>
        <w:tc>
          <w:tcPr>
            <w:tcW w:w="2124" w:type="dxa"/>
          </w:tcPr>
          <w:p w:rsidR="00750932" w:rsidRDefault="00816126">
            <w:pPr>
              <w:spacing w:after="0" w:line="240" w:lineRule="auto"/>
              <w:ind w:right="-56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Слева</w:t>
            </w:r>
          </w:p>
        </w:tc>
        <w:tc>
          <w:tcPr>
            <w:tcW w:w="141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 (32,43)</w:t>
            </w:r>
          </w:p>
        </w:tc>
        <w:tc>
          <w:tcPr>
            <w:tcW w:w="1418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26 (50)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 (44,44)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58 (40,28)</w:t>
            </w:r>
          </w:p>
        </w:tc>
        <w:tc>
          <w:tcPr>
            <w:tcW w:w="1270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  <w:jc w:val="center"/>
        </w:trPr>
        <w:tc>
          <w:tcPr>
            <w:tcW w:w="2124" w:type="dxa"/>
          </w:tcPr>
          <w:p w:rsidR="00750932" w:rsidRDefault="00816126">
            <w:pPr>
              <w:spacing w:after="0" w:line="240" w:lineRule="auto"/>
              <w:ind w:right="-56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Двухсторонние</w:t>
            </w:r>
          </w:p>
          <w:p w:rsidR="00750932" w:rsidRDefault="00816126">
            <w:pPr>
              <w:spacing w:after="0" w:line="240" w:lineRule="auto"/>
              <w:ind w:right="-567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камни</w:t>
            </w:r>
          </w:p>
        </w:tc>
        <w:tc>
          <w:tcPr>
            <w:tcW w:w="1417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 (16,22)</w:t>
            </w:r>
          </w:p>
        </w:tc>
        <w:tc>
          <w:tcPr>
            <w:tcW w:w="1418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 (17,31)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 (11,11)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23 (15,97)</w:t>
            </w:r>
          </w:p>
        </w:tc>
        <w:tc>
          <w:tcPr>
            <w:tcW w:w="1270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  <w:jc w:val="center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таблицы 10 видно, что у 121 пациента с МКБ </w:t>
      </w:r>
      <w:r>
        <w:rPr>
          <w:rFonts w:ascii="Times New Roman" w:eastAsia="Calibri" w:hAnsi="Times New Roman"/>
          <w:sz w:val="28"/>
          <w:szCs w:val="28"/>
        </w:rPr>
        <w:t>не имело различий</w:t>
      </w:r>
      <w:r>
        <w:rPr>
          <w:rFonts w:ascii="Times New Roman" w:hAnsi="Times New Roman"/>
          <w:sz w:val="28"/>
          <w:szCs w:val="28"/>
        </w:rPr>
        <w:t xml:space="preserve">, что составило 43,75%, 40,28% </w:t>
      </w:r>
      <w:r>
        <w:rPr>
          <w:rFonts w:ascii="Times New Roman" w:hAnsi="Times New Roman"/>
          <w:sz w:val="28"/>
          <w:szCs w:val="28"/>
        </w:rPr>
        <w:t>соответственно. Двусторонний характер МКБ отмечен у 23 пациентов, что составило 15,97%.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11 - Распределение пациентов по локализации конкрементов в почке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1226"/>
        <w:gridCol w:w="1578"/>
        <w:gridCol w:w="1419"/>
        <w:gridCol w:w="1361"/>
        <w:gridCol w:w="1581"/>
      </w:tblGrid>
      <w:tr w:rsidR="00750932">
        <w:trPr>
          <w:trHeight w:val="245"/>
        </w:trPr>
        <w:tc>
          <w:tcPr>
            <w:tcW w:w="1214" w:type="pct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Локализация камня</w:t>
            </w:r>
          </w:p>
        </w:tc>
        <w:tc>
          <w:tcPr>
            <w:tcW w:w="2951" w:type="pct"/>
            <w:gridSpan w:val="4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больных (%)</w:t>
            </w:r>
          </w:p>
        </w:tc>
        <w:tc>
          <w:tcPr>
            <w:tcW w:w="835" w:type="pct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535"/>
        </w:trPr>
        <w:tc>
          <w:tcPr>
            <w:tcW w:w="1214" w:type="pct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648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группа</w:t>
            </w:r>
          </w:p>
        </w:tc>
        <w:tc>
          <w:tcPr>
            <w:tcW w:w="83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группа</w:t>
            </w:r>
          </w:p>
        </w:tc>
        <w:tc>
          <w:tcPr>
            <w:tcW w:w="75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3-я группа</w:t>
            </w:r>
          </w:p>
        </w:tc>
        <w:tc>
          <w:tcPr>
            <w:tcW w:w="719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(%)</w:t>
            </w:r>
          </w:p>
        </w:tc>
        <w:tc>
          <w:tcPr>
            <w:tcW w:w="835" w:type="pct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92"/>
        </w:trPr>
        <w:tc>
          <w:tcPr>
            <w:tcW w:w="1214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Лоханка</w:t>
            </w:r>
          </w:p>
        </w:tc>
        <w:tc>
          <w:tcPr>
            <w:tcW w:w="648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41 (28,4)</w:t>
            </w:r>
          </w:p>
        </w:tc>
        <w:tc>
          <w:tcPr>
            <w:tcW w:w="83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 (10,4)</w:t>
            </w:r>
          </w:p>
        </w:tc>
        <w:tc>
          <w:tcPr>
            <w:tcW w:w="75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 (7,6)</w:t>
            </w:r>
          </w:p>
        </w:tc>
        <w:tc>
          <w:tcPr>
            <w:tcW w:w="719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67 (46,5)</w:t>
            </w:r>
          </w:p>
        </w:tc>
        <w:tc>
          <w:tcPr>
            <w:tcW w:w="83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0,0052</w:t>
            </w:r>
          </w:p>
        </w:tc>
      </w:tr>
      <w:tr w:rsidR="00750932">
        <w:trPr>
          <w:trHeight w:val="292"/>
        </w:trPr>
        <w:tc>
          <w:tcPr>
            <w:tcW w:w="1214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Лоханочно-мочеточниковый сегмент (ЛМС)</w:t>
            </w:r>
          </w:p>
        </w:tc>
        <w:tc>
          <w:tcPr>
            <w:tcW w:w="648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 (5,5)</w:t>
            </w:r>
          </w:p>
        </w:tc>
        <w:tc>
          <w:tcPr>
            <w:tcW w:w="83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 (1,3)</w:t>
            </w:r>
          </w:p>
        </w:tc>
        <w:tc>
          <w:tcPr>
            <w:tcW w:w="75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(0,7)</w:t>
            </w:r>
          </w:p>
        </w:tc>
        <w:tc>
          <w:tcPr>
            <w:tcW w:w="719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 (7,6)</w:t>
            </w:r>
          </w:p>
        </w:tc>
        <w:tc>
          <w:tcPr>
            <w:tcW w:w="83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0,0062</w:t>
            </w:r>
          </w:p>
        </w:tc>
      </w:tr>
      <w:tr w:rsidR="00750932">
        <w:trPr>
          <w:trHeight w:val="292"/>
        </w:trPr>
        <w:tc>
          <w:tcPr>
            <w:tcW w:w="1214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Нижняя чашечка</w:t>
            </w:r>
          </w:p>
        </w:tc>
        <w:tc>
          <w:tcPr>
            <w:tcW w:w="648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 (8,3)</w:t>
            </w:r>
          </w:p>
        </w:tc>
        <w:tc>
          <w:tcPr>
            <w:tcW w:w="83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 (17,36)</w:t>
            </w:r>
          </w:p>
        </w:tc>
        <w:tc>
          <w:tcPr>
            <w:tcW w:w="75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 (2,08)</w:t>
            </w:r>
          </w:p>
        </w:tc>
        <w:tc>
          <w:tcPr>
            <w:tcW w:w="719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40 (27,7)</w:t>
            </w:r>
          </w:p>
        </w:tc>
        <w:tc>
          <w:tcPr>
            <w:tcW w:w="835" w:type="pct"/>
            <w:vMerge w:val="restart"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0,0037</w:t>
            </w:r>
          </w:p>
        </w:tc>
      </w:tr>
      <w:tr w:rsidR="00750932">
        <w:trPr>
          <w:trHeight w:val="292"/>
        </w:trPr>
        <w:tc>
          <w:tcPr>
            <w:tcW w:w="1214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чашечка</w:t>
            </w:r>
          </w:p>
        </w:tc>
        <w:tc>
          <w:tcPr>
            <w:tcW w:w="648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 (5,5)</w:t>
            </w:r>
          </w:p>
        </w:tc>
        <w:tc>
          <w:tcPr>
            <w:tcW w:w="83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(3,4)</w:t>
            </w:r>
          </w:p>
        </w:tc>
        <w:tc>
          <w:tcPr>
            <w:tcW w:w="75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(0,7)</w:t>
            </w:r>
          </w:p>
        </w:tc>
        <w:tc>
          <w:tcPr>
            <w:tcW w:w="719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 (9,7%)</w:t>
            </w:r>
          </w:p>
        </w:tc>
        <w:tc>
          <w:tcPr>
            <w:tcW w:w="835" w:type="pct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92"/>
        </w:trPr>
        <w:tc>
          <w:tcPr>
            <w:tcW w:w="1214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Верхняя </w:t>
            </w:r>
            <w:r>
              <w:rPr>
                <w:rFonts w:ascii="Times New Roman" w:hAnsi="Times New Roman"/>
                <w:sz w:val="28"/>
                <w:szCs w:val="28"/>
              </w:rPr>
              <w:t>чашечка</w:t>
            </w:r>
          </w:p>
        </w:tc>
        <w:tc>
          <w:tcPr>
            <w:tcW w:w="648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(3,4)</w:t>
            </w:r>
          </w:p>
        </w:tc>
        <w:tc>
          <w:tcPr>
            <w:tcW w:w="83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 (3,4)</w:t>
            </w:r>
          </w:p>
        </w:tc>
        <w:tc>
          <w:tcPr>
            <w:tcW w:w="75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 (1,3)</w:t>
            </w:r>
          </w:p>
        </w:tc>
        <w:tc>
          <w:tcPr>
            <w:tcW w:w="719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 (8,3)</w:t>
            </w:r>
          </w:p>
        </w:tc>
        <w:tc>
          <w:tcPr>
            <w:tcW w:w="835" w:type="pct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92"/>
        </w:trPr>
        <w:tc>
          <w:tcPr>
            <w:tcW w:w="1214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648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74 (51,3) </w:t>
            </w:r>
          </w:p>
        </w:tc>
        <w:tc>
          <w:tcPr>
            <w:tcW w:w="83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52 (36,1) </w:t>
            </w:r>
          </w:p>
        </w:tc>
        <w:tc>
          <w:tcPr>
            <w:tcW w:w="75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 (12,5)</w:t>
            </w:r>
          </w:p>
        </w:tc>
        <w:tc>
          <w:tcPr>
            <w:tcW w:w="719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144 (100)</w:t>
            </w:r>
          </w:p>
        </w:tc>
        <w:tc>
          <w:tcPr>
            <w:tcW w:w="835" w:type="pct"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92"/>
        </w:trPr>
        <w:tc>
          <w:tcPr>
            <w:tcW w:w="5000" w:type="pct"/>
            <w:gridSpan w:val="6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р&lt; 0,05</w:t>
            </w:r>
          </w:p>
        </w:tc>
      </w:tr>
    </w:tbl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данным таблицы 11, </w:t>
      </w:r>
      <w:r>
        <w:rPr>
          <w:rFonts w:ascii="Times New Roman" w:hAnsi="Times New Roman"/>
          <w:sz w:val="28"/>
          <w:szCs w:val="28"/>
        </w:rPr>
        <w:t xml:space="preserve">конкременты почки различной локализации выявлены у 144 </w:t>
      </w:r>
      <w:r>
        <w:rPr>
          <w:rFonts w:ascii="Times New Roman" w:hAnsi="Times New Roman"/>
          <w:sz w:val="28"/>
          <w:szCs w:val="28"/>
        </w:rPr>
        <w:t>пациентов, в том числе камни в нижней чашечке в 40 случаях (27,7%), в средней чашечке 9,7% и в верхней чашечке 8,3%. Среди пациентов с конкрементами почки наиболее распространенной явилась локализация камней в лоханке – у 67 пациентов (46,5%). В 11 случаях</w:t>
      </w:r>
      <w:r>
        <w:rPr>
          <w:rFonts w:ascii="Times New Roman" w:hAnsi="Times New Roman"/>
          <w:sz w:val="28"/>
          <w:szCs w:val="28"/>
        </w:rPr>
        <w:t xml:space="preserve"> с камнями лоханки, встречалась локализация конкрементов в в/3 мочеточника.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12 - Распределение пациентов по размеру конкрементов</w:t>
      </w:r>
    </w:p>
    <w:p w:rsidR="00750932" w:rsidRDefault="00750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28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2"/>
        <w:gridCol w:w="3124"/>
        <w:gridCol w:w="2943"/>
      </w:tblGrid>
      <w:tr w:rsidR="00750932">
        <w:trPr>
          <w:cantSplit/>
        </w:trPr>
        <w:tc>
          <w:tcPr>
            <w:tcW w:w="3222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конкремента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(см)</w:t>
            </w:r>
          </w:p>
        </w:tc>
        <w:tc>
          <w:tcPr>
            <w:tcW w:w="6067" w:type="dxa"/>
            <w:gridSpan w:val="2"/>
          </w:tcPr>
          <w:p w:rsidR="00750932" w:rsidRDefault="00816126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пациентов</w:t>
            </w:r>
          </w:p>
        </w:tc>
      </w:tr>
      <w:tr w:rsidR="00750932">
        <w:trPr>
          <w:cantSplit/>
        </w:trPr>
        <w:tc>
          <w:tcPr>
            <w:tcW w:w="3222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Абс. число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750932">
        <w:trPr>
          <w:cantSplit/>
        </w:trPr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1,5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25,6</w:t>
            </w:r>
          </w:p>
        </w:tc>
      </w:tr>
      <w:tr w:rsidR="00750932"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1,5-2,0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20,8</w:t>
            </w:r>
          </w:p>
        </w:tc>
      </w:tr>
      <w:tr w:rsidR="00750932"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2,1-3,0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18,0</w:t>
            </w:r>
          </w:p>
        </w:tc>
      </w:tr>
      <w:tr w:rsidR="00750932"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3,1-4,0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750932"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4,1-5,0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6,25</w:t>
            </w:r>
          </w:p>
        </w:tc>
      </w:tr>
      <w:tr w:rsidR="00750932"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5,1-6,0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750932"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6,1-10,0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</w:tr>
      <w:tr w:rsidR="00750932">
        <w:tc>
          <w:tcPr>
            <w:tcW w:w="322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31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29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наибольшего количества пациентов (25,6%) размер камней составил от 1,0 до 1,5 см. Камни размерами 1,5-2,0 см у 20,8% пациентов, 2,1-3,0 см. –  18,0%, 3,1-4,0 см. – 10,4%,</w:t>
      </w:r>
      <w:r>
        <w:rPr>
          <w:rFonts w:ascii="Times New Roman" w:hAnsi="Times New Roman"/>
          <w:sz w:val="28"/>
          <w:szCs w:val="28"/>
        </w:rPr>
        <w:t xml:space="preserve"> 4,1-5,0 см. – 6,25%, 5,1-6,0 см. – 10,4%, соответственно. У 12 пациентов (8,3%) размер конкрементов составил 6,1-10,0 см.</w:t>
      </w:r>
    </w:p>
    <w:p w:rsidR="00750932" w:rsidRDefault="00750932">
      <w:pPr>
        <w:tabs>
          <w:tab w:val="left" w:pos="540"/>
        </w:tabs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13 - Методы дренирования верхних мочевых путей</w:t>
      </w:r>
    </w:p>
    <w:p w:rsidR="00750932" w:rsidRDefault="00750932">
      <w:pPr>
        <w:tabs>
          <w:tab w:val="left" w:pos="54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page" w:tblpX="1735" w:tblpY="76"/>
        <w:tblOverlap w:val="never"/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5"/>
        <w:gridCol w:w="1366"/>
        <w:gridCol w:w="5169"/>
      </w:tblGrid>
      <w:tr w:rsidR="00750932">
        <w:trPr>
          <w:trHeight w:val="437"/>
        </w:trPr>
        <w:tc>
          <w:tcPr>
            <w:tcW w:w="9440" w:type="dxa"/>
            <w:gridSpan w:val="3"/>
            <w:vAlign w:val="center"/>
          </w:tcPr>
          <w:p w:rsidR="00750932" w:rsidRDefault="00816126">
            <w:pPr>
              <w:tabs>
                <w:tab w:val="left" w:pos="54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Методы дренирования</w:t>
            </w:r>
          </w:p>
        </w:tc>
      </w:tr>
      <w:tr w:rsidR="00750932">
        <w:trPr>
          <w:trHeight w:val="447"/>
        </w:trPr>
        <w:tc>
          <w:tcPr>
            <w:tcW w:w="4271" w:type="dxa"/>
            <w:gridSpan w:val="2"/>
            <w:vAlign w:val="center"/>
          </w:tcPr>
          <w:p w:rsidR="00750932" w:rsidRDefault="00816126">
            <w:pPr>
              <w:tabs>
                <w:tab w:val="left" w:pos="54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Нефростомия</w:t>
            </w:r>
          </w:p>
        </w:tc>
        <w:tc>
          <w:tcPr>
            <w:tcW w:w="5169" w:type="dxa"/>
            <w:vAlign w:val="center"/>
          </w:tcPr>
          <w:p w:rsidR="00750932" w:rsidRDefault="00816126">
            <w:pPr>
              <w:tabs>
                <w:tab w:val="left" w:pos="54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Стентирование</w:t>
            </w:r>
          </w:p>
        </w:tc>
      </w:tr>
      <w:tr w:rsidR="00750932">
        <w:trPr>
          <w:trHeight w:val="351"/>
        </w:trPr>
        <w:tc>
          <w:tcPr>
            <w:tcW w:w="2905" w:type="dxa"/>
            <w:tcBorders>
              <w:right w:val="nil"/>
            </w:tcBorders>
            <w:vAlign w:val="center"/>
          </w:tcPr>
          <w:p w:rsidR="00750932" w:rsidRDefault="00816126">
            <w:pPr>
              <w:tabs>
                <w:tab w:val="left" w:pos="54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(22,2%)</w:t>
            </w:r>
          </w:p>
        </w:tc>
        <w:tc>
          <w:tcPr>
            <w:tcW w:w="1366" w:type="dxa"/>
            <w:tcBorders>
              <w:left w:val="nil"/>
            </w:tcBorders>
            <w:vAlign w:val="center"/>
          </w:tcPr>
          <w:p w:rsidR="00750932" w:rsidRDefault="00750932">
            <w:pPr>
              <w:tabs>
                <w:tab w:val="left" w:pos="54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69" w:type="dxa"/>
            <w:vAlign w:val="center"/>
          </w:tcPr>
          <w:p w:rsidR="00750932" w:rsidRDefault="00816126">
            <w:pPr>
              <w:tabs>
                <w:tab w:val="left" w:pos="54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(22,2%)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3 группе 18 пациентам проводили комбинированный метод лечения, у 8 пациентов комбинированный метод выполнен в 2 этапа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(первый этап - перкутанная нефростомия или установка стент-катетера). </w:t>
      </w:r>
    </w:p>
    <w:p w:rsidR="00750932" w:rsidRDefault="0081612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Из 144 обследованных пациентов 122 были казахи (85%), а остальные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22 пациента разной национальности, что составило (15%).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val="kk-KZ"/>
        </w:rPr>
        <w:t>3</w:t>
      </w:r>
      <w:r>
        <w:rPr>
          <w:rFonts w:ascii="Times New Roman" w:eastAsia="Calibri" w:hAnsi="Times New Roman"/>
          <w:b/>
          <w:color w:val="000000"/>
          <w:sz w:val="28"/>
          <w:szCs w:val="28"/>
        </w:rPr>
        <w:t xml:space="preserve"> РЕЗУЛЬТАТЫ СОБСТВЕННЫХ ИССЛЕДОВАНИЙ. </w:t>
      </w:r>
      <w:r>
        <w:rPr>
          <w:rFonts w:ascii="Times New Roman" w:eastAsia="Calibri" w:hAnsi="Times New Roman"/>
          <w:b/>
          <w:sz w:val="28"/>
          <w:szCs w:val="28"/>
        </w:rPr>
        <w:t>РЕЗУЛЬТАТЫ СРАВНИТЕЛЬНОЙ ОЦЕНКИ ЭФФЕКТИВНОСТИ МАЛОИНВАЗИВНЫХ МЕТОДОВ ЛЕЧЕНИЯ МОЧЕКАМЕННОЙ БОЛЕЗНИ</w:t>
      </w:r>
    </w:p>
    <w:p w:rsidR="00750932" w:rsidRDefault="00750932">
      <w:pPr>
        <w:pStyle w:val="ab"/>
        <w:spacing w:after="0" w:line="240" w:lineRule="auto"/>
        <w:ind w:left="0" w:firstLine="567"/>
        <w:rPr>
          <w:rFonts w:ascii="Times New Roman" w:eastAsia="Calibri" w:hAnsi="Times New Roman"/>
          <w:b/>
          <w:color w:val="000000"/>
          <w:sz w:val="28"/>
          <w:szCs w:val="28"/>
        </w:rPr>
      </w:pPr>
    </w:p>
    <w:p w:rsidR="00750932" w:rsidRDefault="00816126">
      <w:pPr>
        <w:pStyle w:val="ab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</w:rPr>
        <w:t xml:space="preserve">3.1 Мета–анализ </w:t>
      </w:r>
      <w:r>
        <w:rPr>
          <w:rFonts w:ascii="Times New Roman" w:hAnsi="Times New Roman"/>
          <w:b/>
          <w:sz w:val="28"/>
          <w:szCs w:val="28"/>
        </w:rPr>
        <w:t xml:space="preserve">малоинвазивных </w:t>
      </w:r>
      <w:r>
        <w:rPr>
          <w:rFonts w:ascii="Times New Roman" w:hAnsi="Times New Roman"/>
          <w:b/>
          <w:sz w:val="28"/>
          <w:szCs w:val="28"/>
        </w:rPr>
        <w:t>методов лечения мочекаменной болезни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С целью </w:t>
      </w:r>
      <w:r>
        <w:rPr>
          <w:rFonts w:ascii="Times New Roman" w:hAnsi="Times New Roman"/>
          <w:sz w:val="28"/>
          <w:szCs w:val="28"/>
        </w:rPr>
        <w:t>сравнения эффективности различных хирургических методов лечения МКБ мы провели м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ета–анализ </w:t>
      </w:r>
      <w:r>
        <w:rPr>
          <w:rFonts w:ascii="Times New Roman" w:hAnsi="Times New Roman"/>
          <w:sz w:val="28"/>
          <w:szCs w:val="28"/>
        </w:rPr>
        <w:t xml:space="preserve">малоинвазивных методов лечения мочекаменной болезни. В мета–анализе мы дали </w:t>
      </w:r>
      <w:r>
        <w:rPr>
          <w:rFonts w:ascii="Times New Roman" w:eastAsia="Calibri" w:hAnsi="Times New Roman"/>
          <w:color w:val="000000"/>
          <w:sz w:val="28"/>
          <w:szCs w:val="28"/>
        </w:rPr>
        <w:t>объективную оценку существующих методов лече</w:t>
      </w:r>
      <w:r>
        <w:rPr>
          <w:rFonts w:ascii="Times New Roman" w:eastAsia="Calibri" w:hAnsi="Times New Roman"/>
          <w:color w:val="000000"/>
          <w:sz w:val="28"/>
          <w:szCs w:val="28"/>
        </w:rPr>
        <w:t>ния МКБ, также провели анализ в сравнительном аспекте эффективности различных малоинвазивных методов лечения.</w:t>
      </w:r>
    </w:p>
    <w:p w:rsidR="00750932" w:rsidRDefault="00816126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В мета-анализе были использованы </w:t>
      </w:r>
      <w:r>
        <w:rPr>
          <w:rFonts w:ascii="Times New Roman" w:hAnsi="Times New Roman"/>
          <w:sz w:val="28"/>
          <w:szCs w:val="28"/>
          <w:lang w:val="en-US"/>
        </w:rPr>
        <w:t>EMBASE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MEDLINE</w:t>
      </w:r>
      <w:r>
        <w:rPr>
          <w:rFonts w:ascii="Times New Roman" w:hAnsi="Times New Roman"/>
          <w:sz w:val="28"/>
          <w:szCs w:val="28"/>
        </w:rPr>
        <w:t xml:space="preserve">, базы данных Кокрейна, </w:t>
      </w:r>
      <w:r>
        <w:rPr>
          <w:rFonts w:ascii="Times New Roman" w:hAnsi="Times New Roman"/>
          <w:sz w:val="28"/>
          <w:szCs w:val="28"/>
          <w:lang w:val="en-US"/>
        </w:rPr>
        <w:t>GoogleScholar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PubMed</w:t>
      </w:r>
      <w:r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:rsidR="00750932" w:rsidRDefault="00816126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Поисковыеслова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 xml:space="preserve">Extracorporeal shock wave </w:t>
      </w:r>
      <w:r>
        <w:rPr>
          <w:rFonts w:ascii="Times New Roman" w:hAnsi="Times New Roman"/>
          <w:sz w:val="28"/>
          <w:szCs w:val="28"/>
          <w:lang w:val="en-US"/>
        </w:rPr>
        <w:t>lithotripsy (ESWL), percutaneous nephrolithotripsy (PCNL), retrograde intrarenal surgery (RIRS).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нашей работе представлен систематический литературный поиск в базах данных за 30 лет, включительно по 2019 год на английском языке. </w:t>
      </w:r>
    </w:p>
    <w:p w:rsidR="00750932" w:rsidRDefault="00816126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ПабМед (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PubMed</w:t>
      </w:r>
      <w:r>
        <w:rPr>
          <w:rFonts w:ascii="Times New Roman" w:eastAsia="Calibri" w:hAnsi="Times New Roman"/>
          <w:color w:val="000000"/>
          <w:sz w:val="28"/>
          <w:szCs w:val="28"/>
        </w:rPr>
        <w:t>)</w:t>
      </w:r>
      <w:r>
        <w:rPr>
          <w:rFonts w:ascii="Times New Roman" w:eastAsia="Calibri" w:hAnsi="Times New Roman"/>
          <w:sz w:val="28"/>
          <w:szCs w:val="28"/>
        </w:rPr>
        <w:t xml:space="preserve"> – 83 ста</w:t>
      </w:r>
      <w:r>
        <w:rPr>
          <w:rFonts w:ascii="Times New Roman" w:eastAsia="Calibri" w:hAnsi="Times New Roman"/>
          <w:sz w:val="28"/>
          <w:szCs w:val="28"/>
        </w:rPr>
        <w:t>тьи.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Критерии включения:  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- контролируемые </w:t>
      </w:r>
      <w:r>
        <w:rPr>
          <w:rFonts w:ascii="Times New Roman" w:hAnsi="Times New Roman"/>
          <w:sz w:val="28"/>
          <w:szCs w:val="28"/>
        </w:rPr>
        <w:t>клинические исследования, связанные с различными подходами хирургического лечения мочекаменной болезни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(рандомизированные, проспективные, ретроспективные с оценкой результатов применения малоинвазивных методов ле</w:t>
      </w:r>
      <w:r>
        <w:rPr>
          <w:rFonts w:ascii="Times New Roman" w:eastAsia="Calibri" w:hAnsi="Times New Roman"/>
          <w:color w:val="000000"/>
          <w:sz w:val="28"/>
          <w:szCs w:val="28"/>
        </w:rPr>
        <w:t>чения МКБ);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- объект исследования – люди. 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 Критерии исключения: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- описание случая или серии случаев; 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- обзорные статьи. </w:t>
      </w:r>
    </w:p>
    <w:p w:rsidR="00750932" w:rsidRDefault="00816126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проведенном систематическом обзоре представлены в основном сведения о малоинвазивных методах лечения мочекаменной болезни.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Алгоритм </w:t>
      </w:r>
      <w:r>
        <w:rPr>
          <w:rFonts w:ascii="Times New Roman" w:eastAsia="Calibri" w:hAnsi="Times New Roman"/>
          <w:color w:val="000000"/>
          <w:sz w:val="28"/>
          <w:szCs w:val="28"/>
        </w:rPr>
        <w:t>отбора исследовательских работ представлен на рисунке 4, а характеристика включенных и исключенных исследований показана в таблицах 14, 15.</w:t>
      </w: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247390" cy="1000125"/>
                <wp:effectExtent l="0" t="0" r="0" b="9525"/>
                <wp:docPr id="55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4739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750932" w:rsidRDefault="008161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2919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результатов</w:t>
                            </w:r>
                          </w:p>
                          <w:p w:rsidR="00750932" w:rsidRDefault="00816126">
                            <w:pPr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Поисковыеслова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: Extracorporeal shock wave lithotripsy (ESWL), </w:t>
                            </w: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percutaneousnephrolithotripsy (PCNL), retrograde intrarenal surgery (RIRS)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shape id="Надпись 39" o:spid="_x0000_s1026" o:spt="202" type="#_x0000_t202" style="height:78.75pt;width:255.7pt;" fillcolor="#FFFFFF" filled="t" stroked="t" coordsize="21600,21600" o:gfxdata="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A1wQm2AAAAAUBAAAPAAAAAAAAAAEAIAAAACIAAABkcnMvZG93bnJldi54&#10;bWxQSwECFAAUAAAACACHTuJAMGZiJDMCAABgBAAADgAAAAAAAAABACAAAAAnAQAAZHJzL2Uyb0Rv&#10;Yy54bWxQSwUGAAAAAAYABgBZAQAAzAU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2919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результатов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Поисковыеслова</w:t>
                      </w:r>
                      <w:r>
                        <w:rPr>
                          <w:rFonts w:ascii="Times New Roman" w:hAnsi="Times New Roman"/>
                          <w:lang w:val="en-US"/>
                        </w:rPr>
                        <w:t>: Extracorporeal shock wave lithotripsy (ESWL), percutaneousnephrolithotripsy (PCNL), retrograde intrarenal surgery (RIRS)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66675" cy="390525"/>
                <wp:effectExtent l="19050" t="0" r="28575" b="28575"/>
                <wp:wrapNone/>
                <wp:docPr id="54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675" cy="390525"/>
                        </a:xfrm>
                        <a:prstGeom prst="downArrow">
                          <a:avLst>
                            <a:gd name="adj1" fmla="val 50000"/>
                            <a:gd name="adj2" fmla="val 5000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Стрелка вниз 18" o:spid="_x0000_s1026" o:spt="67" type="#_x0000_t67" style="position:absolute;left:0pt;margin-top:8.3pt;height:30.75pt;width:5.25pt;mso-position-horizontal:center;mso-position-horizontal-relative:margin;z-index:251672576;v-text-anchor:middle;mso-width-relative:page;mso-height-relative:page;" fillcolor="#FFFFFF" filled="t" stroked="t" coordsize="21600,21600" o:gfxdata="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yUv/TtUAAAAFAQAADwAA&#10;AAAAAAABACAAAAAiAAAAZHJzL2Rvd25yZXYueG1sUEsBAhQAFAAAAAgAh07iQFsRWWdSAgAAqQQA&#10;AA4AAAAAAAAAAQAgAAAAJAEAAGRycy9lMm9Eb2MueG1sUEsFBgAAAAAGAAYAWQEAAOgFAAAAAA==&#10;" adj="19756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Исключены тезисы, дублированные статьи   </w:t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hAnsi="Times New Roman"/>
          <w:szCs w:val="28"/>
        </w:rPr>
      </w:pP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3101340</wp:posOffset>
                </wp:positionH>
                <wp:positionV relativeFrom="paragraph">
                  <wp:posOffset>66675</wp:posOffset>
                </wp:positionV>
                <wp:extent cx="2686050" cy="581025"/>
                <wp:effectExtent l="0" t="0" r="0" b="9525"/>
                <wp:wrapNone/>
                <wp:docPr id="5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860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750932" w:rsidRDefault="008161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 xml:space="preserve">6 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очетов</w:t>
                            </w: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Renal Group Register</w:t>
                            </w:r>
                          </w:p>
                          <w:p w:rsidR="00750932" w:rsidRDefault="00750932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угольник 6" o:spid="_x0000_s1026" o:spt="1" style="position:absolute;left:0pt;margin-left:244.2pt;margin-top:5.25pt;height:45.75pt;width:211.5pt;mso-position-horizontal-relative:margin;z-index:251666432;v-text-anchor:middle;mso-width-relative:page;mso-height-relative:page;" fillcolor="#FFFFFF" filled="t" stroked="t" coordsize="21600,21600" o:gfxdata="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LL9JPtUAAAAKAQAADwAAAAAAAAABACAAAAAiAAAAZHJzL2Rvd25y&#10;ZXYueG1sUEsBAhQAFAAAAAgAh07iQAQZK406AgAAYgQAAA4AAAAAAAAAAQAgAAAAJAEAAGRycy9l&#10;Mm9Eb2MueG1sUEsFBgAAAAAGAAYAWQEAANA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 xml:space="preserve">6 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очетов</w:t>
                      </w:r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Renal Group Register</w:t>
                      </w:r>
                    </w:p>
                    <w:p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4711065</wp:posOffset>
                </wp:positionH>
                <wp:positionV relativeFrom="paragraph">
                  <wp:posOffset>3185160</wp:posOffset>
                </wp:positionV>
                <wp:extent cx="9525" cy="838200"/>
                <wp:effectExtent l="0" t="0" r="9525" b="0"/>
                <wp:wrapNone/>
                <wp:docPr id="52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15" o:spid="_x0000_s1026" o:spt="20" style="position:absolute;left:0pt;flip:x y;margin-left:370.95pt;margin-top:250.8pt;height:66pt;width:0.75pt;mso-position-horizontal-relative:margin;z-index:251669504;mso-width-relative:page;mso-height-relative:page;" filled="f" stroked="t" coordsize="21600,21600" o:gfxdata="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Potvo3QAAAAsBAAAP&#10;AAAAAAAAAAEAIAAAACIAAABkcnMvZG93bnJldi54bWxQSwECFAAUAAAACACHTuJAqIBeZhMCAAD1&#10;AwAADgAAAAAAAAABACAAAAAsAQAAZHJzL2Uyb0RvYy54bWxQSwUGAAAAAAYABgBZAQAAsQUAAAAA&#10;">
                <v:fill on="f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3994785</wp:posOffset>
                </wp:positionV>
                <wp:extent cx="3752850" cy="9525"/>
                <wp:effectExtent l="0" t="0" r="0" b="9525"/>
                <wp:wrapNone/>
                <wp:docPr id="51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850" cy="95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12" o:spid="_x0000_s1026" o:spt="20" style="position:absolute;left:0pt;flip:y;margin-left:74.7pt;margin-top:314.55pt;height:0.75pt;width:295.5pt;z-index:251668480;mso-width-relative:page;mso-height-relative:page;" filled="f" stroked="t" coordsize="21600,21600" o:gfxdata="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wAZ8dcAAAALAQAADwAAAAAAAAAB&#10;ACAAAAAiAAAAZHJzL2Rvd25yZXYueG1sUEsBAhQAFAAAAAgAh07iQP45QesRAgAA7AMAAA4AAAAA&#10;AAAAAQAgAAAAJgEAAGRycy9lMm9Eb2MueG1sUEsFBgAAAAAGAAYAWQEAAKkFAAAAAA==&#10;">
                <v:fill on="f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2922905</wp:posOffset>
                </wp:positionH>
                <wp:positionV relativeFrom="paragraph">
                  <wp:posOffset>3999865</wp:posOffset>
                </wp:positionV>
                <wp:extent cx="76200" cy="333375"/>
                <wp:effectExtent l="19050" t="0" r="19050" b="28575"/>
                <wp:wrapNone/>
                <wp:docPr id="50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333375"/>
                        </a:xfrm>
                        <a:prstGeom prst="downArrow">
                          <a:avLst>
                            <a:gd name="adj1" fmla="val 50000"/>
                            <a:gd name="adj2" fmla="val 5000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Стрелка вниз 17" o:spid="_x0000_s1026" o:spt="67" type="#_x0000_t67" style="position:absolute;left:0pt;margin-left:230.15pt;margin-top:314.95pt;height:26.25pt;width:6pt;mso-position-horizontal-relative:margin;z-index:251671552;v-text-anchor:middle;mso-width-relative:page;mso-height-relative:page;" fillcolor="#FFFFFF" filled="t" stroked="t" coordsize="21600,21600" o:gfxdata="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B5PnS2QAAAAsBAAAP&#10;AAAAAAAAAAEAIAAAACIAAABkcnMvZG93bnJldi54bWxQSwECFAAUAAAACACHTuJADBVOc1ACAACp&#10;BAAADgAAAAAAAAABACAAAAAoAQAAZHJzL2Uyb0RvYy54bWxQSwUGAAAAAAYABgBZAQAA6gUAAAAA&#10;" adj="19131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675640</wp:posOffset>
                </wp:positionV>
                <wp:extent cx="76200" cy="333375"/>
                <wp:effectExtent l="19050" t="0" r="19050" b="28575"/>
                <wp:wrapNone/>
                <wp:docPr id="49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333375"/>
                        </a:xfrm>
                        <a:prstGeom prst="downArrow">
                          <a:avLst>
                            <a:gd name="adj1" fmla="val 50000"/>
                            <a:gd name="adj2" fmla="val 5000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Стрелка вниз 16" o:spid="_x0000_s1026" o:spt="67" type="#_x0000_t67" style="position:absolute;left:0pt;margin-left:365.25pt;margin-top:53.2pt;height:26.25pt;width:6pt;z-index:251670528;v-text-anchor:middle;mso-width-relative:page;mso-height-relative:page;" fillcolor="#FFFFFF" filled="t" stroked="t" coordsize="21600,21600" o:gfxdata="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QOwoPaAAAACwEA&#10;AA8AAAAAAAAAAQAgAAAAIgAAAGRycy9kb3ducmV2LnhtbFBLAQIUABQAAAAIAIdO4kBjEdZEUQIA&#10;AKkEAAAOAAAAAAAAAAEAIAAAACkBAABkcnMvZTJvRG9jLnhtbFBLBQYAAAAABgAGAFkBAADsBQAA&#10;AAA=&#10;" adj="19131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1042035</wp:posOffset>
                </wp:positionV>
                <wp:extent cx="2809875" cy="2124075"/>
                <wp:effectExtent l="0" t="0" r="9525" b="9525"/>
                <wp:wrapNone/>
                <wp:docPr id="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098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>Новые включе</w:t>
                            </w: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>нные исследования: 2 (4  отчет)</w:t>
                            </w: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>Исключенные новые исследования: 1 (1 отчет, 2009 ранее исключенные исследования)</w:t>
                            </w: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 xml:space="preserve">Текущие исследования: 2 </w:t>
                            </w:r>
                          </w:p>
                          <w:p w:rsidR="00750932" w:rsidRDefault="0075093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>Новые исключенные исследования: 10 (нет анализане вошедшего населения или переселенцев)</w:t>
                            </w:r>
                          </w:p>
                          <w:p w:rsidR="00750932" w:rsidRDefault="0075093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750932" w:rsidRDefault="007509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750932" w:rsidRDefault="00750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top:82.05pt;height:167.25pt;width:221.25pt;mso-position-horizontal:right;mso-position-horizontal-relative:margin;z-index:251665408;v-text-anchor:middle;mso-width-relative:page;mso-height-relative:page;" fillcolor="#FFFFFF" filled="t" stroked="t" coordsize="21600,21600" o:gfxdata="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Cq9V9YAAAAIAQAADwAAAAAA&#10;AAABACAAAAAiAAAAZHJzL2Rvd25yZXYueG1sUEsBAhQAFAAAAAgAh07iQFKtYAgVAgAAUgQAAA4A&#10;AAAAAAAAAQAgAAAAJQEAAGRycy9lMm9Eb2MueG1sUEsFBgAAAAAGAAYAWQEAAKw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Cs w:val="24"/>
                        </w:rPr>
                        <w:t>Новые включенные исследования: 2 (4  отчет)</w:t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Cs w:val="24"/>
                        </w:rPr>
                        <w:br w:type="textWrapping"/>
                      </w:r>
                      <w:r>
                        <w:rPr>
                          <w:rStyle w:val="52"/>
                          <w:rFonts w:ascii="Times New Roman" w:hAnsi="Times New Roman"/>
                          <w:szCs w:val="24"/>
                        </w:rPr>
                        <w:t>Исключенные новые исследования: 1 (1 отчет, 2009 ранее исключенные исследования)</w:t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Cs w:val="24"/>
                        </w:rPr>
                        <w:br w:type="textWrapping"/>
                      </w:r>
                      <w:r>
                        <w:rPr>
                          <w:rStyle w:val="52"/>
                          <w:rFonts w:ascii="Times New Roman" w:hAnsi="Times New Roman"/>
                          <w:szCs w:val="24"/>
                        </w:rPr>
                        <w:t xml:space="preserve">Текущие исследования: 2 </w:t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Cs w:val="24"/>
                        </w:rPr>
                        <w:t>Новые исключенные исследования: 10 (нет анализане вошедшего населения или переселенцев)</w:t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3665" distR="113665" simplePos="0" relativeHeight="251659264" behindDoc="0" locked="0" layoutInCell="1" allowOverlap="1">
                <wp:simplePos x="0" y="0"/>
                <wp:positionH relativeFrom="margin">
                  <wp:posOffset>957580</wp:posOffset>
                </wp:positionH>
                <wp:positionV relativeFrom="paragraph">
                  <wp:posOffset>2204085</wp:posOffset>
                </wp:positionV>
                <wp:extent cx="0" cy="1781175"/>
                <wp:effectExtent l="0" t="0" r="19050" b="0"/>
                <wp:wrapNone/>
                <wp:docPr id="47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7811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13" o:spid="_x0000_s1026" o:spt="20" style="position:absolute;left:0pt;flip:x y;margin-left:75.4pt;margin-top:173.55pt;height:140.25pt;width:0pt;mso-position-horizontal-relative:margin;z-index:251668480;mso-width-relative:page;mso-height-relative:page;" filled="f" stroked="t" coordsize="21600,21600" o:gfxdata="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cJ5RKNoAAAALAQAADwAAAAAA&#10;AAABACAAAAAiAAAAZHJzL2Rvd25yZXYueG1sUEsBAhQAFAAAAAgAh07iQKSnmQkRAgAA8wMAAA4A&#10;AAAAAAAAAQAgAAAAKQEAAGRycy9lMm9Eb2MueG1sUEsFBgAAAAAGAAYAWQEAAKwFAAAAAA==&#10;">
                <v:fill on="f" focussize="0,0"/>
                <v:stroke weight="1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1042035</wp:posOffset>
                </wp:positionV>
                <wp:extent cx="2781300" cy="1123950"/>
                <wp:effectExtent l="0" t="0" r="0" b="0"/>
                <wp:wrapNone/>
                <wp:docPr id="46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813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750932" w:rsidRDefault="00816126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 xml:space="preserve">Включенные исследования: 3 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>Исключенные исследования: 8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tlid-translation"/>
                                <w:rFonts w:ascii="Times New Roman" w:hAnsi="Times New Roman"/>
                                <w:szCs w:val="24"/>
                              </w:rPr>
                              <w:t>Текущие исследования: 0</w:t>
                            </w:r>
                          </w:p>
                          <w:p w:rsidR="00750932" w:rsidRDefault="00750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угольник 7" o:spid="_x0000_s1026" o:spt="1" style="position:absolute;left:0pt;margin-top:82.05pt;height:88.5pt;width:219pt;mso-position-horizontal:left;mso-position-horizontal-relative:margin;z-index:251664384;v-text-anchor:middle;mso-width-relative:page;mso-height-relative:page;" fillcolor="#FFFFFF" filled="t" stroked="t" coordsize="21600,21600" o:gfxdata="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ryuk8tUAAAAIAQAADwAAAAAAAAABACAAAAAiAAAAZHJzL2Rvd25y&#10;ZXYueG1sUEsBAhQAFAAAAAgAh07iQO6kaGo6AgAAYwQAAA4AAAAAAAAAAQAgAAAAJAEAAGRycy9l&#10;Mm9Eb2MueG1sUEsFBgAAAAAGAAYAWQEAANA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36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Cs w:val="24"/>
                        </w:rPr>
                        <w:t xml:space="preserve">Включенные исследования: 3 </w:t>
                      </w:r>
                      <w:r>
                        <w:rPr>
                          <w:rFonts w:ascii="Times New Roman" w:hAnsi="Times New Roman"/>
                          <w:szCs w:val="24"/>
                        </w:rPr>
                        <w:br w:type="textWrapping"/>
                      </w:r>
                      <w:r>
                        <w:rPr>
                          <w:rStyle w:val="52"/>
                          <w:rFonts w:ascii="Times New Roman" w:hAnsi="Times New Roman"/>
                          <w:szCs w:val="24"/>
                        </w:rPr>
                        <w:t>Исключенные исследования: 8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Style w:val="52"/>
                          <w:rFonts w:ascii="Times New Roman" w:hAnsi="Times New Roman"/>
                          <w:szCs w:val="24"/>
                        </w:rPr>
                        <w:t>Текущие исследования: 0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70485</wp:posOffset>
                </wp:positionV>
                <wp:extent cx="2733675" cy="581025"/>
                <wp:effectExtent l="0" t="0" r="9525" b="9525"/>
                <wp:wrapNone/>
                <wp:docPr id="45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336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750932" w:rsidRDefault="008161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2903отчет</w:t>
                            </w: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а</w:t>
                            </w: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  <w:lang w:val="en-US"/>
                              </w:rPr>
                              <w:t>MEDLINE, EMBASE,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угольник 8" o:spid="_x0000_s1026" o:spt="1" style="position:absolute;left:0pt;margin-left:0.45pt;margin-top:5.55pt;height:45.75pt;width:215.25pt;z-index:251662336;v-text-anchor:middle;mso-width-relative:page;mso-height-relative:page;" fillcolor="#FFFFFF" filled="t" stroked="t" coordsize="21600,21600" o:gfxdata="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+ApSPSAAAABwEAAA8AAAAAAAAAAQAgAAAAIgAAAGRycy9kb3ducmV2&#10;LnhtbFBLAQIUABQAAAAIAIdO4kDzW3T1OwIAAGIEAAAOAAAAAAAAAAEAIAAAACEBAABkcnMvZTJv&#10;RG9jLnhtbFBLBQYAAAAABgAGAFkBAADO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2903отчет</w:t>
                      </w:r>
                      <w:r>
                        <w:rPr>
                          <w:rFonts w:ascii="Times New Roman" w:hAnsi="Times New Roman"/>
                          <w:szCs w:val="28"/>
                        </w:rPr>
                        <w:t>а</w:t>
                      </w:r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  <w:lang w:val="en-US"/>
                        </w:rPr>
                        <w:t>MEDLINE, EMBASE, CENTRE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673735</wp:posOffset>
                </wp:positionV>
                <wp:extent cx="76200" cy="333375"/>
                <wp:effectExtent l="19050" t="0" r="19050" b="28575"/>
                <wp:wrapNone/>
                <wp:docPr id="44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333375"/>
                        </a:xfrm>
                        <a:prstGeom prst="downArrow">
                          <a:avLst>
                            <a:gd name="adj1" fmla="val 50000"/>
                            <a:gd name="adj2" fmla="val 5000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Стрелка вниз 9" o:spid="_x0000_s1026" o:spt="67" type="#_x0000_t67" style="position:absolute;left:0pt;margin-left:97.95pt;margin-top:53.05pt;height:26.25pt;width:6pt;z-index:251667456;v-text-anchor:middle;mso-width-relative:page;mso-height-relative:page;" fillcolor="#FFFFFF" filled="t" stroked="t" coordsize="21600,21600" o:gfxdata="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B2rnbYAAAACwEAAA8A&#10;AAAAAAAAAQAgAAAAIgAAAGRycy9kb3ducmV2LnhtbFBLAQIUABQAAAAIAIdO4kB8BJ+xUAIAAKgE&#10;AAAOAAAAAAAAAAEAIAAAACcBAABkcnMvZTJvRG9jLnhtbFBLBQYAAAAABgAGAFkBAADpBQAAAAA=&#10;" adj="19131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958215</wp:posOffset>
                </wp:positionH>
                <wp:positionV relativeFrom="paragraph">
                  <wp:posOffset>296545</wp:posOffset>
                </wp:positionV>
                <wp:extent cx="3838575" cy="1543050"/>
                <wp:effectExtent l="0" t="0" r="9525" b="0"/>
                <wp:wrapNone/>
                <wp:docPr id="4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85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  <w:t>Включенные исследования: 3 (338 участников)</w:t>
                            </w: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ЭУВЛ против ПНЛТ: 4 исследования (271 участников) </w:t>
                            </w: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ЭУВЛ против РПТ: 1 </w:t>
                            </w:r>
                            <w:r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  <w:t>исследование (67 участников)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Текущие исследования: 2 </w:t>
                            </w:r>
                          </w:p>
                          <w:p w:rsidR="00750932" w:rsidRDefault="00750932">
                            <w:pPr>
                              <w:spacing w:after="0" w:line="240" w:lineRule="auto"/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750932" w:rsidRDefault="008161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lid-translation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Исключенные исследования: 17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750932" w:rsidRDefault="00750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Прямоугольник 3" o:spid="_x0000_s1026" o:spt="1" style="position:absolute;left:0pt;margin-left:75.45pt;margin-top:23.35pt;height:121.5pt;width:302.25pt;mso-position-horizontal-relative:margin;z-index:251663360;v-text-anchor:middle;mso-width-relative:page;mso-height-relative:page;" fillcolor="#FFFFFF" filled="t" stroked="t" coordsize="21600,21600" o:gfxdata="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/A1dtgAAAAKAQAADwAAAAAAAAABACAAAAAiAAAAZHJz&#10;L2Rvd25yZXYueG1sUEsBAhQAFAAAAAgAh07iQLEuX7w9AgAAYwQAAA4AAAAAAAAAAQAgAAAAJwEA&#10;AGRycy9lMm9Eb2MueG1sUEsFBgAAAAAGAAYAWQEAANY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  <w:t>Включенные исследования: 3 (338 участников)</w:t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  <w:t xml:space="preserve">- ЭУВЛ против ПНЛТ: 4 исследования (271 участников) </w:t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  <w:t>- ЭУВЛ против РПТ: 1 исследование (67 участников)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 w:type="textWrapping"/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  <w:t xml:space="preserve">Текущие исследования: 2 </w:t>
                      </w:r>
                    </w:p>
                    <w:p>
                      <w:pPr>
                        <w:spacing w:after="0" w:line="240" w:lineRule="auto"/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Style w:val="52"/>
                          <w:rFonts w:ascii="Times New Roman" w:hAnsi="Times New Roman"/>
                          <w:sz w:val="24"/>
                          <w:szCs w:val="24"/>
                        </w:rPr>
                        <w:t xml:space="preserve">Исключенные исследования: 17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 w:type="textWrapping"/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160" w:line="259" w:lineRule="auto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tabs>
          <w:tab w:val="left" w:pos="805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tabs>
          <w:tab w:val="left" w:pos="8055"/>
        </w:tabs>
        <w:spacing w:after="160" w:line="259" w:lineRule="auto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Рисунок 4 - </w:t>
      </w:r>
      <w:r>
        <w:rPr>
          <w:rFonts w:ascii="Times New Roman" w:eastAsia="Calibri" w:hAnsi="Times New Roman"/>
          <w:color w:val="000000"/>
          <w:sz w:val="28"/>
          <w:szCs w:val="28"/>
        </w:rPr>
        <w:t>Алгоритм отбора исследовательских работ</w:t>
      </w:r>
    </w:p>
    <w:p w:rsidR="00750932" w:rsidRDefault="00750932">
      <w:pPr>
        <w:tabs>
          <w:tab w:val="left" w:pos="8055"/>
        </w:tabs>
        <w:spacing w:after="160" w:line="259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750932">
      <w:pPr>
        <w:tabs>
          <w:tab w:val="left" w:pos="8055"/>
        </w:tabs>
        <w:spacing w:after="160" w:line="259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750932" w:rsidRDefault="00816126">
      <w:pPr>
        <w:tabs>
          <w:tab w:val="left" w:pos="80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Таблица 14 - Характеристика включенных исследований</w:t>
      </w:r>
    </w:p>
    <w:p w:rsidR="00750932" w:rsidRDefault="00750932">
      <w:pPr>
        <w:tabs>
          <w:tab w:val="left" w:pos="8055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tbl>
      <w:tblPr>
        <w:tblW w:w="9476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1843"/>
        <w:gridCol w:w="2693"/>
        <w:gridCol w:w="2693"/>
        <w:gridCol w:w="1389"/>
      </w:tblGrid>
      <w:tr w:rsidR="00750932">
        <w:tc>
          <w:tcPr>
            <w:tcW w:w="85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Автор и год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Название работы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Протокол исследования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Положительный эффект</w:t>
            </w:r>
          </w:p>
        </w:tc>
        <w:tc>
          <w:tcPr>
            <w:tcW w:w="138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Отсутствие эффекта</w:t>
            </w:r>
          </w:p>
        </w:tc>
      </w:tr>
      <w:tr w:rsidR="00750932">
        <w:tc>
          <w:tcPr>
            <w:tcW w:w="85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50932">
        <w:tc>
          <w:tcPr>
            <w:tcW w:w="858" w:type="dxa"/>
          </w:tcPr>
          <w:p w:rsidR="00750932" w:rsidRDefault="008161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Lingeman J.E.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идр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. 1994 </w:t>
            </w:r>
          </w:p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Лечение нефролитиаза нижних полюсов: критический анализ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Результаты лечения ЭУВЛ и ПНЛТ в сравнении при камнях нижних полюсов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Эффективность ПНЛТ составил более 90%, по сравнению 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ЭУВЛ 59% соответственно</w:t>
            </w:r>
          </w:p>
        </w:tc>
        <w:tc>
          <w:tcPr>
            <w:tcW w:w="1389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50932">
        <w:tc>
          <w:tcPr>
            <w:tcW w:w="85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Marios J. и др, 2002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Гольмиевая лазерная литотрипсия для камней верхних мочевых путей у 598 пациентов 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Рандомизированное контролируемое исследования в сравнении применения ЭУВЛ и ПНЛТ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ПНЛТ показал 97% эффективность лечения без ка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мней, а после ЭУВЛ всего 37% результаты без камней. В данном исследовании, когда сравнивали по размерам камней, то после ЭУВЛ для камней &lt;10 мм эффективность составил 63% и уменьшался до 21% для камней 10–20 мм и 14% для камней&gt; 20 мм.</w:t>
            </w:r>
          </w:p>
        </w:tc>
        <w:tc>
          <w:tcPr>
            <w:tcW w:w="1389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50932">
        <w:tc>
          <w:tcPr>
            <w:tcW w:w="85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Srisubat и др. 200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ЭУВЛ в сравнении ПНЛТ или РПТ при почечных камнях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Метаанализ ЭУВЛ с РПТ и с ПНЛТ в лечении почечных камней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Основываясь на данных, ЭУВЛ имел самую низкую эффективность, в то время как ПНЛТ и РПТ существенно не различались. Пребывание в больнице было короч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е с ЭУВЛ. Все три процедуры, дали хорошую эффективность лечения и полное удаление камней за один сеанс. </w:t>
            </w:r>
          </w:p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Авторы подвергли критике низкое качество данных доступных исследований; только три исследования включили в метаанализ</w:t>
            </w:r>
          </w:p>
        </w:tc>
      </w:tr>
    </w:tbl>
    <w:p w:rsidR="00750932" w:rsidRDefault="00750932"/>
    <w:p w:rsidR="00750932" w:rsidRDefault="00750932"/>
    <w:p w:rsidR="00750932" w:rsidRDefault="00750932"/>
    <w:p w:rsidR="00750932" w:rsidRDefault="00750932">
      <w:pPr>
        <w:rPr>
          <w:rFonts w:ascii="Times New Roman" w:hAnsi="Times New Roman"/>
          <w:sz w:val="24"/>
          <w:szCs w:val="24"/>
        </w:rPr>
      </w:pPr>
    </w:p>
    <w:p w:rsidR="00750932" w:rsidRDefault="00750932">
      <w:pPr>
        <w:rPr>
          <w:rFonts w:ascii="Times New Roman" w:hAnsi="Times New Roman"/>
          <w:sz w:val="24"/>
          <w:szCs w:val="24"/>
        </w:rPr>
      </w:pPr>
    </w:p>
    <w:p w:rsidR="00750932" w:rsidRDefault="008161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14</w:t>
      </w:r>
    </w:p>
    <w:tbl>
      <w:tblPr>
        <w:tblW w:w="9477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843"/>
        <w:gridCol w:w="2693"/>
        <w:gridCol w:w="2693"/>
        <w:gridCol w:w="1378"/>
      </w:tblGrid>
      <w:tr w:rsidR="00750932">
        <w:tc>
          <w:tcPr>
            <w:tcW w:w="87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37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50932">
        <w:tc>
          <w:tcPr>
            <w:tcW w:w="87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Knoll T. и др. 2011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Гибкая уретерореноскопия в сравнении с мини ПНЛТ для одиночных почечных камней размером 10–30 мм.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Сравнительный анализ ретроградной литотрипсии с мини ПНЛТ 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исследовании РПТ достиг высокого значения в лечении, а эффективность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без камней через 4 недели, были как при ПНЛТ. Но некоторым пациентам потребовалась две процедуры, со значительно более длительным временем операции и длительным периодом лечения.</w:t>
            </w:r>
          </w:p>
        </w:tc>
        <w:tc>
          <w:tcPr>
            <w:tcW w:w="1378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50932">
        <w:trPr>
          <w:trHeight w:val="90"/>
        </w:trPr>
        <w:tc>
          <w:tcPr>
            <w:tcW w:w="87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Junbo L и др. 2019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РПТ в сравнении ПНЛТ и ЭУВЛ для почечных камней 10-20 мм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Три рандомизированные контролируемые исследования и пять ретроспективные контрольные исследования, в которых приняли участие 1615 пациентов.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ПНЛТ и РПТ предлагают более длительное оперативное время, более низкий темп перелечения и вспомогательный уровень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процедуры, в то время как ПНЛТ имеет самое долгое пребывание в стационаре. Однако ЭУВЛ имел большой повторный сеанс и требовал вспомогательный уровень процедуры, но более короткое оперативное время и самое короткое пребывание в стационаре. Показатели осло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жнения среди этих трех методов лечения сопоставимы.</w:t>
            </w:r>
          </w:p>
        </w:tc>
        <w:tc>
          <w:tcPr>
            <w:tcW w:w="1378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:rsidR="00750932" w:rsidRDefault="00750932"/>
    <w:p w:rsidR="00750932" w:rsidRDefault="00750932"/>
    <w:p w:rsidR="00750932" w:rsidRDefault="00750932"/>
    <w:p w:rsidR="00750932" w:rsidRDefault="00750932"/>
    <w:p w:rsidR="00750932" w:rsidRDefault="00750932"/>
    <w:p w:rsidR="00750932" w:rsidRDefault="00750932"/>
    <w:p w:rsidR="00750932" w:rsidRDefault="008161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14</w:t>
      </w:r>
    </w:p>
    <w:tbl>
      <w:tblPr>
        <w:tblW w:w="9476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1843"/>
        <w:gridCol w:w="2693"/>
        <w:gridCol w:w="2693"/>
        <w:gridCol w:w="1389"/>
      </w:tblGrid>
      <w:tr w:rsidR="00750932">
        <w:trPr>
          <w:trHeight w:val="275"/>
        </w:trPr>
        <w:tc>
          <w:tcPr>
            <w:tcW w:w="858" w:type="dxa"/>
          </w:tcPr>
          <w:p w:rsidR="00750932" w:rsidRDefault="0081612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50932">
        <w:trPr>
          <w:trHeight w:val="3601"/>
        </w:trPr>
        <w:tc>
          <w:tcPr>
            <w:tcW w:w="858" w:type="dxa"/>
          </w:tcPr>
          <w:p w:rsidR="00750932" w:rsidRDefault="00816126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Albala D.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идр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. 2001 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Нижний полюс I: проспективное рандомизированное исследование ЭУВЛ и ПНЛТ при нефролитиазе нижнего полюса - начальный результат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Проспективное рандомизированное исследование ЭУВЛ и ПНЛТ 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Эффективность методов почти одинакового, но среднее пребывании ПНЛТ составил 7-9 дней, а ЭУВЛ 1-3 дней.  </w:t>
            </w:r>
          </w:p>
        </w:tc>
        <w:tc>
          <w:tcPr>
            <w:tcW w:w="1389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50932">
        <w:tc>
          <w:tcPr>
            <w:tcW w:w="85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 xml:space="preserve">Wang Y 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и др. 2018 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Эффективность различных хирургических методов в лечении почечных камней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Контролируемые 25 клинические исследования 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 результате применения гибкого уретреоскопа ретроградная литотрипсия имеет самый лучший эффект лечения и самое низкое количество повторных и вспомогательных методов лечения.  РПТ и мини ПНЛТ меют самое короткое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пребывание в стационаре и оперативное время.</w:t>
            </w:r>
          </w:p>
        </w:tc>
        <w:tc>
          <w:tcPr>
            <w:tcW w:w="1389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50932">
        <w:trPr>
          <w:trHeight w:val="294"/>
        </w:trPr>
        <w:tc>
          <w:tcPr>
            <w:tcW w:w="85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Fayad К. и др. 2017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Без камерная мини-ПНЛТ в сравнении с РПТ для низкой плотности камней </w:t>
            </w:r>
            <w:r>
              <w:rPr>
                <w:rFonts w:ascii="Cambria Math" w:eastAsia="Calibri" w:hAnsi="Cambria Math" w:cs="Cambria Math"/>
                <w:bCs/>
                <w:sz w:val="24"/>
                <w:szCs w:val="24"/>
              </w:rPr>
              <w:t>⩽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2 см: 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Рандомизированное контролируемое исследование 120 пациентов с почечными камнями </w:t>
            </w:r>
          </w:p>
        </w:tc>
        <w:tc>
          <w:tcPr>
            <w:tcW w:w="269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3"/>
                <w:szCs w:val="23"/>
              </w:rPr>
              <w:t xml:space="preserve">Обе группы были сопоставимы </w:t>
            </w:r>
            <w:r>
              <w:rPr>
                <w:rFonts w:ascii="Times New Roman" w:eastAsia="Calibri" w:hAnsi="Times New Roman"/>
                <w:sz w:val="23"/>
                <w:szCs w:val="23"/>
              </w:rPr>
              <w:t>для дооперационных параметров. Среднее рабочее время было статистически значительно более длительным в группе РПТ по сравнению с мини-ПНЛТ. Несмотря на то, что пребывание в стационаре было более долгим мини-ПНЛТ, чем РПТ, но  статистически значимым (P=0.24</w:t>
            </w:r>
            <w:r>
              <w:rPr>
                <w:rFonts w:ascii="Times New Roman" w:eastAsia="Calibri" w:hAnsi="Times New Roman"/>
                <w:sz w:val="23"/>
                <w:szCs w:val="23"/>
              </w:rPr>
              <w:t>4). Эффективность мини-ПНЛТ составил 92.72%, а РПТ 84.31%, который не был достоверно различным (P = 0,060).</w:t>
            </w:r>
          </w:p>
        </w:tc>
        <w:tc>
          <w:tcPr>
            <w:tcW w:w="1389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:rsidR="00750932" w:rsidRDefault="00750932"/>
    <w:p w:rsidR="00750932" w:rsidRDefault="008161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14</w:t>
      </w:r>
    </w:p>
    <w:tbl>
      <w:tblPr>
        <w:tblW w:w="945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843"/>
        <w:gridCol w:w="2580"/>
        <w:gridCol w:w="2806"/>
        <w:gridCol w:w="1401"/>
      </w:tblGrid>
      <w:tr w:rsidR="00750932">
        <w:tc>
          <w:tcPr>
            <w:tcW w:w="82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8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0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401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50932">
        <w:tc>
          <w:tcPr>
            <w:tcW w:w="82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Tabibi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и др. 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2005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Подкожная нефролитотомия с и без ретроградной пиелографии: предварительные результаты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случайного контрольного исследования.</w:t>
            </w:r>
          </w:p>
        </w:tc>
        <w:tc>
          <w:tcPr>
            <w:tcW w:w="258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Случайная контрольное исследование 55 пациентов с почечными и мочеточниковыми камнями </w:t>
            </w:r>
          </w:p>
        </w:tc>
        <w:tc>
          <w:tcPr>
            <w:tcW w:w="2806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Результаты 55 пациентов получившие ПНЛТ единственным непрозрачным почечным конкрементом в одной только чашечке. 27 пациентов перене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сли ПНЛТ с мочеточниковым катетером, и 28 без мочеточникового катетера. Исходы болезней были сравнены между этими 2 группами. Использующими подкожная нефролитотомия без мочеточниковой катетеризации обладает определенными преимуществами: утечка мочи ниже и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нет никакой потребности выполнить цистоскопию. Пациенты с единственным почечным конкрементом являются хорошими кандидатами на ПНЛТ без предыдущей мочеточниковой вставки катетера.</w:t>
            </w:r>
          </w:p>
        </w:tc>
        <w:tc>
          <w:tcPr>
            <w:tcW w:w="1401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750932">
        <w:tc>
          <w:tcPr>
            <w:tcW w:w="82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Chung D.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и др. 2019</w:t>
            </w:r>
          </w:p>
        </w:tc>
        <w:tc>
          <w:tcPr>
            <w:tcW w:w="184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Сравнение ЭУВЛ с ПНЛТ и РПТ почечных камней </w:t>
            </w:r>
          </w:p>
        </w:tc>
        <w:tc>
          <w:tcPr>
            <w:tcW w:w="258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Клинически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 испытания, сравнивающие РПТ, ЭУВЛ и ПНЛТ для лечения почечных камней, были идентифицированы от электронных баз данных.</w:t>
            </w:r>
          </w:p>
        </w:tc>
        <w:tc>
          <w:tcPr>
            <w:tcW w:w="2806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Были включены 35 исследований в этот сетевой метаанализ. 6  исследований сравнили ПНЛТ с ЭУВЛ, 10 исследовании ПНЛТ с РПТ, 14 РПТ с ЭУВ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Л и 5 исследований ПНЛТ, ЭУВЛ с РПТ.  Сетевые мета исследования показали, что все методы имели эффективность лечения 95%, но ПНЛТ в отдаленном результате показал большой период без камней.  </w:t>
            </w:r>
          </w:p>
        </w:tc>
        <w:tc>
          <w:tcPr>
            <w:tcW w:w="1401" w:type="dxa"/>
          </w:tcPr>
          <w:p w:rsidR="00750932" w:rsidRDefault="00750932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</w:tbl>
    <w:p w:rsidR="00750932" w:rsidRDefault="00750932">
      <w:pPr>
        <w:tabs>
          <w:tab w:val="left" w:pos="8055"/>
        </w:tabs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816126">
      <w:pPr>
        <w:tabs>
          <w:tab w:val="left" w:pos="8055"/>
        </w:tabs>
        <w:spacing w:after="0" w:line="26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Таблица 15 - Характеристика исключенных исследований</w:t>
      </w:r>
    </w:p>
    <w:p w:rsidR="00750932" w:rsidRDefault="00750932">
      <w:pPr>
        <w:tabs>
          <w:tab w:val="left" w:pos="8055"/>
        </w:tabs>
        <w:spacing w:after="0" w:line="26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</w:p>
    <w:tbl>
      <w:tblPr>
        <w:tblW w:w="9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260"/>
        <w:gridCol w:w="5199"/>
      </w:tblGrid>
      <w:tr w:rsidR="00750932">
        <w:trPr>
          <w:trHeight w:val="267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№ п/н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Авторы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исследователей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Причина исключения</w:t>
            </w:r>
          </w:p>
        </w:tc>
      </w:tr>
      <w:tr w:rsidR="00750932">
        <w:trPr>
          <w:trHeight w:val="148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Arrabal-Polo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идр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 2009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г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лечили камни почек</w:t>
            </w:r>
          </w:p>
        </w:tc>
      </w:tr>
      <w:tr w:rsidR="00750932">
        <w:trPr>
          <w:trHeight w:val="260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Bryniarski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 др. 2012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было сравнение с ЭУВЛ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Carr и др. 1996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было РПТ или сочетание РПТ</w:t>
            </w:r>
          </w:p>
        </w:tc>
      </w:tr>
      <w:tr w:rsidR="00750932">
        <w:trPr>
          <w:trHeight w:val="576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Charig и др. 1986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Лечение временных рядов среди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открытой хирургии, ПНЛТ и ЭУВЛ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Eterovic и др. 2005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было РПТ или сочетание РПТ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Karlsen и др. 2007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лечили камни почек</w:t>
            </w:r>
          </w:p>
        </w:tc>
      </w:tr>
      <w:tr w:rsidR="00750932">
        <w:trPr>
          <w:trHeight w:val="278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Lee и др. 2006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лечили камни почек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Liou и др. 2001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было РПТ или сочетание РПТ</w:t>
            </w:r>
          </w:p>
        </w:tc>
      </w:tr>
      <w:tr w:rsidR="00750932">
        <w:trPr>
          <w:trHeight w:val="278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Mays и др. 1988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было РПТ или сочетание РПТ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Meretyk и др. 1997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Сравнение монотерапии ЭУВЛ и комбинированной терапии с ПНЛТ</w:t>
            </w:r>
          </w:p>
        </w:tc>
      </w:tr>
      <w:tr w:rsidR="00750932">
        <w:trPr>
          <w:trHeight w:val="278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Pearle и др. 2001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лечили камни почек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Peschel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 др. 1999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лечили камни почек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Preminger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 др. 2006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Обзорная статья </w:t>
            </w:r>
          </w:p>
        </w:tc>
      </w:tr>
      <w:tr w:rsidR="00750932">
        <w:trPr>
          <w:trHeight w:val="278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Sun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 др. 2008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лечили камни почек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15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Turna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 др. 2007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было РПТ или сочетание РПТ</w:t>
            </w:r>
          </w:p>
        </w:tc>
      </w:tr>
      <w:tr w:rsidR="00750932">
        <w:trPr>
          <w:trHeight w:val="278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You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 др. 2006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было РПТ или сочетание РПТ</w:t>
            </w:r>
          </w:p>
        </w:tc>
      </w:tr>
      <w:tr w:rsidR="00750932">
        <w:trPr>
          <w:trHeight w:val="295"/>
        </w:trPr>
        <w:tc>
          <w:tcPr>
            <w:tcW w:w="98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17</w:t>
            </w:r>
          </w:p>
        </w:tc>
        <w:tc>
          <w:tcPr>
            <w:tcW w:w="3260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Zeng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 др. 2002 г.</w:t>
            </w:r>
          </w:p>
        </w:tc>
        <w:tc>
          <w:tcPr>
            <w:tcW w:w="5199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Не лечили камни почек</w:t>
            </w:r>
          </w:p>
        </w:tc>
      </w:tr>
    </w:tbl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Таким образом, мы провели мета-анализ с целью показать применение малоинвазивных методов лечения МКБ, а также применение </w:t>
      </w:r>
      <w:r>
        <w:rPr>
          <w:rFonts w:ascii="Times New Roman" w:hAnsi="Times New Roman"/>
          <w:sz w:val="28"/>
          <w:szCs w:val="28"/>
        </w:rPr>
        <w:t>РПТ с использованием гибкого уретероскопа. РПТ с гибким уретероскопом это начало новой эры в урологии. Сегодня, даже сложные коралловид</w:t>
      </w:r>
      <w:r>
        <w:rPr>
          <w:rFonts w:ascii="Times New Roman" w:hAnsi="Times New Roman"/>
          <w:sz w:val="28"/>
          <w:szCs w:val="28"/>
        </w:rPr>
        <w:t>ные камни успешно удаляются методом РПТ. В последние годы все урологи рекомендуют лечение для крупных камней ПНЛТ, однако вопросом применения ПНЛТ или РПТ для крупных и сложных конкрементов, остается спорным. В этом анализе мы показали применение всех мето</w:t>
      </w:r>
      <w:r>
        <w:rPr>
          <w:rFonts w:ascii="Times New Roman" w:hAnsi="Times New Roman"/>
          <w:sz w:val="28"/>
          <w:szCs w:val="28"/>
        </w:rPr>
        <w:t>дов сравнения показателей успеха и осложнения ЭУВЛ, ПНЛТ и РПТ. В результате после РПТ при больших конкрементах предоставляет сопоставимый показатель успешности, вызывает меньше осложнений, чем ПНЛТ. Данный анализ нам показал, что проспективные случайные к</w:t>
      </w:r>
      <w:r>
        <w:rPr>
          <w:rFonts w:ascii="Times New Roman" w:hAnsi="Times New Roman"/>
          <w:sz w:val="28"/>
          <w:szCs w:val="28"/>
        </w:rPr>
        <w:t>онтрольные исследования необходимы, чтобы подтвердить эти результаты исследования.</w:t>
      </w:r>
    </w:p>
    <w:p w:rsidR="00750932" w:rsidRDefault="00816126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Проведенный нами мета-анализ сравнительного разбора малоиннвазивных методов оперативных вмешательств при МКБ дал возможность научно обосновать данные диссертационные исследо</w:t>
      </w:r>
      <w:r>
        <w:rPr>
          <w:rFonts w:ascii="Times New Roman" w:hAnsi="Times New Roman"/>
          <w:sz w:val="28"/>
          <w:szCs w:val="28"/>
        </w:rPr>
        <w:t xml:space="preserve">вания. </w:t>
      </w: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pStyle w:val="af2"/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567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</w:rPr>
        <w:t>Ретроградная  пиелолитотрипсия.  Результаты лечения</w:t>
      </w:r>
    </w:p>
    <w:p w:rsidR="00750932" w:rsidRDefault="00816126">
      <w:pPr>
        <w:pStyle w:val="af2"/>
        <w:tabs>
          <w:tab w:val="left" w:pos="1134"/>
        </w:tabs>
        <w:spacing w:after="0" w:line="240" w:lineRule="auto"/>
        <w:ind w:left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val="en-US"/>
        </w:rPr>
        <w:tab/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Методика выполнения ретроградных интраренальных вмешательств заключается в использовании естественных мочевых путей для доступа к чашечно-лоханочной системе. Ключевым этапом успешного выполнен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ия вмешательства служит проведение и правильная установка мочеточникового кожуха после предварительно выполненной полуригидной уретероскопии </w:t>
      </w:r>
      <w:r>
        <w:rPr>
          <w:rFonts w:ascii="Times New Roman" w:eastAsia="Calibri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142].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Необходимым условием для эндоренального вмешательства является прямой канал прокладываемого хода, обеспечива</w:t>
      </w:r>
      <w:r>
        <w:rPr>
          <w:rFonts w:ascii="Times New Roman" w:eastAsia="Calibri" w:hAnsi="Times New Roman"/>
          <w:sz w:val="28"/>
          <w:szCs w:val="28"/>
        </w:rPr>
        <w:t>ющий последующую дилатацию и введение ригидных инструментов в собирательную систему почки. При этом удается извлекать камни, располагающиеся в расширенных чашечках по ходу канала [</w:t>
      </w:r>
      <w:r>
        <w:rPr>
          <w:rFonts w:ascii="Times New Roman" w:hAnsi="Times New Roman"/>
          <w:sz w:val="28"/>
          <w:szCs w:val="28"/>
        </w:rPr>
        <w:t>143</w:t>
      </w:r>
      <w:r>
        <w:rPr>
          <w:rFonts w:ascii="Times New Roman" w:eastAsia="Calibri" w:hAnsi="Times New Roman"/>
          <w:sz w:val="28"/>
          <w:szCs w:val="28"/>
        </w:rPr>
        <w:t xml:space="preserve">]. 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Актуальным остается вопрос о целесообразности выполнения ретроградны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х вмешательств, при коралловидных </w:t>
      </w:r>
      <w:r>
        <w:rPr>
          <w:rFonts w:ascii="Times New Roman" w:hAnsi="Times New Roman"/>
          <w:sz w:val="28"/>
          <w:szCs w:val="28"/>
        </w:rPr>
        <w:t>конкрементах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. Основным минусом данной операции является длительность выполнения литотрипсии. Известно, что основное время операции РПТ при коралловидном </w:t>
      </w:r>
      <w:r>
        <w:rPr>
          <w:rFonts w:ascii="Times New Roman" w:hAnsi="Times New Roman"/>
          <w:sz w:val="28"/>
          <w:szCs w:val="28"/>
        </w:rPr>
        <w:t>конкременте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почки занимает фрагментация отрогов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, располо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женных в нижней и средней группах чашечек. Эффективность метода РПТ также зависит от наличия в анамнезе предшествующих операций по поводу данного камня. В случае, когда РПТ выполняется в качестве первой линии терапии камня, эффективность значительно выше и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составляет от 80,3% до 91,6% </w:t>
      </w:r>
      <w:r>
        <w:rPr>
          <w:rFonts w:ascii="Times New Roman" w:eastAsia="Calibri" w:hAnsi="Times New Roman"/>
          <w:sz w:val="28"/>
          <w:szCs w:val="28"/>
        </w:rPr>
        <w:t>[144].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данном подразделе приводятся исследования результатов лечения 74 пациентов 1-ой группы </w:t>
      </w:r>
      <w:r>
        <w:rPr>
          <w:rFonts w:ascii="Times New Roman" w:eastAsia="Calibri" w:hAnsi="Times New Roman"/>
          <w:b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целью оценки эффективности технологии ретроградной пиелолитотрипсии у пациентов с МКБ. </w:t>
      </w:r>
    </w:p>
    <w:p w:rsidR="00750932" w:rsidRDefault="007509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i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  <w:szCs w:val="28"/>
          <w:highlight w:val="cyan"/>
        </w:rPr>
      </w:pPr>
      <w:r>
        <w:rPr>
          <w:rFonts w:ascii="Times New Roman" w:eastAsia="Calibri" w:hAnsi="Times New Roman"/>
          <w:i/>
          <w:noProof/>
          <w:sz w:val="28"/>
          <w:szCs w:val="28"/>
        </w:rPr>
        <w:drawing>
          <wp:inline distT="0" distB="0" distL="0" distR="0">
            <wp:extent cx="4571365" cy="2743200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5 - П</w:t>
      </w:r>
      <w:r>
        <w:rPr>
          <w:rFonts w:ascii="Times New Roman" w:hAnsi="Times New Roman"/>
          <w:sz w:val="28"/>
          <w:szCs w:val="28"/>
        </w:rPr>
        <w:t>ациенты с нефролитиазом</w:t>
      </w:r>
      <w:r>
        <w:rPr>
          <w:rFonts w:ascii="Times New Roman" w:hAnsi="Times New Roman"/>
          <w:sz w:val="28"/>
          <w:szCs w:val="28"/>
        </w:rPr>
        <w:t xml:space="preserve"> в зависимости от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размера конкремента при РПТ</w:t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 – ой группе до 1,5 см конкременты встречались у 37 пациентов (50%), от 1,6 – 2 см конкременты былив 23 случаях (31%) и до 3 см у 14 пациентов (19%) с МКБ.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  <w:szCs w:val="28"/>
          <w:highlight w:val="cyan"/>
        </w:rPr>
      </w:pPr>
      <w:r>
        <w:rPr>
          <w:rFonts w:ascii="Times New Roman" w:eastAsia="Calibri" w:hAnsi="Times New Roman"/>
          <w:i/>
          <w:noProof/>
          <w:sz w:val="28"/>
          <w:szCs w:val="28"/>
        </w:rPr>
        <w:drawing>
          <wp:inline distT="0" distB="0" distL="0" distR="0">
            <wp:extent cx="4571365" cy="2818765"/>
            <wp:effectExtent l="0" t="0" r="0" b="0"/>
            <wp:docPr id="6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6 - П</w:t>
      </w:r>
      <w:r>
        <w:rPr>
          <w:rFonts w:ascii="Times New Roman" w:hAnsi="Times New Roman"/>
          <w:sz w:val="28"/>
          <w:szCs w:val="28"/>
        </w:rPr>
        <w:t>ациенты с нефролитиазом по сторо</w:t>
      </w:r>
      <w:r>
        <w:rPr>
          <w:rFonts w:ascii="Times New Roman" w:hAnsi="Times New Roman"/>
          <w:sz w:val="28"/>
          <w:szCs w:val="28"/>
        </w:rPr>
        <w:t xml:space="preserve">не 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локализации конкремента при РПТ</w:t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На рисунке 6 видно, что у пациентов 1 – ой группы 51,35% конкременты локализовались в левой почке, у 32,43 % пациентов локализовались в правой почке и  двусторонние камни в 16,22% случаях, соответственно.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rPr>
          <w:rFonts w:ascii="Times New Roman" w:eastAsia="Calibri" w:hAnsi="Times New Roman"/>
          <w:i/>
          <w:sz w:val="28"/>
          <w:szCs w:val="28"/>
          <w:highlight w:val="cyan"/>
        </w:rPr>
      </w:pPr>
      <w:r>
        <w:rPr>
          <w:rFonts w:ascii="Times New Roman" w:eastAsia="Calibri" w:hAnsi="Times New Roman"/>
          <w:i/>
          <w:noProof/>
          <w:sz w:val="28"/>
          <w:szCs w:val="28"/>
        </w:rPr>
        <w:drawing>
          <wp:inline distT="0" distB="0" distL="0" distR="0">
            <wp:extent cx="5848350" cy="2457450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7</w:t>
      </w:r>
      <w:r>
        <w:rPr>
          <w:rFonts w:ascii="Times New Roman" w:eastAsia="Calibri" w:hAnsi="Times New Roman"/>
          <w:sz w:val="28"/>
          <w:szCs w:val="28"/>
        </w:rPr>
        <w:t xml:space="preserve"> - П</w:t>
      </w:r>
      <w:r>
        <w:rPr>
          <w:rFonts w:ascii="Times New Roman" w:hAnsi="Times New Roman"/>
          <w:sz w:val="28"/>
          <w:szCs w:val="28"/>
        </w:rPr>
        <w:t>ациенты с локализацией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конкрементов при РПТ</w:t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i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данных рисунка 7 следует, что в 1 – ой группе, где 74 пациентам  выполнена РПТ, конкременты преимущественно локализовались в чашечках у 25 пациентов (33,7%), в 8 случаях (10,8%)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 лоханочно-мочеточников</w:t>
      </w:r>
      <w:r>
        <w:rPr>
          <w:rFonts w:ascii="Times New Roman" w:hAnsi="Times New Roman"/>
          <w:sz w:val="28"/>
          <w:szCs w:val="28"/>
        </w:rPr>
        <w:t>ом сегменте и в большинстве случаев у 41 пациента (55,4%) в лоханке.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 – ой группе из 74 пациентов у 9 (12,2%) больных одновременно были конкременты в лоханке и нижней чашке, но данные пациенты не были обработаны статистически.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 рисунке 8 приведены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данные по распределению пациентов по плотности конкрементов.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93765" cy="2847975"/>
            <wp:effectExtent l="0" t="0" r="6985" b="9525"/>
            <wp:docPr id="8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8 – П</w:t>
      </w:r>
      <w:r>
        <w:rPr>
          <w:rFonts w:ascii="Times New Roman" w:hAnsi="Times New Roman"/>
          <w:sz w:val="28"/>
          <w:szCs w:val="28"/>
        </w:rPr>
        <w:t>ациенты с нефролитиазом в зависимости от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плотности конкремента при РПТ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green"/>
          <w:shd w:val="clear" w:color="auto" w:fill="FFFFFF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1 – ой группе по результатам диагностики плотности конкрементов у пациентов с МКБ от 300 до 1000 HU встречались у 45 (60,9%) больных, от 1000 – 1200 HU у 14 (19,0%) человек, от 1200- 1400 HU у 7 (9,5%) пациентов, от 1400- 1600 HU в 3 (4,1%) случаях, от 1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600 – 1800 HU в 4 (5,4%) случаях и от 1800 – 1900 HU только у одного (1,4%) пациента.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Поступивших в стационар пациентов на оперативное вмешательство по поводу МКБ оперировали разными эндоскопическими методами и пациентам 1 – ой группы проводили оперативно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вмешательство с помощью РПТ.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1 - ой группе РПТ пациентам проводилась под спинномозговой анестезией. Пациент укладывался на спину. После обработки операционного поля в уретру вводился цистоскоп №22, с оптикой 30</w:t>
      </w:r>
      <w:r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. Затем под Рентген контролем в устье вв</w:t>
      </w:r>
      <w:r>
        <w:rPr>
          <w:rFonts w:ascii="Times New Roman" w:hAnsi="Times New Roman"/>
          <w:color w:val="000000"/>
          <w:sz w:val="28"/>
          <w:szCs w:val="28"/>
        </w:rPr>
        <w:t>одилась струна мягким концом до полости почки (чашечно-лоханочную систему). По струне вводился кожух до лоханки, далее по кожуху вводился уретерореноскоп «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Storz</w:t>
      </w:r>
      <w:r>
        <w:rPr>
          <w:rFonts w:ascii="Times New Roman" w:hAnsi="Times New Roman"/>
          <w:color w:val="000000"/>
          <w:sz w:val="28"/>
          <w:szCs w:val="28"/>
        </w:rPr>
        <w:t xml:space="preserve">» №9 по Шарьеру. Затем после визуализации конкремента вводился гольмиевый лазер «Аурига» и </w:t>
      </w:r>
      <w:r>
        <w:rPr>
          <w:rFonts w:ascii="Times New Roman" w:hAnsi="Times New Roman"/>
          <w:color w:val="000000"/>
          <w:sz w:val="28"/>
          <w:szCs w:val="28"/>
        </w:rPr>
        <w:t>проводиласьконтактная литотрипсия. Затем петлей Дормия безопасно по кожуху удаляли все оставшиеся крупные конкременты. Полостная система дренировалась установкой стент-катетера (6/26). Мочевой пузырь дренировался уретральным катетером, который удалялся чер</w:t>
      </w:r>
      <w:r>
        <w:rPr>
          <w:rFonts w:ascii="Times New Roman" w:hAnsi="Times New Roman"/>
          <w:color w:val="000000"/>
          <w:sz w:val="28"/>
          <w:szCs w:val="28"/>
        </w:rPr>
        <w:t>ез 1-2 дня после операции.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Результаты оперативного лечения после РПТ зависело от размера и плотности конкремента, от длительности операционного вмешательства и осложнения.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1-й группе время операции составило в среднем 55,94±26,5 мин. Плотность конкремен</w:t>
      </w:r>
      <w:r>
        <w:rPr>
          <w:rFonts w:ascii="Times New Roman" w:hAnsi="Times New Roman"/>
          <w:sz w:val="28"/>
          <w:szCs w:val="28"/>
        </w:rPr>
        <w:t xml:space="preserve">тов, по данным МСКТ была </w:t>
      </w:r>
      <w:r>
        <w:rPr>
          <w:rFonts w:ascii="Times New Roman" w:eastAsia="Calibri" w:hAnsi="Times New Roman"/>
          <w:sz w:val="28"/>
          <w:szCs w:val="28"/>
        </w:rPr>
        <w:t>от 801-1900 HU</w:t>
      </w:r>
      <w:r>
        <w:rPr>
          <w:rFonts w:ascii="Times New Roman" w:hAnsi="Times New Roman"/>
          <w:sz w:val="28"/>
          <w:szCs w:val="28"/>
        </w:rPr>
        <w:t xml:space="preserve">. Эффективность обезболивания составила 96 – 99%.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После выполнения РПТ в 62 случаях (83,78%) конкременты были удалены полностью, в 12 случаях (16,22%) имели резидуальные конкременты. 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проведении РПТ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полная фрагм</w:t>
      </w:r>
      <w:r>
        <w:rPr>
          <w:rFonts w:ascii="Times New Roman" w:hAnsi="Times New Roman"/>
          <w:sz w:val="28"/>
          <w:szCs w:val="28"/>
          <w:shd w:val="clear" w:color="auto" w:fill="FFFFFF"/>
        </w:rPr>
        <w:t>ен</w:t>
      </w:r>
      <w:r>
        <w:rPr>
          <w:rFonts w:ascii="Times New Roman" w:hAnsi="Times New Roman"/>
          <w:sz w:val="28"/>
          <w:szCs w:val="28"/>
          <w:shd w:val="clear" w:color="auto" w:fill="FFFFFF"/>
        </w:rPr>
        <w:softHyphen/>
        <w:t>тация конкрементов была в 62 (83,78%) случаях, а плотность конкрементов у данных пациентов варьировалась от 300 до 1400 HU, а размер конкрементов от 1,0 до 2,4 см. В</w:t>
      </w:r>
      <w:r>
        <w:rPr>
          <w:rFonts w:ascii="Times New Roman" w:hAnsi="Times New Roman"/>
          <w:sz w:val="28"/>
          <w:szCs w:val="28"/>
        </w:rPr>
        <w:t>12 случаях (16,22%) имели резидуальные конкременты, это те пациенты у кого были конкреме</w:t>
      </w:r>
      <w:r>
        <w:rPr>
          <w:rFonts w:ascii="Times New Roman" w:hAnsi="Times New Roman"/>
          <w:sz w:val="28"/>
          <w:szCs w:val="28"/>
        </w:rPr>
        <w:t xml:space="preserve">нты в среднем от 2,5 – 3 см и с высокой плотностью камней, т.е у 4 больных плотность камней составила от 1220 – 1400 </w:t>
      </w:r>
      <w:r>
        <w:rPr>
          <w:rFonts w:ascii="Times New Roman" w:hAnsi="Times New Roman"/>
          <w:sz w:val="28"/>
          <w:szCs w:val="28"/>
          <w:shd w:val="clear" w:color="auto" w:fill="FFFFFF"/>
        </w:rPr>
        <w:t>HU, у 3 пациентов в среднем 1628 HU, у 4 лиц от 1600 – 1800 HU и у 1 пациента 1810 HU.  У 7 (9,5%) пациентов п</w:t>
      </w:r>
      <w:r>
        <w:rPr>
          <w:rFonts w:ascii="Times New Roman" w:hAnsi="Times New Roman"/>
          <w:sz w:val="28"/>
          <w:szCs w:val="28"/>
        </w:rPr>
        <w:t>осле выполнения РПТ, резидуал</w:t>
      </w:r>
      <w:r>
        <w:rPr>
          <w:rFonts w:ascii="Times New Roman" w:hAnsi="Times New Roman"/>
          <w:sz w:val="28"/>
          <w:szCs w:val="28"/>
        </w:rPr>
        <w:t>ьные фрагменты размерами 2 – 4 мм отходили самостоятельно, но в 3 случаях были интраоперационные осложнения,  у 2 (2,7%) пациентов перегиб мочеточника и у 1 (1,35%) пациента стриктура мочеточника. Двум пациентам со стриктурой мочеточника выполнено эндоскоп</w:t>
      </w:r>
      <w:r>
        <w:rPr>
          <w:rFonts w:ascii="Times New Roman" w:hAnsi="Times New Roman"/>
          <w:sz w:val="28"/>
          <w:szCs w:val="28"/>
        </w:rPr>
        <w:t>ическое бужирование с установкой стент-катетера, удаление стент-катетера было через 1 месяц. Одному пациенту со стриктурой мочеточника была произведена уретеропиелопластика с внутренним дренированием. В результате проведенного лечения у этих 3 больных пасс</w:t>
      </w:r>
      <w:r>
        <w:rPr>
          <w:rFonts w:ascii="Times New Roman" w:hAnsi="Times New Roman"/>
          <w:sz w:val="28"/>
          <w:szCs w:val="28"/>
        </w:rPr>
        <w:t>аж мочи был полностью восстановлен. В позднем операционном осложнении было обострение хронического пиелонефрита у 5 пациентов (6,76%).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1-й группе, описанные в литературе, такие осложнения, как: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перфорация мочеточника, лоханки;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кровотечение;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миграци</w:t>
      </w:r>
      <w:r>
        <w:rPr>
          <w:rFonts w:ascii="Times New Roman" w:hAnsi="Times New Roman"/>
          <w:sz w:val="28"/>
          <w:szCs w:val="28"/>
        </w:rPr>
        <w:t xml:space="preserve">я конкрементов и их фрагментов в мочеточник, препятствующих дальнейшему выполнению операции, не наблюдалось.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примера, иллюстрирующего применение РПТ, приводим следующее клиническое наблюдение.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Пациент Д., 27 лет с диагнозом МКБ. Камень лоханки </w:t>
      </w:r>
      <w:r>
        <w:rPr>
          <w:rFonts w:ascii="Times New Roman" w:eastAsia="Calibri" w:hAnsi="Times New Roman"/>
          <w:sz w:val="28"/>
          <w:szCs w:val="28"/>
        </w:rPr>
        <w:t xml:space="preserve">левой почки. Хронический калькулезный пиелонефрит в стадии латентного воспаления.  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3905250" cy="2048510"/>
            <wp:effectExtent l="0" t="0" r="0" b="889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8866" cy="20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Рисунок 9 – УЗИ левой почки пациента Д.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На УЗИ почек</w:t>
      </w:r>
      <w:r>
        <w:rPr>
          <w:rFonts w:ascii="Times New Roman" w:eastAsia="Calibri" w:hAnsi="Times New Roman"/>
          <w:sz w:val="28"/>
          <w:szCs w:val="28"/>
        </w:rPr>
        <w:t xml:space="preserve">:правая почка 114*60мм, паренхима 18мм,левая почка 115*56 мм, паренхима 18мм, в лоханке камень 16,5мм. </w:t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1543050" cy="2390775"/>
            <wp:effectExtent l="0" t="0" r="0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1581150" cy="2419350"/>
            <wp:effectExtent l="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1495425" cy="2419350"/>
            <wp:effectExtent l="0" t="0" r="0" b="0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Рисунок 10 – Обзорная, экскреторная урография пациента Д.  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На </w:t>
      </w:r>
      <w:r>
        <w:rPr>
          <w:rFonts w:ascii="Times New Roman" w:eastAsia="Calibri" w:hAnsi="Times New Roman"/>
          <w:sz w:val="28"/>
          <w:szCs w:val="28"/>
        </w:rPr>
        <w:t>обзорном снимке отмечается тень конкремента в проекции левой почки. Экскреторная функция своевременна, сохранна с обеих сторон.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4867275" cy="2876550"/>
            <wp:effectExtent l="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Рисунок 11 – Компьютерная томография пациента Д.  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На компь</w:t>
      </w:r>
      <w:r>
        <w:rPr>
          <w:rFonts w:ascii="Times New Roman" w:eastAsia="Calibri" w:hAnsi="Times New Roman"/>
          <w:bCs/>
          <w:sz w:val="28"/>
          <w:szCs w:val="28"/>
        </w:rPr>
        <w:t>ютерной томографии почек: в</w:t>
      </w:r>
      <w:r>
        <w:rPr>
          <w:rFonts w:ascii="Times New Roman" w:eastAsia="Calibri" w:hAnsi="Times New Roman"/>
          <w:sz w:val="28"/>
          <w:szCs w:val="28"/>
        </w:rPr>
        <w:t xml:space="preserve"> левой почке, в лоханке определяется камень размером 0,5*1,3см, плотностью 620 ЕД/Х.     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Выставлен диагноз: МКБ. Камень лоханки левой почки. Хронический калькулезный пиелонефрит в стадии латентного воспаления. 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Произведена рет</w:t>
      </w:r>
      <w:r>
        <w:rPr>
          <w:rFonts w:ascii="Times New Roman" w:eastAsia="Calibri" w:hAnsi="Times New Roman"/>
          <w:sz w:val="28"/>
          <w:szCs w:val="28"/>
        </w:rPr>
        <w:t>роградная пиелолитотрипсия.</w:t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1647190" cy="2743200"/>
            <wp:effectExtent l="0" t="0" r="0" b="0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128" cy="27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1528445" cy="2733675"/>
            <wp:effectExtent l="0" t="0" r="0" b="0"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8" cy="27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1616710" cy="2743200"/>
            <wp:effectExtent l="0" t="0" r="2540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66" cy="27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12 –</w:t>
      </w:r>
      <w:r>
        <w:rPr>
          <w:rFonts w:ascii="Times New Roman" w:hAnsi="Times New Roman"/>
          <w:sz w:val="28"/>
          <w:szCs w:val="28"/>
        </w:rPr>
        <w:t>Интраоперационные урограммы больного Д. при выполнении ретроградной пиелолитотрипсии</w:t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Как мы видим на рисунке 12, после проведения ретроградной пиелолитотрипсии полное удаление конкремента с установкой стент-катетера. 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 xml:space="preserve">пациенты </w:t>
      </w:r>
      <w:r>
        <w:rPr>
          <w:rFonts w:ascii="Times New Roman" w:hAnsi="Times New Roman"/>
          <w:color w:val="000000"/>
          <w:sz w:val="28"/>
          <w:szCs w:val="28"/>
        </w:rPr>
        <w:t xml:space="preserve">1-й группы после выполнения РПТ </w:t>
      </w:r>
      <w:r>
        <w:rPr>
          <w:rFonts w:ascii="Times New Roman" w:hAnsi="Times New Roman"/>
          <w:sz w:val="28"/>
          <w:szCs w:val="28"/>
        </w:rPr>
        <w:t>в 62 случаях (83,78%) конкременты были удалены полностью, в 12 случаях (16,22%) имели резидуальные конкременты. У данных пациентов в 7 (9,5%) случаях резидуальные фрагменты размерами 2 – 4 мм отходили самостоятельно. В 4 (5,4%) случаях плотность конкремент</w:t>
      </w:r>
      <w:r>
        <w:rPr>
          <w:rFonts w:ascii="Times New Roman" w:hAnsi="Times New Roman"/>
          <w:sz w:val="28"/>
          <w:szCs w:val="28"/>
        </w:rPr>
        <w:t xml:space="preserve">а составила 1600 – 1800 </w:t>
      </w:r>
      <w:r>
        <w:rPr>
          <w:rFonts w:ascii="Times New Roman" w:hAnsi="Times New Roman"/>
          <w:sz w:val="28"/>
          <w:szCs w:val="28"/>
          <w:lang w:val="en-US"/>
        </w:rPr>
        <w:t>HU</w:t>
      </w:r>
      <w:r>
        <w:rPr>
          <w:rFonts w:ascii="Times New Roman" w:hAnsi="Times New Roman"/>
          <w:sz w:val="28"/>
          <w:szCs w:val="28"/>
          <w:lang w:val="kk-KZ"/>
        </w:rPr>
        <w:t xml:space="preserve"> и у одного пациента (1,4%) 1810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HU</w:t>
      </w:r>
      <w:r>
        <w:rPr>
          <w:rFonts w:ascii="Times New Roman" w:hAnsi="Times New Roman"/>
          <w:sz w:val="28"/>
          <w:szCs w:val="28"/>
        </w:rPr>
        <w:t xml:space="preserve"> с 3 см размером конкремента.</w:t>
      </w:r>
      <w:r>
        <w:rPr>
          <w:rFonts w:ascii="Times New Roman" w:hAnsi="Times New Roman"/>
          <w:sz w:val="28"/>
          <w:szCs w:val="28"/>
          <w:lang w:val="kk-KZ"/>
        </w:rPr>
        <w:t xml:space="preserve"> У 3 (4,1%) пациентов </w:t>
      </w:r>
      <w:r>
        <w:rPr>
          <w:rFonts w:ascii="Times New Roman" w:hAnsi="Times New Roman"/>
          <w:sz w:val="28"/>
          <w:szCs w:val="28"/>
        </w:rPr>
        <w:t>в послеоперационном периоде, через 1 месяц после удаления стент-катетера, были выявлены перфорация мочеточника и стриктура верхней трети мочеточ</w:t>
      </w:r>
      <w:r>
        <w:rPr>
          <w:rFonts w:ascii="Times New Roman" w:hAnsi="Times New Roman"/>
          <w:sz w:val="28"/>
          <w:szCs w:val="28"/>
        </w:rPr>
        <w:t>ника, которым в дальнейшем через 1 месяц, при повторной госпитализации выполнено эндоскопическое бужирование с установкой стент-катетера. Одному пациенту со стриктурой мочеточника была произведена уретеропиелопластика с внутренним дренированием. В результа</w:t>
      </w:r>
      <w:r>
        <w:rPr>
          <w:rFonts w:ascii="Times New Roman" w:hAnsi="Times New Roman"/>
          <w:sz w:val="28"/>
          <w:szCs w:val="28"/>
        </w:rPr>
        <w:t>те проведенного лечения у этих 3 больных пассаж мочи был полностью восстановлен. У всех 5 (6,76%) пациентов с размером камня более 3 см и высокой плотностью конкремента имелось послеоперационное осложнение в виде обострения пиелонефрита.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наш</w:t>
      </w:r>
      <w:r>
        <w:rPr>
          <w:rFonts w:ascii="Times New Roman" w:hAnsi="Times New Roman"/>
          <w:sz w:val="28"/>
          <w:szCs w:val="28"/>
        </w:rPr>
        <w:t xml:space="preserve">ей работы, метод РПТ можно считать эффективным при лечении конкрементов почек размером до 3 см. Эффективность лечения после операции составила 83,78%, а клиническая эффективность лечения, оцененная через 4 недели после РПТ 92%. </w:t>
      </w:r>
    </w:p>
    <w:p w:rsidR="00750932" w:rsidRDefault="0075093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3.3 Перкутанная </w:t>
      </w:r>
      <w:r>
        <w:rPr>
          <w:rFonts w:ascii="Times New Roman" w:eastAsia="Calibri" w:hAnsi="Times New Roman"/>
          <w:b/>
          <w:sz w:val="28"/>
          <w:szCs w:val="28"/>
        </w:rPr>
        <w:t>нефролитот</w:t>
      </w:r>
      <w:r>
        <w:rPr>
          <w:rFonts w:ascii="Times New Roman" w:eastAsia="Calibri" w:hAnsi="Times New Roman"/>
          <w:b/>
          <w:sz w:val="28"/>
          <w:szCs w:val="28"/>
        </w:rPr>
        <w:t xml:space="preserve">рипсия. </w:t>
      </w:r>
      <w:r>
        <w:rPr>
          <w:rFonts w:ascii="Times New Roman" w:hAnsi="Times New Roman"/>
          <w:b/>
          <w:sz w:val="28"/>
          <w:szCs w:val="28"/>
        </w:rPr>
        <w:t>Результаты лечения.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Перкутанные оперативные вмешательства в настоящее время применяются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в качестве альтернативы открытого удаления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 xml:space="preserve"> в почках. Перкутанная (чрез кожная) нефролитотрипсия – способ лечения мочекаменной болезни путем дроблен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</w:rPr>
        <w:t>ия конкрементов при прямом контакте с ними</w:t>
      </w:r>
      <w:r>
        <w:rPr>
          <w:rFonts w:ascii="Times New Roman" w:eastAsia="Calibri" w:hAnsi="Times New Roman"/>
          <w:sz w:val="28"/>
          <w:szCs w:val="28"/>
        </w:rPr>
        <w:t xml:space="preserve">[145]. 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данном подразделе приводятся исследования результатов лечения 52 пациентов 2 группы </w:t>
      </w:r>
      <w:r>
        <w:rPr>
          <w:rFonts w:ascii="Times New Roman" w:eastAsia="Calibri" w:hAnsi="Times New Roman"/>
          <w:b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целью оценки эффективности </w:t>
      </w:r>
      <w:r>
        <w:rPr>
          <w:rFonts w:ascii="Times New Roman" w:hAnsi="Times New Roman"/>
          <w:color w:val="000000"/>
          <w:sz w:val="28"/>
          <w:szCs w:val="28"/>
        </w:rPr>
        <w:t xml:space="preserve">малоинвазивного метода лечения перкутанной нефролитотрипсии у пациентов с камнями почек.  </w:t>
      </w:r>
    </w:p>
    <w:p w:rsidR="00750932" w:rsidRDefault="00816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ПНЛТ выполняли в основном при средних и крупных размерах конкрементов (рисунок 13).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</w:rPr>
        <w:drawing>
          <wp:inline distT="0" distB="0" distL="0" distR="0">
            <wp:extent cx="4819015" cy="2743200"/>
            <wp:effectExtent l="0" t="0" r="0" b="0"/>
            <wp:docPr id="17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13 - П</w:t>
      </w:r>
      <w:r>
        <w:rPr>
          <w:rFonts w:ascii="Times New Roman" w:hAnsi="Times New Roman"/>
          <w:sz w:val="28"/>
          <w:szCs w:val="28"/>
        </w:rPr>
        <w:t>ациенты с нефролитиазом в зависимости от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размера конкремента при ПНЛТ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представленном рисунке видно, что во 2 группе из 52 пациентов с МКБ размеры </w:t>
      </w:r>
      <w:r>
        <w:rPr>
          <w:rFonts w:ascii="Times New Roman" w:hAnsi="Times New Roman"/>
          <w:sz w:val="28"/>
          <w:szCs w:val="28"/>
        </w:rPr>
        <w:t>конкрементов от 1,6 – 2 см встречались в 7 случаях (13,46%), от 2,1 – 3 см были у 11 пациентов (21,1%), от 3,1 – 4 см в 14 случаях (26,9%), от 4,1 – 5 см  у 8 больных (15,3%) и у 12 лиц (23,0%) от 5,1 – 6 см.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1F497D"/>
          <w:sz w:val="28"/>
          <w:szCs w:val="28"/>
        </w:rPr>
        <w:drawing>
          <wp:inline distT="0" distB="0" distL="0" distR="0">
            <wp:extent cx="5162550" cy="2743200"/>
            <wp:effectExtent l="0" t="0" r="0" b="0"/>
            <wp:docPr id="18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14- П</w:t>
      </w:r>
      <w:r>
        <w:rPr>
          <w:rFonts w:ascii="Times New Roman" w:hAnsi="Times New Roman"/>
          <w:sz w:val="28"/>
          <w:szCs w:val="28"/>
        </w:rPr>
        <w:t xml:space="preserve">ациенты с нефролитиазом в </w:t>
      </w:r>
      <w:r>
        <w:rPr>
          <w:rFonts w:ascii="Times New Roman" w:hAnsi="Times New Roman"/>
          <w:sz w:val="28"/>
          <w:szCs w:val="28"/>
        </w:rPr>
        <w:t>зависимости от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плотности конкремента при ПНЛТ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Из представленного рисунка 14 следует, что п</w:t>
      </w:r>
      <w:r>
        <w:rPr>
          <w:rFonts w:ascii="Times New Roman" w:hAnsi="Times New Roman"/>
          <w:sz w:val="28"/>
          <w:szCs w:val="28"/>
          <w:lang w:val="kk-KZ"/>
        </w:rPr>
        <w:t>о результатам</w:t>
      </w:r>
      <w:r>
        <w:rPr>
          <w:rFonts w:ascii="Times New Roman" w:hAnsi="Times New Roman"/>
          <w:sz w:val="28"/>
          <w:szCs w:val="28"/>
        </w:rPr>
        <w:t xml:space="preserve"> диагностики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плотности камней у пациентов с МКБ во 2 – ой группе от 500 до 1000  HU встречались у 19 (36,6%) больных, от 1000 – 1200 HU у 12 (23,1%) чел</w:t>
      </w:r>
      <w:r>
        <w:rPr>
          <w:rFonts w:ascii="Times New Roman" w:hAnsi="Times New Roman"/>
          <w:sz w:val="28"/>
          <w:szCs w:val="28"/>
          <w:shd w:val="clear" w:color="auto" w:fill="FFFFFF"/>
        </w:rPr>
        <w:t>овек, от 1200- 1400 HU у 14 (27%) пациентов, от 1400- 1600 HU в 3 (5,8%) случаях, от 1600 – 1800 HU в 2 (3,9%) случях и  1800 – 1900 HU  и 1900 – 2000 HU по одному пациенту (2,%; 2%).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4571365" cy="2743200"/>
            <wp:effectExtent l="0" t="0" r="0" b="0"/>
            <wp:docPr id="1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15 - П</w:t>
      </w:r>
      <w:r>
        <w:rPr>
          <w:rFonts w:ascii="Times New Roman" w:hAnsi="Times New Roman"/>
          <w:sz w:val="28"/>
          <w:szCs w:val="28"/>
        </w:rPr>
        <w:t xml:space="preserve">ациенты с нефролитиазом по стороне 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локализации конкрем</w:t>
      </w:r>
      <w:r>
        <w:rPr>
          <w:rFonts w:ascii="Times New Roman" w:hAnsi="Times New Roman"/>
          <w:sz w:val="28"/>
          <w:szCs w:val="28"/>
        </w:rPr>
        <w:t>ента при ПЛНТ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Изданных рисунка 15 видно, что у 50% пациентов конкременты локализовались в левой почке, у 32,69% пациентов в правой почке и двухсторонние камни были в 9,0%, случаях, соответственно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3915" cy="2781300"/>
            <wp:effectExtent l="0" t="0" r="0" b="0"/>
            <wp:docPr id="20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16 - П</w:t>
      </w:r>
      <w:r>
        <w:rPr>
          <w:rFonts w:ascii="Times New Roman" w:hAnsi="Times New Roman"/>
          <w:sz w:val="28"/>
          <w:szCs w:val="28"/>
        </w:rPr>
        <w:t xml:space="preserve">ациенты с нефролитиазом по локализации 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конкрементов при ПЛНТ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данных рисунка 16 следует, что п</w:t>
      </w:r>
      <w:r>
        <w:rPr>
          <w:rFonts w:ascii="Times New Roman" w:hAnsi="Times New Roman"/>
          <w:sz w:val="28"/>
          <w:szCs w:val="28"/>
          <w:lang w:val="kk-KZ"/>
        </w:rPr>
        <w:t>о результатам</w:t>
      </w:r>
      <w:r>
        <w:rPr>
          <w:rFonts w:ascii="Times New Roman" w:hAnsi="Times New Roman"/>
          <w:sz w:val="28"/>
          <w:szCs w:val="28"/>
        </w:rPr>
        <w:t xml:space="preserve"> анализа 2 группы из 52 пациентов конкременты локализовались в чашечках у 35 пациентов (67,3%). ПНЛТ в основном проводилась пациентам с конкрементами в нижней чашечке (25 пациентов), а </w:t>
      </w:r>
      <w:r>
        <w:rPr>
          <w:rFonts w:ascii="Times New Roman" w:hAnsi="Times New Roman"/>
          <w:sz w:val="28"/>
          <w:szCs w:val="28"/>
        </w:rPr>
        <w:t>пациентам с конкрементами в средней и верхней чашечках ПНЛТ выполнялись в единичных случаях.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144 пациентов с нефролитиазом ПНЛТ выполнено 52 пациентам, где 24 пациента (46,1%) имели коралловидный конкремент (К-1, К-2, К-3).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ПНЛТ осуществляли </w:t>
      </w:r>
      <w:r>
        <w:rPr>
          <w:rFonts w:ascii="Times New Roman" w:hAnsi="Times New Roman"/>
          <w:sz w:val="28"/>
          <w:szCs w:val="28"/>
        </w:rPr>
        <w:t>в положении пациента на животе, в</w:t>
      </w:r>
      <w:r>
        <w:rPr>
          <w:rFonts w:ascii="Times New Roman" w:eastAsia="Calibri" w:hAnsi="Times New Roman"/>
          <w:sz w:val="28"/>
          <w:szCs w:val="28"/>
        </w:rPr>
        <w:t xml:space="preserve"> начале создавали антеградный пункционный доступ к почке, а затем через сформированный нефростомический ход удаляли каменьиз полостной системы почки и мочеточника. </w:t>
      </w:r>
    </w:p>
    <w:p w:rsidR="00750932" w:rsidRDefault="00816126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ПНЛТ проводили под СМА, б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ужирование осуществлялось по </w:t>
      </w:r>
      <w:r>
        <w:rPr>
          <w:rFonts w:ascii="Times New Roman" w:eastAsia="Calibri" w:hAnsi="Times New Roman"/>
          <w:color w:val="000000"/>
          <w:sz w:val="28"/>
          <w:szCs w:val="28"/>
        </w:rPr>
        <w:t>проводнику телоскопическом катетером бужей «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Alkon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» с последующей установкой стержневого ствола для проведения нефроскопа.Для фрагментации конкрементов использовались различные виды контактных литотриптеров, как по отдельности, так, и в комбинациях. </w:t>
      </w:r>
    </w:p>
    <w:p w:rsidR="00750932" w:rsidRDefault="0081612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Для ул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ьтразвукового разрушения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использовался немецкий литотриптер «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Storz</w:t>
      </w:r>
      <w:r>
        <w:rPr>
          <w:rFonts w:ascii="Times New Roman" w:eastAsia="Calibri" w:hAnsi="Times New Roman"/>
          <w:color w:val="000000"/>
          <w:sz w:val="28"/>
          <w:szCs w:val="28"/>
        </w:rPr>
        <w:t>», механический литотриптер «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Lithoclast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» (Швецария). Оставшиеся фрагменты извлекались по просвету </w:t>
      </w:r>
      <w:r>
        <w:rPr>
          <w:rFonts w:ascii="Times New Roman" w:eastAsia="Calibri" w:hAnsi="Times New Roman"/>
          <w:sz w:val="28"/>
          <w:szCs w:val="28"/>
        </w:rPr>
        <w:t xml:space="preserve">кожуха </w:t>
      </w:r>
      <w:r>
        <w:rPr>
          <w:rFonts w:ascii="Times New Roman" w:eastAsia="Calibri" w:hAnsi="Times New Roman"/>
          <w:sz w:val="28"/>
          <w:szCs w:val="28"/>
          <w:lang w:val="en-US"/>
        </w:rPr>
        <w:t>Amplatzc</w:t>
      </w:r>
      <w:r>
        <w:rPr>
          <w:rFonts w:ascii="Times New Roman" w:eastAsia="Calibri" w:hAnsi="Times New Roman"/>
          <w:sz w:val="28"/>
          <w:szCs w:val="28"/>
        </w:rPr>
        <w:t xml:space="preserve">с помощью манипуляционных щипцов. Удаление конкрементов проводили под рентген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и эндоскопическим контролем. При интраоперационной контрольной рентгеноскопии резидуальные </w:t>
      </w:r>
      <w:r>
        <w:rPr>
          <w:rFonts w:ascii="Times New Roman" w:hAnsi="Times New Roman"/>
          <w:sz w:val="28"/>
          <w:szCs w:val="28"/>
        </w:rPr>
        <w:t>конкременты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 не выявлены. Операция заканчивалась дренированием почки нефростомическим др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енажом. </w:t>
      </w:r>
      <w:r>
        <w:rPr>
          <w:rFonts w:ascii="Times New Roman" w:hAnsi="Times New Roman"/>
          <w:color w:val="000000"/>
          <w:sz w:val="28"/>
          <w:szCs w:val="28"/>
        </w:rPr>
        <w:t xml:space="preserve">В среднем операция длилась при ПНЛТ </w:t>
      </w:r>
      <w:r>
        <w:rPr>
          <w:rFonts w:ascii="Times New Roman" w:hAnsi="Times New Roman"/>
          <w:sz w:val="28"/>
          <w:szCs w:val="28"/>
        </w:rPr>
        <w:t>67,01±29,39 минут.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группе у 23 пациентов (44,2%), когда размеры конкремента не превышали от 2,1 – 3,9 см, конкременты удалялись полностью. У 18 пациентов (34,7%) с МКБ размеры от 3,9 – 5,1 см также удал</w:t>
      </w:r>
      <w:r>
        <w:rPr>
          <w:rFonts w:ascii="Times New Roman" w:hAnsi="Times New Roman"/>
          <w:sz w:val="28"/>
          <w:szCs w:val="28"/>
        </w:rPr>
        <w:t xml:space="preserve">ялись полностью при ПНЛТ, но продолжительность операции увеличивалось. </w:t>
      </w:r>
    </w:p>
    <w:p w:rsidR="00750932" w:rsidRDefault="00816126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раннем послеоперационном периоде послеоперационные осложнения у 42 пациентов (80,7 %) не наблюдались.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играция фрагментов коралловидного конкремента в мочеточник с образованием «кам</w:t>
      </w:r>
      <w:r>
        <w:rPr>
          <w:rFonts w:ascii="Times New Roman" w:hAnsi="Times New Roman"/>
          <w:color w:val="000000"/>
          <w:sz w:val="28"/>
          <w:szCs w:val="28"/>
        </w:rPr>
        <w:t xml:space="preserve">енной дорожки» наблюдалась у 3 пациентов (5,71%) и им потребовалось выполнение уретеролитоэкстракции.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Болевой синдром в послеоперационном периоде у пациентов 2-й группы интенсивность болей в раннем послеоперационном периоде была более выраженной. У больны</w:t>
      </w:r>
      <w:r>
        <w:rPr>
          <w:rFonts w:ascii="Times New Roman" w:hAnsi="Times New Roman"/>
          <w:sz w:val="28"/>
          <w:szCs w:val="28"/>
        </w:rPr>
        <w:t>х 2-й группы также чаще отмечалась гематурия (10 пациентов), которая потребовала переливания крови у 2 пациентов (3,9%), к</w:t>
      </w:r>
      <w:r>
        <w:rPr>
          <w:rFonts w:ascii="Times New Roman" w:hAnsi="Times New Roman"/>
          <w:bCs/>
          <w:sz w:val="28"/>
          <w:szCs w:val="28"/>
        </w:rPr>
        <w:t>ровотечение возникло на этапе создания перкутанного доступа и было купировано путем установки нефростомического дренажа. На этом опера</w:t>
      </w:r>
      <w:r>
        <w:rPr>
          <w:rFonts w:ascii="Times New Roman" w:hAnsi="Times New Roman"/>
          <w:bCs/>
          <w:sz w:val="28"/>
          <w:szCs w:val="28"/>
        </w:rPr>
        <w:t xml:space="preserve">ция завершалась и удаление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Fonts w:ascii="Times New Roman" w:hAnsi="Times New Roman"/>
          <w:bCs/>
          <w:sz w:val="28"/>
          <w:szCs w:val="28"/>
        </w:rPr>
        <w:t>почек выполнялась следующим этапом после стабилизации состояния больного. У 2 пациентов, которым потребовалось переливание крови, гемоглобин спустился до 71 г/л в крови, а после переливания крови через 1 сутки данные</w:t>
      </w:r>
      <w:r>
        <w:rPr>
          <w:rFonts w:ascii="Times New Roman" w:hAnsi="Times New Roman"/>
          <w:bCs/>
          <w:sz w:val="28"/>
          <w:szCs w:val="28"/>
        </w:rPr>
        <w:t xml:space="preserve"> гемоглобина поднялись до 95 г/л, на 3 сутки показатель гемоглобина поднялась до 102 г/л. 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color w:val="000000"/>
          <w:sz w:val="28"/>
          <w:szCs w:val="28"/>
        </w:rPr>
        <w:t>играция фрагментов коралловидного конкремента в мочеточник с образованием «каменной дорожки» наблюдалась у 3 пациентов (5,8%) и им потребовалось выполнение уретерол</w:t>
      </w:r>
      <w:r>
        <w:rPr>
          <w:rFonts w:ascii="Times New Roman" w:hAnsi="Times New Roman"/>
          <w:color w:val="000000"/>
          <w:sz w:val="28"/>
          <w:szCs w:val="28"/>
        </w:rPr>
        <w:t>итоэкстракции. У 9 пациентов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(17,31%) </w:t>
      </w:r>
      <w:r>
        <w:rPr>
          <w:rFonts w:ascii="Times New Roman" w:hAnsi="Times New Roman"/>
          <w:color w:val="000000"/>
          <w:sz w:val="28"/>
          <w:szCs w:val="28"/>
        </w:rPr>
        <w:t>этой группы отмечено обострение хронического калькулезного пиелонефрита. Данные пациенты у которых были  конкременты размерами от  5,1 см. – 6 см., также у этих пациентов проведения метода ПНЛТ было технически сложным.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Всем пациентам с осложнениями проводилась соответствующая консервативная терапия с положительным эффектом. После выполнения ПНЛТ у 3 пациентов были выявлены резидуальные </w:t>
      </w:r>
      <w:r>
        <w:rPr>
          <w:rFonts w:ascii="Times New Roman" w:hAnsi="Times New Roman"/>
          <w:sz w:val="28"/>
          <w:szCs w:val="28"/>
        </w:rPr>
        <w:t>конкременты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нижней и средней чашечке от 5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>до 10 мм в диаметре, в дальнейшем этим па</w:t>
      </w:r>
      <w:r>
        <w:rPr>
          <w:rFonts w:ascii="Times New Roman" w:hAnsi="Times New Roman"/>
          <w:sz w:val="28"/>
          <w:szCs w:val="28"/>
          <w:shd w:val="clear" w:color="auto" w:fill="FFFFFF"/>
        </w:rPr>
        <w:t>циентам в следующую госпитализацию через 1 месяц было выполнено по одному сеансу ЭУВЛ с положительным эффектом.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 результате исследования</w:t>
      </w:r>
      <w:r>
        <w:rPr>
          <w:rFonts w:ascii="Times New Roman" w:hAnsi="Times New Roman"/>
          <w:sz w:val="28"/>
          <w:szCs w:val="28"/>
        </w:rPr>
        <w:t xml:space="preserve"> при выполнении ПЛНТ установлено, что у пациентов по критерию Stone free </w:t>
      </w:r>
      <w:r>
        <w:rPr>
          <w:rFonts w:ascii="Times New Roman" w:hAnsi="Times New Roman"/>
          <w:sz w:val="28"/>
          <w:szCs w:val="28"/>
          <w:lang w:val="en-US"/>
        </w:rPr>
        <w:t>rate</w:t>
      </w:r>
      <w:r>
        <w:rPr>
          <w:rFonts w:ascii="Times New Roman" w:hAnsi="Times New Roman"/>
          <w:sz w:val="28"/>
          <w:szCs w:val="28"/>
        </w:rPr>
        <w:t xml:space="preserve"> (полное очищение почки от конкремента и е</w:t>
      </w:r>
      <w:r>
        <w:rPr>
          <w:rFonts w:ascii="Times New Roman" w:hAnsi="Times New Roman"/>
          <w:sz w:val="28"/>
          <w:szCs w:val="28"/>
        </w:rPr>
        <w:t>го фрагментов) эффективность лечения составила 78,85%. Клиническая эффективность лечения, оцененная через 4 недели после ПЛНТ 91%.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примера, иллюстрирующего применение ПНЛТ, приводим следующее клиническое наблюдение.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Пациент О., 54 г. с диагнозом МКБ. Коралловидный камень правой почки. Хронический калькулезный пиелонефрит в стадии латентного воспаления.  </w:t>
      </w:r>
    </w:p>
    <w:p w:rsidR="00750932" w:rsidRDefault="00750932">
      <w:pPr>
        <w:spacing w:after="0" w:line="240" w:lineRule="auto"/>
        <w:ind w:left="720"/>
        <w:jc w:val="both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left="72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3324225" cy="2409825"/>
            <wp:effectExtent l="0" t="0" r="0" b="0"/>
            <wp:docPr id="21" name="Рисунок 16" descr="IMG_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 descr="IMG_48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Рисунок 17 – УЗИ правой почки пациента О. 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50932" w:rsidRDefault="00816126">
      <w:pPr>
        <w:ind w:right="-31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На </w:t>
      </w:r>
      <w:r>
        <w:rPr>
          <w:rFonts w:ascii="Times New Roman" w:eastAsia="Calibri" w:hAnsi="Times New Roman"/>
          <w:bCs/>
          <w:sz w:val="28"/>
          <w:szCs w:val="28"/>
          <w:lang w:val="kk-KZ"/>
        </w:rPr>
        <w:t>УЗИ</w:t>
      </w:r>
      <w:r>
        <w:rPr>
          <w:rFonts w:ascii="Times New Roman" w:eastAsia="Calibri" w:hAnsi="Times New Roman"/>
          <w:bCs/>
          <w:sz w:val="28"/>
          <w:szCs w:val="28"/>
        </w:rPr>
        <w:t>: Левая</w:t>
      </w:r>
      <w:r>
        <w:rPr>
          <w:rFonts w:ascii="Times New Roman" w:hAnsi="Times New Roman"/>
          <w:sz w:val="28"/>
          <w:szCs w:val="28"/>
        </w:rPr>
        <w:t xml:space="preserve"> почка 121*67 мм, паренхима 21мм, ЧЛС не расширена. Пр</w:t>
      </w:r>
      <w:r>
        <w:rPr>
          <w:rFonts w:ascii="Times New Roman" w:hAnsi="Times New Roman"/>
          <w:sz w:val="28"/>
          <w:szCs w:val="28"/>
        </w:rPr>
        <w:t xml:space="preserve">авая почка 96х55мм., паренхима 12 мм, в верхней чашечке 13мм, во всех чашечках коралловидный конкремент до 61 мм.  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3457575"/>
            <wp:effectExtent l="0" t="0" r="0" b="0"/>
            <wp:docPr id="22" name="Picture 2" descr="Z:\Ожкенов Е. 14.03.17г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Z:\Ожкенов Е. 14.03.17г\IMG_4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Рисунок 18 –Обзорная урограмма </w:t>
      </w: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Пациента О.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обзорном снимке тень коралловидного конкремента в проекции правой почки. </w:t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3200400"/>
            <wp:effectExtent l="0" t="0" r="0" b="0"/>
            <wp:docPr id="23" name="Picture 2" descr="Z:\Ожкенов Е. 14.03.17г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Z:\Ожкенов Е. 14.03.17г\IMG_40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Рисунок 19 </w:t>
      </w:r>
      <w:r>
        <w:rPr>
          <w:rFonts w:ascii="Times New Roman" w:eastAsia="Calibri" w:hAnsi="Times New Roman"/>
          <w:sz w:val="28"/>
          <w:szCs w:val="28"/>
        </w:rPr>
        <w:t>– Компьютерная томография</w:t>
      </w: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почек пациента О.  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tabs>
          <w:tab w:val="left" w:pos="9355"/>
          <w:tab w:val="left" w:pos="10142"/>
        </w:tabs>
        <w:ind w:right="-314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На КТ почек</w:t>
      </w:r>
      <w:r>
        <w:rPr>
          <w:rFonts w:ascii="Times New Roman" w:eastAsia="Calibri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Левая почка 12,0*5,5см, паренхима 1,6см. Правая почка 10,7*5,5см, паренхима 1,3см, в ЧЛС определяется конкремент размером 6,1*4,7см, плотностью до 950ЕД/Х.</w:t>
      </w:r>
    </w:p>
    <w:p w:rsidR="00750932" w:rsidRDefault="00816126">
      <w:pPr>
        <w:tabs>
          <w:tab w:val="left" w:pos="9355"/>
          <w:tab w:val="left" w:pos="10142"/>
        </w:tabs>
        <w:spacing w:after="0" w:line="240" w:lineRule="auto"/>
        <w:ind w:right="-312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Выставлен диагноз: МКБ. Коралловидный ка</w:t>
      </w:r>
      <w:r>
        <w:rPr>
          <w:rFonts w:ascii="Times New Roman" w:eastAsia="Calibri" w:hAnsi="Times New Roman"/>
          <w:sz w:val="28"/>
          <w:szCs w:val="28"/>
        </w:rPr>
        <w:t>мень правой почки. Хронический калькулезный пиелонефрит в стадии латентного воспаления.</w:t>
      </w:r>
    </w:p>
    <w:p w:rsidR="00750932" w:rsidRDefault="00816126">
      <w:pPr>
        <w:tabs>
          <w:tab w:val="left" w:pos="9355"/>
          <w:tab w:val="left" w:pos="10142"/>
        </w:tabs>
        <w:spacing w:after="0" w:line="240" w:lineRule="auto"/>
        <w:ind w:right="-312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Произведена перкутанная нефролитотрипсия.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86125" cy="2466975"/>
            <wp:effectExtent l="0" t="9525" r="0" b="0"/>
            <wp:docPr id="24" name="Содержимое 4" descr="IMG_73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одержимое 4" descr="IMG_7346.JPG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543175"/>
            <wp:effectExtent l="4762" t="0" r="0" b="0"/>
            <wp:docPr id="25" name="Содержимое 5" descr="IMG_73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одержимое 5" descr="IMG_7347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6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Рисунок 20 – </w:t>
      </w:r>
      <w:r>
        <w:rPr>
          <w:rFonts w:ascii="Times New Roman" w:hAnsi="Times New Roman"/>
          <w:sz w:val="28"/>
          <w:szCs w:val="28"/>
        </w:rPr>
        <w:t xml:space="preserve">Интраоперационные урограммы пациента О. </w:t>
      </w: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(положение на животе) при выполнении перкутанной нефролитотрипсии 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Как видно на рисунке 20, проведенная ПЛНТ позволила полностью удалить коралловидный </w:t>
      </w:r>
      <w:r>
        <w:rPr>
          <w:rFonts w:ascii="Times New Roman" w:hAnsi="Times New Roman"/>
          <w:sz w:val="28"/>
          <w:szCs w:val="28"/>
        </w:rPr>
        <w:t>конкремент</w:t>
      </w:r>
      <w:r>
        <w:rPr>
          <w:rFonts w:ascii="Times New Roman" w:eastAsia="Calibri" w:hAnsi="Times New Roman"/>
          <w:sz w:val="28"/>
          <w:szCs w:val="28"/>
        </w:rPr>
        <w:t>. П</w:t>
      </w:r>
      <w:r>
        <w:rPr>
          <w:rFonts w:ascii="Times New Roman" w:eastAsia="Calibri" w:hAnsi="Times New Roman"/>
          <w:color w:val="000000"/>
          <w:sz w:val="28"/>
          <w:szCs w:val="28"/>
        </w:rPr>
        <w:t>олная санация полостной системы почки от конкрементов, способствовала, у данного пациента, стабилизации хронического воспалительного процесса.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результате ис</w:t>
      </w:r>
      <w:r>
        <w:rPr>
          <w:rFonts w:ascii="Times New Roman" w:hAnsi="Times New Roman"/>
          <w:color w:val="000000"/>
          <w:sz w:val="28"/>
          <w:szCs w:val="28"/>
        </w:rPr>
        <w:t xml:space="preserve">следования по нашим данным у пациентов 2-й группы после выполнения ПНЛТ болевой синдромбыл выраженнее и в послеоперационном периоде потребность в наркотических анальгетиках было выше, чем в других группах. У 2 пациентов во время оперативного вмешательства </w:t>
      </w:r>
      <w:r>
        <w:rPr>
          <w:rFonts w:ascii="Times New Roman" w:hAnsi="Times New Roman"/>
          <w:color w:val="000000"/>
          <w:sz w:val="28"/>
          <w:szCs w:val="28"/>
        </w:rPr>
        <w:t xml:space="preserve">была кровопотеря (3,9%), а также количество иных послеоперационных осложнений наблюдались чаще. Риск развития острого пиелонефрита в послеоперационном периоде оказался выше у пациентов 2-й группы (ПНЛТ) (9 пациентов 17,3%).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Повторное оперативное вмешатель</w:t>
      </w:r>
      <w:r>
        <w:rPr>
          <w:rFonts w:ascii="Times New Roman" w:hAnsi="Times New Roman"/>
          <w:sz w:val="28"/>
          <w:szCs w:val="28"/>
        </w:rPr>
        <w:t>ство во 2-й группе потребовалось 3 пациентам (5,8%), у которых имелась м</w:t>
      </w:r>
      <w:r>
        <w:rPr>
          <w:rFonts w:ascii="Times New Roman" w:hAnsi="Times New Roman"/>
          <w:color w:val="000000"/>
          <w:sz w:val="28"/>
          <w:szCs w:val="28"/>
        </w:rPr>
        <w:t>играция фрагментов фрагментированного конкремента в мочеточник, по этому поводу им выполнили уретеролитоэкстракцию. Миграция фрагментов произошла в отдел между с/3 и в/3 мочеточника, с</w:t>
      </w:r>
      <w:r>
        <w:rPr>
          <w:rFonts w:ascii="Times New Roman" w:hAnsi="Times New Roman"/>
          <w:color w:val="000000"/>
          <w:sz w:val="28"/>
          <w:szCs w:val="28"/>
        </w:rPr>
        <w:t>верху перкутанным доступом конкременты достать было технически сложно, и в связи с этим была произведена уретеролитоэкстракция. Данные манипуляции были выполнены сразу, во время оперативного вмешательства.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Таким образом, после проведения ПЛНТ эффективность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лечения составила 78,85%, а клиническая эффективность лечения, оцененная через 4 недели после ПЛНТ 91%.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 К</w:t>
      </w:r>
      <w:r>
        <w:rPr>
          <w:rFonts w:ascii="Times New Roman" w:eastAsia="Calibri" w:hAnsi="Times New Roman"/>
          <w:b/>
          <w:sz w:val="28"/>
          <w:szCs w:val="28"/>
        </w:rPr>
        <w:t>омбинированный метод лечения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Предложенный нами метод позволяет лечить пациентов с клинически сложными вариантами нефролитиаза (крупные, плотные, </w:t>
      </w:r>
      <w:r>
        <w:rPr>
          <w:rFonts w:ascii="Times New Roman" w:eastAsia="Calibri" w:hAnsi="Times New Roman"/>
          <w:sz w:val="28"/>
          <w:szCs w:val="28"/>
        </w:rPr>
        <w:t>множественные, рецидивные, рентгеннегативные, коралловидные камни, а также пациентов с аномалиями верхних мочевых путей и единственно функционирующей почкой). Достоинством метода является минимизация оперативного доступа при сохранении адекватного объема в</w:t>
      </w:r>
      <w:r>
        <w:rPr>
          <w:rFonts w:ascii="Times New Roman" w:eastAsia="Calibri" w:hAnsi="Times New Roman"/>
          <w:sz w:val="28"/>
          <w:szCs w:val="28"/>
        </w:rPr>
        <w:t>мешательства.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Из 144 пациентов 18 было проведено комбинированное лечение по поводу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eastAsia="Calibri" w:hAnsi="Times New Roman"/>
          <w:bCs/>
          <w:sz w:val="28"/>
          <w:szCs w:val="28"/>
        </w:rPr>
        <w:t xml:space="preserve"> почки и мочеточника (3 группа).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19015" cy="2456815"/>
            <wp:effectExtent l="0" t="0" r="0" b="0"/>
            <wp:docPr id="26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21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Размеры конкрементов пациентов 3 группы</w:t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данных рисунка видно, что в 3 группе из 18 пациентов с МКБ от 2 – 5 см конкременты встречались в единичных случаях, а размер 5,1 – 6 см был у 3 пациентов (16,6%) и от 6,1 до10 см у 12 (66,6%).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67300" cy="2743200"/>
            <wp:effectExtent l="0" t="0" r="0" b="0"/>
            <wp:docPr id="27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22– Плотность конкрементов пациентов 3 группы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представленном рисунке видно, что п</w:t>
      </w:r>
      <w:r>
        <w:rPr>
          <w:rFonts w:ascii="Times New Roman" w:hAnsi="Times New Roman"/>
          <w:sz w:val="28"/>
          <w:szCs w:val="28"/>
          <w:lang w:val="kk-KZ"/>
        </w:rPr>
        <w:t>о результатам</w:t>
      </w:r>
      <w:r>
        <w:rPr>
          <w:rFonts w:ascii="Times New Roman" w:hAnsi="Times New Roman"/>
          <w:sz w:val="28"/>
          <w:szCs w:val="28"/>
        </w:rPr>
        <w:t xml:space="preserve"> диагностики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плотности конкрементов у пациентов с МКБ в 3 – й группе распределились в равных долях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1365" cy="2762250"/>
            <wp:effectExtent l="0" t="0" r="0" b="0"/>
            <wp:docPr id="28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Рисунок 23–Локализация конкрементов у пациентов </w:t>
      </w:r>
      <w:r>
        <w:rPr>
          <w:rFonts w:ascii="Times New Roman" w:hAnsi="Times New Roman"/>
          <w:sz w:val="28"/>
          <w:szCs w:val="28"/>
        </w:rPr>
        <w:t>3 группы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 3 группе у 8 пациентов (44,44%) были конк</w:t>
      </w:r>
      <w:r>
        <w:rPr>
          <w:rFonts w:ascii="Times New Roman" w:eastAsia="Calibri" w:hAnsi="Times New Roman"/>
          <w:bCs/>
          <w:sz w:val="28"/>
          <w:szCs w:val="28"/>
        </w:rPr>
        <w:t>ременты в правой и левой почке, а в 2 случаях (11,11%) конкременты в обеих почках.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highlight w:val="darkMagenta"/>
        </w:rPr>
      </w:pPr>
    </w:p>
    <w:p w:rsidR="00750932" w:rsidRDefault="008161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3915" cy="2362200"/>
            <wp:effectExtent l="0" t="0" r="0" b="0"/>
            <wp:docPr id="29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50932" w:rsidRDefault="00750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24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–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Расположение конкрементов у пациентов 3 группы</w:t>
      </w:r>
    </w:p>
    <w:p w:rsidR="00750932" w:rsidRDefault="00750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данных рисунка 24 следует, что п</w:t>
      </w:r>
      <w:r>
        <w:rPr>
          <w:rFonts w:ascii="Times New Roman" w:hAnsi="Times New Roman"/>
          <w:sz w:val="28"/>
          <w:szCs w:val="28"/>
          <w:lang w:val="kk-KZ"/>
        </w:rPr>
        <w:t>о результатам</w:t>
      </w:r>
      <w:r>
        <w:rPr>
          <w:rFonts w:ascii="Times New Roman" w:hAnsi="Times New Roman"/>
          <w:sz w:val="28"/>
          <w:szCs w:val="28"/>
        </w:rPr>
        <w:t xml:space="preserve"> анализа в 3 группе из 18 пациентов конкременты локализовались в чашечках у 6пациентов (33,3%%). В лоханочно-мочеточниковом сегменте конкремент локализовался у 1 пациента (5,5%), в большинстве случаев у 11 пациентов (61,1%) конкременты были в лоханке (в то</w:t>
      </w:r>
      <w:r>
        <w:rPr>
          <w:rFonts w:ascii="Times New Roman" w:hAnsi="Times New Roman"/>
          <w:sz w:val="28"/>
          <w:szCs w:val="28"/>
        </w:rPr>
        <w:t xml:space="preserve">м числе расположенной внутрипочечно). </w:t>
      </w:r>
      <w:r>
        <w:rPr>
          <w:rFonts w:ascii="Times New Roman" w:eastAsia="Calibri" w:hAnsi="Times New Roman"/>
          <w:bCs/>
          <w:sz w:val="28"/>
          <w:szCs w:val="28"/>
        </w:rPr>
        <w:t>Конкременты почек и в/3 мочеточника встречались у 1 пациента.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При комбинированном методе удаление конкрементов в первую очередь проводится ретроградная пиелолитотрипсия, поэтому пациент сначала укладывается на спину, о</w:t>
      </w:r>
      <w:r>
        <w:rPr>
          <w:rFonts w:ascii="Times New Roman" w:eastAsia="Calibri" w:hAnsi="Times New Roman"/>
          <w:bCs/>
          <w:sz w:val="28"/>
          <w:szCs w:val="28"/>
        </w:rPr>
        <w:t>перация проводится под СМА анестезией. После окончания пиелолитотрипсии устанавливается мочеточниковый катетер и пациента перекладывают на живот для проведения перкутанной нефролитотрипсии. При полной эвакуации конкрементов и их фрагментов нефростома не ус</w:t>
      </w:r>
      <w:r>
        <w:rPr>
          <w:rFonts w:ascii="Times New Roman" w:eastAsia="Calibri" w:hAnsi="Times New Roman"/>
          <w:bCs/>
          <w:sz w:val="28"/>
          <w:szCs w:val="28"/>
        </w:rPr>
        <w:t xml:space="preserve">танавливается после операции, устанавливается только стент-катетер для дренирования почки.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 1 сутки после комбинированной операции у пациентов, мочевой пузырь дренировался уретральным катетером.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Основными показаниями к проведению комбинированного метода </w:t>
      </w:r>
      <w:r>
        <w:rPr>
          <w:rFonts w:ascii="Times New Roman" w:eastAsia="Calibri" w:hAnsi="Times New Roman"/>
          <w:bCs/>
          <w:sz w:val="28"/>
          <w:szCs w:val="28"/>
        </w:rPr>
        <w:t>лечения являлось наличие конкрементов в лоханке почки и чашечках, в/3 мочеточника.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3 группе 10 </w:t>
      </w:r>
      <w:r>
        <w:rPr>
          <w:rFonts w:ascii="Times New Roman" w:hAnsi="Times New Roman"/>
          <w:color w:val="000000"/>
          <w:sz w:val="28"/>
          <w:szCs w:val="28"/>
        </w:rPr>
        <w:t xml:space="preserve">пациентам </w:t>
      </w:r>
      <w:r>
        <w:rPr>
          <w:rFonts w:ascii="Times New Roman" w:eastAsia="Calibri" w:hAnsi="Times New Roman"/>
          <w:sz w:val="28"/>
          <w:szCs w:val="28"/>
        </w:rPr>
        <w:t>(55,5%)</w:t>
      </w:r>
      <w:r>
        <w:rPr>
          <w:rFonts w:ascii="Times New Roman" w:hAnsi="Times New Roman"/>
          <w:color w:val="000000"/>
          <w:sz w:val="28"/>
          <w:szCs w:val="28"/>
        </w:rPr>
        <w:t xml:space="preserve">, одномоментно проведен комбинированный метод. У 8 пациентов (44,4%) комбинированный метод выполнен в 2 этапа </w:t>
      </w:r>
      <w:r>
        <w:rPr>
          <w:rFonts w:ascii="Times New Roman" w:eastAsia="Calibri" w:hAnsi="Times New Roman"/>
          <w:sz w:val="28"/>
          <w:szCs w:val="28"/>
        </w:rPr>
        <w:t>(первый этап - перкутанная нефро</w:t>
      </w:r>
      <w:r>
        <w:rPr>
          <w:rFonts w:ascii="Times New Roman" w:eastAsia="Calibri" w:hAnsi="Times New Roman"/>
          <w:sz w:val="28"/>
          <w:szCs w:val="28"/>
        </w:rPr>
        <w:t xml:space="preserve">стомия или установка стент-катетера).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 пациентов 3 группы в среднем операция длилась </w:t>
      </w:r>
      <w:r>
        <w:rPr>
          <w:rFonts w:ascii="Times New Roman" w:hAnsi="Times New Roman"/>
          <w:sz w:val="28"/>
          <w:szCs w:val="28"/>
        </w:rPr>
        <w:t>58,88±13,12 минут.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После проведенной комбинированной операции у 17 пациентов (94,44%) полостная система почек и мочеточника полностью освобождена от конкрементов (</w:t>
      </w:r>
      <w:r>
        <w:rPr>
          <w:rFonts w:ascii="Times New Roman" w:eastAsia="Calibri" w:hAnsi="Times New Roman"/>
          <w:bCs/>
          <w:sz w:val="28"/>
          <w:szCs w:val="28"/>
          <w:lang w:val="en-US"/>
        </w:rPr>
        <w:t>Stone</w:t>
      </w:r>
      <w:r>
        <w:rPr>
          <w:rFonts w:ascii="Times New Roman" w:eastAsia="Calibri" w:hAnsi="Times New Roman"/>
          <w:bCs/>
          <w:sz w:val="28"/>
          <w:szCs w:val="28"/>
        </w:rPr>
        <w:t>-</w:t>
      </w:r>
      <w:r>
        <w:rPr>
          <w:rFonts w:ascii="Times New Roman" w:eastAsia="Calibri" w:hAnsi="Times New Roman"/>
          <w:bCs/>
          <w:sz w:val="28"/>
          <w:szCs w:val="28"/>
          <w:lang w:val="en-US"/>
        </w:rPr>
        <w:t>freerate</w:t>
      </w:r>
      <w:r>
        <w:rPr>
          <w:rFonts w:ascii="Times New Roman" w:eastAsia="Calibri" w:hAnsi="Times New Roman"/>
          <w:bCs/>
          <w:sz w:val="28"/>
          <w:szCs w:val="28"/>
        </w:rPr>
        <w:t xml:space="preserve">). У оставшегося 1 пациента (5,5%) отмечались резидуальные конкременты. Данному пациенту произведен сеанс ЭУВЛ.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У 6 пациентов (33,3%) уже имелась ранее установленная нефростома. Интраоперационные осложнения в 3 группе отмечались у 5 пациентов </w:t>
      </w:r>
      <w:r>
        <w:rPr>
          <w:rFonts w:ascii="Times New Roman" w:eastAsia="Calibri" w:hAnsi="Times New Roman"/>
          <w:bCs/>
          <w:sz w:val="28"/>
          <w:szCs w:val="28"/>
        </w:rPr>
        <w:t>(27,7%). Наиболее грозное интраоперационное осложнение - кровотечение наблюдалось у 2 пациентов (11,11%), т.е. кровотечение возникло на этапе создания перкутанного доступа и было купировано путем установки нефростомы.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Во время операционного вмешательства у</w:t>
      </w:r>
      <w:r>
        <w:rPr>
          <w:rFonts w:ascii="Times New Roman" w:eastAsia="Calibri" w:hAnsi="Times New Roman"/>
          <w:bCs/>
          <w:sz w:val="28"/>
          <w:szCs w:val="28"/>
        </w:rPr>
        <w:t xml:space="preserve"> 2 пациентов (11,1%) обнаружили стриктуру мочеточника, одному пациенту провели эндоскопическое бужирование, а другому мы в дальнейшем выполнили уретеропиелопластику. У 1 пациента во время операции обнаружили перфорацию мочеточника, которая потребовала длит</w:t>
      </w:r>
      <w:r>
        <w:rPr>
          <w:rFonts w:ascii="Times New Roman" w:eastAsia="Calibri" w:hAnsi="Times New Roman"/>
          <w:bCs/>
          <w:sz w:val="28"/>
          <w:szCs w:val="28"/>
        </w:rPr>
        <w:t>ельного послеоперационного дренирования мочевых путей стент-катетером. Интраоперационных осложнений, потребовавших проведение открытого оперативного вмешательства, не наблюдалось. У 1 пациента произведена перкутанная нефролитотрипсия двумя доступами. Инфек</w:t>
      </w:r>
      <w:r>
        <w:rPr>
          <w:rFonts w:ascii="Times New Roman" w:eastAsia="Calibri" w:hAnsi="Times New Roman"/>
          <w:bCs/>
          <w:sz w:val="28"/>
          <w:szCs w:val="28"/>
        </w:rPr>
        <w:t>ционно-воспалительные осложнения (Острый пиелонефрит) отмечались у 3 пациентов (7,3%), и были купированы консервативно.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 результате исследования</w:t>
      </w:r>
      <w:r>
        <w:rPr>
          <w:rFonts w:ascii="Times New Roman" w:hAnsi="Times New Roman"/>
          <w:sz w:val="28"/>
          <w:szCs w:val="28"/>
        </w:rPr>
        <w:t xml:space="preserve"> у пациентов 3-й группы (комбинированный метод) по критерию Stone-free </w:t>
      </w:r>
      <w:r>
        <w:rPr>
          <w:rFonts w:ascii="Times New Roman" w:hAnsi="Times New Roman"/>
          <w:sz w:val="28"/>
          <w:szCs w:val="28"/>
          <w:lang w:val="en-US"/>
        </w:rPr>
        <w:t>rate</w:t>
      </w:r>
      <w:r>
        <w:rPr>
          <w:rFonts w:ascii="Times New Roman" w:hAnsi="Times New Roman"/>
          <w:sz w:val="28"/>
          <w:szCs w:val="28"/>
        </w:rPr>
        <w:t xml:space="preserve"> (полноеудаление конкрементов и его </w:t>
      </w:r>
      <w:r>
        <w:rPr>
          <w:rFonts w:ascii="Times New Roman" w:hAnsi="Times New Roman"/>
          <w:sz w:val="28"/>
          <w:szCs w:val="28"/>
        </w:rPr>
        <w:t>фрагментов) эффективность лечения составила 95%, а клиническая эффективность лечения, оцененная через 4 недели 95% соответственно.</w:t>
      </w:r>
    </w:p>
    <w:p w:rsidR="00750932" w:rsidRDefault="00816126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примера, иллюстрирующего применение комбинированного метода, приводим следующее клиническое наблюдение.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Пациент Д.</w:t>
      </w:r>
      <w:r>
        <w:rPr>
          <w:rFonts w:ascii="Times New Roman" w:hAnsi="Times New Roman"/>
          <w:color w:val="000000"/>
          <w:sz w:val="28"/>
          <w:szCs w:val="28"/>
        </w:rPr>
        <w:t xml:space="preserve">А., 46 лет с диагнозом </w:t>
      </w:r>
      <w:r>
        <w:rPr>
          <w:rFonts w:ascii="Times New Roman" w:eastAsia="Calibri" w:hAnsi="Times New Roman"/>
          <w:sz w:val="28"/>
          <w:szCs w:val="28"/>
        </w:rPr>
        <w:t xml:space="preserve">МКБ. Камни левой почки. Камень в/3 левого мочеточника. Нефростома слева. Хронический калькулезный пиелонефрит в стадии латентного воспаления.  </w:t>
      </w:r>
    </w:p>
    <w:p w:rsidR="00750932" w:rsidRDefault="00750932">
      <w:pPr>
        <w:tabs>
          <w:tab w:val="left" w:pos="9639"/>
        </w:tabs>
        <w:spacing w:after="0" w:line="240" w:lineRule="auto"/>
        <w:ind w:right="-283"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750932" w:rsidRDefault="00816126">
      <w:pPr>
        <w:tabs>
          <w:tab w:val="left" w:pos="9639"/>
        </w:tabs>
        <w:spacing w:after="0" w:line="240" w:lineRule="auto"/>
        <w:ind w:right="-283" w:firstLine="709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>
            <wp:extent cx="3781425" cy="2628900"/>
            <wp:effectExtent l="0" t="0" r="0" b="0"/>
            <wp:docPr id="30" name="Рисунок 16" descr="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6" descr="IMG_96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750932">
      <w:pPr>
        <w:tabs>
          <w:tab w:val="left" w:pos="9639"/>
        </w:tabs>
        <w:spacing w:after="0" w:line="240" w:lineRule="auto"/>
        <w:ind w:right="-283" w:firstLine="70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Рисунок 25 – УЗИ левой почки пациента Д.А.</w:t>
      </w:r>
    </w:p>
    <w:p w:rsidR="00750932" w:rsidRDefault="00750932">
      <w:pPr>
        <w:tabs>
          <w:tab w:val="left" w:pos="284"/>
        </w:tabs>
        <w:spacing w:after="0" w:line="240" w:lineRule="auto"/>
        <w:ind w:right="-283"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750932" w:rsidRDefault="00816126">
      <w:pPr>
        <w:tabs>
          <w:tab w:val="left" w:pos="284"/>
        </w:tabs>
        <w:spacing w:after="0" w:line="240" w:lineRule="auto"/>
        <w:ind w:right="-2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На УЗИ почек: Правая почка 100*56мм, </w:t>
      </w:r>
      <w:r>
        <w:rPr>
          <w:rFonts w:ascii="Times New Roman" w:eastAsia="Calibri" w:hAnsi="Times New Roman"/>
          <w:sz w:val="28"/>
          <w:szCs w:val="28"/>
        </w:rPr>
        <w:t>паренхима до 16мм. ЧЛС не расширена. Левая почка 136х67мм, паренхима до 13-14мм. ЧЛС расширена. В лоханке нефрофикс. В лоханке камень 13мм, в н/чашке камень 5,8мм, 4,5мм. В в/3 мочеточника камни 8мм.</w:t>
      </w:r>
    </w:p>
    <w:p w:rsidR="00750932" w:rsidRDefault="00750932">
      <w:pPr>
        <w:tabs>
          <w:tab w:val="left" w:pos="9639"/>
        </w:tabs>
        <w:spacing w:after="0" w:line="240" w:lineRule="auto"/>
        <w:ind w:right="-283" w:firstLine="709"/>
        <w:rPr>
          <w:rFonts w:ascii="Times New Roman" w:eastAsia="Calibri" w:hAnsi="Times New Roman"/>
          <w:sz w:val="24"/>
          <w:szCs w:val="24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486275" cy="2847975"/>
            <wp:effectExtent l="0" t="0" r="0" b="0"/>
            <wp:docPr id="31" name="Рисунок 17" descr="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7" descr="IMG_96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26 –Экскреторная урография пациента Д.А.</w:t>
      </w:r>
    </w:p>
    <w:p w:rsidR="00750932" w:rsidRDefault="00750932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tabs>
          <w:tab w:val="left" w:pos="9639"/>
        </w:tabs>
        <w:spacing w:after="0" w:line="240" w:lineRule="auto"/>
        <w:ind w:right="-283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</w:t>
      </w:r>
      <w:r>
        <w:rPr>
          <w:rFonts w:ascii="Times New Roman" w:eastAsia="Calibri" w:hAnsi="Times New Roman"/>
          <w:sz w:val="28"/>
          <w:szCs w:val="28"/>
        </w:rPr>
        <w:t xml:space="preserve"> обзорном снимке тень конкрементов в проекции левой почки и в/3 левого мочеточника. Экскреторная урография справа своевременна, сохранна, слева снижена.</w:t>
      </w:r>
    </w:p>
    <w:p w:rsidR="00750932" w:rsidRDefault="00750932">
      <w:pPr>
        <w:tabs>
          <w:tab w:val="left" w:pos="9639"/>
        </w:tabs>
        <w:spacing w:after="0" w:line="240" w:lineRule="auto"/>
        <w:ind w:right="-283"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733925" cy="3152775"/>
            <wp:effectExtent l="0" t="0" r="0" b="0"/>
            <wp:docPr id="32" name="Рисунок 19" descr="IMG_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9" descr="IMG_969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27 – Компьютерная томография почек пациента Д.А.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На КТ почек:</w:t>
      </w:r>
      <w:r>
        <w:rPr>
          <w:rFonts w:ascii="Times New Roman" w:hAnsi="Times New Roman"/>
          <w:color w:val="000000"/>
          <w:sz w:val="28"/>
          <w:szCs w:val="28"/>
        </w:rPr>
        <w:t xml:space="preserve"> В проекции левой почки и в н</w:t>
      </w:r>
      <w:r>
        <w:rPr>
          <w:rFonts w:ascii="Times New Roman" w:hAnsi="Times New Roman"/>
          <w:color w:val="000000"/>
          <w:sz w:val="28"/>
          <w:szCs w:val="28"/>
        </w:rPr>
        <w:t>/группе чашечек конкременты размером 0,5см, 0,7см, 0,8см, 1,0см, плотностью до 950 Ед. В в/3 левого мочеточника камень 0,8см, плотностью до 900Ед.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Выставлен диагноз: МКБ. Камни левой почки. Камень в/3 левого мочеточника. Нефростома слева. Хронический кальк</w:t>
      </w:r>
      <w:r>
        <w:rPr>
          <w:rFonts w:ascii="Times New Roman" w:eastAsia="Calibri" w:hAnsi="Times New Roman"/>
          <w:sz w:val="28"/>
          <w:szCs w:val="28"/>
        </w:rPr>
        <w:t xml:space="preserve">улезный пиелонефрит в стадии латентного воспаления.  </w:t>
      </w:r>
    </w:p>
    <w:p w:rsidR="00750932" w:rsidRDefault="00816126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Произведена Ретроградная пиелолитотрипсия слева, установка стент-катетера, перкутанная нефролитотрипсия слева.</w:t>
      </w:r>
    </w:p>
    <w:p w:rsidR="00750932" w:rsidRDefault="0075093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219325" cy="2847975"/>
            <wp:effectExtent l="0" t="0" r="0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190750" cy="2847975"/>
            <wp:effectExtent l="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50932" w:rsidRDefault="00816126">
      <w:pPr>
        <w:spacing w:after="0" w:line="240" w:lineRule="auto"/>
        <w:ind w:firstLine="708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28 –</w:t>
      </w:r>
      <w:r>
        <w:rPr>
          <w:rFonts w:ascii="Times New Roman" w:hAnsi="Times New Roman"/>
          <w:sz w:val="28"/>
          <w:szCs w:val="28"/>
        </w:rPr>
        <w:t xml:space="preserve">Интраоперационные урограммы пациента Д.А. при выполнении комбинированного </w:t>
      </w:r>
      <w:r>
        <w:rPr>
          <w:rFonts w:ascii="Times New Roman" w:hAnsi="Times New Roman"/>
          <w:sz w:val="28"/>
          <w:szCs w:val="28"/>
        </w:rPr>
        <w:t>метода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Таким образом, можно заключить, что одномоментное удаление конкремента почки и в/3 мочеточника это одномоментное проведение обеих методов оперативного лечения, современный, высокоэффективный метод лечения, позволяющий в рамках одной анестезии, за </w:t>
      </w:r>
      <w:r>
        <w:rPr>
          <w:rFonts w:ascii="Times New Roman" w:eastAsia="Calibri" w:hAnsi="Times New Roman"/>
          <w:bCs/>
          <w:sz w:val="28"/>
          <w:szCs w:val="28"/>
        </w:rPr>
        <w:t xml:space="preserve">одно оперативное вмешательство избавить пациента от конкрементов указанных локализаций. Неоспоримым преимуществом данного метода является сокращения сроков госпитализации и скорая социальная реабилитация пациента. Комбинированный метод показан при крупных </w:t>
      </w:r>
      <w:r>
        <w:rPr>
          <w:rFonts w:ascii="Times New Roman" w:eastAsia="Calibri" w:hAnsi="Times New Roman"/>
          <w:bCs/>
          <w:sz w:val="28"/>
          <w:szCs w:val="28"/>
        </w:rPr>
        <w:t>(более 5,0 см) и плотных (свыше 1000 ед. HU и более) конкрементах почек, а также при сложных клинических формах уролитиаза и наличие одномоментных конкрементов в/3 мочеточника и лоханки или нижней чашечки.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3.5. Сравнительный анализ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малоинвазивных методов </w:t>
      </w:r>
      <w:r>
        <w:rPr>
          <w:rFonts w:ascii="Times New Roman" w:hAnsi="Times New Roman"/>
          <w:b/>
          <w:color w:val="000000"/>
          <w:sz w:val="28"/>
          <w:szCs w:val="28"/>
        </w:rPr>
        <w:t>лечения нефроуретеролитиаза.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нашем исследовании проведено сравнение двух малоинвазивных методов лечения нефролитиаза: ретроградная пиелолитортипсия, перкутанная нефролитотрипсия и их комбинации (РПТ+ПНЛТ).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оценке эффективности, безопасности и экономичности любого (консервативного или оперативного) метода лечения необходимо четкое определение критериев оценки этих параметров – выбор конечной точки (еnd point), которая характеризует заболевание и адекватно</w:t>
      </w:r>
      <w:r>
        <w:rPr>
          <w:rFonts w:ascii="Times New Roman" w:hAnsi="Times New Roman"/>
          <w:color w:val="000000"/>
          <w:sz w:val="28"/>
          <w:szCs w:val="28"/>
        </w:rPr>
        <w:t xml:space="preserve"> оценивает эффект вмешательства. </w:t>
      </w:r>
    </w:p>
    <w:p w:rsidR="00750932" w:rsidRDefault="00816126">
      <w:pPr>
        <w:pStyle w:val="Pa2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Конечная точка может оценивать «твёрдый» клинический исход (например, смерть), симптом (например, боль), тяжесть проявлений заболевания (например, осложнения), или суррогаты (например, лабораторные показатели). В отличие о</w:t>
      </w:r>
      <w:r>
        <w:rPr>
          <w:rFonts w:ascii="Times New Roman" w:hAnsi="Times New Roman"/>
          <w:color w:val="000000"/>
          <w:sz w:val="28"/>
          <w:szCs w:val="28"/>
        </w:rPr>
        <w:t>т «твёрдых» конечных точек, суррогатные исходы, которые имеют меньшее клиническое значение, называются «мягкими» конечными точками. Комбинированные конечные точки (ККТ) состоят из множества конечных точек, которые объединяются в новый единый исход. Они мог</w:t>
      </w:r>
      <w:r>
        <w:rPr>
          <w:rFonts w:ascii="Times New Roman" w:hAnsi="Times New Roman"/>
          <w:color w:val="000000"/>
          <w:sz w:val="28"/>
          <w:szCs w:val="28"/>
        </w:rPr>
        <w:t>ут включать различные клинические исходы, суррогатные исходы или их сочетание [145 -147].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нашем исследовании в качестве критериев оценки исхода были выбраны как «твердые», так и «мягкие» конечные точки: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Полное разрушение и/или удаление камня (Stone-f</w:t>
      </w:r>
      <w:r>
        <w:rPr>
          <w:rFonts w:ascii="Times New Roman" w:hAnsi="Times New Roman"/>
          <w:color w:val="000000"/>
          <w:sz w:val="28"/>
          <w:szCs w:val="28"/>
        </w:rPr>
        <w:t xml:space="preserve">ree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rate</w:t>
      </w:r>
      <w:r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Послеоперационная летальность.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Послеоперационные осложнения.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Время пребывания пациента в клинике (койко/день).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Время, затраченное на вмешательство/операцию.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Число вмешательств/операций.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Лабораторные данные до и после вмеш</w:t>
      </w:r>
      <w:r>
        <w:rPr>
          <w:rFonts w:ascii="Times New Roman" w:hAnsi="Times New Roman"/>
          <w:color w:val="000000"/>
          <w:sz w:val="28"/>
          <w:szCs w:val="28"/>
        </w:rPr>
        <w:t xml:space="preserve">ательств.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Нами проведен детальный анамнез исследуемых пациентов. </w:t>
      </w:r>
      <w:r>
        <w:rPr>
          <w:rFonts w:ascii="Times New Roman" w:hAnsi="Times New Roman"/>
          <w:sz w:val="28"/>
          <w:szCs w:val="28"/>
        </w:rPr>
        <w:t>Из инструментальных методов исследования показано ультразвуковое исследование (УЗИ) почек с допплерографией, при обнаружении камня почки, нарушающего уродинамику – мультиспиральная компьютер</w:t>
      </w:r>
      <w:r>
        <w:rPr>
          <w:rFonts w:ascii="Times New Roman" w:hAnsi="Times New Roman"/>
          <w:sz w:val="28"/>
          <w:szCs w:val="28"/>
        </w:rPr>
        <w:t>ная томография (МСКТ) с денситометрией. При рецидивных камнях, выраженных изменениях коркового слоя и полостной системы почки обязательны экскреторная урография или динамическая нефросцинтиграфия, которые позволяют получить информацию о функциональной спос</w:t>
      </w:r>
      <w:r>
        <w:rPr>
          <w:rFonts w:ascii="Times New Roman" w:hAnsi="Times New Roman"/>
          <w:sz w:val="28"/>
          <w:szCs w:val="28"/>
        </w:rPr>
        <w:t xml:space="preserve">обности, как пораженной, так и контралатеральной почки. Результаты этих исследований дают возможность провести предварительную лучевую навигацию и выбрать оптимальный метод удаления конкремента из почки и мочеточников.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16 – Методы лучевой диагнос</w:t>
      </w:r>
      <w:r>
        <w:rPr>
          <w:rFonts w:ascii="Times New Roman" w:hAnsi="Times New Roman"/>
          <w:sz w:val="28"/>
          <w:szCs w:val="28"/>
        </w:rPr>
        <w:t>тики в исследуемых группах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559"/>
        <w:gridCol w:w="1559"/>
        <w:gridCol w:w="1560"/>
        <w:gridCol w:w="1417"/>
        <w:gridCol w:w="1270"/>
      </w:tblGrid>
      <w:tr w:rsidR="00750932">
        <w:trPr>
          <w:trHeight w:val="477"/>
          <w:jc w:val="center"/>
        </w:trPr>
        <w:tc>
          <w:tcPr>
            <w:tcW w:w="1982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Методы</w:t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больных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Всего (%) </w:t>
            </w:r>
          </w:p>
        </w:tc>
        <w:tc>
          <w:tcPr>
            <w:tcW w:w="1270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477"/>
          <w:jc w:val="center"/>
        </w:trPr>
        <w:tc>
          <w:tcPr>
            <w:tcW w:w="1982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2-я группа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0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362"/>
          <w:jc w:val="center"/>
        </w:trPr>
        <w:tc>
          <w:tcPr>
            <w:tcW w:w="198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УЗИ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74 (100)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52 (100)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 (100)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144 (100)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0932" w:rsidRDefault="00750932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0,1624</w:t>
            </w:r>
          </w:p>
        </w:tc>
      </w:tr>
      <w:tr w:rsidR="00750932">
        <w:trPr>
          <w:trHeight w:val="267"/>
          <w:jc w:val="center"/>
        </w:trPr>
        <w:tc>
          <w:tcPr>
            <w:tcW w:w="198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368"/>
          <w:jc w:val="center"/>
        </w:trPr>
        <w:tc>
          <w:tcPr>
            <w:tcW w:w="198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Экскреторная урография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 (67,5)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32 (61,5)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 (55,5)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92 (63,8)</w:t>
            </w:r>
          </w:p>
        </w:tc>
        <w:tc>
          <w:tcPr>
            <w:tcW w:w="1270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750932" w:rsidRDefault="00750932"/>
    <w:p w:rsidR="00750932" w:rsidRDefault="008161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Продолжение таблицы </w:t>
      </w:r>
      <w:r>
        <w:rPr>
          <w:rFonts w:ascii="Times New Roman" w:hAnsi="Times New Roman"/>
          <w:sz w:val="24"/>
          <w:szCs w:val="24"/>
        </w:rPr>
        <w:t>16</w:t>
      </w:r>
    </w:p>
    <w:tbl>
      <w:tblPr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559"/>
        <w:gridCol w:w="1559"/>
        <w:gridCol w:w="1560"/>
        <w:gridCol w:w="1417"/>
        <w:gridCol w:w="1270"/>
      </w:tblGrid>
      <w:tr w:rsidR="00750932">
        <w:trPr>
          <w:trHeight w:val="220"/>
          <w:jc w:val="center"/>
        </w:trPr>
        <w:tc>
          <w:tcPr>
            <w:tcW w:w="198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  <w:jc w:val="center"/>
        </w:trPr>
        <w:tc>
          <w:tcPr>
            <w:tcW w:w="198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Обзорная урография</w:t>
            </w:r>
          </w:p>
        </w:tc>
        <w:tc>
          <w:tcPr>
            <w:tcW w:w="1559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74 (100)</w:t>
            </w:r>
          </w:p>
        </w:tc>
        <w:tc>
          <w:tcPr>
            <w:tcW w:w="1559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52 (100)</w:t>
            </w:r>
          </w:p>
        </w:tc>
        <w:tc>
          <w:tcPr>
            <w:tcW w:w="1560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 (100)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144 (100)</w:t>
            </w:r>
          </w:p>
        </w:tc>
        <w:tc>
          <w:tcPr>
            <w:tcW w:w="1270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  <w:jc w:val="center"/>
        </w:trPr>
        <w:tc>
          <w:tcPr>
            <w:tcW w:w="198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</w:t>
            </w:r>
          </w:p>
        </w:tc>
        <w:tc>
          <w:tcPr>
            <w:tcW w:w="1559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39 (52,70)</w:t>
            </w:r>
          </w:p>
        </w:tc>
        <w:tc>
          <w:tcPr>
            <w:tcW w:w="1559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33 (63,46)</w:t>
            </w:r>
          </w:p>
        </w:tc>
        <w:tc>
          <w:tcPr>
            <w:tcW w:w="1560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 (83,3)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87 (60,4)</w:t>
            </w:r>
          </w:p>
        </w:tc>
        <w:tc>
          <w:tcPr>
            <w:tcW w:w="1270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  <w:jc w:val="center"/>
        </w:trPr>
        <w:tc>
          <w:tcPr>
            <w:tcW w:w="198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МСКТ с контрастированием</w:t>
            </w:r>
          </w:p>
        </w:tc>
        <w:tc>
          <w:tcPr>
            <w:tcW w:w="1559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 (67,5)</w:t>
            </w:r>
          </w:p>
        </w:tc>
        <w:tc>
          <w:tcPr>
            <w:tcW w:w="1559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 (38,4)</w:t>
            </w:r>
          </w:p>
        </w:tc>
        <w:tc>
          <w:tcPr>
            <w:tcW w:w="1560" w:type="dxa"/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 (44,4)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78 (54,1)</w:t>
            </w:r>
          </w:p>
        </w:tc>
        <w:tc>
          <w:tcPr>
            <w:tcW w:w="1270" w:type="dxa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  <w:jc w:val="center"/>
        </w:trPr>
        <w:tc>
          <w:tcPr>
            <w:tcW w:w="9347" w:type="dxa"/>
            <w:gridSpan w:val="6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pStyle w:val="a9"/>
        <w:spacing w:after="0" w:line="240" w:lineRule="auto"/>
        <w:ind w:right="225" w:firstLine="59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таблицы 16, все 144 пациента с МКБ прошли инструментальные методы исследования.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инструментальных исследований у 144 пациентов с МКБ отмечена одинаковая </w:t>
      </w:r>
      <w:r>
        <w:rPr>
          <w:rFonts w:ascii="Times New Roman" w:hAnsi="Times New Roman"/>
          <w:sz w:val="28"/>
          <w:szCs w:val="28"/>
        </w:rPr>
        <w:t>локализация конкрементов, что составило 40,7% (рис. 29).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1365" cy="2743200"/>
            <wp:effectExtent l="0" t="0" r="0" b="0"/>
            <wp:docPr id="35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29 - П</w:t>
      </w:r>
      <w:r>
        <w:rPr>
          <w:rFonts w:ascii="Times New Roman" w:hAnsi="Times New Roman"/>
          <w:sz w:val="28"/>
          <w:szCs w:val="28"/>
        </w:rPr>
        <w:t xml:space="preserve">ациенты с нефролитиазом по стороне 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локализации конкремента в исследуемых группах 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 группе камни левой почки обнаружены у 51 пациента (35,4%), во 2 группе в 26 случаях (18,05%),</w:t>
      </w:r>
      <w:r>
        <w:rPr>
          <w:rFonts w:ascii="Times New Roman" w:hAnsi="Times New Roman"/>
          <w:sz w:val="28"/>
          <w:szCs w:val="28"/>
        </w:rPr>
        <w:t xml:space="preserve"> в 3 группе у 8 пациентов (5,5%), т.е. всего у 85 пациентов (59,02%).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Камни правой почки в 1 группе у 24 пациентов (16,66%), во 2 группе – 17 пациентов (11,80%), в 3 группе – в 8 случаях (5,5%), т.е. у 49 пациентов, что составило 35,02%.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Двухсторонние </w:t>
      </w:r>
      <w:r>
        <w:rPr>
          <w:rFonts w:ascii="Times New Roman" w:hAnsi="Times New Roman"/>
          <w:sz w:val="28"/>
          <w:szCs w:val="28"/>
        </w:rPr>
        <w:t>камни отмечены у 23 пациентов, в 1 группе – в 12 случаях (8,3%), во 2 группе у 9 пациентов (6,25%) и в 3 группе у 2 лиц (1,38%), что соответственно составило 15,97%.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исследуемых группах камни почки различной локализации выявлены у всех 144 пациентов, в т</w:t>
      </w:r>
      <w:r>
        <w:rPr>
          <w:rFonts w:ascii="Times New Roman" w:hAnsi="Times New Roman"/>
          <w:sz w:val="28"/>
          <w:szCs w:val="28"/>
        </w:rPr>
        <w:t xml:space="preserve">ом числе камни в нижней чашечке в 40 случаях (27,7%), в средней чашечке 9,7% и в верхней чашечке 8,3%. Среди пациентов с камнями почки наиболее распространенной явилась локализация камней в лоханке – у 67 пациентов (46,5%). В 11 случаях с камнями лоханки, </w:t>
      </w:r>
      <w:r>
        <w:rPr>
          <w:rFonts w:ascii="Times New Roman" w:hAnsi="Times New Roman"/>
          <w:sz w:val="28"/>
          <w:szCs w:val="28"/>
        </w:rPr>
        <w:t>встречалась локализация камней в в/3 мочеточника.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keepNext/>
        <w:spacing w:after="0" w:line="240" w:lineRule="auto"/>
        <w:jc w:val="both"/>
        <w:outlineLvl w:val="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Таблица 17 - Распределение пациентов по локализации конкрементов в исследуемых группах</w:t>
      </w:r>
    </w:p>
    <w:p w:rsidR="00750932" w:rsidRDefault="00750932">
      <w:pPr>
        <w:keepNext/>
        <w:spacing w:after="0" w:line="240" w:lineRule="auto"/>
        <w:jc w:val="both"/>
        <w:outlineLvl w:val="1"/>
        <w:rPr>
          <w:rFonts w:ascii="Times New Roman" w:hAnsi="Times New Roman"/>
          <w:bCs/>
          <w:iCs/>
          <w:sz w:val="28"/>
          <w:szCs w:val="28"/>
          <w:highlight w:val="cyan"/>
        </w:rPr>
      </w:pPr>
    </w:p>
    <w:tbl>
      <w:tblPr>
        <w:tblW w:w="93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1560"/>
        <w:gridCol w:w="1417"/>
        <w:gridCol w:w="1267"/>
      </w:tblGrid>
      <w:tr w:rsidR="00750932">
        <w:trPr>
          <w:trHeight w:val="477"/>
          <w:jc w:val="center"/>
        </w:trPr>
        <w:tc>
          <w:tcPr>
            <w:tcW w:w="1985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Локализация камней</w:t>
            </w: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пациентов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Всего (%) </w:t>
            </w:r>
          </w:p>
        </w:tc>
        <w:tc>
          <w:tcPr>
            <w:tcW w:w="1267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</w:p>
        </w:tc>
      </w:tr>
      <w:tr w:rsidR="00750932">
        <w:trPr>
          <w:trHeight w:val="477"/>
          <w:jc w:val="center"/>
        </w:trPr>
        <w:tc>
          <w:tcPr>
            <w:tcW w:w="1985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1-я группа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2-я группа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3-я группа</w:t>
            </w: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8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Камень правой почки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(22,92)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 (1,39)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 (25,0)</w:t>
            </w:r>
          </w:p>
        </w:tc>
        <w:tc>
          <w:tcPr>
            <w:tcW w:w="1267" w:type="dxa"/>
            <w:tcBorders>
              <w:top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0,1841</w:t>
            </w:r>
          </w:p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(0,9571)</w:t>
            </w:r>
          </w:p>
        </w:tc>
      </w:tr>
      <w:tr w:rsidR="00750932">
        <w:trPr>
          <w:trHeight w:val="238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Камень левой почки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 (13,89)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 (3,47)</w:t>
            </w:r>
          </w:p>
        </w:tc>
        <w:tc>
          <w:tcPr>
            <w:tcW w:w="1560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 (18,05)</w:t>
            </w:r>
          </w:p>
        </w:tc>
        <w:tc>
          <w:tcPr>
            <w:tcW w:w="1267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74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Камни обеих почек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 (8,33)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(2,78)</w:t>
            </w:r>
          </w:p>
        </w:tc>
        <w:tc>
          <w:tcPr>
            <w:tcW w:w="1560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(11,80)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3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КК справа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 (6,25)</w:t>
            </w:r>
          </w:p>
        </w:tc>
        <w:tc>
          <w:tcPr>
            <w:tcW w:w="1560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(2,08)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 (8,33)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313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КК слева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 (8,33)</w:t>
            </w:r>
          </w:p>
        </w:tc>
        <w:tc>
          <w:tcPr>
            <w:tcW w:w="1560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(2,78)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 (11,11)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61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Двусторонние КК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 (3,47)</w:t>
            </w:r>
          </w:p>
        </w:tc>
        <w:tc>
          <w:tcPr>
            <w:tcW w:w="1560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 (4,16)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61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Камни правой почки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 (3,47)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 (4,17)</w:t>
            </w:r>
          </w:p>
        </w:tc>
        <w:tc>
          <w:tcPr>
            <w:tcW w:w="1560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(2,78)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 (10,42)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61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Камни левой почки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(2,78)</w:t>
            </w:r>
          </w:p>
        </w:tc>
        <w:tc>
          <w:tcPr>
            <w:tcW w:w="1559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 (6,25)</w:t>
            </w:r>
          </w:p>
        </w:tc>
        <w:tc>
          <w:tcPr>
            <w:tcW w:w="1560" w:type="dxa"/>
            <w:vAlign w:val="bottom"/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(2,08)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 (11,11)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377"/>
          <w:jc w:val="center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Итого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74 (51,3) 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52 (36,1) </w:t>
            </w:r>
          </w:p>
        </w:tc>
        <w:tc>
          <w:tcPr>
            <w:tcW w:w="156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 (12,5)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144 (100)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224"/>
          <w:jc w:val="center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highlight w:val="cyan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представленным данным в таблице 17 видно, что в 1 группе конкременты почки различной локализации выявлены у 65 пациентов, из них камень правой почки обнаружили у 22,92%, левой</w:t>
      </w:r>
      <w:r>
        <w:rPr>
          <w:rFonts w:ascii="Times New Roman" w:hAnsi="Times New Roman"/>
          <w:sz w:val="28"/>
          <w:szCs w:val="28"/>
        </w:rPr>
        <w:t xml:space="preserve"> почки 13,89%, обеих почек 8,33%, во 2 группе всего в 11 случаях обнаружены камни различной локализации, из них справа 1,39%, слева 3,47% и в обеих почках 2,78%, а в 3 группе у пациентов конкременты различной локализации только по одному случаю, т.е. 2,08%</w:t>
      </w:r>
      <w:r>
        <w:rPr>
          <w:rFonts w:ascii="Times New Roman" w:hAnsi="Times New Roman"/>
          <w:sz w:val="28"/>
          <w:szCs w:val="28"/>
        </w:rPr>
        <w:t xml:space="preserve"> (0,69%; 0,69%; 0,69% соответственно). </w:t>
      </w:r>
    </w:p>
    <w:p w:rsidR="00750932" w:rsidRDefault="00816126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Коралловидные камни (КК) выявлены только во 2 и 3 группах, слева у 16 пациентов, а справа у 12 пациентов и двухсторонние КК в 6 случаях (2 группа справа КК – 6,25%, слева КК - 8,33%, двухстороннее КК - 3,47%, в 3 группе справа КК – 2,08%%, слева КК – 2,78%</w:t>
      </w:r>
      <w:r>
        <w:rPr>
          <w:rFonts w:ascii="Times New Roman" w:hAnsi="Times New Roman"/>
          <w:sz w:val="28"/>
          <w:szCs w:val="28"/>
        </w:rPr>
        <w:t xml:space="preserve">, двухсторонние КК – 0,69%, соответственно).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Камни правой почки в 1 группе – 3,47%, во 2 группе – 4,17%, в 3 группе – 2,78%, т.е. у 15 пациентов с МКБ, что составило 10,42%.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Камни левой почки в 1 группе – 2,78%, 2 группа – 6,25%, 3 группа – 2,08%, т.е. у</w:t>
      </w:r>
      <w:r>
        <w:rPr>
          <w:rFonts w:ascii="Times New Roman" w:hAnsi="Times New Roman"/>
          <w:sz w:val="28"/>
          <w:szCs w:val="28"/>
        </w:rPr>
        <w:t xml:space="preserve"> 16 пациентов с МКБ, что составило 11,11%. </w:t>
      </w:r>
    </w:p>
    <w:p w:rsidR="00750932" w:rsidRDefault="00816126">
      <w:pPr>
        <w:keepNext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исследования </w:t>
      </w:r>
      <w:r>
        <w:rPr>
          <w:rFonts w:ascii="Times New Roman" w:hAnsi="Times New Roman"/>
          <w:bCs/>
          <w:iCs/>
          <w:sz w:val="28"/>
          <w:szCs w:val="28"/>
        </w:rPr>
        <w:t>распределение пациентов по локализации камней в исследуемых группах статистически не было значимо (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р&gt; 0,05).</w:t>
      </w:r>
    </w:p>
    <w:p w:rsidR="00750932" w:rsidRDefault="00816126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50932" w:rsidRDefault="00816126">
      <w:pPr>
        <w:spacing w:after="0" w:line="240" w:lineRule="auto"/>
        <w:ind w:right="-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8250" cy="3238500"/>
            <wp:effectExtent l="0" t="0" r="0" b="0"/>
            <wp:docPr id="36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Рисунок 30 –  П</w:t>
      </w:r>
      <w:r>
        <w:rPr>
          <w:rFonts w:ascii="Times New Roman" w:hAnsi="Times New Roman"/>
          <w:sz w:val="28"/>
          <w:szCs w:val="28"/>
        </w:rPr>
        <w:t>ациенты с нефролитиазом в зависимости от</w:t>
      </w:r>
    </w:p>
    <w:p w:rsidR="00750932" w:rsidRDefault="00816126">
      <w:pPr>
        <w:spacing w:after="0" w:line="240" w:lineRule="auto"/>
        <w:ind w:firstLine="567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размера конкремента в обследуемых группах 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данных рисунка 30 видно, что в 1 группе до 1,5 см. конкременты встречались у 50% пациентов, 1,6 – 2 см. в 31% случаях и до 3 см. у 19% лиц, с 3,1 – 10,0 см. вообще не подвергались РПТ. Во 2 группе из 52 пациен</w:t>
      </w:r>
      <w:r>
        <w:rPr>
          <w:rFonts w:ascii="Times New Roman" w:hAnsi="Times New Roman"/>
          <w:sz w:val="28"/>
          <w:szCs w:val="28"/>
        </w:rPr>
        <w:t>тов с МКБ 1,6 см – 2 см. конкремента в 7 случаях (13,46%), 2,1см – 3 см были у 11 пациентов (21,1%), 3,1 – 4 см. конкремента в 14 случаях (26,9%), 4,1 см – 5 см в 8 случаях (15,3%), 5,1 см – 6 см у 12 лиц (23,0%). В основном камни среднего размера и КК под</w:t>
      </w:r>
      <w:r>
        <w:rPr>
          <w:rFonts w:ascii="Times New Roman" w:hAnsi="Times New Roman"/>
          <w:sz w:val="28"/>
          <w:szCs w:val="28"/>
        </w:rPr>
        <w:t>вергались ПНЛТ. В 3 группе из 18 пациентов с камнями от 2 – 5 см. встречались в единичных случаях, 5,1 см – 6 см. у 3 пациентов (16,6%) и 6,1 – 10 см. в 12 случаях (66,6%), т.е. пациенты со сложными случаями и камнями большого размера подвергались комбинир</w:t>
      </w:r>
      <w:r>
        <w:rPr>
          <w:rFonts w:ascii="Times New Roman" w:hAnsi="Times New Roman"/>
          <w:sz w:val="28"/>
          <w:szCs w:val="28"/>
        </w:rPr>
        <w:t xml:space="preserve">ованному методу лечения. </w:t>
      </w:r>
    </w:p>
    <w:p w:rsidR="00750932" w:rsidRDefault="00816126">
      <w:pPr>
        <w:pStyle w:val="Default"/>
        <w:spacing w:before="60"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Немаловажную роль в камнеобразовании игра</w:t>
      </w:r>
      <w:r>
        <w:rPr>
          <w:sz w:val="28"/>
          <w:szCs w:val="28"/>
        </w:rPr>
        <w:softHyphen/>
        <w:t>ют камнеообразующие микроорганизмы, относящи</w:t>
      </w:r>
      <w:r>
        <w:rPr>
          <w:sz w:val="28"/>
          <w:szCs w:val="28"/>
        </w:rPr>
        <w:softHyphen/>
        <w:t>еся к группе Enterobacteriaceae. В последнее время широко изучается и подтверждается высокая роль в камнеобразовании и других грамположительных</w:t>
      </w:r>
      <w:r>
        <w:rPr>
          <w:sz w:val="28"/>
          <w:szCs w:val="28"/>
        </w:rPr>
        <w:t xml:space="preserve"> и грамотрицательных бактерий, а также дрожжевых грибов и разновидностей Mycoplasm, синтезирующих камнеобразованию, наиболее распространенными из которых яв</w:t>
      </w:r>
      <w:r>
        <w:rPr>
          <w:sz w:val="28"/>
          <w:szCs w:val="28"/>
        </w:rPr>
        <w:softHyphen/>
        <w:t>ляются Proteus, Klebsiella, Pseudomonas, разновид</w:t>
      </w:r>
      <w:r>
        <w:rPr>
          <w:sz w:val="28"/>
          <w:szCs w:val="28"/>
        </w:rPr>
        <w:softHyphen/>
        <w:t xml:space="preserve">ности Staphylococcus [148, 149]. 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Бактериологичес</w:t>
      </w:r>
      <w:r>
        <w:rPr>
          <w:rFonts w:ascii="Times New Roman" w:hAnsi="Times New Roman"/>
          <w:sz w:val="28"/>
          <w:szCs w:val="28"/>
        </w:rPr>
        <w:t xml:space="preserve">кие исследования мочи проводили в исследуемых группах. Исследовали среднюю порцию утренней свободно выпущенной мочи, взятой в количестве 3-5 мл в стерильную посуду. 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исследования бактериологического анализа микрофлоры мочи представлены в таблице 18. 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18 – Результаты бактериологического посева мочи на микрофлору</w:t>
      </w:r>
      <w:r>
        <w:rPr>
          <w:rFonts w:ascii="Times New Roman" w:eastAsia="Calibri" w:hAnsi="Times New Roman"/>
          <w:bCs/>
          <w:sz w:val="28"/>
          <w:szCs w:val="28"/>
        </w:rPr>
        <w:t xml:space="preserve"> в исследуемых группах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W w:w="9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1560"/>
        <w:gridCol w:w="1417"/>
        <w:gridCol w:w="1267"/>
      </w:tblGrid>
      <w:tr w:rsidR="00750932">
        <w:trPr>
          <w:trHeight w:val="477"/>
        </w:trPr>
        <w:tc>
          <w:tcPr>
            <w:tcW w:w="1985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Микроорганизмы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 пациентов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(%) </w:t>
            </w:r>
          </w:p>
        </w:tc>
        <w:tc>
          <w:tcPr>
            <w:tcW w:w="1267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50932">
        <w:trPr>
          <w:trHeight w:val="477"/>
        </w:trPr>
        <w:tc>
          <w:tcPr>
            <w:tcW w:w="1985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группа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группа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3-я группа</w:t>
            </w: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8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Стафилококки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(10,42)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(9,03)</w:t>
            </w:r>
          </w:p>
        </w:tc>
        <w:tc>
          <w:tcPr>
            <w:tcW w:w="1560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(2,78)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 (22,23)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0932" w:rsidRDefault="0075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0932" w:rsidRDefault="0075093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0,197</w:t>
            </w:r>
          </w:p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(0,722)</w:t>
            </w:r>
          </w:p>
        </w:tc>
      </w:tr>
      <w:tr w:rsidR="00750932">
        <w:trPr>
          <w:trHeight w:val="368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Acinetobacter baumabbi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(2,08)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Candida albicans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560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(2,77)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23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Escherichia coli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(9,03)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(8,33)</w:t>
            </w:r>
          </w:p>
        </w:tc>
        <w:tc>
          <w:tcPr>
            <w:tcW w:w="1560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(2,08)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28 </w:t>
            </w:r>
            <w:r>
              <w:rPr>
                <w:rFonts w:ascii="Times New Roman" w:hAnsi="Times New Roman"/>
                <w:sz w:val="28"/>
                <w:szCs w:val="28"/>
              </w:rPr>
              <w:t>(19,44)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313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Ent.faecalis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(5,56)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(8,33)</w:t>
            </w:r>
          </w:p>
        </w:tc>
        <w:tc>
          <w:tcPr>
            <w:tcW w:w="1560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 (15,28)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61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Enterococcus fm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61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Klebsiella pneumoniae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(2,77)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61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Pseudomonas aeruginosa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(7,64)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(5,56)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(13,89)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61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Proteus mirabilis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(1,39)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(2,77)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61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Стрептококки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(3,47)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(5,56)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409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Нет роста 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(9,72)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560" w:type="dxa"/>
          </w:tcPr>
          <w:p w:rsidR="00750932" w:rsidRDefault="00816126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 (11,81)</w:t>
            </w: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24"/>
        </w:trPr>
        <w:tc>
          <w:tcPr>
            <w:tcW w:w="198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74 (51,3) 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52 (36,1) </w:t>
            </w:r>
          </w:p>
        </w:tc>
        <w:tc>
          <w:tcPr>
            <w:tcW w:w="156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(12,5)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 (100)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24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pStyle w:val="Default"/>
        <w:ind w:firstLine="567"/>
        <w:jc w:val="both"/>
        <w:rPr>
          <w:sz w:val="28"/>
          <w:szCs w:val="28"/>
        </w:rPr>
      </w:pPr>
    </w:p>
    <w:p w:rsidR="00750932" w:rsidRDefault="0081612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данных таблицы 18 следует, что наиболее часто высеваемыми микроорганизмами были </w:t>
      </w:r>
      <w:r>
        <w:rPr>
          <w:iCs/>
          <w:sz w:val="28"/>
          <w:szCs w:val="28"/>
        </w:rPr>
        <w:t>E. coli, Ent. faecalis, Ps. aeruginosa</w:t>
      </w:r>
      <w:r>
        <w:rPr>
          <w:sz w:val="28"/>
          <w:szCs w:val="28"/>
        </w:rPr>
        <w:t xml:space="preserve">. </w:t>
      </w:r>
      <w:r>
        <w:rPr>
          <w:iCs/>
          <w:sz w:val="28"/>
          <w:szCs w:val="28"/>
        </w:rPr>
        <w:t>E. Coli</w:t>
      </w:r>
      <w:r>
        <w:rPr>
          <w:sz w:val="28"/>
          <w:szCs w:val="28"/>
        </w:rPr>
        <w:t xml:space="preserve"> в бактериологическом анализе мочи высевались в 1 группе у 9,03 %, во 2 группе 8,33% пациентов и в 3 группе 2,08%, соответственно. </w:t>
      </w:r>
      <w:r>
        <w:rPr>
          <w:iCs/>
          <w:sz w:val="28"/>
          <w:szCs w:val="28"/>
        </w:rPr>
        <w:t>Ent.faecalis</w:t>
      </w:r>
      <w:r>
        <w:rPr>
          <w:sz w:val="28"/>
          <w:szCs w:val="28"/>
        </w:rPr>
        <w:t xml:space="preserve">  обнаружили в 1 группе у 5,56% больных, во 2 группе в 8,83% случаях и в 3 группе 1,39% пациентов. </w:t>
      </w:r>
      <w:r>
        <w:rPr>
          <w:iCs/>
          <w:sz w:val="28"/>
          <w:szCs w:val="28"/>
        </w:rPr>
        <w:t>Ps. aeruginosa</w:t>
      </w:r>
      <w:r>
        <w:rPr>
          <w:sz w:val="28"/>
          <w:szCs w:val="28"/>
        </w:rPr>
        <w:t>. обнаружили в 1 группе у 7,64% больных, во 2 группе 5,56% случаях и в 3 группе в единичном случае. Такую картину у пациентов с МКБ можно объяснить тем, что высокая распространенность нозокомиальных штаммов происходило при заборе материала, выполненными ра</w:t>
      </w:r>
      <w:r>
        <w:rPr>
          <w:sz w:val="28"/>
          <w:szCs w:val="28"/>
        </w:rPr>
        <w:t xml:space="preserve">нее урологическими манипуляциями. Согласно полученным данным, представитель полусинтетических пенициллинов – ампициллин активен лишь в отношении </w:t>
      </w:r>
      <w:r>
        <w:rPr>
          <w:iCs/>
          <w:sz w:val="28"/>
          <w:szCs w:val="28"/>
        </w:rPr>
        <w:t xml:space="preserve">Escherichia coli </w:t>
      </w:r>
      <w:r>
        <w:rPr>
          <w:sz w:val="28"/>
          <w:szCs w:val="28"/>
        </w:rPr>
        <w:t>(чувст. 65%). Так же чётко прослеживается чувствительность культур бактерий к фторхинолонам 2-</w:t>
      </w:r>
      <w:r>
        <w:rPr>
          <w:sz w:val="28"/>
          <w:szCs w:val="28"/>
        </w:rPr>
        <w:t xml:space="preserve">го поколения (норфлоксацин, офлоксацин, ципрофлоксацин) и 3-го поколения (левофлоксацин). У данных лекарственных средств наблюдается лишь рост чувствительности в отношении </w:t>
      </w:r>
      <w:r>
        <w:rPr>
          <w:iCs/>
          <w:sz w:val="28"/>
          <w:szCs w:val="28"/>
        </w:rPr>
        <w:t xml:space="preserve">Escherichia coli. </w:t>
      </w:r>
      <w:r>
        <w:rPr>
          <w:sz w:val="28"/>
          <w:szCs w:val="28"/>
        </w:rPr>
        <w:t>Цефалоспорины 1-го поколения (цефазолин) и 4-го поколения (цефепим</w:t>
      </w:r>
      <w:r>
        <w:rPr>
          <w:sz w:val="28"/>
          <w:szCs w:val="28"/>
        </w:rPr>
        <w:t>) показали эффективность и рост чувствительности к ним всех изучаемых культур.</w:t>
      </w:r>
    </w:p>
    <w:p w:rsidR="00750932" w:rsidRDefault="00816126">
      <w:pPr>
        <w:pStyle w:val="Default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Грибы рода</w:t>
      </w:r>
      <w:r>
        <w:rPr>
          <w:rFonts w:eastAsia="Calibri"/>
          <w:sz w:val="28"/>
          <w:szCs w:val="28"/>
          <w:lang w:val="en-US"/>
        </w:rPr>
        <w:t> Candida</w:t>
      </w:r>
      <w:r>
        <w:rPr>
          <w:rFonts w:eastAsia="Calibri"/>
          <w:sz w:val="28"/>
          <w:szCs w:val="28"/>
        </w:rPr>
        <w:t xml:space="preserve"> были выделены у 2,7% пациентов всехгрупп, т.е. во 2 группе у пациентов при исследовании микрофлоры мочи не обнаруживали грибов рода</w:t>
      </w:r>
      <w:r>
        <w:rPr>
          <w:rFonts w:eastAsia="Calibri"/>
          <w:sz w:val="28"/>
          <w:szCs w:val="28"/>
          <w:lang w:val="en-US"/>
        </w:rPr>
        <w:t> Candida</w:t>
      </w:r>
      <w:r>
        <w:rPr>
          <w:rFonts w:eastAsia="Calibri"/>
          <w:sz w:val="28"/>
          <w:szCs w:val="28"/>
        </w:rPr>
        <w:t>, а в 1 и 3 группах</w:t>
      </w:r>
      <w:r>
        <w:rPr>
          <w:rFonts w:eastAsia="Calibri"/>
          <w:sz w:val="28"/>
          <w:szCs w:val="28"/>
        </w:rPr>
        <w:t xml:space="preserve"> высеивались лишь в единичных случаях.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Helvetica" w:hAnsi="Helvetica"/>
          <w:color w:val="7C7C7C"/>
          <w:sz w:val="19"/>
          <w:szCs w:val="19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Посев на микрофлору</w:t>
      </w:r>
      <w:r>
        <w:rPr>
          <w:rFonts w:ascii="Times New Roman" w:eastAsia="Calibri" w:hAnsi="Times New Roman"/>
          <w:sz w:val="28"/>
          <w:szCs w:val="28"/>
        </w:rPr>
        <w:t xml:space="preserve"> мочи в исследуемых группах в 17 случаях не дали роста, в 1 группе у 9,72% пациентов, во 2 группе 1,39% больных и в 3 группе только в 1 случае (0,69%).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процессе исследования микрофлоры мочи </w:t>
      </w:r>
      <w:r>
        <w:rPr>
          <w:rFonts w:ascii="Times New Roman" w:hAnsi="Times New Roman"/>
          <w:sz w:val="28"/>
          <w:szCs w:val="28"/>
        </w:rPr>
        <w:t>высев</w:t>
      </w:r>
      <w:r>
        <w:rPr>
          <w:rFonts w:ascii="Times New Roman" w:hAnsi="Times New Roman"/>
          <w:sz w:val="28"/>
          <w:szCs w:val="28"/>
        </w:rPr>
        <w:t xml:space="preserve">али стафилококки (10,42%, 9,03% и 2,78%, соответственно), преимущественно </w:t>
      </w:r>
      <w:r>
        <w:rPr>
          <w:rFonts w:ascii="Times New Roman" w:hAnsi="Times New Roman"/>
          <w:iCs/>
          <w:sz w:val="28"/>
          <w:szCs w:val="28"/>
        </w:rPr>
        <w:t xml:space="preserve">S.epidermidis </w:t>
      </w:r>
      <w:r>
        <w:rPr>
          <w:rFonts w:ascii="Times New Roman" w:eastAsia="Calibri" w:hAnsi="Times New Roman"/>
          <w:sz w:val="28"/>
          <w:szCs w:val="28"/>
          <w:lang w:val="en-US"/>
        </w:rPr>
        <w:t>Streptococcus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faecalis</w:t>
      </w:r>
      <w:r>
        <w:rPr>
          <w:rFonts w:ascii="Times New Roman" w:eastAsia="Calibri" w:hAnsi="Times New Roman"/>
          <w:sz w:val="28"/>
          <w:szCs w:val="28"/>
        </w:rPr>
        <w:t xml:space="preserve"> и </w:t>
      </w:r>
      <w:r>
        <w:rPr>
          <w:rFonts w:ascii="Times New Roman" w:eastAsia="Calibri" w:hAnsi="Times New Roman"/>
          <w:sz w:val="28"/>
          <w:szCs w:val="28"/>
          <w:lang w:val="en-US"/>
        </w:rPr>
        <w:t>Streptococcus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agalactiae</w:t>
      </w:r>
      <w:r>
        <w:rPr>
          <w:rFonts w:ascii="Times New Roman" w:eastAsia="Calibri" w:hAnsi="Times New Roman"/>
          <w:sz w:val="28"/>
          <w:szCs w:val="28"/>
        </w:rPr>
        <w:t xml:space="preserve">, но их титры не превышали порогового значения. </w:t>
      </w:r>
      <w:r>
        <w:rPr>
          <w:rFonts w:ascii="Times New Roman" w:eastAsia="Calibri" w:hAnsi="Times New Roman"/>
          <w:sz w:val="28"/>
          <w:szCs w:val="28"/>
          <w:lang w:val="en-US"/>
        </w:rPr>
        <w:t>Staphylococcus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aureus </w:t>
      </w:r>
      <w:r>
        <w:rPr>
          <w:rFonts w:ascii="Times New Roman" w:eastAsia="Calibri" w:hAnsi="Times New Roman"/>
          <w:sz w:val="28"/>
          <w:szCs w:val="28"/>
        </w:rPr>
        <w:t xml:space="preserve">высеивался в единичных случаях во 2 и 3 </w:t>
      </w:r>
      <w:r>
        <w:rPr>
          <w:rFonts w:ascii="Times New Roman" w:eastAsia="Calibri" w:hAnsi="Times New Roman"/>
          <w:sz w:val="28"/>
          <w:szCs w:val="28"/>
        </w:rPr>
        <w:t>обследуемых группах выше пороговых титров.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нашем исследовании в качестве ко-фактора воспаления чаще выступали</w:t>
      </w:r>
      <w:r>
        <w:rPr>
          <w:rFonts w:ascii="Times New Roman" w:eastAsia="Calibri" w:hAnsi="Times New Roman"/>
          <w:sz w:val="28"/>
          <w:szCs w:val="28"/>
          <w:lang w:val="en-US"/>
        </w:rPr>
        <w:t> Escherichia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coli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Staphylococcus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aureus</w:t>
      </w:r>
      <w:r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  <w:lang w:val="en-US"/>
        </w:rPr>
        <w:t> Streptococcus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faecalis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Streptococcus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agalactiae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 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 нашим данным результаты исследования микрофлоры м</w:t>
      </w:r>
      <w:r>
        <w:rPr>
          <w:rFonts w:ascii="Times New Roman" w:eastAsia="Calibri" w:hAnsi="Times New Roman"/>
          <w:sz w:val="28"/>
          <w:szCs w:val="28"/>
        </w:rPr>
        <w:t xml:space="preserve">очи в исследуемых группах статистически значимы не были. </w:t>
      </w:r>
    </w:p>
    <w:p w:rsidR="00750932" w:rsidRDefault="00816126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Чувствительность выделенных культур микроорганизмов к антибиотикам определяли, используя чистую культуру возбудителя. При выделении двух и более видов микробов, чувствительность к антибиотикам опред</w:t>
      </w:r>
      <w:r>
        <w:rPr>
          <w:rFonts w:ascii="Times New Roman" w:eastAsia="Calibri" w:hAnsi="Times New Roman"/>
          <w:sz w:val="28"/>
          <w:szCs w:val="28"/>
        </w:rPr>
        <w:t>еляли у каждого микроорганизма в отдельности. Диаметр зоны отсутствия роста микроорганизмов измеряли с помощью линейки с точностью до 1 мм. Зона задержки роста до 14 мм говорит о малой чувствительности к антибиотику, от 15 до 25 мм – о достаточной чувствит</w:t>
      </w:r>
      <w:r>
        <w:rPr>
          <w:rFonts w:ascii="Times New Roman" w:eastAsia="Calibri" w:hAnsi="Times New Roman"/>
          <w:sz w:val="28"/>
          <w:szCs w:val="28"/>
        </w:rPr>
        <w:t xml:space="preserve">ельности, свыше 25 мм – о высокой чувствительности. </w:t>
      </w:r>
    </w:p>
    <w:p w:rsidR="00750932" w:rsidRDefault="00816126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нашем исследовании применяли различные диски с антибактериальными препаратами (таблица 19).</w:t>
      </w:r>
    </w:p>
    <w:p w:rsidR="00750932" w:rsidRDefault="0075093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Таблица 19 – Диски на чувствительность к антибактериальным препаратам</w:t>
      </w:r>
    </w:p>
    <w:p w:rsidR="00750932" w:rsidRDefault="00750932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Style w:val="af1"/>
        <w:tblW w:w="0" w:type="auto"/>
        <w:tblInd w:w="121" w:type="dxa"/>
        <w:tblLook w:val="04A0" w:firstRow="1" w:lastRow="0" w:firstColumn="1" w:lastColumn="0" w:noHBand="0" w:noVBand="1"/>
      </w:tblPr>
      <w:tblGrid>
        <w:gridCol w:w="838"/>
        <w:gridCol w:w="2977"/>
        <w:gridCol w:w="2976"/>
        <w:gridCol w:w="2558"/>
      </w:tblGrid>
      <w:tr w:rsidR="00750932">
        <w:tc>
          <w:tcPr>
            <w:tcW w:w="838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№ п/п</w:t>
            </w:r>
          </w:p>
        </w:tc>
        <w:tc>
          <w:tcPr>
            <w:tcW w:w="2977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Наименование антибиотиков</w:t>
            </w:r>
          </w:p>
        </w:tc>
        <w:tc>
          <w:tcPr>
            <w:tcW w:w="297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амм положительные м/о</w:t>
            </w:r>
          </w:p>
        </w:tc>
        <w:tc>
          <w:tcPr>
            <w:tcW w:w="255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Грамм отрицательные м/о</w:t>
            </w:r>
          </w:p>
        </w:tc>
      </w:tr>
      <w:tr w:rsidR="00750932">
        <w:tc>
          <w:tcPr>
            <w:tcW w:w="838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Чувствительно</w:t>
            </w:r>
          </w:p>
        </w:tc>
        <w:tc>
          <w:tcPr>
            <w:tcW w:w="255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Чувствительно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Гентамицин </w:t>
            </w:r>
          </w:p>
        </w:tc>
        <w:tc>
          <w:tcPr>
            <w:tcW w:w="2976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Амикацин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Амоксиклав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rPr>
          <w:trHeight w:val="90"/>
        </w:trPr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Азитромицин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Имипенем 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Эртапенем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Меропенем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Карбенициллин 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Моксифлоксацин 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Левофлоксацин 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Цефозалин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Цефтриаксон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Цефотаксим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Ципрофлоксацин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Цефотаксим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Офлоксацин  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17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Клиндомицин 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Эритромицин 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  <w:tr w:rsidR="00750932">
        <w:tc>
          <w:tcPr>
            <w:tcW w:w="83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Лидекамицин</w:t>
            </w:r>
          </w:p>
        </w:tc>
        <w:tc>
          <w:tcPr>
            <w:tcW w:w="2976" w:type="dxa"/>
          </w:tcPr>
          <w:p w:rsidR="00750932" w:rsidRDefault="00816126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  <w:tc>
          <w:tcPr>
            <w:tcW w:w="2558" w:type="dxa"/>
          </w:tcPr>
          <w:p w:rsidR="00750932" w:rsidRDefault="00816126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+</w:t>
            </w:r>
          </w:p>
        </w:tc>
      </w:tr>
    </w:tbl>
    <w:p w:rsidR="00750932" w:rsidRDefault="0075093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Анализ результатов определения чувствительности микроорганизмов к антибиотикам показал, что наибольшую активность по отношению к микроорганизмам (стафилококкам, стрептококкам, кишечным бактериям, синегнойной палочке)  проявляли следующие антибактериальные </w:t>
      </w:r>
      <w:r>
        <w:rPr>
          <w:rFonts w:ascii="Times New Roman" w:eastAsia="Calibri" w:hAnsi="Times New Roman"/>
          <w:sz w:val="28"/>
          <w:szCs w:val="28"/>
        </w:rPr>
        <w:t>препараты: карбенициллин, цефотаксим, гентамицин, моксифлоксацин, офлоксацин, левофлоксацин,  ципрофлоксацин. Высокий процент резистентных штаммов вышеперечисленных микроорганизмов отмечали к макролидным антибиотикам, а именно эритромицину, лидекамицину, а</w:t>
      </w:r>
      <w:r>
        <w:rPr>
          <w:rFonts w:ascii="Times New Roman" w:eastAsia="Calibri" w:hAnsi="Times New Roman"/>
          <w:sz w:val="28"/>
          <w:szCs w:val="28"/>
        </w:rPr>
        <w:t xml:space="preserve">зитромицину.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изучения спектра микрофлоры при мочекаменной болезни установлены, что преобладание в этиологии мочекаменной болезни стафилококков и энтеробактерий, их спектр чувствительности к антибиотикам. </w:t>
      </w:r>
    </w:p>
    <w:p w:rsidR="00750932" w:rsidRDefault="00816126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Все пациенты в клинику поступали в пл</w:t>
      </w:r>
      <w:r>
        <w:rPr>
          <w:color w:val="000000"/>
          <w:sz w:val="28"/>
          <w:szCs w:val="28"/>
          <w:shd w:val="clear" w:color="auto" w:fill="FFFFFF"/>
        </w:rPr>
        <w:t>ановом порядке. При поступлении пациенты были полностью подготовлены к оперативным манипуляциям. Малоинвазивные оперативные вмешательства в наших исследуемых группах мы проводили на следующий день после поступления. Антибактериальную терапию пациентам начи</w:t>
      </w:r>
      <w:r>
        <w:rPr>
          <w:color w:val="000000"/>
          <w:sz w:val="28"/>
          <w:szCs w:val="28"/>
          <w:shd w:val="clear" w:color="auto" w:fill="FFFFFF"/>
        </w:rPr>
        <w:t>нали проводить сразу, в день поступления в профильное отделение, с целью профилактики инфекционно- гнойных осложнений. Выбор антибиотиков проводился по бакпосеву мочи, по чувствительности к антибиотикам. Во время операции и в после операционном периоде ант</w:t>
      </w:r>
      <w:r>
        <w:rPr>
          <w:color w:val="000000"/>
          <w:sz w:val="28"/>
          <w:szCs w:val="28"/>
          <w:shd w:val="clear" w:color="auto" w:fill="FFFFFF"/>
        </w:rPr>
        <w:t xml:space="preserve">ибиотикотерапия проводилась внутривенно или внутримышечно по показаниям. В основном вводили 1 препарат, но при необходимости или более тяжелом случае применяли 2 вида антибиотика, внутривенно и внутримышечно одновременно. 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полученные результаты с определением посева на чувствительности микроорганизмов к антибактериальным препаратам позволили проводить адекватную предоперационную подготовку, анитибиотико-профилактику и послеоперационную антибактериальную терапи</w:t>
      </w:r>
      <w:r>
        <w:rPr>
          <w:rFonts w:ascii="Times New Roman" w:hAnsi="Times New Roman"/>
          <w:sz w:val="28"/>
          <w:szCs w:val="28"/>
        </w:rPr>
        <w:t xml:space="preserve">ю. Проведение антибактериальной терапии в нашем исследовании </w:t>
      </w:r>
      <w:r>
        <w:rPr>
          <w:rFonts w:ascii="Times New Roman" w:hAnsi="Times New Roman"/>
          <w:color w:val="000000"/>
          <w:sz w:val="28"/>
          <w:szCs w:val="28"/>
        </w:rPr>
        <w:t>показал высокую клиническую эффективность и да</w:t>
      </w:r>
      <w:r>
        <w:rPr>
          <w:rFonts w:ascii="Times New Roman" w:hAnsi="Times New Roman"/>
          <w:sz w:val="28"/>
          <w:szCs w:val="28"/>
        </w:rPr>
        <w:t>нный подход позволил снизить до 91% послеоперационных воспалительных осложнений и сократить койки дни от 5 до 8 дней.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Исследования уровня азотистых м</w:t>
      </w:r>
      <w:r>
        <w:rPr>
          <w:rFonts w:ascii="Times New Roman" w:hAnsi="Times New Roman"/>
          <w:sz w:val="28"/>
          <w:szCs w:val="28"/>
        </w:rPr>
        <w:t>етаболитов и показателей водно-электролитного обмена проводилось до лечения и после РПТ, после ПНЛТ и после комбинированного метода. В таблице 20 представлены данные параметров азотистого и водно-электролитного обмена в крови в обследуемых группах.</w:t>
      </w:r>
    </w:p>
    <w:p w:rsidR="00750932" w:rsidRDefault="00750932">
      <w:pPr>
        <w:spacing w:after="0" w:line="240" w:lineRule="auto"/>
        <w:jc w:val="both"/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а 20 – Биохимические показатели в крови в исследуемых группах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1652"/>
        <w:gridCol w:w="1672"/>
        <w:gridCol w:w="1795"/>
        <w:gridCol w:w="2229"/>
      </w:tblGrid>
      <w:tr w:rsidR="00750932">
        <w:tc>
          <w:tcPr>
            <w:tcW w:w="200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65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лечения</w:t>
            </w:r>
          </w:p>
        </w:tc>
        <w:tc>
          <w:tcPr>
            <w:tcW w:w="1672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79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Комбинир.метод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50932">
        <w:tc>
          <w:tcPr>
            <w:tcW w:w="200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Мочевина</w:t>
            </w:r>
          </w:p>
        </w:tc>
        <w:tc>
          <w:tcPr>
            <w:tcW w:w="165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5,25±0,22</w:t>
            </w:r>
          </w:p>
        </w:tc>
        <w:tc>
          <w:tcPr>
            <w:tcW w:w="167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5,29±0,24</w:t>
            </w:r>
          </w:p>
        </w:tc>
        <w:tc>
          <w:tcPr>
            <w:tcW w:w="179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5,30±0,23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5,37±0,29</w:t>
            </w:r>
          </w:p>
        </w:tc>
      </w:tr>
      <w:tr w:rsidR="00750932">
        <w:tc>
          <w:tcPr>
            <w:tcW w:w="200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Калий</w:t>
            </w:r>
          </w:p>
        </w:tc>
        <w:tc>
          <w:tcPr>
            <w:tcW w:w="165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4,51±0,23</w:t>
            </w:r>
          </w:p>
        </w:tc>
        <w:tc>
          <w:tcPr>
            <w:tcW w:w="167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4,73±0,21</w:t>
            </w:r>
          </w:p>
        </w:tc>
        <w:tc>
          <w:tcPr>
            <w:tcW w:w="179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4,65±0,24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4,68±0,25</w:t>
            </w:r>
          </w:p>
        </w:tc>
      </w:tr>
      <w:tr w:rsidR="00750932">
        <w:tc>
          <w:tcPr>
            <w:tcW w:w="200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Хлориды</w:t>
            </w:r>
          </w:p>
        </w:tc>
        <w:tc>
          <w:tcPr>
            <w:tcW w:w="165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104,2±3,3</w:t>
            </w:r>
          </w:p>
        </w:tc>
        <w:tc>
          <w:tcPr>
            <w:tcW w:w="167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105,1±3,2</w:t>
            </w:r>
          </w:p>
        </w:tc>
        <w:tc>
          <w:tcPr>
            <w:tcW w:w="179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104,7±3,0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104,5±3,3</w:t>
            </w:r>
          </w:p>
        </w:tc>
      </w:tr>
      <w:tr w:rsidR="00750932">
        <w:tc>
          <w:tcPr>
            <w:tcW w:w="200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Натрий </w:t>
            </w:r>
          </w:p>
        </w:tc>
        <w:tc>
          <w:tcPr>
            <w:tcW w:w="165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143,7±4,5</w:t>
            </w:r>
          </w:p>
        </w:tc>
        <w:tc>
          <w:tcPr>
            <w:tcW w:w="167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145,9±4,7</w:t>
            </w:r>
          </w:p>
        </w:tc>
        <w:tc>
          <w:tcPr>
            <w:tcW w:w="179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145,3±4,1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146,0±4,7</w:t>
            </w:r>
          </w:p>
        </w:tc>
      </w:tr>
      <w:tr w:rsidR="00750932">
        <w:tc>
          <w:tcPr>
            <w:tcW w:w="2003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Осмолярность </w:t>
            </w:r>
          </w:p>
        </w:tc>
        <w:tc>
          <w:tcPr>
            <w:tcW w:w="165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281,4±11,2</w:t>
            </w:r>
          </w:p>
        </w:tc>
        <w:tc>
          <w:tcPr>
            <w:tcW w:w="1672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287,0±12,3</w:t>
            </w:r>
          </w:p>
        </w:tc>
        <w:tc>
          <w:tcPr>
            <w:tcW w:w="179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285,6±11,4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286,5±11,5</w:t>
            </w:r>
          </w:p>
        </w:tc>
      </w:tr>
      <w:tr w:rsidR="00750932">
        <w:tc>
          <w:tcPr>
            <w:tcW w:w="9351" w:type="dxa"/>
            <w:gridSpan w:val="5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* - достоверные отличия показателей группы до лечения и после РПТ, после ПНЛТ и после комбин. метода (р&lt;0,01)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все биохимические показатели в крови в обследуемых группах до лечения находились в допустимых величинах. После малоинвазивных оперативных вмешательств параметры биохимических  показателей в крови достоверно не изменились, все изученные па</w:t>
      </w:r>
      <w:r>
        <w:rPr>
          <w:rFonts w:ascii="Times New Roman" w:hAnsi="Times New Roman"/>
          <w:sz w:val="28"/>
          <w:szCs w:val="28"/>
        </w:rPr>
        <w:t xml:space="preserve">раметры находятся в пределах нормы.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Исследовали осмолярность плазмы крови также до лечения и после оперативных вмешательств у обследуемых лиц. В норме осмолярность плазмы крови варьируется от 280 до 300 мосм/л. Осмолярность крови и мочи (ОСМ) можно измери</w:t>
      </w:r>
      <w:r>
        <w:rPr>
          <w:rFonts w:ascii="Times New Roman" w:hAnsi="Times New Roman"/>
          <w:sz w:val="28"/>
          <w:szCs w:val="28"/>
        </w:rPr>
        <w:t xml:space="preserve">ть с помощью приборов или можно рассчитать по математической формуле (теоретическая осмолярность). В нашем исследовании мы рассчитывали осмолярность плазмы крови по известной формуле: </w:t>
      </w:r>
    </w:p>
    <w:p w:rsidR="00750932" w:rsidRDefault="00816126">
      <w:pPr>
        <w:spacing w:after="0" w:line="240" w:lineRule="auto"/>
        <w:ind w:firstLine="567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Теоретическая ОСМ в крови = 1,86*натрий (ммоль/л) + глюкоза (ммоль/л) +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мочевина (ммоль/л) + 9.</w:t>
      </w:r>
    </w:p>
    <w:p w:rsidR="00750932" w:rsidRDefault="00816126">
      <w:pPr>
        <w:spacing w:after="0" w:line="240" w:lineRule="auto"/>
        <w:ind w:firstLine="567"/>
        <w:jc w:val="both"/>
        <w:rPr>
          <w:rFonts w:ascii="TimesNewRomanPSMT" w:eastAsia="TimesNewRomanPSMT" w:cs="TimesNewRomanPSMT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 xml:space="preserve">По результатам исследования осмолярность крови достоверно не изменилась.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таблице 21 представлены данные параметров азотистого и водно-электролитного обмена в моче у обследуемых группах. </w:t>
      </w:r>
    </w:p>
    <w:p w:rsidR="00750932" w:rsidRDefault="00750932">
      <w:pPr>
        <w:spacing w:after="0" w:line="240" w:lineRule="auto"/>
        <w:jc w:val="both"/>
      </w:pPr>
    </w:p>
    <w:p w:rsidR="00750932" w:rsidRDefault="008161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21 – Биохимические показатели в </w:t>
      </w:r>
      <w:r>
        <w:rPr>
          <w:rFonts w:ascii="Times New Roman" w:hAnsi="Times New Roman"/>
          <w:sz w:val="28"/>
          <w:szCs w:val="28"/>
        </w:rPr>
        <w:t>моче в исследуемых группах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1737"/>
        <w:gridCol w:w="1560"/>
        <w:gridCol w:w="1705"/>
        <w:gridCol w:w="2229"/>
      </w:tblGrid>
      <w:tr w:rsidR="00750932">
        <w:tc>
          <w:tcPr>
            <w:tcW w:w="212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73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лечения</w:t>
            </w:r>
          </w:p>
        </w:tc>
        <w:tc>
          <w:tcPr>
            <w:tcW w:w="156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70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Комбинированный метод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=18</w:t>
            </w:r>
          </w:p>
        </w:tc>
      </w:tr>
      <w:tr w:rsidR="00750932">
        <w:trPr>
          <w:trHeight w:val="383"/>
        </w:trPr>
        <w:tc>
          <w:tcPr>
            <w:tcW w:w="212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Мочевина</w:t>
            </w:r>
          </w:p>
        </w:tc>
        <w:tc>
          <w:tcPr>
            <w:tcW w:w="1737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175,8±11,0</w:t>
            </w:r>
          </w:p>
        </w:tc>
        <w:tc>
          <w:tcPr>
            <w:tcW w:w="1560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233,4±11,6</w:t>
            </w:r>
          </w:p>
        </w:tc>
        <w:tc>
          <w:tcPr>
            <w:tcW w:w="170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228,2±11,3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232,5±11,8</w:t>
            </w:r>
          </w:p>
        </w:tc>
      </w:tr>
      <w:tr w:rsidR="00750932">
        <w:tc>
          <w:tcPr>
            <w:tcW w:w="212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Калий</w:t>
            </w:r>
          </w:p>
        </w:tc>
        <w:tc>
          <w:tcPr>
            <w:tcW w:w="1737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32,6±1,5</w:t>
            </w:r>
          </w:p>
        </w:tc>
        <w:tc>
          <w:tcPr>
            <w:tcW w:w="1560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30,5±1,8</w:t>
            </w:r>
          </w:p>
        </w:tc>
        <w:tc>
          <w:tcPr>
            <w:tcW w:w="170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30,7±1,3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30,8±11,1</w:t>
            </w:r>
          </w:p>
        </w:tc>
      </w:tr>
      <w:tr w:rsidR="00750932">
        <w:tc>
          <w:tcPr>
            <w:tcW w:w="212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Хлориды</w:t>
            </w:r>
          </w:p>
        </w:tc>
        <w:tc>
          <w:tcPr>
            <w:tcW w:w="1737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80,4±2,2</w:t>
            </w:r>
          </w:p>
        </w:tc>
        <w:tc>
          <w:tcPr>
            <w:tcW w:w="1560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83,6±2,5</w:t>
            </w:r>
          </w:p>
        </w:tc>
        <w:tc>
          <w:tcPr>
            <w:tcW w:w="170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82,9±2,3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82,7±2,6</w:t>
            </w:r>
          </w:p>
        </w:tc>
      </w:tr>
      <w:tr w:rsidR="00750932">
        <w:tc>
          <w:tcPr>
            <w:tcW w:w="212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Натрий</w:t>
            </w:r>
          </w:p>
        </w:tc>
        <w:tc>
          <w:tcPr>
            <w:tcW w:w="1737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85,0±3,1</w:t>
            </w:r>
          </w:p>
        </w:tc>
        <w:tc>
          <w:tcPr>
            <w:tcW w:w="1560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104,1±3,6</w:t>
            </w:r>
          </w:p>
        </w:tc>
        <w:tc>
          <w:tcPr>
            <w:tcW w:w="170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105,3±3,2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104,7±3,3</w:t>
            </w:r>
          </w:p>
        </w:tc>
      </w:tr>
      <w:tr w:rsidR="00750932">
        <w:tc>
          <w:tcPr>
            <w:tcW w:w="2120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Осмолярность</w:t>
            </w:r>
          </w:p>
        </w:tc>
        <w:tc>
          <w:tcPr>
            <w:tcW w:w="1737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190,5±6,8</w:t>
            </w:r>
          </w:p>
        </w:tc>
        <w:tc>
          <w:tcPr>
            <w:tcW w:w="1560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192,0±6,5</w:t>
            </w:r>
          </w:p>
        </w:tc>
        <w:tc>
          <w:tcPr>
            <w:tcW w:w="1705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182,8±6,2</w:t>
            </w:r>
          </w:p>
        </w:tc>
        <w:tc>
          <w:tcPr>
            <w:tcW w:w="2229" w:type="dxa"/>
          </w:tcPr>
          <w:p w:rsidR="00750932" w:rsidRDefault="00816126">
            <w:pPr>
              <w:spacing w:after="0" w:line="240" w:lineRule="auto"/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191,4±6,7</w:t>
            </w:r>
          </w:p>
        </w:tc>
      </w:tr>
      <w:tr w:rsidR="00750932">
        <w:tc>
          <w:tcPr>
            <w:tcW w:w="9351" w:type="dxa"/>
            <w:gridSpan w:val="5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>* - достоверные отличия показателей группы до лечения и после РПТ, после ПНЛТ и после комбин. метода (р&lt;0,01)</w:t>
            </w:r>
          </w:p>
        </w:tc>
      </w:tr>
    </w:tbl>
    <w:p w:rsidR="00750932" w:rsidRDefault="0075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исследования биохимических показателей мочи было выявлено, что после проведения малоинвазивных оперативных вмешательств происходит изменение функционирования всех отделов нефрона, связанное, как с местным травматическим эффектом, так и с модул</w:t>
      </w:r>
      <w:r>
        <w:rPr>
          <w:rFonts w:ascii="Times New Roman" w:hAnsi="Times New Roman"/>
          <w:sz w:val="28"/>
          <w:szCs w:val="28"/>
        </w:rPr>
        <w:t xml:space="preserve">яцией нейрогуморальных влияний, поддерживающих водно-электролитный обмен и регулирующих работу трансмембранных переносчиков осмотически активных веществ, но по нашим данным малоинвазивные оперативные вмешательства </w:t>
      </w:r>
      <w:r>
        <w:rPr>
          <w:rFonts w:ascii="Times New Roman" w:eastAsia="TimesNewRomanPSMT" w:hAnsi="Times New Roman"/>
          <w:sz w:val="28"/>
          <w:szCs w:val="28"/>
        </w:rPr>
        <w:t>не приводят к значимому изменению показате</w:t>
      </w:r>
      <w:r>
        <w:rPr>
          <w:rFonts w:ascii="Times New Roman" w:eastAsia="TimesNewRomanPSMT" w:hAnsi="Times New Roman"/>
          <w:sz w:val="28"/>
          <w:szCs w:val="28"/>
        </w:rPr>
        <w:t>лей водно-электролитного обмена.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22 – Показатели клиренс креатинина в исследуемых группах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889"/>
        <w:gridCol w:w="1905"/>
        <w:gridCol w:w="1984"/>
        <w:gridCol w:w="2268"/>
        <w:gridCol w:w="1524"/>
      </w:tblGrid>
      <w:tr w:rsidR="00750932">
        <w:tc>
          <w:tcPr>
            <w:tcW w:w="1889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Комбинир.метод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50932">
        <w:tc>
          <w:tcPr>
            <w:tcW w:w="1889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Креатинин в крови  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73,65 (36-144)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78,0 (45-97,75)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77,2 (48-117)</w:t>
            </w:r>
          </w:p>
        </w:tc>
        <w:tc>
          <w:tcPr>
            <w:tcW w:w="15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0,7074</w:t>
            </w:r>
          </w:p>
        </w:tc>
      </w:tr>
      <w:tr w:rsidR="00750932">
        <w:tc>
          <w:tcPr>
            <w:tcW w:w="1889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Креатинин в моче 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6382 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(6124 - 6420)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6354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(4776 - 6480)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6290 </w:t>
            </w:r>
          </w:p>
          <w:p w:rsidR="00750932" w:rsidRDefault="00816126">
            <w:pPr>
              <w:spacing w:after="0" w:line="240" w:lineRule="auto"/>
              <w:jc w:val="center"/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(5340 - 6400)</w:t>
            </w:r>
          </w:p>
        </w:tc>
        <w:tc>
          <w:tcPr>
            <w:tcW w:w="15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0,5485</w:t>
            </w:r>
          </w:p>
        </w:tc>
      </w:tr>
      <w:tr w:rsidR="00750932">
        <w:tc>
          <w:tcPr>
            <w:tcW w:w="1889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Клиренс креатинина 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81,32 (76 - 91)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79,95 (72 - 94)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75,51 (71 - 87)</w:t>
            </w:r>
          </w:p>
        </w:tc>
        <w:tc>
          <w:tcPr>
            <w:tcW w:w="152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0,7113</w:t>
            </w:r>
          </w:p>
        </w:tc>
      </w:tr>
      <w:tr w:rsidR="00750932">
        <w:tc>
          <w:tcPr>
            <w:tcW w:w="9570" w:type="dxa"/>
            <w:gridSpan w:val="5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Мы исследовали одновременно показатели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креатинина в сыворотке крови, в суточной моче и рассчитывали значения клиренс креатинина, чтобы оценить у пациентов выделительную и фильтрационную функции почек.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видно по данным таблицы, показатель креатинина в сыворотке крови в исследуемых группах ва</w:t>
      </w:r>
      <w:r>
        <w:rPr>
          <w:rFonts w:ascii="Times New Roman" w:hAnsi="Times New Roman"/>
          <w:sz w:val="28"/>
          <w:szCs w:val="28"/>
        </w:rPr>
        <w:t>рьируется от 36 до 117 мкмоль/л. В 1 группе данные креатинина в крови показали, в одном случае низкие значения (36,0 мкмоль/л), а в другом высокое - 144 мкмоль/л.  Во 2 группе у 8 пациентов (5,6%) были с низкими показателями креатинина в крови и в 2случаях</w:t>
      </w:r>
      <w:r>
        <w:rPr>
          <w:rFonts w:ascii="Times New Roman" w:hAnsi="Times New Roman"/>
          <w:sz w:val="28"/>
          <w:szCs w:val="28"/>
        </w:rPr>
        <w:t xml:space="preserve"> (1,4%) с высоким значением. В 3 группе только у одного пациента данный показатель был выше, чем в допустимых величинах (117 мкмоль/л).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Показатель креатинина в суточной моче, до лечения и после проведенных малоинвазивных оперативных вмешательств больших и</w:t>
      </w:r>
      <w:r>
        <w:rPr>
          <w:rFonts w:ascii="Times New Roman" w:hAnsi="Times New Roman"/>
          <w:sz w:val="28"/>
          <w:szCs w:val="28"/>
        </w:rPr>
        <w:t xml:space="preserve">зменений не показал. В результате исследования различия между группами статистически значимыми не были,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изменения функции почек у пациентов не наблюдалось, и коррегирующая терапия не потребовалась.</w:t>
      </w:r>
    </w:p>
    <w:p w:rsidR="00750932" w:rsidRDefault="0075093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23 – Показатели анализа крови и мочи пред- и </w:t>
      </w:r>
      <w:r>
        <w:rPr>
          <w:rFonts w:ascii="Times New Roman" w:hAnsi="Times New Roman"/>
          <w:sz w:val="28"/>
          <w:szCs w:val="28"/>
        </w:rPr>
        <w:t>послеоперационном периоде в исследуемых группах.</w:t>
      </w:r>
    </w:p>
    <w:p w:rsidR="00750932" w:rsidRDefault="0075093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Ind w:w="121" w:type="dxa"/>
        <w:tblLayout w:type="fixed"/>
        <w:tblLook w:val="04A0" w:firstRow="1" w:lastRow="0" w:firstColumn="1" w:lastColumn="0" w:noHBand="0" w:noVBand="1"/>
      </w:tblPr>
      <w:tblGrid>
        <w:gridCol w:w="1768"/>
        <w:gridCol w:w="1905"/>
        <w:gridCol w:w="1984"/>
        <w:gridCol w:w="2268"/>
        <w:gridCol w:w="1448"/>
      </w:tblGrid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Показатели 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Комб. метод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/>
                <w:sz w:val="28"/>
                <w:szCs w:val="28"/>
              </w:rPr>
              <w:t>=18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50932">
        <w:tc>
          <w:tcPr>
            <w:tcW w:w="9373" w:type="dxa"/>
            <w:gridSpan w:val="5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Предоперационный период </w:t>
            </w:r>
          </w:p>
        </w:tc>
      </w:tr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Гемоглобин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134,08±16,64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133,42±17,86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131,89±18,4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0,8878</w:t>
            </w:r>
          </w:p>
        </w:tc>
      </w:tr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Лейкоциты в крови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6,9 (3,4-15,3)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6,65 (3,5-11,9)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7,1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(4,1-9,6)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0,5993</w:t>
            </w:r>
          </w:p>
        </w:tc>
      </w:tr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Эритроциты в моче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 (0-35)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(0-50)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(0-8)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0,2123</w:t>
            </w:r>
          </w:p>
        </w:tc>
      </w:tr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Лейкоциты в моче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 (0-64)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3,5 (0-30)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 (2-60)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0,2327</w:t>
            </w:r>
          </w:p>
        </w:tc>
      </w:tr>
      <w:tr w:rsidR="00750932">
        <w:tc>
          <w:tcPr>
            <w:tcW w:w="9373" w:type="dxa"/>
            <w:gridSpan w:val="5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Послеоперационный период </w:t>
            </w:r>
          </w:p>
        </w:tc>
      </w:tr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Гемоглобин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130,16±17,67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122,6±20,8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126±20,75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0,0969</w:t>
            </w:r>
          </w:p>
        </w:tc>
      </w:tr>
      <w:tr w:rsidR="00750932">
        <w:tc>
          <w:tcPr>
            <w:tcW w:w="1768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Лейкоциты в крови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7,5 (4,5-15,5)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7,35 (4,5-12,5)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8,05 (4,4-15,5)</w:t>
            </w:r>
          </w:p>
        </w:tc>
        <w:tc>
          <w:tcPr>
            <w:tcW w:w="144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0,1762</w:t>
            </w:r>
          </w:p>
        </w:tc>
      </w:tr>
    </w:tbl>
    <w:p w:rsidR="00750932" w:rsidRDefault="008161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23</w:t>
      </w:r>
    </w:p>
    <w:tbl>
      <w:tblPr>
        <w:tblStyle w:val="af1"/>
        <w:tblW w:w="0" w:type="auto"/>
        <w:tblInd w:w="87" w:type="dxa"/>
        <w:tblLayout w:type="fixed"/>
        <w:tblLook w:val="04A0" w:firstRow="1" w:lastRow="0" w:firstColumn="1" w:lastColumn="0" w:noHBand="0" w:noVBand="1"/>
      </w:tblPr>
      <w:tblGrid>
        <w:gridCol w:w="1802"/>
        <w:gridCol w:w="1905"/>
        <w:gridCol w:w="1984"/>
        <w:gridCol w:w="2268"/>
        <w:gridCol w:w="1401"/>
      </w:tblGrid>
      <w:tr w:rsidR="00750932">
        <w:tc>
          <w:tcPr>
            <w:tcW w:w="1802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01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750932">
        <w:tc>
          <w:tcPr>
            <w:tcW w:w="1802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Эритроциты в моче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 (1-65)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4,5 (0-65)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 (0-58)</w:t>
            </w:r>
          </w:p>
        </w:tc>
        <w:tc>
          <w:tcPr>
            <w:tcW w:w="1401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0,0621</w:t>
            </w:r>
          </w:p>
        </w:tc>
      </w:tr>
      <w:tr w:rsidR="00750932">
        <w:tc>
          <w:tcPr>
            <w:tcW w:w="1802" w:type="dxa"/>
          </w:tcPr>
          <w:p w:rsidR="00750932" w:rsidRDefault="0081612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Лейкоциты в моче</w:t>
            </w:r>
          </w:p>
        </w:tc>
        <w:tc>
          <w:tcPr>
            <w:tcW w:w="1905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 (1-70)</w:t>
            </w:r>
          </w:p>
        </w:tc>
        <w:tc>
          <w:tcPr>
            <w:tcW w:w="1984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 (0-60)</w:t>
            </w:r>
          </w:p>
        </w:tc>
        <w:tc>
          <w:tcPr>
            <w:tcW w:w="2268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21,5 (1-58)</w:t>
            </w:r>
          </w:p>
        </w:tc>
        <w:tc>
          <w:tcPr>
            <w:tcW w:w="1401" w:type="dxa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0,0298</w:t>
            </w:r>
          </w:p>
        </w:tc>
      </w:tr>
      <w:tr w:rsidR="00750932">
        <w:tc>
          <w:tcPr>
            <w:tcW w:w="9360" w:type="dxa"/>
            <w:gridSpan w:val="5"/>
          </w:tcPr>
          <w:p w:rsidR="00750932" w:rsidRDefault="008161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р&gt; 0,05, р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&lt;0,01</w:t>
            </w:r>
          </w:p>
        </w:tc>
      </w:tr>
    </w:tbl>
    <w:p w:rsidR="00750932" w:rsidRDefault="0075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показано в таблице 23, показатели гемоглобина в исследуемых группах немного снизились после операции, но находятся в допустимых величинах, однако изменения гемоглобина была статистически не значимо. Показатели лейкоцита и эритроцита в исследуемых гр</w:t>
      </w:r>
      <w:r>
        <w:rPr>
          <w:rFonts w:ascii="Times New Roman" w:hAnsi="Times New Roman"/>
          <w:sz w:val="28"/>
          <w:szCs w:val="28"/>
        </w:rPr>
        <w:t xml:space="preserve">уппах до и после операции не снижались и находились в нижних границах нормы и статистически не были значимыми, но количество лейкоцитов в моче после операции значительно увеличилось и между группами статистически были значимыми (р=0,0298).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в результате клинических и инструментальных диагностических мероприятий,  исследуемые пациенты разделились на методы малоинвазивного лечения. Распределение по методу малоинвазивного оперативного вмешательства приведены на рисунке 3</w:t>
      </w:r>
      <w:r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50932" w:rsidRDefault="00816126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highlight w:val="cyan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52800" cy="2581275"/>
            <wp:effectExtent l="0" t="0" r="0" b="0"/>
            <wp:docPr id="37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750932" w:rsidRDefault="00816126">
      <w:pPr>
        <w:widowControl w:val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Рисунок 31 – Расп</w:t>
      </w:r>
      <w:r>
        <w:rPr>
          <w:rFonts w:ascii="Times New Roman" w:hAnsi="Times New Roman"/>
          <w:color w:val="000000"/>
          <w:sz w:val="28"/>
          <w:szCs w:val="28"/>
        </w:rPr>
        <w:t>ределение пациентов по ме</w:t>
      </w:r>
      <w:r>
        <w:rPr>
          <w:rFonts w:ascii="Times New Roman" w:hAnsi="Times New Roman"/>
          <w:sz w:val="28"/>
          <w:szCs w:val="28"/>
        </w:rPr>
        <w:t>тодам</w:t>
      </w:r>
    </w:p>
    <w:p w:rsidR="00750932" w:rsidRDefault="00816126">
      <w:pPr>
        <w:widowControl w:val="0"/>
        <w:spacing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малоинвазивных оперативных вмешательств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сравнительном анализе 74 пациентам (51,3% %) в первую очередь выполнена РПТ, 52 пациентам (36,1 %) — в первую очередь выполнена ПЛНТ (в некоторых случаях этого было достаточно для </w:t>
      </w:r>
      <w:r>
        <w:rPr>
          <w:rFonts w:ascii="Times New Roman" w:hAnsi="Times New Roman"/>
          <w:color w:val="000000"/>
          <w:sz w:val="28"/>
          <w:szCs w:val="28"/>
        </w:rPr>
        <w:t>удаления конкремента, в некоторых пришлось прибегнуть к дополнительным мероприятиям) и 18 больным (12,5 %) выполнен комбинированный метод оперативного вмешательства.</w:t>
      </w:r>
    </w:p>
    <w:p w:rsidR="00750932" w:rsidRDefault="00816126">
      <w:pPr>
        <w:spacing w:after="0" w:line="240" w:lineRule="auto"/>
        <w:ind w:left="34" w:right="34" w:firstLine="5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sz w:val="28"/>
          <w:szCs w:val="16"/>
        </w:rPr>
        <w:t>Анализ результатов проведения спинномозговой анестезии  исследован на основе результатов 1</w:t>
      </w:r>
      <w:r>
        <w:rPr>
          <w:rFonts w:ascii="Times New Roman" w:hAnsi="Times New Roman" w:cs="Arial"/>
          <w:sz w:val="28"/>
          <w:szCs w:val="16"/>
        </w:rPr>
        <w:t>44 спинномозговых блокад пациентов. Во время СМА и</w:t>
      </w:r>
      <w:r>
        <w:rPr>
          <w:rFonts w:ascii="Times New Roman" w:hAnsi="Times New Roman"/>
          <w:sz w:val="28"/>
          <w:szCs w:val="28"/>
        </w:rPr>
        <w:t>сследовали центральную гемодинамику, частоту сердечных сокращений (ЧСС), артериальное давление (АД) и насыщение крови кислородом.</w:t>
      </w:r>
    </w:p>
    <w:p w:rsidR="00750932" w:rsidRDefault="00750932">
      <w:pPr>
        <w:spacing w:after="0" w:line="240" w:lineRule="auto"/>
        <w:ind w:left="34" w:right="34" w:firstLine="533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24 - Результаты мониторирования СМА в исследуемых группах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tbl>
      <w:tblPr>
        <w:tblW w:w="9361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1638"/>
        <w:gridCol w:w="1638"/>
        <w:gridCol w:w="1958"/>
        <w:gridCol w:w="2335"/>
      </w:tblGrid>
      <w:tr w:rsidR="00750932">
        <w:trPr>
          <w:trHeight w:val="423"/>
        </w:trPr>
        <w:tc>
          <w:tcPr>
            <w:tcW w:w="957" w:type="pct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Клинические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параметры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795" w:type="pct"/>
            <w:gridSpan w:val="3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Этапы операции</w:t>
            </w:r>
          </w:p>
        </w:tc>
        <w:tc>
          <w:tcPr>
            <w:tcW w:w="1247" w:type="pct"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750932">
        <w:trPr>
          <w:trHeight w:val="886"/>
        </w:trPr>
        <w:tc>
          <w:tcPr>
            <w:tcW w:w="957" w:type="pct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 операции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04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24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Комбинир.метод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50932">
        <w:trPr>
          <w:trHeight w:val="372"/>
        </w:trPr>
        <w:tc>
          <w:tcPr>
            <w:tcW w:w="95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АД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131\82±14,1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122\73±13,7</w:t>
            </w:r>
          </w:p>
        </w:tc>
        <w:tc>
          <w:tcPr>
            <w:tcW w:w="104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136\89±11,4</w:t>
            </w:r>
          </w:p>
        </w:tc>
        <w:tc>
          <w:tcPr>
            <w:tcW w:w="124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129\85±14,5</w:t>
            </w:r>
          </w:p>
        </w:tc>
      </w:tr>
      <w:tr w:rsidR="00750932">
        <w:trPr>
          <w:trHeight w:val="419"/>
        </w:trPr>
        <w:tc>
          <w:tcPr>
            <w:tcW w:w="95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Пульс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81,1±3,2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72,2±2,5</w:t>
            </w:r>
          </w:p>
        </w:tc>
        <w:tc>
          <w:tcPr>
            <w:tcW w:w="104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79,4±1,9</w:t>
            </w:r>
          </w:p>
        </w:tc>
        <w:tc>
          <w:tcPr>
            <w:tcW w:w="124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76,4±3,3</w:t>
            </w:r>
          </w:p>
        </w:tc>
      </w:tr>
      <w:tr w:rsidR="00750932">
        <w:trPr>
          <w:trHeight w:val="411"/>
        </w:trPr>
        <w:tc>
          <w:tcPr>
            <w:tcW w:w="95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Сатурация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94,6±1,5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96,9±1,1</w:t>
            </w:r>
          </w:p>
        </w:tc>
        <w:tc>
          <w:tcPr>
            <w:tcW w:w="104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98,4±1,4</w:t>
            </w:r>
          </w:p>
        </w:tc>
        <w:tc>
          <w:tcPr>
            <w:tcW w:w="124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97,8±1,2</w:t>
            </w:r>
          </w:p>
        </w:tc>
      </w:tr>
      <w:tr w:rsidR="00750932">
        <w:trPr>
          <w:trHeight w:val="418"/>
        </w:trPr>
        <w:tc>
          <w:tcPr>
            <w:tcW w:w="95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ЧД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12,1±1,9</w:t>
            </w:r>
          </w:p>
        </w:tc>
        <w:tc>
          <w:tcPr>
            <w:tcW w:w="87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16,3±1,4</w:t>
            </w:r>
          </w:p>
        </w:tc>
        <w:tc>
          <w:tcPr>
            <w:tcW w:w="104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17,4±1,6</w:t>
            </w:r>
          </w:p>
        </w:tc>
        <w:tc>
          <w:tcPr>
            <w:tcW w:w="1247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16,9±1,6</w:t>
            </w:r>
          </w:p>
        </w:tc>
      </w:tr>
      <w:tr w:rsidR="00750932">
        <w:trPr>
          <w:trHeight w:val="418"/>
        </w:trPr>
        <w:tc>
          <w:tcPr>
            <w:tcW w:w="5000" w:type="pct"/>
            <w:gridSpan w:val="5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rPr>
          <w:rFonts w:ascii="Times New Roman" w:hAnsi="Times New Roman"/>
          <w:sz w:val="28"/>
          <w:szCs w:val="20"/>
        </w:rPr>
      </w:pP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0"/>
        </w:rPr>
        <w:t xml:space="preserve">Как видно из таблицы 24, заметно среагировала лишь система дыхания. </w:t>
      </w:r>
      <w:r>
        <w:rPr>
          <w:rFonts w:ascii="Times New Roman" w:hAnsi="Times New Roman"/>
          <w:sz w:val="28"/>
          <w:szCs w:val="28"/>
        </w:rPr>
        <w:t xml:space="preserve"> Состояние внешнего дыхания, диурез и самочувствие пациентов во время операции оставались стабильными. Исходное состояние гемодинамики у пациентов пожилого возраста характеризовалось повышенным давлением с умеренной тахикардией.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изучаемые показатели</w:t>
      </w:r>
      <w:r>
        <w:rPr>
          <w:rFonts w:ascii="Times New Roman" w:hAnsi="Times New Roman"/>
          <w:sz w:val="28"/>
          <w:szCs w:val="28"/>
        </w:rPr>
        <w:t xml:space="preserve"> укладывались в понятие нормодинамического типа кровообращения. После субарахноидального ведения обезболивающих растворов у пациентов АД снижалось до нормального уровня и дальше оставалось стабильным. На разрез, а также наиболее травматичные этапы операции</w:t>
      </w:r>
      <w:r>
        <w:rPr>
          <w:rFonts w:ascii="Times New Roman" w:hAnsi="Times New Roman"/>
          <w:sz w:val="28"/>
          <w:szCs w:val="28"/>
        </w:rPr>
        <w:t xml:space="preserve"> пациенты жалоб не предъявляли. Средние значения частоты дыхания, оксигенация при дыхании атмосферным воздухом на всех этапах операции находились в пределах нормальных уровней. Во время оперативных вмешательств у всех пациентов электрокардиография (ЭКГ) не</w:t>
      </w:r>
      <w:r>
        <w:rPr>
          <w:rFonts w:ascii="Times New Roman" w:hAnsi="Times New Roman"/>
          <w:sz w:val="28"/>
          <w:szCs w:val="28"/>
        </w:rPr>
        <w:t xml:space="preserve"> отличалась от средних показателей во всех исследуемых группах. Изменения или нарушения внутренних органов во время оперативных вмешательств не наблюдались. 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нашего исследования результаты мониторирования СМА в исследуемых группах все показатели </w:t>
      </w:r>
      <w:r>
        <w:rPr>
          <w:rFonts w:ascii="Times New Roman" w:hAnsi="Times New Roman"/>
          <w:sz w:val="28"/>
          <w:szCs w:val="28"/>
        </w:rPr>
        <w:t>статистически значимыми не были (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р&gt; 0,05).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таблице 25 представлены некоторые характеристики спинномозговой анестезии после РПТ, ПНЛТ и комбинированного метода.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25 -  Некоторые характеристики спинномозговой анестезии в исследуемых группах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2022"/>
        <w:gridCol w:w="1949"/>
        <w:gridCol w:w="2270"/>
      </w:tblGrid>
      <w:tr w:rsidR="00750932">
        <w:trPr>
          <w:trHeight w:val="469"/>
          <w:jc w:val="center"/>
        </w:trPr>
        <w:tc>
          <w:tcPr>
            <w:tcW w:w="1666" w:type="pct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Показатели 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334" w:type="pct"/>
            <w:gridSpan w:val="3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Этапы операции</w:t>
            </w:r>
          </w:p>
        </w:tc>
      </w:tr>
      <w:tr w:rsidR="00750932">
        <w:trPr>
          <w:trHeight w:val="513"/>
          <w:jc w:val="center"/>
        </w:trPr>
        <w:tc>
          <w:tcPr>
            <w:tcW w:w="1666" w:type="pct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Комбинир.метод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50932">
        <w:trPr>
          <w:trHeight w:val="300"/>
          <w:jc w:val="center"/>
        </w:trPr>
        <w:tc>
          <w:tcPr>
            <w:tcW w:w="1666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Эффективность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обезболивания</w:t>
            </w: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96-99%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96-99%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96-99%</w:t>
            </w:r>
          </w:p>
        </w:tc>
      </w:tr>
      <w:tr w:rsidR="00750932">
        <w:trPr>
          <w:trHeight w:val="300"/>
          <w:jc w:val="center"/>
        </w:trPr>
        <w:tc>
          <w:tcPr>
            <w:tcW w:w="1666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Комфортность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выполнения пункции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твердой оболочки</w:t>
            </w: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</w:tr>
      <w:tr w:rsidR="00750932">
        <w:trPr>
          <w:trHeight w:val="300"/>
          <w:jc w:val="center"/>
        </w:trPr>
        <w:tc>
          <w:tcPr>
            <w:tcW w:w="1666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Дрожь</w:t>
            </w: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</w:tr>
      <w:tr w:rsidR="00750932">
        <w:trPr>
          <w:trHeight w:val="300"/>
          <w:jc w:val="center"/>
        </w:trPr>
        <w:tc>
          <w:tcPr>
            <w:tcW w:w="1666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Тошнота, рвота</w:t>
            </w: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(2%)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(5,6%)</w:t>
            </w:r>
          </w:p>
        </w:tc>
      </w:tr>
      <w:tr w:rsidR="00750932">
        <w:trPr>
          <w:trHeight w:val="300"/>
          <w:jc w:val="center"/>
        </w:trPr>
        <w:tc>
          <w:tcPr>
            <w:tcW w:w="1666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Аллергическая 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реакция</w:t>
            </w: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</w:tr>
      <w:tr w:rsidR="00750932">
        <w:trPr>
          <w:trHeight w:val="300"/>
          <w:jc w:val="center"/>
        </w:trPr>
        <w:tc>
          <w:tcPr>
            <w:tcW w:w="1666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Головная боль</w:t>
            </w: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(2%)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 (5,6%)</w:t>
            </w:r>
          </w:p>
        </w:tc>
      </w:tr>
      <w:tr w:rsidR="00750932">
        <w:trPr>
          <w:trHeight w:val="415"/>
          <w:jc w:val="center"/>
        </w:trPr>
        <w:tc>
          <w:tcPr>
            <w:tcW w:w="1666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Болезненность в спине</w:t>
            </w:r>
          </w:p>
        </w:tc>
        <w:tc>
          <w:tcPr>
            <w:tcW w:w="108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Не было </w:t>
            </w:r>
          </w:p>
        </w:tc>
        <w:tc>
          <w:tcPr>
            <w:tcW w:w="104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(3,9%)</w:t>
            </w:r>
          </w:p>
        </w:tc>
        <w:tc>
          <w:tcPr>
            <w:tcW w:w="121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(16,7%)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таблицы 25, все пациенты в исследуемых группах после оперативных вмешательств оставались в сознании, параметры гемодинамики находились в стабильном состоянии. </w:t>
      </w:r>
      <w:r>
        <w:rPr>
          <w:rFonts w:ascii="Times New Roman" w:hAnsi="Times New Roman"/>
          <w:sz w:val="28"/>
          <w:szCs w:val="28"/>
        </w:rPr>
        <w:t>Анестезиологи после введения СМА по протоколу анестезии до, вовремя и после оперативных вмешательств серьёзных  осложнений и побочных эффектов не наблюдали.  Положительная эффективность анестезии в исследуемых группах в среднем составила 96-99%. В группах,</w:t>
      </w:r>
      <w:r>
        <w:rPr>
          <w:rFonts w:ascii="Times New Roman" w:hAnsi="Times New Roman"/>
          <w:sz w:val="28"/>
          <w:szCs w:val="28"/>
        </w:rPr>
        <w:t xml:space="preserve"> где проводили ПНЛТ и комбинированный метод оперативного вмешательства двое пациентов пожаловались на тошноту и головную боль, а на болезненность спины наблюдалась у 5 пациентов (3,5%), из них после ПНЛТ - 2 и 3 после комбинированного метода. Комфортность </w:t>
      </w:r>
      <w:r>
        <w:rPr>
          <w:rFonts w:ascii="Times New Roman" w:hAnsi="Times New Roman"/>
          <w:sz w:val="28"/>
          <w:szCs w:val="28"/>
        </w:rPr>
        <w:t>СМА обусловлена с применением современного уровня новых препаратов и игл тонким диаметром.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полученных результатов лечения проводили сравнивая длительность вмешательства, анестезии, кровопотерю, выраженность болевого синдрома, частота интра- и послео</w:t>
      </w:r>
      <w:r>
        <w:rPr>
          <w:rFonts w:ascii="Times New Roman" w:hAnsi="Times New Roman"/>
          <w:sz w:val="28"/>
          <w:szCs w:val="28"/>
        </w:rPr>
        <w:t>перационных осложнений. У всех больных после малоинвазивного вмешательства оценивали активность пиелонефрита, состояние уродинамики верхних мочевых путей, суммарную функцию почек и функциональное состояние пораженной почки и т.д.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исследовании при определении того или другого вида </w:t>
      </w:r>
      <w:r>
        <w:rPr>
          <w:rFonts w:ascii="Times New Roman" w:eastAsia="Calibri" w:hAnsi="Times New Roman"/>
          <w:sz w:val="28"/>
          <w:szCs w:val="28"/>
        </w:rPr>
        <w:t xml:space="preserve">операции, мы полагались на размер и положение конкремента, а также на выбор хирурга и пациента (данные размеры камней и локализации конкрементов были описаны выше в таблице 17, на рисунках 7, 8).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исследование также вошли сроки дренирования раны, продолжительность пребывания в стационаре, размер камней, локализация камней и т.д.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26 – Сравнительная характеристика демографических и клинических данных в исследуемых группах</w:t>
      </w:r>
    </w:p>
    <w:p w:rsidR="00750932" w:rsidRDefault="00750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701"/>
        <w:gridCol w:w="1559"/>
        <w:gridCol w:w="1701"/>
        <w:gridCol w:w="993"/>
      </w:tblGrid>
      <w:tr w:rsidR="00750932">
        <w:trPr>
          <w:trHeight w:val="477"/>
        </w:trPr>
        <w:tc>
          <w:tcPr>
            <w:tcW w:w="1843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Параметры операции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 пациентов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(%) </w:t>
            </w:r>
          </w:p>
        </w:tc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50932">
        <w:trPr>
          <w:trHeight w:val="477"/>
        </w:trPr>
        <w:tc>
          <w:tcPr>
            <w:tcW w:w="1843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1-я группа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группа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3-я группа</w:t>
            </w: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8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возраст  (лет)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48,68±13,72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45,4±12,63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49,61±8,86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47,61±12,85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0,2899</w:t>
            </w:r>
          </w:p>
        </w:tc>
      </w:tr>
      <w:tr w:rsidR="00750932">
        <w:trPr>
          <w:trHeight w:val="278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Мужчины 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 (36,49)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 (53,85)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(44,44)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 (43,75)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0,1538</w:t>
            </w:r>
          </w:p>
        </w:tc>
      </w:tr>
      <w:tr w:rsidR="00750932">
        <w:trPr>
          <w:trHeight w:val="368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Женщины 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 (63,51)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 (46,15)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(55,56)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 (56,25)</w:t>
            </w:r>
          </w:p>
        </w:tc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продолжительность анестезии (минуты)</w:t>
            </w:r>
          </w:p>
        </w:tc>
        <w:tc>
          <w:tcPr>
            <w:tcW w:w="1701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74</w:t>
            </w:r>
            <w:r>
              <w:rPr>
                <w:rFonts w:ascii="Times New Roman" w:hAnsi="Times New Roman"/>
                <w:sz w:val="28"/>
                <w:szCs w:val="28"/>
              </w:rPr>
              <w:t>±14,2</w:t>
            </w:r>
          </w:p>
        </w:tc>
        <w:tc>
          <w:tcPr>
            <w:tcW w:w="1701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81</w:t>
            </w:r>
            <w:r>
              <w:rPr>
                <w:rFonts w:ascii="Times New Roman" w:hAnsi="Times New Roman"/>
                <w:sz w:val="28"/>
                <w:szCs w:val="28"/>
              </w:rPr>
              <w:t>±13,5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91±13,9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82±13,9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0,074</w:t>
            </w:r>
          </w:p>
        </w:tc>
      </w:tr>
      <w:tr w:rsidR="00750932">
        <w:trPr>
          <w:trHeight w:val="223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продолжительность операции (минуты)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55,94±26,50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67,01±29,39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58,88±13,12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60,31±26,71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0,0277</w:t>
            </w:r>
          </w:p>
        </w:tc>
      </w:tr>
      <w:tr w:rsidR="00750932">
        <w:trPr>
          <w:trHeight w:val="313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дренирования раны (дни)</w:t>
            </w:r>
          </w:p>
        </w:tc>
        <w:tc>
          <w:tcPr>
            <w:tcW w:w="1701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1701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6,1</w:t>
            </w:r>
            <w:r>
              <w:rPr>
                <w:rFonts w:ascii="Times New Roman" w:hAnsi="Times New Roman"/>
                <w:sz w:val="28"/>
                <w:szCs w:val="28"/>
              </w:rPr>
              <w:t>±0,4</w:t>
            </w:r>
          </w:p>
        </w:tc>
        <w:tc>
          <w:tcPr>
            <w:tcW w:w="1559" w:type="dxa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6,8</w:t>
            </w:r>
            <w:r>
              <w:rPr>
                <w:rFonts w:ascii="Times New Roman" w:hAnsi="Times New Roman"/>
                <w:sz w:val="28"/>
                <w:szCs w:val="28"/>
              </w:rPr>
              <w:t>±0,5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6,5±0,5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0,521</w:t>
            </w:r>
          </w:p>
        </w:tc>
      </w:tr>
      <w:tr w:rsidR="00750932">
        <w:trPr>
          <w:trHeight w:val="261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пребывания в стационаре (дни)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(5-15)</w:t>
            </w:r>
          </w:p>
        </w:tc>
        <w:tc>
          <w:tcPr>
            <w:tcW w:w="1701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(5-16)</w:t>
            </w:r>
          </w:p>
        </w:tc>
        <w:tc>
          <w:tcPr>
            <w:tcW w:w="1559" w:type="dxa"/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(6-10)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(5-16)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0,0001</w:t>
            </w:r>
          </w:p>
        </w:tc>
      </w:tr>
      <w:tr w:rsidR="00750932">
        <w:trPr>
          <w:trHeight w:val="224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74 (51,3) </w:t>
            </w:r>
          </w:p>
        </w:tc>
        <w:tc>
          <w:tcPr>
            <w:tcW w:w="1701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52 (36,1) </w:t>
            </w:r>
          </w:p>
        </w:tc>
        <w:tc>
          <w:tcPr>
            <w:tcW w:w="1559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(12,5)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 (100)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24"/>
        </w:trPr>
        <w:tc>
          <w:tcPr>
            <w:tcW w:w="9498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Проанализированы результаты 144 пациентов с МКБ после малоинвазивных вмешательств. Средний возраст пациентов наблюдается в возрастных группах от 49 лет и от 50-59 лет, РПТ составил средний возраст 48,68±13,72 лет, ПНЛТ – средний возраст 45,4±12,63 лет, ком</w:t>
      </w:r>
      <w:r>
        <w:rPr>
          <w:rFonts w:ascii="Times New Roman" w:hAnsi="Times New Roman"/>
          <w:sz w:val="28"/>
          <w:szCs w:val="28"/>
        </w:rPr>
        <w:t xml:space="preserve">бинированный метод средний возраст - 49,61±8,86 лет соответственно. Демографические данные были сопоставимы между тремя группами. Средний возраст пациентов составил </w:t>
      </w:r>
      <w:r>
        <w:rPr>
          <w:rFonts w:ascii="Times New Roman" w:hAnsi="Times New Roman"/>
          <w:color w:val="000000"/>
          <w:sz w:val="28"/>
          <w:szCs w:val="28"/>
        </w:rPr>
        <w:t>47,61±12,85 лет.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Установлено, что среднее время анестезии для комбинированного метода было </w:t>
      </w:r>
      <w:r>
        <w:rPr>
          <w:rFonts w:ascii="Times New Roman" w:hAnsi="Times New Roman"/>
          <w:sz w:val="28"/>
          <w:szCs w:val="28"/>
        </w:rPr>
        <w:t>значительно длиннее 91±13,9 мин. и среднее время операции также было чуть длиннее, чем РПТ на 60,31±26,71 мин. (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&lt; 0,01). Это связано с несколькими причинами, первая причина с </w:t>
      </w:r>
      <w:r>
        <w:rPr>
          <w:rFonts w:ascii="Times New Roman" w:eastAsia="Calibri" w:hAnsi="Times New Roman"/>
          <w:bCs/>
          <w:sz w:val="28"/>
          <w:szCs w:val="28"/>
        </w:rPr>
        <w:t xml:space="preserve">одновременным проведением двух этапной операции, сперва пациент укладывается на </w:t>
      </w:r>
      <w:r>
        <w:rPr>
          <w:rFonts w:ascii="Times New Roman" w:eastAsia="Calibri" w:hAnsi="Times New Roman"/>
          <w:bCs/>
          <w:sz w:val="28"/>
          <w:szCs w:val="28"/>
        </w:rPr>
        <w:t xml:space="preserve">спину для проведения РПТ, затем после РПТ устанавливается мочеточниковый стент и пациента укладывают на живот для проведения ПНЛТ, еще одна причина связана с </w:t>
      </w:r>
      <w:r>
        <w:rPr>
          <w:rFonts w:ascii="Times New Roman" w:hAnsi="Times New Roman"/>
          <w:sz w:val="28"/>
          <w:szCs w:val="28"/>
        </w:rPr>
        <w:t>клинически сложными вариантами камней. Среднее время анестезии для РПТ по сравнению с ПНЛТ было ко</w:t>
      </w:r>
      <w:r>
        <w:rPr>
          <w:rFonts w:ascii="Times New Roman" w:hAnsi="Times New Roman"/>
          <w:sz w:val="28"/>
          <w:szCs w:val="28"/>
        </w:rPr>
        <w:t xml:space="preserve">роче на </w:t>
      </w:r>
      <w:r>
        <w:rPr>
          <w:rFonts w:ascii="Times New Roman" w:hAnsi="Times New Roman"/>
          <w:sz w:val="28"/>
          <w:szCs w:val="24"/>
        </w:rPr>
        <w:t>74</w:t>
      </w:r>
      <w:r>
        <w:rPr>
          <w:rFonts w:ascii="Times New Roman" w:hAnsi="Times New Roman"/>
          <w:sz w:val="28"/>
          <w:szCs w:val="28"/>
        </w:rPr>
        <w:t xml:space="preserve">±14,2 мин, но среднее время операции (59±9,3 мин) для данных пациентов было длиннее, чем при проведении ПНЛТ.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наружного дренирования почки после перкутанного доступа при ПНЛТ и комбинированного метода имели практически одинаковое время (ПН</w:t>
      </w:r>
      <w:r>
        <w:rPr>
          <w:rFonts w:ascii="Times New Roman" w:hAnsi="Times New Roman"/>
          <w:sz w:val="28"/>
          <w:szCs w:val="28"/>
        </w:rPr>
        <w:t xml:space="preserve">ЛТ - </w:t>
      </w:r>
      <w:r>
        <w:rPr>
          <w:rFonts w:ascii="Times New Roman" w:hAnsi="Times New Roman"/>
          <w:sz w:val="28"/>
          <w:szCs w:val="24"/>
        </w:rPr>
        <w:t>6,1</w:t>
      </w:r>
      <w:r>
        <w:rPr>
          <w:rFonts w:ascii="Times New Roman" w:hAnsi="Times New Roman"/>
          <w:sz w:val="28"/>
          <w:szCs w:val="28"/>
        </w:rPr>
        <w:t xml:space="preserve">±0,4 дней, комбинированный метод - </w:t>
      </w:r>
      <w:r>
        <w:rPr>
          <w:rFonts w:ascii="Times New Roman" w:hAnsi="Times New Roman"/>
          <w:sz w:val="28"/>
          <w:szCs w:val="24"/>
        </w:rPr>
        <w:t>6,8</w:t>
      </w:r>
      <w:r>
        <w:rPr>
          <w:rFonts w:ascii="Times New Roman" w:hAnsi="Times New Roman"/>
          <w:sz w:val="28"/>
          <w:szCs w:val="28"/>
        </w:rPr>
        <w:t>±0,5 дней, соответственно), а при проведении РПТ наружное дренирование не осуществлялось.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пребывания в стационаре колеблются от 5 до 8 дней, в среднем 7±1,1 дней (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&lt; 0,01).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у пациентов посл</w:t>
      </w:r>
      <w:r>
        <w:rPr>
          <w:rFonts w:ascii="Times New Roman" w:hAnsi="Times New Roman"/>
          <w:sz w:val="28"/>
          <w:szCs w:val="28"/>
        </w:rPr>
        <w:t xml:space="preserve">е малоинвазивных вмешательств как, в виде монотерапии, так и при комбинации методов госпитальный период сопоставим и достоверен.  </w:t>
      </w:r>
    </w:p>
    <w:p w:rsidR="00750932" w:rsidRDefault="00750932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Таблица 27 – Результаты разрушения и удаления конкрементов после оперативных вмешательств через 1 неделю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559"/>
        <w:gridCol w:w="1560"/>
        <w:gridCol w:w="1559"/>
        <w:gridCol w:w="1125"/>
      </w:tblGrid>
      <w:tr w:rsidR="00750932">
        <w:trPr>
          <w:trHeight w:val="477"/>
        </w:trPr>
        <w:tc>
          <w:tcPr>
            <w:tcW w:w="1843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Эвакуация камней 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  <w:gridSpan w:val="3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Группы пациентов (%) 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(%) </w:t>
            </w:r>
          </w:p>
        </w:tc>
        <w:tc>
          <w:tcPr>
            <w:tcW w:w="1125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50932">
        <w:trPr>
          <w:trHeight w:val="477"/>
        </w:trPr>
        <w:tc>
          <w:tcPr>
            <w:tcW w:w="1843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ПЛНТ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Комбин.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5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Полное разрушение и удаление конкремента</w:t>
            </w:r>
          </w:p>
        </w:tc>
        <w:tc>
          <w:tcPr>
            <w:tcW w:w="1701" w:type="dxa"/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 (83,78)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 (78,85)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 (94,44)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 (83,33)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0,0178</w:t>
            </w:r>
          </w:p>
        </w:tc>
      </w:tr>
      <w:tr w:rsidR="00750932">
        <w:trPr>
          <w:trHeight w:val="274"/>
        </w:trPr>
        <w:tc>
          <w:tcPr>
            <w:tcW w:w="184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Рецидивный конкремент  </w:t>
            </w:r>
          </w:p>
        </w:tc>
        <w:tc>
          <w:tcPr>
            <w:tcW w:w="1701" w:type="dxa"/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(16,22)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(21,15)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(5,56)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 (16,67)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0,0178</w:t>
            </w:r>
          </w:p>
        </w:tc>
      </w:tr>
      <w:tr w:rsidR="00750932">
        <w:trPr>
          <w:trHeight w:val="274"/>
        </w:trPr>
        <w:tc>
          <w:tcPr>
            <w:tcW w:w="9347" w:type="dxa"/>
            <w:gridSpan w:val="6"/>
            <w:tcBorders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р&lt; 0,01</w:t>
            </w:r>
          </w:p>
        </w:tc>
      </w:tr>
    </w:tbl>
    <w:p w:rsidR="00750932" w:rsidRDefault="00750932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ab/>
      </w:r>
      <w:r>
        <w:rPr>
          <w:rStyle w:val="tlid-translation"/>
          <w:rFonts w:ascii="Times New Roman" w:hAnsi="Times New Roman"/>
          <w:sz w:val="28"/>
          <w:szCs w:val="28"/>
        </w:rPr>
        <w:t>В таблице 27 приведены данные после малоинвазивных оперативных вмешательств через 1 неделю в исследуемых группах. В 1 группе из 74 пациентов у 62 больных (83,78%) были полностью удалены конкременты, во 2 группе показатель отсутствия камней в 41 случае (78,</w:t>
      </w:r>
      <w:r>
        <w:rPr>
          <w:rStyle w:val="tlid-translation"/>
          <w:rFonts w:ascii="Times New Roman" w:hAnsi="Times New Roman"/>
          <w:sz w:val="28"/>
          <w:szCs w:val="28"/>
        </w:rPr>
        <w:t>89%) и в 3 группе полное разрушение камней было в 17 случаях (94,44%). Резидуальныеконкременты после операции через 1 неделю были больше обнаружены в 1 и 2 группе (16,22%, 21,15%, соответственно), а в 3 группе только в 1 случае были обнаружены резидуальные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камни. 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Таким образом, высокий результат лечения через 1 неделю показал комбинированный метод по сравнению с РПТ и ПЛНТ. Результаты нашего исследования показателей отсутствия камней и резидуальных конкрементов полностью были статистически достоверны (р= 0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,0178, р=0,0178).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таблице 28, приводим данные по ранним послеоперационным осложнениям в исследуемых группах. </w:t>
      </w:r>
    </w:p>
    <w:p w:rsidR="00750932" w:rsidRDefault="00750932">
      <w:pPr>
        <w:spacing w:line="240" w:lineRule="auto"/>
        <w:contextualSpacing/>
        <w:jc w:val="center"/>
        <w:rPr>
          <w:b/>
          <w:szCs w:val="24"/>
        </w:rPr>
      </w:pPr>
    </w:p>
    <w:p w:rsidR="00750932" w:rsidRDefault="0081612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28 – Сравнительная характеристика интра - и послеоперационных осложнений в исследуемых группах</w:t>
      </w:r>
    </w:p>
    <w:tbl>
      <w:tblPr>
        <w:tblpPr w:leftFromText="180" w:rightFromText="180" w:vertAnchor="text" w:horzAnchor="margin" w:tblpY="213"/>
        <w:tblW w:w="9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08"/>
        <w:gridCol w:w="1593"/>
        <w:gridCol w:w="1559"/>
        <w:gridCol w:w="1560"/>
        <w:gridCol w:w="1559"/>
        <w:gridCol w:w="1125"/>
      </w:tblGrid>
      <w:tr w:rsidR="00750932">
        <w:trPr>
          <w:trHeight w:val="477"/>
        </w:trPr>
        <w:tc>
          <w:tcPr>
            <w:tcW w:w="1843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 осложнения    </w:t>
            </w:r>
          </w:p>
        </w:tc>
        <w:tc>
          <w:tcPr>
            <w:tcW w:w="4820" w:type="dxa"/>
            <w:gridSpan w:val="4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 пациентов (%)</w:t>
            </w:r>
          </w:p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(%) </w:t>
            </w:r>
          </w:p>
        </w:tc>
        <w:tc>
          <w:tcPr>
            <w:tcW w:w="1125" w:type="dxa"/>
            <w:vMerge w:val="restart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50932">
        <w:trPr>
          <w:trHeight w:val="477"/>
        </w:trPr>
        <w:tc>
          <w:tcPr>
            <w:tcW w:w="1843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ПЛНТ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Комбин.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5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9347" w:type="dxa"/>
            <w:gridSpan w:val="7"/>
            <w:tcBorders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Интраоперационные осложнения</w:t>
            </w: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 (95,95)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 (80,77)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(72,22)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 (87,5)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0,0001</w:t>
            </w: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Кровотечение 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(11,11)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125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Гематурия 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(19,23)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(6,94)</w:t>
            </w:r>
          </w:p>
        </w:tc>
        <w:tc>
          <w:tcPr>
            <w:tcW w:w="1125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Перегиб мочеточника,стент-катетер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(2,7)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125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Стриктура мочеточника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(1,35)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(11,11)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(2,08)</w:t>
            </w:r>
          </w:p>
        </w:tc>
        <w:tc>
          <w:tcPr>
            <w:tcW w:w="1125" w:type="dxa"/>
            <w:vMerge/>
            <w:tcBorders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Перфорация мочеточника 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(5,56)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12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383"/>
        </w:trPr>
        <w:tc>
          <w:tcPr>
            <w:tcW w:w="9347" w:type="dxa"/>
            <w:gridSpan w:val="7"/>
            <w:tcBorders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Послеоперационные осложнения</w:t>
            </w: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Отсутствует  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 (89,19)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 (78,85)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(72,22)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 (83,33)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0,0010</w:t>
            </w: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Обострение пиелонефрита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(6,76)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/>
                <w:sz w:val="28"/>
                <w:szCs w:val="28"/>
              </w:rPr>
              <w:t>(17,31)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(9,72)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Перкутанная нефростомия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(11,11)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Эндоскопическое бужирование стриктуры мочеточника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(2,7)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(5,56)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(2,08)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Гемотрансфузия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(3,85)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Уретеропиелопластика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(1,35)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(5,56)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(1,39)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1951" w:type="dxa"/>
            <w:gridSpan w:val="2"/>
          </w:tcPr>
          <w:p w:rsidR="00750932" w:rsidRDefault="0081612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Установка </w:t>
            </w:r>
            <w:r>
              <w:rPr>
                <w:rFonts w:ascii="Times New Roman" w:hAnsi="Times New Roman"/>
                <w:sz w:val="28"/>
                <w:szCs w:val="28"/>
              </w:rPr>
              <w:t>стент-катетера</w:t>
            </w:r>
          </w:p>
        </w:tc>
        <w:tc>
          <w:tcPr>
            <w:tcW w:w="1593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(5,56)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(0,69)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32" w:rsidRDefault="00750932">
            <w:pPr>
              <w:widowControl w:val="0"/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rPr>
          <w:trHeight w:val="274"/>
        </w:trPr>
        <w:tc>
          <w:tcPr>
            <w:tcW w:w="9347" w:type="dxa"/>
            <w:gridSpan w:val="7"/>
            <w:tcBorders>
              <w:right w:val="single" w:sz="4" w:space="0" w:color="auto"/>
            </w:tcBorders>
          </w:tcPr>
          <w:p w:rsidR="00750932" w:rsidRDefault="00816126">
            <w:pPr>
              <w:widowControl w:val="0"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р&lt; 0,001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таблицы 28 в нашем исследовании общий уровень  послеоперационных осложнений был выше у больных 3-й группы (комбинированный </w:t>
      </w:r>
      <w:r>
        <w:rPr>
          <w:rFonts w:ascii="Times New Roman" w:hAnsi="Times New Roman"/>
          <w:sz w:val="28"/>
          <w:szCs w:val="28"/>
        </w:rPr>
        <w:t>метод лечения) по сравнению с пациентами 1-й (РПТ) и 2-й (ПНЛТ) групп, но эта разница не была статистически значимой (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=0,9). Однако, когда мы оценили осложнения по классификации Clavien-Dindo, то обнаружили, что все осложнения, которые возникли у больных </w:t>
      </w:r>
      <w:r>
        <w:rPr>
          <w:rFonts w:ascii="Times New Roman" w:hAnsi="Times New Roman"/>
          <w:sz w:val="28"/>
          <w:szCs w:val="28"/>
        </w:rPr>
        <w:t>3-й группы (комбинированный метод) не носили тяжелого характера и протекали более благоприятно, при этом разница была статистически значимой (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=0,001).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Основные послеоперационные осложнения в нашем исследовании приводили к увеличению сроков пребывания пациентов в стационаре, увеличению сроков стояния стента, а также к риску применения различных повторных дополнительных манипуляций и оперативных вмешательс</w:t>
      </w:r>
      <w:r>
        <w:rPr>
          <w:rFonts w:ascii="Times New Roman" w:hAnsi="Times New Roman"/>
          <w:sz w:val="28"/>
          <w:szCs w:val="24"/>
        </w:rPr>
        <w:t xml:space="preserve">тв, что приводит к дополнительному психологическому стрессу больных.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пациентов 1-й группы, которым выполнена РПТ, наблюдались ряд осложнений, такие как резидуальные фрагменты, стриктура мочеточника и обострение хронического пиелонефрита. После выполнени</w:t>
      </w:r>
      <w:r>
        <w:rPr>
          <w:rFonts w:ascii="Times New Roman" w:hAnsi="Times New Roman"/>
          <w:sz w:val="28"/>
          <w:szCs w:val="28"/>
        </w:rPr>
        <w:t>я РПТ, резидуальные фрагменты размерами 2 – 4 мм отходили самостоятельно. В 3 наблюдениях (4,1%) была выявлена стриктура мочеточника. Двум пациентам выполнено эндоскопическое бужирование стриктуры мочеточника с установкой стент-катетера, с дальнейшей замен</w:t>
      </w:r>
      <w:r>
        <w:rPr>
          <w:rFonts w:ascii="Times New Roman" w:hAnsi="Times New Roman"/>
          <w:sz w:val="28"/>
          <w:szCs w:val="28"/>
        </w:rPr>
        <w:t>ой стент-катетера через 1 месяц, который удален через 1 месяц. На контрольной экскреторной урографии ЧЛС не расширена, мочеточник проходим на всем протяжении. Одному пациенту произведена уретеропиелопластика с внутренним дренированием. В результате проведе</w:t>
      </w:r>
      <w:r>
        <w:rPr>
          <w:rFonts w:ascii="Times New Roman" w:hAnsi="Times New Roman"/>
          <w:sz w:val="28"/>
          <w:szCs w:val="28"/>
        </w:rPr>
        <w:t xml:space="preserve">нного лечения у этих 3 больных пассаж мочи по был полностью восстановлен. Обострение хронического пиелонефрита отмечено у 5 пациентов (6,76%). У пациентов 1-й группы таких осложнений, как перфорация мочеточника, кровотечение и значительная макрогематурия, </w:t>
      </w:r>
      <w:r>
        <w:rPr>
          <w:rFonts w:ascii="Times New Roman" w:hAnsi="Times New Roman"/>
          <w:sz w:val="28"/>
          <w:szCs w:val="28"/>
        </w:rPr>
        <w:t xml:space="preserve">миграция конкрементов и их фрагментов в мочеточник, препятствовавших дальнейшему выполнению операции, не наблюдалось.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Болевой синдром в послеоперационном периоде оценивался по шкале боли. Их интенсивность у больных 1-й, 2-й и 3-й групп составила соответст</w:t>
      </w:r>
      <w:r>
        <w:rPr>
          <w:rFonts w:ascii="Times New Roman" w:hAnsi="Times New Roman"/>
          <w:sz w:val="28"/>
          <w:szCs w:val="28"/>
        </w:rPr>
        <w:t>венно 0,9±1,2, 1,6±1,1, 1,45±1,3, т.е. у пациентов 2-й группы интенсивность болей в раннем послеоперационном периоде была более выраженной, чем у больных 3-й и особенно 1-й групп. У больных 2-й группы также чаще отмечалась гематурия (10 пациентов), которая</w:t>
      </w:r>
      <w:r>
        <w:rPr>
          <w:rFonts w:ascii="Times New Roman" w:hAnsi="Times New Roman"/>
          <w:sz w:val="28"/>
          <w:szCs w:val="28"/>
        </w:rPr>
        <w:t xml:space="preserve"> потребовала переливания крови у 2 пациентов (3,9%). М</w:t>
      </w:r>
      <w:r>
        <w:rPr>
          <w:rFonts w:ascii="Times New Roman" w:hAnsi="Times New Roman"/>
          <w:color w:val="000000"/>
          <w:sz w:val="28"/>
          <w:szCs w:val="28"/>
        </w:rPr>
        <w:t>играция фрагментов коралловидного конкремента в мочеточник с образованием «каменной дорожки» наблюдалась у 3 пациентов (5,8%) и им потребовалось выполнение уретеролитоэкстракции. У 9 пациентов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(17,31%) </w:t>
      </w:r>
      <w:r>
        <w:rPr>
          <w:rFonts w:ascii="Times New Roman" w:hAnsi="Times New Roman"/>
          <w:color w:val="000000"/>
          <w:sz w:val="28"/>
          <w:szCs w:val="28"/>
        </w:rPr>
        <w:t xml:space="preserve">этой группы отмечено обострение хронического калькулезного пиелонефрита.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Всем пациентам с осложнениями проводилась соответствующая консервативная терапия с положительным эффектом. После выполнения ПНЛТ у 3 пациентов были выявлены резидуальные </w:t>
      </w:r>
      <w:r>
        <w:rPr>
          <w:rFonts w:ascii="Times New Roman" w:hAnsi="Times New Roman"/>
          <w:sz w:val="28"/>
          <w:szCs w:val="28"/>
        </w:rPr>
        <w:t>конкременты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5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10 мм в диаметре, в дальнейшем этим пациентам было выполнено по одному сеансу ЭУВЛ с положительным эффектом. 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3-й группе (комбинированный метод) </w:t>
      </w:r>
      <w:r>
        <w:rPr>
          <w:rFonts w:ascii="Times New Roman" w:hAnsi="Times New Roman"/>
          <w:bCs/>
          <w:sz w:val="28"/>
          <w:szCs w:val="28"/>
        </w:rPr>
        <w:t>резидуальные конкременты отмечались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</w:t>
      </w:r>
      <w:r>
        <w:rPr>
          <w:rFonts w:ascii="Times New Roman" w:hAnsi="Times New Roman"/>
          <w:bCs/>
          <w:sz w:val="28"/>
          <w:szCs w:val="28"/>
        </w:rPr>
        <w:t xml:space="preserve"> 1 пациента (5,5%). Ему был выполнен сеанс ЭУВЛ с положительным эффектом. Инфекционно-воспалительные осложнения отмечались у 4 пациентов (22,3%) и были купированы консервативно.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Наиболее грозное интраоперационное осложнение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кровотечение наблюдалось у 2 п</w:t>
      </w:r>
      <w:r>
        <w:rPr>
          <w:rFonts w:ascii="Times New Roman" w:hAnsi="Times New Roman"/>
          <w:bCs/>
          <w:sz w:val="28"/>
          <w:szCs w:val="28"/>
        </w:rPr>
        <w:t xml:space="preserve">ациентов (1,39%) и возникло на этапе создания перкутанного доступа и было купировано путем установки нефростомического дренажа. На этом операция завершена и удаление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Fonts w:ascii="Times New Roman" w:hAnsi="Times New Roman"/>
          <w:bCs/>
          <w:sz w:val="28"/>
          <w:szCs w:val="28"/>
        </w:rPr>
        <w:t>почек выполнялась следующим этапом после стабилизации состояния больного. Инт</w:t>
      </w:r>
      <w:r>
        <w:rPr>
          <w:rFonts w:ascii="Times New Roman" w:hAnsi="Times New Roman"/>
          <w:bCs/>
          <w:sz w:val="28"/>
          <w:szCs w:val="28"/>
        </w:rPr>
        <w:t>раоперационных осложнений, потребовавших выполнение открытого оперативного вмешательства, не наблюдалось. У 1 пациента выполнена ПНЛТ двумя доступами. В послеоперационном периоде у 2 пациентов (1,39%) была выявлена стриктура мочеточника. Одному пациенту вы</w:t>
      </w:r>
      <w:r>
        <w:rPr>
          <w:rFonts w:ascii="Times New Roman" w:hAnsi="Times New Roman"/>
          <w:bCs/>
          <w:sz w:val="28"/>
          <w:szCs w:val="28"/>
        </w:rPr>
        <w:t xml:space="preserve">полнено эндоскопическое бужирование стриктуры мочеточника с установкой стент-катетера, второму пациенту выполнена уретеропиелопластика с внутренним дренированием. И одному пациенту с перфорацией мочеточника выполнена установка внутреннего стен-катетера. У </w:t>
      </w:r>
      <w:r>
        <w:rPr>
          <w:rFonts w:ascii="Times New Roman" w:hAnsi="Times New Roman"/>
          <w:bCs/>
          <w:sz w:val="28"/>
          <w:szCs w:val="28"/>
        </w:rPr>
        <w:t>этих 2 пациентов в результате проведенного лечения пассаж мочи был полностью восстановлен.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 xml:space="preserve">пациенты </w:t>
      </w:r>
      <w:r>
        <w:rPr>
          <w:rFonts w:ascii="Times New Roman" w:hAnsi="Times New Roman"/>
          <w:color w:val="000000"/>
          <w:sz w:val="28"/>
          <w:szCs w:val="28"/>
        </w:rPr>
        <w:t xml:space="preserve">1-й группы после выполнения РПТ не имели интраоперационных кровотечений, миграции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Fonts w:ascii="Times New Roman" w:hAnsi="Times New Roman"/>
          <w:color w:val="000000"/>
          <w:sz w:val="28"/>
          <w:szCs w:val="28"/>
        </w:rPr>
        <w:t>в мочеточник, а также у них не отмечалось перф</w:t>
      </w:r>
      <w:r>
        <w:rPr>
          <w:rFonts w:ascii="Times New Roman" w:hAnsi="Times New Roman"/>
          <w:color w:val="000000"/>
          <w:sz w:val="28"/>
          <w:szCs w:val="28"/>
        </w:rPr>
        <w:t>орация мочеточника. У больных 2-й группы после выполнения ПНЛТ кровопотеря, болевой синдром в послеоперационном периоде (потребность в наркотических анальгетиках), а также количество иных послеоперационных осложнений наблюдались чаще, чем у больных 1-й гру</w:t>
      </w:r>
      <w:r>
        <w:rPr>
          <w:rFonts w:ascii="Times New Roman" w:hAnsi="Times New Roman"/>
          <w:color w:val="000000"/>
          <w:sz w:val="28"/>
          <w:szCs w:val="28"/>
        </w:rPr>
        <w:t xml:space="preserve">ппы (РПТ). Риск развития острого пиелонефрита в послеоперационном периоде оказался выше у больных 2-й группы (ПНЛТ). У больных 3-й группы (комбинированный метод), по нашему мнению,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за одно оперативное вмешательство возможно избавление пациентов от </w:t>
      </w:r>
      <w:r>
        <w:rPr>
          <w:rFonts w:ascii="Times New Roman" w:hAnsi="Times New Roman"/>
          <w:sz w:val="28"/>
          <w:szCs w:val="28"/>
        </w:rPr>
        <w:t>конкреме</w:t>
      </w:r>
      <w:r>
        <w:rPr>
          <w:rFonts w:ascii="Times New Roman" w:hAnsi="Times New Roman"/>
          <w:sz w:val="28"/>
          <w:szCs w:val="28"/>
        </w:rPr>
        <w:t>нтов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без серьезных осложнений. При этом имеется техническая возможность одновременного удаления конкремента ипсилатерального мочеточника.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Повторное оперативное вмешательство во 2-й группе потребовалось 3-м пациентам, у которых имелась м</w:t>
      </w:r>
      <w:r>
        <w:rPr>
          <w:rFonts w:ascii="Times New Roman" w:hAnsi="Times New Roman"/>
          <w:color w:val="000000"/>
          <w:sz w:val="28"/>
          <w:szCs w:val="28"/>
        </w:rPr>
        <w:t xml:space="preserve">играция фрагментов </w:t>
      </w:r>
      <w:r>
        <w:rPr>
          <w:rFonts w:ascii="Times New Roman" w:hAnsi="Times New Roman"/>
          <w:color w:val="000000"/>
          <w:sz w:val="28"/>
          <w:szCs w:val="28"/>
        </w:rPr>
        <w:t>разрушенного конкремента в мочеточник, по этому поводу им выполнили уретеролитоэкстракцию. Рецидивы болезни в отдаленные сроки имелись у 2 пациентов (1,39%), а у 3-х пациентов (2,1%) выявлен нефросклероз и артериальная гипертензия.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выполнения комбини</w:t>
      </w:r>
      <w:r>
        <w:rPr>
          <w:rFonts w:ascii="Times New Roman" w:hAnsi="Times New Roman"/>
          <w:color w:val="000000"/>
          <w:sz w:val="28"/>
          <w:szCs w:val="28"/>
        </w:rPr>
        <w:t xml:space="preserve">рованного метода лечения по поводу </w:t>
      </w:r>
      <w:r>
        <w:rPr>
          <w:rFonts w:ascii="Times New Roman" w:hAnsi="Times New Roman"/>
          <w:bCs/>
          <w:sz w:val="28"/>
          <w:szCs w:val="28"/>
        </w:rPr>
        <w:t xml:space="preserve">резидуальных конкрементов 2-м пациентам 3-й группы выполнен сеанс ДУВЛ. У 1-го пациента этой группы в отдаленном периоде развился рецидив камнеобразования и у 3-х пациентов выявили </w:t>
      </w:r>
      <w:r>
        <w:rPr>
          <w:rFonts w:ascii="Times New Roman" w:hAnsi="Times New Roman"/>
          <w:color w:val="000000"/>
          <w:sz w:val="28"/>
          <w:szCs w:val="28"/>
        </w:rPr>
        <w:t xml:space="preserve">нефросклероз и артериальную гипертонию. </w:t>
      </w:r>
      <w:r>
        <w:rPr>
          <w:rFonts w:ascii="Times New Roman" w:hAnsi="Times New Roman"/>
          <w:color w:val="000000"/>
          <w:sz w:val="28"/>
          <w:szCs w:val="28"/>
        </w:rPr>
        <w:t>Эти 3-и пациента получали адекватную лекарственную гипотензивную терапию.</w:t>
      </w: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ab/>
        <w:t>Мы в своей работе применили многомерный анализ д</w:t>
      </w:r>
      <w:r>
        <w:rPr>
          <w:rFonts w:ascii="Times New Roman" w:hAnsi="Times New Roman"/>
          <w:sz w:val="28"/>
          <w:szCs w:val="28"/>
        </w:rPr>
        <w:t xml:space="preserve">ля решения задач анализа объектов, характеризующихся множеством признаков. </w:t>
      </w:r>
    </w:p>
    <w:p w:rsidR="00750932" w:rsidRDefault="00750932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color w:val="202124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Таблица 29 – Многомерный анализ о</w:t>
      </w:r>
      <w:r>
        <w:rPr>
          <w:rFonts w:ascii="Times New Roman" w:hAnsi="Times New Roman"/>
          <w:color w:val="202124"/>
          <w:sz w:val="28"/>
          <w:szCs w:val="28"/>
        </w:rPr>
        <w:t>ценки результатов между</w:t>
      </w:r>
      <w:r>
        <w:rPr>
          <w:rFonts w:ascii="Times New Roman" w:hAnsi="Times New Roman"/>
          <w:color w:val="202124"/>
          <w:sz w:val="28"/>
          <w:szCs w:val="28"/>
        </w:rPr>
        <w:t xml:space="preserve"> группами (РПТ, ПНЛТ и комбинированный метод)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cyan"/>
        </w:rPr>
      </w:pPr>
    </w:p>
    <w:tbl>
      <w:tblPr>
        <w:tblStyle w:val="af1"/>
        <w:tblW w:w="0" w:type="auto"/>
        <w:tblInd w:w="87" w:type="dxa"/>
        <w:tblLayout w:type="fixed"/>
        <w:tblLook w:val="04A0" w:firstRow="1" w:lastRow="0" w:firstColumn="1" w:lastColumn="0" w:noHBand="0" w:noVBand="1"/>
      </w:tblPr>
      <w:tblGrid>
        <w:gridCol w:w="1453"/>
        <w:gridCol w:w="1120"/>
        <w:gridCol w:w="1310"/>
        <w:gridCol w:w="1525"/>
        <w:gridCol w:w="1266"/>
        <w:gridCol w:w="1360"/>
        <w:gridCol w:w="1338"/>
      </w:tblGrid>
      <w:tr w:rsidR="00750932">
        <w:tc>
          <w:tcPr>
            <w:tcW w:w="1453" w:type="dxa"/>
            <w:vMerge w:val="restart"/>
          </w:tcPr>
          <w:p w:rsidR="00750932" w:rsidRDefault="00816126">
            <w:pPr>
              <w:spacing w:after="0" w:line="240" w:lineRule="auto"/>
              <w:jc w:val="both"/>
              <w:rPr>
                <w:rStyle w:val="tlid-translation"/>
                <w:rFonts w:ascii="Times New Roman" w:hAnsi="Times New Roman"/>
                <w:sz w:val="28"/>
                <w:szCs w:val="28"/>
              </w:rPr>
            </w:pPr>
            <w:r>
              <w:rPr>
                <w:rStyle w:val="tlid-translation"/>
                <w:rFonts w:ascii="Times New Roman" w:hAnsi="Times New Roman"/>
                <w:sz w:val="28"/>
                <w:szCs w:val="28"/>
              </w:rPr>
              <w:t>Операц.</w:t>
            </w:r>
          </w:p>
          <w:p w:rsidR="00750932" w:rsidRDefault="00816126">
            <w:pPr>
              <w:spacing w:after="0" w:line="240" w:lineRule="auto"/>
              <w:jc w:val="both"/>
              <w:rPr>
                <w:rStyle w:val="tlid-translation"/>
                <w:rFonts w:ascii="Times New Roman" w:hAnsi="Times New Roman"/>
                <w:sz w:val="28"/>
                <w:szCs w:val="28"/>
              </w:rPr>
            </w:pPr>
            <w:r>
              <w:rPr>
                <w:rStyle w:val="tlid-translation"/>
                <w:rFonts w:ascii="Times New Roman" w:hAnsi="Times New Roman"/>
                <w:sz w:val="28"/>
                <w:szCs w:val="28"/>
              </w:rPr>
              <w:t>методы</w:t>
            </w:r>
          </w:p>
        </w:tc>
        <w:tc>
          <w:tcPr>
            <w:tcW w:w="2430" w:type="dxa"/>
            <w:gridSpan w:val="2"/>
          </w:tcPr>
          <w:p w:rsidR="00750932" w:rsidRDefault="00816126">
            <w:pPr>
              <w:spacing w:after="0" w:line="240" w:lineRule="auto"/>
              <w:jc w:val="center"/>
              <w:rPr>
                <w:rStyle w:val="tlid-translation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Полная эвакуация камней</w:t>
            </w:r>
          </w:p>
        </w:tc>
        <w:tc>
          <w:tcPr>
            <w:tcW w:w="2791" w:type="dxa"/>
            <w:gridSpan w:val="2"/>
          </w:tcPr>
          <w:p w:rsidR="00750932" w:rsidRDefault="00816126">
            <w:pPr>
              <w:spacing w:after="0" w:line="240" w:lineRule="auto"/>
              <w:jc w:val="center"/>
              <w:rPr>
                <w:rStyle w:val="tlid-translation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Интраоперационные осложнения</w:t>
            </w:r>
          </w:p>
        </w:tc>
        <w:tc>
          <w:tcPr>
            <w:tcW w:w="2698" w:type="dxa"/>
            <w:gridSpan w:val="2"/>
          </w:tcPr>
          <w:p w:rsidR="00750932" w:rsidRDefault="00816126">
            <w:pPr>
              <w:spacing w:after="0" w:line="240" w:lineRule="auto"/>
              <w:jc w:val="center"/>
              <w:rPr>
                <w:rStyle w:val="tlid-translation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Послеоперационные осложнения</w:t>
            </w:r>
          </w:p>
        </w:tc>
      </w:tr>
      <w:tr w:rsidR="00750932">
        <w:tc>
          <w:tcPr>
            <w:tcW w:w="1453" w:type="dxa"/>
            <w:vMerge/>
          </w:tcPr>
          <w:p w:rsidR="00750932" w:rsidRDefault="00750932">
            <w:pPr>
              <w:spacing w:after="0" w:line="240" w:lineRule="auto"/>
              <w:jc w:val="both"/>
              <w:rPr>
                <w:rStyle w:val="tlid-translation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vertAlign w:val="superscript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ОШ (95%</w:t>
            </w:r>
            <w:r>
              <w:rPr>
                <w:rFonts w:ascii="Times New Roman" w:eastAsia="Calibri" w:hAnsi="Times New Roman"/>
                <w:sz w:val="28"/>
                <w:szCs w:val="28"/>
                <w:vertAlign w:val="superscript"/>
                <w:lang w:eastAsia="en-US"/>
              </w:rPr>
              <w:t xml:space="preserve">2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ДИ)</w:t>
            </w:r>
          </w:p>
        </w:tc>
        <w:tc>
          <w:tcPr>
            <w:tcW w:w="131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OШ (95%ДИ)*</w:t>
            </w:r>
          </w:p>
        </w:tc>
        <w:tc>
          <w:tcPr>
            <w:tcW w:w="1525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ОШ (95%ДИ)</w:t>
            </w:r>
          </w:p>
        </w:tc>
        <w:tc>
          <w:tcPr>
            <w:tcW w:w="1266" w:type="dxa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ОШ </w:t>
            </w:r>
          </w:p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(95%ДИ)*</w:t>
            </w:r>
          </w:p>
        </w:tc>
        <w:tc>
          <w:tcPr>
            <w:tcW w:w="1360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ОШ (95%ДИ)</w:t>
            </w:r>
          </w:p>
        </w:tc>
        <w:tc>
          <w:tcPr>
            <w:tcW w:w="1338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ОШ (95%ДИ)*</w:t>
            </w:r>
          </w:p>
        </w:tc>
      </w:tr>
      <w:tr w:rsidR="00750932">
        <w:tc>
          <w:tcPr>
            <w:tcW w:w="145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  <w:lang w:eastAsia="en-US"/>
              </w:rPr>
              <w:t>РПТ / РПТ+ПНЛТ</w:t>
            </w:r>
          </w:p>
        </w:tc>
        <w:tc>
          <w:tcPr>
            <w:tcW w:w="112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1,4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(0,3-6,9)</w:t>
            </w:r>
          </w:p>
        </w:tc>
        <w:tc>
          <w:tcPr>
            <w:tcW w:w="131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1,4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(0,3-7)</w:t>
            </w:r>
          </w:p>
        </w:tc>
        <w:tc>
          <w:tcPr>
            <w:tcW w:w="152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(0,02-0,5)</w:t>
            </w:r>
          </w:p>
        </w:tc>
        <w:tc>
          <w:tcPr>
            <w:tcW w:w="126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(0,02-0,5)</w:t>
            </w:r>
          </w:p>
        </w:tc>
        <w:tc>
          <w:tcPr>
            <w:tcW w:w="136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0,3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(0,1-1,1)</w:t>
            </w:r>
          </w:p>
        </w:tc>
        <w:tc>
          <w:tcPr>
            <w:tcW w:w="133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0,3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(0,1-1,1)</w:t>
            </w:r>
          </w:p>
        </w:tc>
      </w:tr>
      <w:tr w:rsidR="00750932">
        <w:tc>
          <w:tcPr>
            <w:tcW w:w="1453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  <w:lang w:eastAsia="en-US"/>
              </w:rPr>
              <w:t>ПНЛТ /РПТ+ПНЛТ</w:t>
            </w:r>
          </w:p>
        </w:tc>
        <w:tc>
          <w:tcPr>
            <w:tcW w:w="112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2,1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(0,4-10,8)</w:t>
            </w:r>
          </w:p>
        </w:tc>
        <w:tc>
          <w:tcPr>
            <w:tcW w:w="131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2,2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(0,4-11,2)</w:t>
            </w:r>
          </w:p>
        </w:tc>
        <w:tc>
          <w:tcPr>
            <w:tcW w:w="1525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(0,2-2,1)</w:t>
            </w:r>
          </w:p>
        </w:tc>
        <w:tc>
          <w:tcPr>
            <w:tcW w:w="126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(0,1-1,8)</w:t>
            </w:r>
          </w:p>
        </w:tc>
        <w:tc>
          <w:tcPr>
            <w:tcW w:w="1360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(0,2-2,4)</w:t>
            </w:r>
          </w:p>
        </w:tc>
        <w:tc>
          <w:tcPr>
            <w:tcW w:w="1338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(0,2-2,1)</w:t>
            </w:r>
          </w:p>
        </w:tc>
      </w:tr>
      <w:tr w:rsidR="00750932">
        <w:tc>
          <w:tcPr>
            <w:tcW w:w="9372" w:type="dxa"/>
            <w:gridSpan w:val="7"/>
          </w:tcPr>
          <w:p w:rsidR="00750932" w:rsidRDefault="00816126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vertAlign w:val="superscript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 xml:space="preserve">ОШ – отношение шансов, </w:t>
            </w:r>
            <w:r>
              <w:rPr>
                <w:rFonts w:ascii="Times New Roman" w:eastAsia="Calibri" w:hAnsi="Times New Roman"/>
                <w:sz w:val="24"/>
                <w:szCs w:val="28"/>
                <w:vertAlign w:val="superscript"/>
                <w:lang w:eastAsia="en-US"/>
              </w:rPr>
              <w:t xml:space="preserve">2 </w:t>
            </w:r>
            <w:r>
              <w:rPr>
                <w:rFonts w:ascii="Times New Roman" w:eastAsia="Calibri" w:hAnsi="Times New Roman"/>
                <w:sz w:val="24"/>
                <w:szCs w:val="28"/>
                <w:lang w:eastAsia="en-US"/>
              </w:rPr>
              <w:t>ДИ – доверительный интервал)</w:t>
            </w:r>
          </w:p>
        </w:tc>
      </w:tr>
    </w:tbl>
    <w:p w:rsidR="00750932" w:rsidRDefault="00750932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 многомерного </w:t>
      </w:r>
      <w:r>
        <w:rPr>
          <w:rFonts w:ascii="Times New Roman" w:hAnsi="Times New Roman"/>
          <w:sz w:val="28"/>
          <w:szCs w:val="28"/>
        </w:rPr>
        <w:t xml:space="preserve">статистического анализа – методы математической статистики, используемые для построения оптимальных планов сбора, систематизации и обработки многомерных статистических данных, направленные на выявление характера и структуры взаимосвязей между компонентами </w:t>
      </w:r>
      <w:r>
        <w:rPr>
          <w:rFonts w:ascii="Times New Roman" w:hAnsi="Times New Roman"/>
          <w:sz w:val="28"/>
          <w:szCs w:val="28"/>
        </w:rPr>
        <w:t>исследуемого многомерного признака и предназначенные для получения научных и практических выводов.</w:t>
      </w:r>
      <w:r>
        <w:rPr>
          <w:rStyle w:val="tlid-translation"/>
          <w:rFonts w:ascii="Times New Roman" w:hAnsi="Times New Roman"/>
          <w:sz w:val="28"/>
          <w:szCs w:val="28"/>
        </w:rPr>
        <w:t>Мы в своей работе провели многомерный анализ между группами РПТ/комбинированный метод и ПНЛТ/комбинированный метод. В результате исследования вероятность отсу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тствия камней была в 1,4 раза выше в группе РПТ по сравнению с комбинированной группой и в 2,2 раза выше в группе ПНЛТ по сравнению с комбинированной группой после поправки на возраст, пол и доверительные интервалы 0,3 – 7 и 0,4 – 11,2, соответственно. По 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статистическим данным вероятность интраоперационных осложнений была в 0,1 раза ниже в группе ПНЛТ по сравнению с комбинированной группой после поправки на возраст, пол и ИМТ, и это было статистически значимыми (ДИ 0,02-0,5). Вероятность  интраоперационных </w:t>
      </w:r>
      <w:r>
        <w:rPr>
          <w:rStyle w:val="tlid-translation"/>
          <w:rFonts w:ascii="Times New Roman" w:hAnsi="Times New Roman"/>
          <w:sz w:val="28"/>
          <w:szCs w:val="28"/>
        </w:rPr>
        <w:t>осложнений была в 0,5 раза ниже в группе ПНЛТ по сравнению с комбинированной группой, и это не было статистически значимым (ДИ 0,02-0,5). Сравнение послеоперационных осложнений между группами не было статистически значимым (РПТ против комбинированной групп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ы 0,3 (0,1-1,1) и ПЛНТ против комбинированного метода 0,6 (0-2,1). </w:t>
      </w:r>
    </w:p>
    <w:p w:rsidR="00750932" w:rsidRDefault="00816126">
      <w:pPr>
        <w:spacing w:after="0" w:line="240" w:lineRule="auto"/>
        <w:ind w:firstLine="709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Таким образом, применение</w:t>
      </w:r>
      <w:r>
        <w:rPr>
          <w:rFonts w:ascii="Times New Roman" w:hAnsi="Times New Roman"/>
          <w:sz w:val="28"/>
          <w:szCs w:val="28"/>
        </w:rPr>
        <w:t xml:space="preserve">  многомерного анализа демографических и клинических данных наиболее закономерных нам дал возможность получить статистические вероятности отражения  состояния и клинические эффективности методов малоинвазивных оперативных вмешательств, а также нахождение и</w:t>
      </w:r>
      <w:r>
        <w:rPr>
          <w:rFonts w:ascii="Times New Roman" w:hAnsi="Times New Roman"/>
          <w:sz w:val="28"/>
          <w:szCs w:val="28"/>
        </w:rPr>
        <w:t>х закономерностей, помогающих прогнозировать эффективность лечения.</w:t>
      </w:r>
    </w:p>
    <w:p w:rsidR="00750932" w:rsidRDefault="00750932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30 – Эффективность малоинвазивного оперативного лечения пациентов с нефролитиазом в исследуемых группах</w:t>
      </w:r>
    </w:p>
    <w:p w:rsidR="00750932" w:rsidRDefault="00750932">
      <w:pPr>
        <w:spacing w:after="0" w:line="240" w:lineRule="auto"/>
        <w:jc w:val="both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0"/>
        <w:gridCol w:w="1688"/>
        <w:gridCol w:w="1841"/>
        <w:gridCol w:w="2667"/>
      </w:tblGrid>
      <w:tr w:rsidR="00750932">
        <w:trPr>
          <w:trHeight w:val="212"/>
        </w:trPr>
        <w:tc>
          <w:tcPr>
            <w:tcW w:w="1689" w:type="pct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Результат лечения</w:t>
            </w:r>
          </w:p>
        </w:tc>
        <w:tc>
          <w:tcPr>
            <w:tcW w:w="3311" w:type="pct"/>
            <w:gridSpan w:val="3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Группы больных</w:t>
            </w:r>
          </w:p>
        </w:tc>
      </w:tr>
      <w:tr w:rsidR="00750932">
        <w:trPr>
          <w:trHeight w:val="443"/>
        </w:trPr>
        <w:tc>
          <w:tcPr>
            <w:tcW w:w="1689" w:type="pct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02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1-я группа 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98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2-я группа 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42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3-я группа 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50932">
        <w:trPr>
          <w:trHeight w:val="292"/>
        </w:trPr>
        <w:tc>
          <w:tcPr>
            <w:tcW w:w="1689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Полное разрушение и удаление конкремента</w:t>
            </w:r>
          </w:p>
        </w:tc>
        <w:tc>
          <w:tcPr>
            <w:tcW w:w="902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91%</w:t>
            </w:r>
          </w:p>
        </w:tc>
        <w:tc>
          <w:tcPr>
            <w:tcW w:w="98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87,3%</w:t>
            </w:r>
          </w:p>
        </w:tc>
        <w:tc>
          <w:tcPr>
            <w:tcW w:w="142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95%</w:t>
            </w:r>
          </w:p>
        </w:tc>
      </w:tr>
      <w:tr w:rsidR="00750932">
        <w:trPr>
          <w:trHeight w:val="292"/>
        </w:trPr>
        <w:tc>
          <w:tcPr>
            <w:tcW w:w="1689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Клиническая эффективность лечения через 4 недели </w:t>
            </w:r>
          </w:p>
        </w:tc>
        <w:tc>
          <w:tcPr>
            <w:tcW w:w="902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92%</w:t>
            </w:r>
          </w:p>
        </w:tc>
        <w:tc>
          <w:tcPr>
            <w:tcW w:w="984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91%</w:t>
            </w:r>
          </w:p>
        </w:tc>
        <w:tc>
          <w:tcPr>
            <w:tcW w:w="1425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95%</w:t>
            </w:r>
          </w:p>
        </w:tc>
      </w:tr>
    </w:tbl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 результате исследования</w:t>
      </w:r>
      <w:r>
        <w:rPr>
          <w:rFonts w:ascii="Times New Roman" w:hAnsi="Times New Roman"/>
          <w:sz w:val="28"/>
          <w:szCs w:val="28"/>
        </w:rPr>
        <w:t xml:space="preserve"> также установлено, что у пациентов 3-й группы (комбинированный метод) по критерию Stone-free </w:t>
      </w:r>
      <w:r>
        <w:rPr>
          <w:rFonts w:ascii="Times New Roman" w:hAnsi="Times New Roman"/>
          <w:sz w:val="28"/>
          <w:szCs w:val="28"/>
          <w:lang w:val="en-US"/>
        </w:rPr>
        <w:t>rate</w:t>
      </w:r>
      <w:r>
        <w:rPr>
          <w:rFonts w:ascii="Times New Roman" w:hAnsi="Times New Roman"/>
          <w:sz w:val="28"/>
          <w:szCs w:val="28"/>
        </w:rPr>
        <w:t xml:space="preserve"> (полное очищение почки от камня и его фрагментов) эффективность лечения составила 95%, что несколько лучше по сравнению с пациентами 1-й (РПТ) и 2-й (ПНЛТ)  групп, у которых она составила 92% и 91% соответственно.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Клиническая эффективность лечения, оценен</w:t>
      </w:r>
      <w:r>
        <w:rPr>
          <w:rFonts w:ascii="Times New Roman" w:hAnsi="Times New Roman"/>
          <w:sz w:val="28"/>
          <w:szCs w:val="28"/>
        </w:rPr>
        <w:t xml:space="preserve">ная через 4 недели после малоинвазивных оперативных вмешательств, в целом по нашим данным составила 92,6%, а после РПТ, ПНЛТ и комбинированного метода – 92%, 91% и 95% соответственно, т.е. полученные результаты по группам практически сопоставимы.  </w:t>
      </w:r>
    </w:p>
    <w:p w:rsidR="00750932" w:rsidRDefault="00750932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Таблиц</w:t>
      </w:r>
      <w:r>
        <w:rPr>
          <w:rStyle w:val="tlid-translation"/>
          <w:rFonts w:ascii="Times New Roman" w:hAnsi="Times New Roman"/>
          <w:sz w:val="28"/>
          <w:szCs w:val="28"/>
        </w:rPr>
        <w:t>а 31 - Поздние послеоперационные осложнения в обследуемых группах</w:t>
      </w:r>
    </w:p>
    <w:p w:rsidR="00750932" w:rsidRDefault="00750932">
      <w:pPr>
        <w:spacing w:after="0" w:line="240" w:lineRule="auto"/>
        <w:rPr>
          <w:rStyle w:val="tlid-translation"/>
          <w:rFonts w:ascii="Times New Roman" w:hAnsi="Times New Roman"/>
          <w:sz w:val="28"/>
          <w:szCs w:val="28"/>
        </w:rPr>
      </w:pPr>
    </w:p>
    <w:tbl>
      <w:tblPr>
        <w:tblW w:w="9337" w:type="dxa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4"/>
        <w:gridCol w:w="1556"/>
        <w:gridCol w:w="1700"/>
        <w:gridCol w:w="2677"/>
      </w:tblGrid>
      <w:tr w:rsidR="00750932">
        <w:trPr>
          <w:trHeight w:val="585"/>
        </w:trPr>
        <w:tc>
          <w:tcPr>
            <w:tcW w:w="1823" w:type="pct"/>
            <w:vMerge w:val="restar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Виды осложнения   </w:t>
            </w:r>
          </w:p>
        </w:tc>
        <w:tc>
          <w:tcPr>
            <w:tcW w:w="3176" w:type="pct"/>
            <w:gridSpan w:val="3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операции</w:t>
            </w:r>
          </w:p>
        </w:tc>
      </w:tr>
      <w:tr w:rsidR="00750932">
        <w:trPr>
          <w:trHeight w:val="131"/>
        </w:trPr>
        <w:tc>
          <w:tcPr>
            <w:tcW w:w="1823" w:type="pct"/>
            <w:vMerge/>
          </w:tcPr>
          <w:p w:rsidR="00750932" w:rsidRDefault="007509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3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РПТ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910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ПНЛТ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431" w:type="pc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Комбинир.метод</w:t>
            </w:r>
          </w:p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n=</w:t>
            </w: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50932">
        <w:trPr>
          <w:trHeight w:val="557"/>
        </w:trPr>
        <w:tc>
          <w:tcPr>
            <w:tcW w:w="1823" w:type="pct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Повторное вмешательство</w:t>
            </w:r>
          </w:p>
          <w:p w:rsidR="00750932" w:rsidRDefault="00816126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1-й год</w:t>
            </w:r>
          </w:p>
        </w:tc>
        <w:tc>
          <w:tcPr>
            <w:tcW w:w="833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10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(5,8%)</w:t>
            </w:r>
          </w:p>
        </w:tc>
        <w:tc>
          <w:tcPr>
            <w:tcW w:w="1431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(11,2%)</w:t>
            </w:r>
          </w:p>
        </w:tc>
      </w:tr>
      <w:tr w:rsidR="00750932">
        <w:trPr>
          <w:trHeight w:val="523"/>
        </w:trPr>
        <w:tc>
          <w:tcPr>
            <w:tcW w:w="1823" w:type="pct"/>
          </w:tcPr>
          <w:p w:rsidR="00750932" w:rsidRDefault="00816126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Рецидивы</w:t>
            </w:r>
          </w:p>
        </w:tc>
        <w:tc>
          <w:tcPr>
            <w:tcW w:w="833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10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(3,9%)</w:t>
            </w:r>
          </w:p>
        </w:tc>
        <w:tc>
          <w:tcPr>
            <w:tcW w:w="1431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(5,6%)</w:t>
            </w:r>
          </w:p>
        </w:tc>
      </w:tr>
      <w:tr w:rsidR="00750932">
        <w:trPr>
          <w:trHeight w:val="585"/>
        </w:trPr>
        <w:tc>
          <w:tcPr>
            <w:tcW w:w="1823" w:type="pct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Нефросклероз и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артериальная гипертония</w:t>
            </w:r>
          </w:p>
        </w:tc>
        <w:tc>
          <w:tcPr>
            <w:tcW w:w="833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10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(5,8%)</w:t>
            </w:r>
          </w:p>
        </w:tc>
        <w:tc>
          <w:tcPr>
            <w:tcW w:w="1431" w:type="pct"/>
          </w:tcPr>
          <w:p w:rsidR="00750932" w:rsidRDefault="0081612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(16,7%)</w:t>
            </w:r>
          </w:p>
        </w:tc>
      </w:tr>
    </w:tbl>
    <w:p w:rsidR="00750932" w:rsidRDefault="00750932">
      <w:pPr>
        <w:spacing w:after="0" w:line="240" w:lineRule="auto"/>
        <w:rPr>
          <w:rStyle w:val="tlid-translation"/>
          <w:rFonts w:ascii="Times New Roman" w:hAnsi="Times New Roman"/>
          <w:sz w:val="28"/>
          <w:szCs w:val="28"/>
        </w:rPr>
      </w:pPr>
    </w:p>
    <w:p w:rsidR="00750932" w:rsidRDefault="00816126">
      <w:pPr>
        <w:pStyle w:val="p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наших исследований после проведения РПТ поздние послеоперационные осложнения не наблюдались, осложнения были выявлены после проведения ПНЛТ и комбинированного метода.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Повторное вмешательство </w:t>
      </w:r>
      <w:r>
        <w:rPr>
          <w:rFonts w:ascii="Times New Roman" w:eastAsia="Calibri" w:hAnsi="Times New Roman"/>
          <w:sz w:val="28"/>
          <w:szCs w:val="28"/>
        </w:rPr>
        <w:t>после ПНЛТ потребовалось 3 пациентам, у которых была м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играция фрагментов, по этому поводу им провели уретеролитоэкстракцию, рецидивы имелись у 2 пациентов (3,9%), на нефросклероз и артериальную гипертонию жаловались 3 пациентов (5,8%).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После проведения ко</w:t>
      </w:r>
      <w:r>
        <w:rPr>
          <w:rFonts w:ascii="Times New Roman" w:hAnsi="Times New Roman"/>
          <w:color w:val="000000"/>
          <w:sz w:val="28"/>
          <w:szCs w:val="28"/>
        </w:rPr>
        <w:t xml:space="preserve">мбинированного метода по поводу </w:t>
      </w:r>
      <w:r>
        <w:rPr>
          <w:rFonts w:ascii="Times New Roman" w:eastAsia="Calibri" w:hAnsi="Times New Roman"/>
          <w:bCs/>
          <w:sz w:val="28"/>
          <w:szCs w:val="28"/>
        </w:rPr>
        <w:t xml:space="preserve">резидуальных конкрементов 1 пациенту произведен сеанс ЭУВЛ, у 1 пациента развился рецидив и у 3 пациентов выявили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нефросклероз и артериальную гипертонию. </w:t>
      </w:r>
    </w:p>
    <w:p w:rsidR="00750932" w:rsidRDefault="00816126">
      <w:pPr>
        <w:pStyle w:val="Default"/>
        <w:ind w:firstLine="72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</w:rPr>
        <w:t>Таким образом, наши результаты позволяют предположить, что как РПТ, т</w:t>
      </w:r>
      <w:r>
        <w:rPr>
          <w:rFonts w:eastAsia="Calibri"/>
          <w:sz w:val="28"/>
          <w:szCs w:val="28"/>
        </w:rPr>
        <w:t xml:space="preserve">ак и ПНЛТ являются безопасными и эффективными методами лечения </w:t>
      </w:r>
      <w:r>
        <w:rPr>
          <w:sz w:val="28"/>
          <w:szCs w:val="28"/>
        </w:rPr>
        <w:t>конкрементов</w:t>
      </w:r>
      <w:r>
        <w:rPr>
          <w:rFonts w:eastAsia="Calibri"/>
          <w:sz w:val="28"/>
          <w:szCs w:val="28"/>
        </w:rPr>
        <w:t xml:space="preserve"> диаметром 1,5-3 см. РПТ можно рассматривать, как альтернативу ПНЛТ для лечения конкрементов размером 1,5-3 см. </w:t>
      </w:r>
      <w:r>
        <w:rPr>
          <w:sz w:val="28"/>
          <w:szCs w:val="28"/>
        </w:rPr>
        <w:t>Результаты РПТ показали, что данный метод является более безопасным с</w:t>
      </w:r>
      <w:r>
        <w:rPr>
          <w:sz w:val="28"/>
          <w:szCs w:val="28"/>
        </w:rPr>
        <w:t xml:space="preserve"> меньшим уровнем и тяжестью осложнений - целесообразно при камнях верхней трети мочеточника, размером до 3 см. </w:t>
      </w:r>
      <w:r>
        <w:rPr>
          <w:rFonts w:eastAsia="Calibri"/>
          <w:sz w:val="28"/>
          <w:szCs w:val="28"/>
        </w:rPr>
        <w:t>П</w:t>
      </w:r>
      <w:r>
        <w:rPr>
          <w:sz w:val="28"/>
          <w:szCs w:val="28"/>
        </w:rPr>
        <w:t>ри крупных камнях применение ПНЛТ и комбинированного метода лечения при нефро- и уретеролитиазе является оправданным и эффективным лечебным возд</w:t>
      </w:r>
      <w:r>
        <w:rPr>
          <w:sz w:val="28"/>
          <w:szCs w:val="28"/>
        </w:rPr>
        <w:t xml:space="preserve">ействием. Количество послеоперационных осложнений были больше после перкутанной нефролитотрипсии. По нашему мнению при комбинированном методе операции </w:t>
      </w:r>
      <w:r>
        <w:rPr>
          <w:rFonts w:eastAsia="Calibri"/>
          <w:bCs/>
          <w:sz w:val="28"/>
          <w:szCs w:val="28"/>
        </w:rPr>
        <w:t>одномоментное удаление камней почки и ипсилатерального мочеточника за одно оперативное вмешательство изба</w:t>
      </w:r>
      <w:r>
        <w:rPr>
          <w:rFonts w:eastAsia="Calibri"/>
          <w:bCs/>
          <w:sz w:val="28"/>
          <w:szCs w:val="28"/>
        </w:rPr>
        <w:t>вляет пациента от камней без серьезных осложнений.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3.6 Анализ изучения факторов риска камнеобразования и оценка эффективности проводимой метафилактики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методы лечения уролитиаза, в большинстве случаев, позволяют избавить пациента от мочевого ка</w:t>
      </w:r>
      <w:r>
        <w:rPr>
          <w:rFonts w:ascii="Times New Roman" w:hAnsi="Times New Roman"/>
          <w:sz w:val="28"/>
          <w:szCs w:val="28"/>
        </w:rPr>
        <w:t>мня (конкремента). Однако, значительное количество резидуальных камней в мочевых путях, особенно после дистанционной литотрипсии, степень выраженности хронического воспалительного процесса в мочевых путях, метаболических изменений в организме, требуют пров</w:t>
      </w:r>
      <w:r>
        <w:rPr>
          <w:rFonts w:ascii="Times New Roman" w:hAnsi="Times New Roman"/>
          <w:sz w:val="28"/>
          <w:szCs w:val="28"/>
        </w:rPr>
        <w:t>едения соответствующей коррекции [150, 151, 152]. Нет сомнений, что эффективность лечения МКБ, основанного на анализе состава камней, биохимических исследованиях крови и мочи пациентов, значительно выше, так как дает необходимую информацию о типе нарушения</w:t>
      </w:r>
      <w:r>
        <w:rPr>
          <w:rFonts w:ascii="Times New Roman" w:hAnsi="Times New Roman"/>
          <w:sz w:val="28"/>
          <w:szCs w:val="28"/>
        </w:rPr>
        <w:t xml:space="preserve"> обмена веществ и причине камнеобразования.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данных отечественной и зарубежной литературы показал, что в настоящее время не существует единого похода к теории и профилактике рецидивного камнеобразования. Предложенные различными авторами способы проф</w:t>
      </w:r>
      <w:r>
        <w:rPr>
          <w:rFonts w:ascii="Times New Roman" w:hAnsi="Times New Roman"/>
          <w:sz w:val="28"/>
          <w:szCs w:val="28"/>
        </w:rPr>
        <w:t>илактики рецидивного камнеобразования не являются 100% эффективными, но при правильном лечении рецидивы камнеобразования можно снизить у большинства пациентов [153 – 156].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литературным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данным</w:t>
      </w:r>
      <w:r>
        <w:rPr>
          <w:rFonts w:ascii="Times New Roman" w:hAnsi="Times New Roman"/>
          <w:sz w:val="28"/>
          <w:szCs w:val="28"/>
        </w:rPr>
        <w:t xml:space="preserve"> [157, 158], </w:t>
      </w:r>
      <w:r>
        <w:rPr>
          <w:rFonts w:ascii="Times New Roman" w:hAnsi="Times New Roman" w:hint="eastAsia"/>
          <w:sz w:val="28"/>
          <w:szCs w:val="28"/>
        </w:rPr>
        <w:t>рецидивы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МКБ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наблюдатьсяу</w:t>
      </w:r>
      <w:r>
        <w:rPr>
          <w:rFonts w:ascii="Times New Roman" w:hAnsi="Times New Roman"/>
          <w:sz w:val="28"/>
          <w:szCs w:val="28"/>
        </w:rPr>
        <w:t xml:space="preserve"> 60% </w:t>
      </w:r>
      <w:r>
        <w:rPr>
          <w:rFonts w:ascii="Times New Roman" w:hAnsi="Times New Roman" w:hint="eastAsia"/>
          <w:sz w:val="28"/>
          <w:szCs w:val="28"/>
        </w:rPr>
        <w:t>больных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hint="eastAsia"/>
          <w:sz w:val="28"/>
          <w:szCs w:val="28"/>
        </w:rPr>
        <w:t>тогда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среднее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количество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рецидивов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МКБ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достоверно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 w:hint="eastAsia"/>
          <w:sz w:val="28"/>
          <w:szCs w:val="28"/>
        </w:rPr>
        <w:t>ичается</w:t>
      </w:r>
      <w:r>
        <w:rPr>
          <w:rFonts w:ascii="Times New Roman" w:hAnsi="Times New Roman"/>
          <w:sz w:val="28"/>
          <w:szCs w:val="28"/>
        </w:rPr>
        <w:t>, э</w:t>
      </w:r>
      <w:r>
        <w:rPr>
          <w:rFonts w:ascii="Times New Roman" w:hAnsi="Times New Roman" w:hint="eastAsia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можно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объяснить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 w:hint="eastAsia"/>
          <w:sz w:val="28"/>
          <w:szCs w:val="28"/>
        </w:rPr>
        <w:t>еством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оказания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медицинской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помощи.</w:t>
      </w:r>
      <w:r>
        <w:rPr>
          <w:rFonts w:ascii="Times New Roman" w:hAnsi="Times New Roman"/>
          <w:sz w:val="28"/>
          <w:szCs w:val="28"/>
        </w:rPr>
        <w:t xml:space="preserve"> Качеством проведения послеоперационной профилактики МКБ – метафилактики.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hint="eastAsia"/>
          <w:sz w:val="28"/>
          <w:szCs w:val="28"/>
        </w:rPr>
        <w:t>По нашим исследованиям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впервые диагноз МКБ установлен у 10</w:t>
      </w:r>
      <w:r>
        <w:rPr>
          <w:rFonts w:ascii="Times New Roman" w:hAnsi="Times New Roman"/>
          <w:sz w:val="28"/>
          <w:szCs w:val="28"/>
        </w:rPr>
        <w:t>4 пациентов (72,22%), рецидив заболевания – у 40 больных (27,78%).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Клинико-лабораторное обследование было проведено 144 пациентам с мочекаменной болезнью. При лабораторном исследовании общего анализа крови существенных отклонений в анализируемых группах не отмечено.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Проводилось изучение числа отклонений от нормы показате</w:t>
      </w:r>
      <w:r>
        <w:rPr>
          <w:rFonts w:ascii="Times New Roman" w:hAnsi="Times New Roman"/>
          <w:sz w:val="28"/>
          <w:szCs w:val="28"/>
        </w:rPr>
        <w:t>ля уреазной активности с тем, чтобы определить влияет ли уреазообразующая микробная флора на процент рецидивных камней. В результате исследования у пациентов с первичными камнями число отклонений уреазной активности остался высоким в 27,78% случаев, в то в</w:t>
      </w:r>
      <w:r>
        <w:rPr>
          <w:rFonts w:ascii="Times New Roman" w:hAnsi="Times New Roman"/>
          <w:sz w:val="28"/>
          <w:szCs w:val="28"/>
        </w:rPr>
        <w:t>ремя, как у пациентов с рецидивными камнями – в 72,22% случаев. Высокие значения уреазной активности наблюдались только в пробах мочи с фосфатным и кальция оксалатным составом кристаллов.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Нами изучалось кристаллообразование в моче, кристаллурия  наблюдалас</w:t>
      </w:r>
      <w:r>
        <w:rPr>
          <w:rFonts w:ascii="Times New Roman" w:hAnsi="Times New Roman"/>
          <w:sz w:val="28"/>
          <w:szCs w:val="28"/>
        </w:rPr>
        <w:t xml:space="preserve">ь у 74% пациентов с первичными камнями и у 89%  пациентов с рецидивными.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кристаллообразования сопровождается высокой, средней и низкой скоростью. Скорость кристаллообразования рассчитывается по количеству кристаллов в поле зрения микроскопа, образ</w:t>
      </w:r>
      <w:r>
        <w:rPr>
          <w:rFonts w:ascii="Times New Roman" w:hAnsi="Times New Roman"/>
          <w:sz w:val="28"/>
          <w:szCs w:val="28"/>
        </w:rPr>
        <w:t>овавшихся за 48 часов термостатирования мочи. Высокой скорости соответствует 180-200 кристаллов, средней скорости 50 – 80 -120 кристаллов, низкой скорости менее 40 кристаллов. Данные по скорости кристаллообразования приведены в таблице 32.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32 – Ра</w:t>
      </w:r>
      <w:r>
        <w:rPr>
          <w:rFonts w:ascii="Times New Roman" w:hAnsi="Times New Roman"/>
          <w:sz w:val="28"/>
          <w:szCs w:val="28"/>
        </w:rPr>
        <w:t>спределение скорости кристаллообразования у исследуемых пациентов</w:t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1557"/>
        <w:gridCol w:w="1444"/>
        <w:gridCol w:w="1476"/>
        <w:gridCol w:w="1544"/>
        <w:gridCol w:w="1303"/>
      </w:tblGrid>
      <w:tr w:rsidR="00750932">
        <w:tc>
          <w:tcPr>
            <w:tcW w:w="2246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 пациентов</w:t>
            </w:r>
          </w:p>
        </w:tc>
        <w:tc>
          <w:tcPr>
            <w:tcW w:w="4477" w:type="dxa"/>
            <w:gridSpan w:val="3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Скорость кристаллообразования</w:t>
            </w:r>
          </w:p>
        </w:tc>
        <w:tc>
          <w:tcPr>
            <w:tcW w:w="1544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(%) </w:t>
            </w:r>
          </w:p>
        </w:tc>
        <w:tc>
          <w:tcPr>
            <w:tcW w:w="1303" w:type="dxa"/>
            <w:vMerge w:val="restart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50932">
        <w:tc>
          <w:tcPr>
            <w:tcW w:w="2246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Высокая</w:t>
            </w:r>
          </w:p>
        </w:tc>
        <w:tc>
          <w:tcPr>
            <w:tcW w:w="144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147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Низкая</w:t>
            </w:r>
          </w:p>
        </w:tc>
        <w:tc>
          <w:tcPr>
            <w:tcW w:w="1544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3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c>
          <w:tcPr>
            <w:tcW w:w="224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Первичные камни</w:t>
            </w:r>
          </w:p>
        </w:tc>
        <w:tc>
          <w:tcPr>
            <w:tcW w:w="155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 (14,6)</w:t>
            </w:r>
          </w:p>
        </w:tc>
        <w:tc>
          <w:tcPr>
            <w:tcW w:w="1444" w:type="dxa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 (15,3)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  <w:tc>
          <w:tcPr>
            <w:tcW w:w="147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 (42,4)</w:t>
            </w:r>
          </w:p>
        </w:tc>
        <w:tc>
          <w:tcPr>
            <w:tcW w:w="154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104 (72,22)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03" w:type="dxa"/>
            <w:vMerge w:val="restart"/>
          </w:tcPr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0,201</w:t>
            </w:r>
          </w:p>
          <w:p w:rsidR="00750932" w:rsidRDefault="008161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(0,634)</w:t>
            </w:r>
          </w:p>
        </w:tc>
      </w:tr>
      <w:tr w:rsidR="00750932">
        <w:tc>
          <w:tcPr>
            <w:tcW w:w="224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Рецидивные камни</w:t>
            </w:r>
          </w:p>
        </w:tc>
        <w:tc>
          <w:tcPr>
            <w:tcW w:w="155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 (12,5)</w:t>
            </w:r>
          </w:p>
        </w:tc>
        <w:tc>
          <w:tcPr>
            <w:tcW w:w="144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(8,4)</w:t>
            </w:r>
          </w:p>
        </w:tc>
        <w:tc>
          <w:tcPr>
            <w:tcW w:w="147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(7,0) </w:t>
            </w:r>
          </w:p>
        </w:tc>
        <w:tc>
          <w:tcPr>
            <w:tcW w:w="154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(27,78)</w:t>
            </w:r>
          </w:p>
        </w:tc>
        <w:tc>
          <w:tcPr>
            <w:tcW w:w="1303" w:type="dxa"/>
            <w:vMerge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c>
          <w:tcPr>
            <w:tcW w:w="224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557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 (27,1)</w:t>
            </w:r>
          </w:p>
        </w:tc>
        <w:tc>
          <w:tcPr>
            <w:tcW w:w="144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 (23,7)</w:t>
            </w:r>
          </w:p>
        </w:tc>
        <w:tc>
          <w:tcPr>
            <w:tcW w:w="1476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 (49,3)</w:t>
            </w:r>
          </w:p>
        </w:tc>
        <w:tc>
          <w:tcPr>
            <w:tcW w:w="1544" w:type="dxa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 (100)</w:t>
            </w:r>
          </w:p>
        </w:tc>
        <w:tc>
          <w:tcPr>
            <w:tcW w:w="1303" w:type="dxa"/>
          </w:tcPr>
          <w:p w:rsidR="00750932" w:rsidRDefault="007509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0932">
        <w:tc>
          <w:tcPr>
            <w:tcW w:w="9570" w:type="dxa"/>
            <w:gridSpan w:val="6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4"/>
                <w:szCs w:val="28"/>
              </w:rPr>
              <w:t xml:space="preserve">* 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медиана и среднее значение ±стандартное отклонение между группами,  </w:t>
            </w:r>
            <w:r>
              <w:rPr>
                <w:rFonts w:ascii="Times New Roman" w:hAnsi="Times New Roman"/>
                <w:color w:val="000000"/>
                <w:spacing w:val="3"/>
                <w:sz w:val="24"/>
                <w:szCs w:val="28"/>
              </w:rPr>
              <w:t>р&gt; 0,05</w:t>
            </w:r>
          </w:p>
        </w:tc>
      </w:tr>
    </w:tbl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Высокая скорость кристаллообразования наблюдалась у </w:t>
      </w:r>
      <w:r>
        <w:rPr>
          <w:rFonts w:ascii="Times New Roman" w:hAnsi="Times New Roman"/>
          <w:sz w:val="28"/>
          <w:szCs w:val="28"/>
        </w:rPr>
        <w:t>пациентов с первичными камнями 14,6% и у больных с рецидивными камнями 12,5%. Всего у 39 больных, что составляет 27,1%. Средняя скорость кристаллообразования была у 15,3% больных с первичными камнями и 8,4% больных с рецидивными камнями, всего у 34 больных</w:t>
      </w:r>
      <w:r>
        <w:rPr>
          <w:rFonts w:ascii="Times New Roman" w:hAnsi="Times New Roman"/>
          <w:sz w:val="28"/>
          <w:szCs w:val="28"/>
        </w:rPr>
        <w:t>, что составило 23,7%. Низкая скорость кристаллообразования у 42,4% больных (61) и в 7,0% случаях (10) соответственно. У больных с рецидивными камнями высокая и средняя скорости кристаллообразования наблюдались чаще в 2 раза, по сравнению пациентами с перв</w:t>
      </w:r>
      <w:r>
        <w:rPr>
          <w:rFonts w:ascii="Times New Roman" w:hAnsi="Times New Roman"/>
          <w:sz w:val="28"/>
          <w:szCs w:val="28"/>
        </w:rPr>
        <w:t>ичными камнями.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тест на скорость кристаллообразования в моче является перспективным при прогнозировании камнеобразования, так как позволяет определять наличие такого процесса как химический состав такого камня, что является необходимым при н</w:t>
      </w:r>
      <w:r>
        <w:rPr>
          <w:rFonts w:ascii="Times New Roman" w:hAnsi="Times New Roman"/>
          <w:sz w:val="28"/>
          <w:szCs w:val="28"/>
        </w:rPr>
        <w:t>азначении метафилактики.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кристаллической части камня происходит вследствие обменных нарушений в организме и экскрецией с мочой различных солей.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изучения химического состава конкрементов показано на рисунке 32.</w:t>
      </w:r>
    </w:p>
    <w:p w:rsidR="00750932" w:rsidRDefault="0075093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6615" cy="2705735"/>
            <wp:effectExtent l="4445" t="5080" r="21590" b="13335"/>
            <wp:docPr id="38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50932" w:rsidRDefault="007509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32 </w:t>
      </w:r>
      <w:r>
        <w:rPr>
          <w:rFonts w:ascii="Times New Roman" w:hAnsi="Times New Roman"/>
          <w:sz w:val="28"/>
          <w:szCs w:val="28"/>
        </w:rPr>
        <w:t>–Химический состав мочевых камней у пациентов</w:t>
      </w:r>
    </w:p>
    <w:p w:rsidR="00750932" w:rsidRDefault="007509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обследованных 144 пациентов химический состав конкрементов в 43 случаях (29,9%) обнаружены оксалаты, в 38 случаях (26,4%) - ураты+оксалаты, у 34 больных (23,7%) – ураты, у 19 пациентов (13,2%) – фосфаты+окса</w:t>
      </w:r>
      <w:r>
        <w:rPr>
          <w:rFonts w:ascii="Times New Roman" w:hAnsi="Times New Roman"/>
          <w:sz w:val="28"/>
          <w:szCs w:val="28"/>
        </w:rPr>
        <w:t>латы, у 7 лиц (4,9%) – мочекислый аммоний, у 3 пациентов (2,1%) – фосфаты, содержащие кальций+магний.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Учитывая, что все теории камнеобразования объединены основным условием – перенасыщением мочи камнеобразующими веществами, первостепенное значение приобрет</w:t>
      </w:r>
      <w:r>
        <w:rPr>
          <w:rFonts w:ascii="Times New Roman" w:hAnsi="Times New Roman"/>
          <w:sz w:val="28"/>
          <w:szCs w:val="28"/>
        </w:rPr>
        <w:t xml:space="preserve">ает определение и оценка содержания оксалат-, фосфат-, сульфат-ионов в плазме крови и моче. 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33 – Содержание нитрат-, оксалат-, фосфат-, сульфат- ионов в плазме крови пациентов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0"/>
        <w:gridCol w:w="3275"/>
        <w:gridCol w:w="3276"/>
      </w:tblGrid>
      <w:tr w:rsidR="00750932">
        <w:trPr>
          <w:trHeight w:val="332"/>
        </w:trPr>
        <w:tc>
          <w:tcPr>
            <w:tcW w:w="2800" w:type="dxa"/>
            <w:noWrap/>
            <w:vAlign w:val="bottom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Определяемый ион</w:t>
            </w:r>
          </w:p>
        </w:tc>
        <w:tc>
          <w:tcPr>
            <w:tcW w:w="3275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 ионов мг/л</w:t>
            </w:r>
          </w:p>
        </w:tc>
        <w:tc>
          <w:tcPr>
            <w:tcW w:w="3276" w:type="dxa"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750932">
        <w:trPr>
          <w:trHeight w:val="300"/>
        </w:trPr>
        <w:tc>
          <w:tcPr>
            <w:tcW w:w="2800" w:type="dxa"/>
            <w:noWrap/>
            <w:vAlign w:val="bottom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нитрат-ион</w:t>
            </w:r>
          </w:p>
        </w:tc>
        <w:tc>
          <w:tcPr>
            <w:tcW w:w="3275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24±2,1</w:t>
            </w:r>
          </w:p>
        </w:tc>
        <w:tc>
          <w:tcPr>
            <w:tcW w:w="3276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&lt;0,0141</w:t>
            </w:r>
          </w:p>
        </w:tc>
      </w:tr>
      <w:tr w:rsidR="00750932">
        <w:trPr>
          <w:trHeight w:val="300"/>
        </w:trPr>
        <w:tc>
          <w:tcPr>
            <w:tcW w:w="2800" w:type="dxa"/>
            <w:noWrap/>
            <w:vAlign w:val="bottom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оксалат-ион</w:t>
            </w:r>
          </w:p>
        </w:tc>
        <w:tc>
          <w:tcPr>
            <w:tcW w:w="3275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2,8±0,2</w:t>
            </w:r>
          </w:p>
        </w:tc>
        <w:tc>
          <w:tcPr>
            <w:tcW w:w="3276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&lt;0,0579</w:t>
            </w:r>
          </w:p>
        </w:tc>
      </w:tr>
      <w:tr w:rsidR="00750932">
        <w:trPr>
          <w:trHeight w:val="300"/>
        </w:trPr>
        <w:tc>
          <w:tcPr>
            <w:tcW w:w="2800" w:type="dxa"/>
            <w:noWrap/>
            <w:vAlign w:val="bottom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сульфат-ион</w:t>
            </w:r>
          </w:p>
        </w:tc>
        <w:tc>
          <w:tcPr>
            <w:tcW w:w="3275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890±27</w:t>
            </w:r>
          </w:p>
        </w:tc>
        <w:tc>
          <w:tcPr>
            <w:tcW w:w="3276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&lt;0,0135</w:t>
            </w:r>
          </w:p>
        </w:tc>
      </w:tr>
      <w:tr w:rsidR="00750932">
        <w:trPr>
          <w:trHeight w:val="300"/>
        </w:trPr>
        <w:tc>
          <w:tcPr>
            <w:tcW w:w="2800" w:type="dxa"/>
            <w:noWrap/>
            <w:vAlign w:val="bottom"/>
          </w:tcPr>
          <w:p w:rsidR="00750932" w:rsidRDefault="008161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фосфат-ион  </w:t>
            </w:r>
          </w:p>
        </w:tc>
        <w:tc>
          <w:tcPr>
            <w:tcW w:w="3275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2910±172</w:t>
            </w:r>
          </w:p>
        </w:tc>
        <w:tc>
          <w:tcPr>
            <w:tcW w:w="3276" w:type="dxa"/>
            <w:noWrap/>
            <w:vAlign w:val="bottom"/>
          </w:tcPr>
          <w:p w:rsidR="00750932" w:rsidRDefault="008161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&gt;0,0566</w:t>
            </w:r>
          </w:p>
        </w:tc>
      </w:tr>
    </w:tbl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Проведенными исследованиями выявлено, что основное значение для степени выделения оксалата с мочой имеет содержание оксалат-иона в плазме крови. Падение уровня </w:t>
      </w:r>
      <w:r>
        <w:rPr>
          <w:rFonts w:ascii="Times New Roman" w:hAnsi="Times New Roman"/>
          <w:sz w:val="28"/>
          <w:szCs w:val="28"/>
        </w:rPr>
        <w:t>оксалатов в плазме крови ниже 0,28 мг/л приводит к увеличению концентрации оксалатов в моче. При высоком содержании оксалатов в моче наблюдали корреляцию с высоким содержанием оксалатов в составе конкрементов.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Корреляция для оксалат-иона между концентрация</w:t>
      </w:r>
      <w:r>
        <w:rPr>
          <w:rFonts w:ascii="Times New Roman" w:hAnsi="Times New Roman"/>
          <w:sz w:val="28"/>
          <w:szCs w:val="28"/>
        </w:rPr>
        <w:t xml:space="preserve">ми вконкременте и моче составила </w:t>
      </w:r>
      <w:r>
        <w:rPr>
          <w:rFonts w:ascii="Times New Roman" w:eastAsia="TimesNewRomanPSMT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0,03 (p&lt;0,05); конкременте и плазме крови 0,34 (p&lt;0,05); плазме крови и моче 0,19 (p&lt;0,05).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известно, сульфаты препятствуют образованию мочевых камней, связывая кальций. Комплексообразующие сульфаты в основном входят </w:t>
      </w:r>
      <w:r>
        <w:rPr>
          <w:rFonts w:ascii="Times New Roman" w:hAnsi="Times New Roman"/>
          <w:sz w:val="28"/>
          <w:szCs w:val="28"/>
        </w:rPr>
        <w:t>в состав таких содержащихся в моче веществ, как хондроэтинсульфат и гепарантсульфат.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результатов наших исследований позволил определить зависимость: высокое содержанием сульфатов в камне сопровождается снижением уровня концентрации его как в плазме </w:t>
      </w:r>
      <w:r>
        <w:rPr>
          <w:rFonts w:ascii="Times New Roman" w:hAnsi="Times New Roman"/>
          <w:sz w:val="28"/>
          <w:szCs w:val="28"/>
        </w:rPr>
        <w:t>крови, так и в моче.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медикаментозного лечения зависел от минерального состава конкремента и выявленных метаболических нарушений. К препаратам, которые использовали при всех формах МКБ, относятся: ангиопротекторы, антиагреганты, антибактериальные, </w:t>
      </w:r>
      <w:r>
        <w:rPr>
          <w:rFonts w:ascii="Times New Roman" w:hAnsi="Times New Roman"/>
          <w:sz w:val="28"/>
          <w:szCs w:val="28"/>
        </w:rPr>
        <w:t>антиазотемические средства, препараты растительного происхождения, анальгетики,спазмолитики.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основе наших лечебных мероприятий при МКБ было: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восстановление пассажа мочи (катетеризация, стентирование, нефростомия); б) РПТ; в) ПНЛТ; г) комбинированный м</w:t>
      </w:r>
      <w:r>
        <w:rPr>
          <w:rFonts w:ascii="Times New Roman" w:hAnsi="Times New Roman"/>
          <w:sz w:val="28"/>
          <w:szCs w:val="28"/>
        </w:rPr>
        <w:t xml:space="preserve">етод лечения.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Метафилактика больных мочекаменной болезнью после различных видов оперативного лечения начинается со дня выписки пациента из стационара и заканчивается последним днем жизни больного. Ее необходимо разделить на период ранней послеоперационной</w:t>
      </w:r>
      <w:r>
        <w:rPr>
          <w:rFonts w:ascii="Times New Roman" w:hAnsi="Times New Roman"/>
          <w:sz w:val="28"/>
          <w:szCs w:val="28"/>
        </w:rPr>
        <w:t xml:space="preserve"> метафилактики и период динамической метафилактики МКБ.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Задачи ранней послеоперационной метафилактики:</w:t>
      </w:r>
    </w:p>
    <w:p w:rsidR="00750932" w:rsidRDefault="0081612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борьба с воспалительными изменениями в почке, окружающих тканях  и мочевых путях;</w:t>
      </w:r>
    </w:p>
    <w:p w:rsidR="00750932" w:rsidRDefault="00816126">
      <w:pPr>
        <w:numPr>
          <w:ilvl w:val="0"/>
          <w:numId w:val="6"/>
        </w:numPr>
        <w:tabs>
          <w:tab w:val="left" w:pos="39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стимуляция отхождения дезинтегрированных фрагментов конкремента.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Первый</w:t>
      </w:r>
      <w:r>
        <w:rPr>
          <w:rFonts w:ascii="Times New Roman" w:eastAsia="Calibri" w:hAnsi="Times New Roman"/>
          <w:sz w:val="28"/>
          <w:szCs w:val="28"/>
        </w:rPr>
        <w:t xml:space="preserve"> этап представляется нам длительностью до 3 месяцев и обусловлен тем, что в этот период, следует надеяться на стабилизацию течения хронического пиелонефрита, происходит формирование склеротических  изменений в почке и окружающей клетчатке, обусловленных, к</w:t>
      </w:r>
      <w:r>
        <w:rPr>
          <w:rFonts w:ascii="Times New Roman" w:eastAsia="Calibri" w:hAnsi="Times New Roman"/>
          <w:sz w:val="28"/>
          <w:szCs w:val="28"/>
        </w:rPr>
        <w:t>ак самим оперативным пособием, так и его осложнениями. Именно в этот период при наличии изменений со стороны паранефральной клетчатки, в лоханочно-мочеточниковом сегменте, выявлении дискинезии мочевых путей, возможно путем проведения консервативных лечебны</w:t>
      </w:r>
      <w:r>
        <w:rPr>
          <w:rFonts w:ascii="Times New Roman" w:eastAsia="Calibri" w:hAnsi="Times New Roman"/>
          <w:sz w:val="28"/>
          <w:szCs w:val="28"/>
        </w:rPr>
        <w:t>х мероприятий избежать формирования необратимых, обусловленных органическими причинами, нарушений уродинамики, способствующих прогрессированию хронического пиелонефрита и рецидивированию камнеобразования. Дезинтегрированные резидуальные фрагменты конкремен</w:t>
      </w:r>
      <w:r>
        <w:rPr>
          <w:rFonts w:ascii="Times New Roman" w:eastAsia="Calibri" w:hAnsi="Times New Roman"/>
          <w:sz w:val="28"/>
          <w:szCs w:val="28"/>
        </w:rPr>
        <w:t xml:space="preserve">та в этот период так же имеют тенденцию к отхождению.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Второй этап наблюдения (динамической метафилактики) должен продолжаться на протяжении всей жизни пациента и перед ним ставятся  задачи несколько отличные от первого: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лечение, профилактика и динамически</w:t>
      </w:r>
      <w:r>
        <w:rPr>
          <w:rFonts w:ascii="Times New Roman" w:eastAsia="Calibri" w:hAnsi="Times New Roman"/>
          <w:sz w:val="28"/>
          <w:szCs w:val="28"/>
        </w:rPr>
        <w:t>й контроль течения хронического пиелонефрита и инфекций мочевых путей;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консервативное лечение, профилактика и динамический контроль нарушений уро-и гемодинамики;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оценка метаболических нарушений у больных МКБ;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определение программ исследования пациентов с к</w:t>
      </w:r>
      <w:r>
        <w:rPr>
          <w:rFonts w:ascii="Times New Roman" w:eastAsia="Calibri" w:hAnsi="Times New Roman"/>
          <w:sz w:val="28"/>
          <w:szCs w:val="28"/>
        </w:rPr>
        <w:t>амнями различного типа камнеобразования;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определение программ метафилактики пациентов с камнями различного фазового состава с учетом факторов риска (фактор риска I – низкий и фактор риска II - высокий) камнеобразования;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лечение резидуальных камней чашечек,</w:t>
      </w:r>
      <w:r>
        <w:rPr>
          <w:rFonts w:ascii="Times New Roman" w:eastAsia="Calibri" w:hAnsi="Times New Roman"/>
          <w:sz w:val="28"/>
          <w:szCs w:val="28"/>
        </w:rPr>
        <w:t xml:space="preserve"> профилактика их увеличения и динамический контроль;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профилактика, лечение и динамический контроль процесса рецидивного камнеобразования;</w:t>
      </w:r>
    </w:p>
    <w:p w:rsidR="00750932" w:rsidRDefault="00816126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проведение полноценного, комплексного клинического наблюдения и обследования, больных МКБ для определения показаний и </w:t>
      </w:r>
      <w:r>
        <w:rPr>
          <w:rFonts w:ascii="Times New Roman" w:eastAsia="Calibri" w:hAnsi="Times New Roman"/>
          <w:sz w:val="28"/>
          <w:szCs w:val="28"/>
        </w:rPr>
        <w:t xml:space="preserve">сроков направления на плановое повторное оперативное лечение.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улучшения результатов лечения и снижения частоты рецидивного камнеобразования необходима разработка оптимального алгоритма диагностики и проведения метафилактики больных нефролитиазом.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амбулаторном наблюдении больных в послеоперационном периоде, при первичном обращении, признаки наличия хронического пиелонефрита нами отмечены у 36 больных (25,0%). Всем больным проводилась противовоспалительная, антибактериальная терапия, основанная н</w:t>
      </w:r>
      <w:r>
        <w:rPr>
          <w:rFonts w:ascii="Times New Roman" w:hAnsi="Times New Roman"/>
          <w:sz w:val="28"/>
          <w:szCs w:val="28"/>
        </w:rPr>
        <w:t>а данных результатах посева мочи и антибиотикограммы, полученной в стационаре. Контрольные исследования мочи проводились нами не реже 1 раза в 10 дней. После оценки динамики изменений в анализах мочи проводилась коррекция антибиотикотерапии. Длительность п</w:t>
      </w:r>
      <w:r>
        <w:rPr>
          <w:rFonts w:ascii="Times New Roman" w:hAnsi="Times New Roman"/>
          <w:sz w:val="28"/>
          <w:szCs w:val="28"/>
        </w:rPr>
        <w:t>роведения антимикробной терапии определялась сроками нормализации показателей анализов мочи. Нам удалось добиться нормализации показателей анализов мочи у 21 больного в течении первых 1,5-2 месяцев. Кроме этого мы проводили курсы интермитирующей терапии ур</w:t>
      </w:r>
      <w:r>
        <w:rPr>
          <w:rFonts w:ascii="Times New Roman" w:hAnsi="Times New Roman"/>
          <w:sz w:val="28"/>
          <w:szCs w:val="28"/>
        </w:rPr>
        <w:t>осептиками, растительными диуретиками, противовоспалительными препаратами в течение 3-4 месяцев у больных, имеющих длительный анамнез или перенесших активное обострение хронического пиелонефрита, с целью профилактики рецидивирования хронического воспалител</w:t>
      </w:r>
      <w:r>
        <w:rPr>
          <w:rFonts w:ascii="Times New Roman" w:hAnsi="Times New Roman"/>
          <w:sz w:val="28"/>
          <w:szCs w:val="28"/>
        </w:rPr>
        <w:t xml:space="preserve">ьного процесса в мочевых путях. Контрольные исследования анализов, после их нормализации, проводились ежемесячно в течение полугода. Затем рекомендовалось исследование анализов мочи через каждые 3-4 месяца.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Различные виды дренирования мочевых путей широко</w:t>
      </w:r>
      <w:r>
        <w:rPr>
          <w:rFonts w:ascii="Times New Roman" w:eastAsia="Calibri" w:hAnsi="Times New Roman"/>
          <w:sz w:val="28"/>
          <w:szCs w:val="28"/>
        </w:rPr>
        <w:t xml:space="preserve"> применяются в лечении острого или хронического пиелонефрита в период предоперационной подготовки, при различных методах оперативного лечения МКБ и оказывают влияние на течение воспалительного процесса в мочевых путях в послеоперационном периоде. Преимущес</w:t>
      </w:r>
      <w:r>
        <w:rPr>
          <w:rFonts w:ascii="Times New Roman" w:eastAsia="Calibri" w:hAnsi="Times New Roman"/>
          <w:sz w:val="28"/>
          <w:szCs w:val="28"/>
        </w:rPr>
        <w:t>тва внутреннего дренирования (стентирования) обусловлены отсутствием дополнительной травмы почки, инфицирования мочевых путей, уменьшением вероятности обострения пиелонефрита после удаления стента, сокращением сроков послеоперационного и восстановительного</w:t>
      </w:r>
      <w:r>
        <w:rPr>
          <w:rFonts w:ascii="Times New Roman" w:eastAsia="Calibri" w:hAnsi="Times New Roman"/>
          <w:sz w:val="28"/>
          <w:szCs w:val="28"/>
        </w:rPr>
        <w:t xml:space="preserve"> периодов за счет ранней активизации больных. Нами наблюдались 36 пациентов, проходивших амбулаторное лечение после оперативных методов лечения (ПЛНТ, РПТ и комбинированный метод) мочекаменной болезни, на фоне внутреннего дренирования мочевых путей. У всех</w:t>
      </w:r>
      <w:r>
        <w:rPr>
          <w:rFonts w:ascii="Times New Roman" w:eastAsia="Calibri" w:hAnsi="Times New Roman"/>
          <w:sz w:val="28"/>
          <w:szCs w:val="28"/>
        </w:rPr>
        <w:t xml:space="preserve"> больных при выписке из стационара определялись резидуальные конкременты или их фрагменты в мочевых путях и сохранялись признаки активности хронического пиелонефрита. Сроки амбулаторного наблюдения на фоне стентирования мочевых путей составляли до 3-5 неде</w:t>
      </w:r>
      <w:r>
        <w:rPr>
          <w:rFonts w:ascii="Times New Roman" w:eastAsia="Calibri" w:hAnsi="Times New Roman"/>
          <w:sz w:val="28"/>
          <w:szCs w:val="28"/>
        </w:rPr>
        <w:t>ль. Дренирование мочевых путей приводит к уменьшению сократительной способности мочевых путей, обеспечивает создание им относительного покоя и условия для уменьшения степени воспалительной реакции. Кроме того, имеющаяся гипотония создает условия для миграц</w:t>
      </w:r>
      <w:r>
        <w:rPr>
          <w:rFonts w:ascii="Times New Roman" w:eastAsia="Calibri" w:hAnsi="Times New Roman"/>
          <w:sz w:val="28"/>
          <w:szCs w:val="28"/>
        </w:rPr>
        <w:t xml:space="preserve">ии фрагментов из чашечек в нижние отделы. Активное применение физических методов лечения и лечебной физкультуры, также способствует улучшению уро-и гемодинамики, миграции фрагментов камня. 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Целенаправленную терапию хронического пиелонефрита необходимо про</w:t>
      </w:r>
      <w:r>
        <w:rPr>
          <w:rFonts w:ascii="Times New Roman" w:eastAsia="Calibri" w:hAnsi="Times New Roman"/>
          <w:sz w:val="28"/>
          <w:szCs w:val="28"/>
        </w:rPr>
        <w:t xml:space="preserve">водить от нескольких недель до нескольких месяцев, по возможности, до нормализации показателей анализов мочи. В комплексе лечения хронического пиелонефрита применяются антимикробные, противовоспалительные средства, ангиопротекторы, растительные диуретики. </w:t>
      </w:r>
      <w:r>
        <w:rPr>
          <w:rFonts w:ascii="Times New Roman" w:eastAsia="Calibri" w:hAnsi="Times New Roman"/>
          <w:sz w:val="28"/>
          <w:szCs w:val="28"/>
        </w:rPr>
        <w:t xml:space="preserve">После нормализации показателей анализа мочи больным рекомендуется динамический контроль через 2 –3 месяца. Нами отмечен лабораторный рецидив пиелонефрита в течение первого года у 14% больных, при условии полного опорожнения мочевых путей от конкрементов и </w:t>
      </w:r>
      <w:r>
        <w:rPr>
          <w:rFonts w:ascii="Times New Roman" w:eastAsia="Calibri" w:hAnsi="Times New Roman"/>
          <w:sz w:val="28"/>
          <w:szCs w:val="28"/>
        </w:rPr>
        <w:t>отсутствия рецидива камнеобразования. У больных с наличием резидуальных конкрементов в чашечках обострение пиелонефрита отмечено в 6% наблюдений, что потребовало проведения повторного, полноценного курса терапии пиелонефрита. Регулярный контроль анализов м</w:t>
      </w:r>
      <w:r>
        <w:rPr>
          <w:rFonts w:ascii="Times New Roman" w:eastAsia="Calibri" w:hAnsi="Times New Roman"/>
          <w:sz w:val="28"/>
          <w:szCs w:val="28"/>
        </w:rPr>
        <w:t>очи, через 10-14 дней в течение первых 2-3 месяцев позволяет выявить обострение процесса на ранних стадиях и своевременно его купировать. В последующем рецидивы существенно урежаются, однако, необходимо продолжать контролировать анализы мочи не реже чем ка</w:t>
      </w:r>
      <w:r>
        <w:rPr>
          <w:rFonts w:ascii="Times New Roman" w:eastAsia="Calibri" w:hAnsi="Times New Roman"/>
          <w:sz w:val="28"/>
          <w:szCs w:val="28"/>
        </w:rPr>
        <w:t>ждые 1-1,5 мес. в течение длительного срока (не менее 1 года). В последующем исследование анализов мочи и контрольное ультразвуковое исследование целесообразно проводить не реже 2 раз в год.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нашего наблюдения у 24 пациентов (16,67%), подверг</w:t>
      </w:r>
      <w:r>
        <w:rPr>
          <w:rFonts w:ascii="Times New Roman" w:hAnsi="Times New Roman"/>
          <w:sz w:val="28"/>
          <w:szCs w:val="28"/>
        </w:rPr>
        <w:t>шихся различным малоинвазивным методам лечения, после выписки из стационара при амбулаторном обследовании определялись фрагменты конкрементов. Распределение больных с наличием резидуальных фрагментов камней в мочевых путях после различных методов лечения п</w:t>
      </w:r>
      <w:r>
        <w:rPr>
          <w:rFonts w:ascii="Times New Roman" w:hAnsi="Times New Roman"/>
          <w:sz w:val="28"/>
          <w:szCs w:val="28"/>
        </w:rPr>
        <w:t>редставлены в таблице 34.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34 - Распределение пациентов с наличием резидуальных фрагментов конкрементов после различных методов лечения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2494"/>
        <w:gridCol w:w="3518"/>
      </w:tblGrid>
      <w:tr w:rsidR="00750932">
        <w:trPr>
          <w:cantSplit/>
          <w:trHeight w:val="321"/>
        </w:trPr>
        <w:tc>
          <w:tcPr>
            <w:tcW w:w="3344" w:type="dxa"/>
            <w:vMerge w:val="restart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Метод лечения</w:t>
            </w:r>
          </w:p>
        </w:tc>
        <w:tc>
          <w:tcPr>
            <w:tcW w:w="6012" w:type="dxa"/>
            <w:gridSpan w:val="2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Кол-во больных с фрагментами конкремента</w:t>
            </w:r>
          </w:p>
        </w:tc>
      </w:tr>
      <w:tr w:rsidR="00750932">
        <w:trPr>
          <w:cantSplit/>
          <w:trHeight w:val="322"/>
        </w:trPr>
        <w:tc>
          <w:tcPr>
            <w:tcW w:w="3344" w:type="dxa"/>
            <w:vMerge/>
          </w:tcPr>
          <w:p w:rsidR="00750932" w:rsidRDefault="007509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9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Абс. число</w:t>
            </w:r>
          </w:p>
        </w:tc>
        <w:tc>
          <w:tcPr>
            <w:tcW w:w="3518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%</w:t>
            </w:r>
          </w:p>
        </w:tc>
      </w:tr>
      <w:tr w:rsidR="00750932">
        <w:trPr>
          <w:trHeight w:val="134"/>
        </w:trPr>
        <w:tc>
          <w:tcPr>
            <w:tcW w:w="334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РПТ</w:t>
            </w:r>
          </w:p>
        </w:tc>
        <w:tc>
          <w:tcPr>
            <w:tcW w:w="249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518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16,22</w:t>
            </w:r>
          </w:p>
        </w:tc>
      </w:tr>
      <w:tr w:rsidR="00750932">
        <w:trPr>
          <w:trHeight w:val="134"/>
        </w:trPr>
        <w:tc>
          <w:tcPr>
            <w:tcW w:w="334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ПНЛТ</w:t>
            </w:r>
          </w:p>
        </w:tc>
        <w:tc>
          <w:tcPr>
            <w:tcW w:w="249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3518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21,15</w:t>
            </w:r>
          </w:p>
        </w:tc>
      </w:tr>
      <w:tr w:rsidR="00750932">
        <w:trPr>
          <w:trHeight w:val="134"/>
        </w:trPr>
        <w:tc>
          <w:tcPr>
            <w:tcW w:w="334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Комбинированный метод</w:t>
            </w:r>
          </w:p>
        </w:tc>
        <w:tc>
          <w:tcPr>
            <w:tcW w:w="249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18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5,56</w:t>
            </w:r>
          </w:p>
        </w:tc>
      </w:tr>
      <w:tr w:rsidR="00750932">
        <w:trPr>
          <w:trHeight w:val="322"/>
        </w:trPr>
        <w:tc>
          <w:tcPr>
            <w:tcW w:w="334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Всего больных</w:t>
            </w:r>
          </w:p>
        </w:tc>
        <w:tc>
          <w:tcPr>
            <w:tcW w:w="2494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  <w:tc>
          <w:tcPr>
            <w:tcW w:w="3518" w:type="dxa"/>
          </w:tcPr>
          <w:p w:rsidR="00750932" w:rsidRDefault="00816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100</w:t>
            </w:r>
          </w:p>
        </w:tc>
      </w:tr>
    </w:tbl>
    <w:p w:rsidR="00750932" w:rsidRDefault="007509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количество фрагментов конкрементов определяется после проведения РПТ - у 12 больных (16,22). После ПЛНТ в 11 случаях (21,15%) и после комбинированного метода у 1 больного (5,56%). Резидуальные</w:t>
      </w:r>
      <w:r>
        <w:rPr>
          <w:rFonts w:ascii="Times New Roman" w:hAnsi="Times New Roman"/>
          <w:sz w:val="28"/>
          <w:szCs w:val="28"/>
        </w:rPr>
        <w:t xml:space="preserve"> фрагменты камня в почке определялись преимущественно в нижней группе чашечек – до 92,2%, в средней – до 6,3%, в верхней – 1,5%. Мы предполагаем, что особенности анатомического строения нижней группы чашечек - их множественность, угол примыкания чашечки к </w:t>
      </w:r>
      <w:r>
        <w:rPr>
          <w:rFonts w:ascii="Times New Roman" w:hAnsi="Times New Roman"/>
          <w:sz w:val="28"/>
          <w:szCs w:val="28"/>
        </w:rPr>
        <w:t>лоханке, ширина ее шейки, обуславливают трудности отхождения из нее фрагментов конкремента.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Обязательными методами обследования в период послеоперационного наблюдения является ультразвуковое и, при необходимости, рентгенологическое исследование. Нельзя пер</w:t>
      </w:r>
      <w:r>
        <w:rPr>
          <w:rFonts w:ascii="Times New Roman" w:hAnsi="Times New Roman"/>
          <w:sz w:val="28"/>
          <w:szCs w:val="28"/>
        </w:rPr>
        <w:t>еоценить возможности динамического УЗ-контроля в амбулаторном наблюдении больных МКБ, в том числе после использования различных методов оперативного лечения. Ультразвуковое исследование проводится нами при первичном амбулаторном обращении после операции ка</w:t>
      </w:r>
      <w:r>
        <w:rPr>
          <w:rFonts w:ascii="Times New Roman" w:hAnsi="Times New Roman"/>
          <w:sz w:val="28"/>
          <w:szCs w:val="28"/>
        </w:rPr>
        <w:t xml:space="preserve">к скрининг-метода, и как метод динамического контроля изменений со стороны почек и мочевых путей.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рациональная метафилактика МКБ должна включать в себя обязательную оценку метаболизма. Пациентам с риском рецидива МКБ была проведена общая ме</w:t>
      </w:r>
      <w:r>
        <w:rPr>
          <w:rFonts w:ascii="Times New Roman" w:hAnsi="Times New Roman"/>
          <w:sz w:val="28"/>
          <w:szCs w:val="28"/>
        </w:rPr>
        <w:t>тафилактика нефролитиаза, которая предполагает соблюдения диетического режима. Противорецидивная терапия при МКБ должна проводиться по 3 месяца каждые полгода и завершаться контрольным обследованием каждые 6 месяцев в течение первого года после удаления ил</w:t>
      </w:r>
      <w:r>
        <w:rPr>
          <w:rFonts w:ascii="Times New Roman" w:hAnsi="Times New Roman"/>
          <w:sz w:val="28"/>
          <w:szCs w:val="28"/>
        </w:rPr>
        <w:t>и самостоятельного отхождения камней, далее – 1 раз в год.</w:t>
      </w:r>
    </w:p>
    <w:p w:rsidR="00750932" w:rsidRDefault="00750932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816126">
      <w:pPr>
        <w:tabs>
          <w:tab w:val="left" w:pos="1134"/>
        </w:tabs>
        <w:spacing w:after="0" w:line="240" w:lineRule="auto"/>
        <w:ind w:firstLine="567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ЗАКЛЮЧЕНИЕ </w:t>
      </w:r>
    </w:p>
    <w:p w:rsidR="00750932" w:rsidRDefault="00750932">
      <w:pPr>
        <w:tabs>
          <w:tab w:val="left" w:pos="1134"/>
        </w:tabs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данных научных исследований с высоким уровнем доказательности, мочекаменная болезнь (МКБ) остается одной из самых распространенных заболеваний в мире. Частота </w:t>
      </w:r>
      <w:r>
        <w:rPr>
          <w:rFonts w:ascii="Times New Roman" w:hAnsi="Times New Roman"/>
          <w:sz w:val="28"/>
          <w:szCs w:val="28"/>
        </w:rPr>
        <w:t>заболеваемости МКБ в странах мира достигает 7-20% [159]. К наиболее тяжелым формам МКБ относят крупные (&gt; 2 см) и коралловидные камни почек [160]. C развитием современных малоинвазивных технологий, появлением современных эндоскопов различного диаметра и но</w:t>
      </w:r>
      <w:r>
        <w:rPr>
          <w:rFonts w:ascii="Times New Roman" w:hAnsi="Times New Roman"/>
          <w:sz w:val="28"/>
          <w:szCs w:val="28"/>
        </w:rPr>
        <w:t>вейшего оборудования для дистанционного и контактного дробления камней были сделаны важнейшие нововведения в хирургическом лечении нефролитиаза, в том числе крупных и коралловидных камней почек. На замену традиционным «открытым» оперативным методикам лечен</w:t>
      </w:r>
      <w:r>
        <w:rPr>
          <w:rFonts w:ascii="Times New Roman" w:hAnsi="Times New Roman"/>
          <w:sz w:val="28"/>
          <w:szCs w:val="28"/>
        </w:rPr>
        <w:t>ия нефролитиаза были внедрены такие лечебные операции как экстракорпоральная ударно - волновая литотрипсия (ЭУВЛ), перкутанная нефролитотрипсия (ПНЛТ), ретроградная пиелолитотрипсия (РПТ) и лапароскопическая пиелолитотомия. Это позволило значительно повыси</w:t>
      </w:r>
      <w:r>
        <w:rPr>
          <w:rFonts w:ascii="Times New Roman" w:hAnsi="Times New Roman"/>
          <w:sz w:val="28"/>
          <w:szCs w:val="28"/>
        </w:rPr>
        <w:t>ть эффективность и безопасность лечения пациентов с нефролитиазом [161, 162, 163].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Перкутанная нефролитотрипсия на данный момент является операцией выбора при множественных, крупных или коралловидных камнях почек и нередко используется в лечении конкрементов верхней трети мочеточника размером более 2 см [164]. 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момента дебюта методики </w:t>
      </w:r>
      <w:r>
        <w:rPr>
          <w:rFonts w:ascii="Times New Roman" w:hAnsi="Times New Roman"/>
          <w:color w:val="000000"/>
          <w:sz w:val="28"/>
          <w:szCs w:val="28"/>
        </w:rPr>
        <w:t xml:space="preserve">в 1976 году и по настоящее время чрескожная литотрипсия (ЧЛ) развивалась наравне с техническим прогрессом, и показания к ней расширялись [165]. Эффективность метода повышалась, осложнения минимизировались, послеоперационный период сокращался. 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Альтернативн</w:t>
      </w:r>
      <w:r>
        <w:rPr>
          <w:rFonts w:ascii="Times New Roman" w:hAnsi="Times New Roman"/>
          <w:color w:val="000000"/>
          <w:sz w:val="28"/>
          <w:szCs w:val="28"/>
        </w:rPr>
        <w:t>ые методики лечения камней почек малого диаметра, такие как дистанционная литотрипсия, по данным разных источников, имеет уровень полного избавления от камней (18-67%) и более высокий риск ре-зидуальных фрагментов по сравнению с эндоскопическими операциями</w:t>
      </w:r>
      <w:r>
        <w:rPr>
          <w:rFonts w:ascii="Times New Roman" w:hAnsi="Times New Roman"/>
          <w:color w:val="000000"/>
          <w:sz w:val="28"/>
          <w:szCs w:val="28"/>
        </w:rPr>
        <w:t xml:space="preserve"> [166, 167]. </w:t>
      </w:r>
    </w:p>
    <w:p w:rsidR="00750932" w:rsidRDefault="00816126">
      <w:pPr>
        <w:pStyle w:val="Pa3"/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Существенный прогресс, достиг</w:t>
      </w:r>
      <w:r>
        <w:rPr>
          <w:rFonts w:ascii="Times New Roman" w:hAnsi="Times New Roman"/>
          <w:color w:val="000000"/>
          <w:sz w:val="28"/>
          <w:szCs w:val="28"/>
        </w:rPr>
        <w:softHyphen/>
        <w:t>нутый в оперативном лечении уролитиаза за последние годы, базируется на широком внедрении в клиниче</w:t>
      </w:r>
      <w:r>
        <w:rPr>
          <w:rFonts w:ascii="Times New Roman" w:hAnsi="Times New Roman"/>
          <w:color w:val="000000"/>
          <w:sz w:val="28"/>
          <w:szCs w:val="28"/>
        </w:rPr>
        <w:softHyphen/>
        <w:t>скую практику инновационных тех</w:t>
      </w:r>
      <w:r>
        <w:rPr>
          <w:rFonts w:ascii="Times New Roman" w:hAnsi="Times New Roman"/>
          <w:color w:val="000000"/>
          <w:sz w:val="28"/>
          <w:szCs w:val="28"/>
        </w:rPr>
        <w:softHyphen/>
        <w:t>нологий обеспечения доступа к кон</w:t>
      </w:r>
      <w:r>
        <w:rPr>
          <w:rFonts w:ascii="Times New Roman" w:hAnsi="Times New Roman"/>
          <w:color w:val="000000"/>
          <w:sz w:val="28"/>
          <w:szCs w:val="28"/>
        </w:rPr>
        <w:softHyphen/>
        <w:t>крементам через естественные пути и их эффекти</w:t>
      </w:r>
      <w:r>
        <w:rPr>
          <w:rFonts w:ascii="Times New Roman" w:hAnsi="Times New Roman"/>
          <w:color w:val="000000"/>
          <w:sz w:val="28"/>
          <w:szCs w:val="28"/>
        </w:rPr>
        <w:t>вной дезинтеграции. Прежде всего необходимо отметить значительное совершенствование трансуретральной техники за счет уменьшения диаметра инструментов и создания изображения высокой четкости при сохранении эффектив</w:t>
      </w:r>
      <w:r>
        <w:rPr>
          <w:rFonts w:ascii="Times New Roman" w:hAnsi="Times New Roman"/>
          <w:color w:val="000000"/>
          <w:sz w:val="28"/>
          <w:szCs w:val="28"/>
        </w:rPr>
        <w:softHyphen/>
        <w:t>ного рабочего канала и обеспечения адекват</w:t>
      </w:r>
      <w:r>
        <w:rPr>
          <w:rFonts w:ascii="Times New Roman" w:hAnsi="Times New Roman"/>
          <w:color w:val="000000"/>
          <w:sz w:val="28"/>
          <w:szCs w:val="28"/>
        </w:rPr>
        <w:t>ного потока ирригационного раствора. Удалось обеспечить тот же спектр технических возможностей для выполнения литотрипсии и экс</w:t>
      </w:r>
      <w:r>
        <w:rPr>
          <w:rFonts w:ascii="Times New Roman" w:hAnsi="Times New Roman"/>
          <w:color w:val="000000"/>
          <w:sz w:val="28"/>
          <w:szCs w:val="28"/>
        </w:rPr>
        <w:softHyphen/>
        <w:t>тракции конкрементов, как и при ис</w:t>
      </w:r>
      <w:r>
        <w:rPr>
          <w:rFonts w:ascii="Times New Roman" w:hAnsi="Times New Roman"/>
          <w:color w:val="000000"/>
          <w:sz w:val="28"/>
          <w:szCs w:val="28"/>
        </w:rPr>
        <w:softHyphen/>
        <w:t>пользовании инструментов предыду</w:t>
      </w:r>
      <w:r>
        <w:rPr>
          <w:rFonts w:ascii="Times New Roman" w:hAnsi="Times New Roman"/>
          <w:color w:val="000000"/>
          <w:sz w:val="28"/>
          <w:szCs w:val="28"/>
        </w:rPr>
        <w:softHyphen/>
        <w:t>щего поколения большего диаметра. Миниатюризация уретероскоп</w:t>
      </w:r>
      <w:r>
        <w:rPr>
          <w:rFonts w:ascii="Times New Roman" w:hAnsi="Times New Roman"/>
          <w:color w:val="000000"/>
          <w:sz w:val="28"/>
          <w:szCs w:val="28"/>
        </w:rPr>
        <w:t>ов, атравматичный дизайн, улучшенная визуализация способствуют суще</w:t>
      </w:r>
      <w:r>
        <w:rPr>
          <w:rFonts w:ascii="Times New Roman" w:hAnsi="Times New Roman"/>
          <w:color w:val="000000"/>
          <w:sz w:val="28"/>
          <w:szCs w:val="28"/>
        </w:rPr>
        <w:softHyphen/>
        <w:t>ственному снижению инвазивности всей процедуры в целом. Внедрение эффективных гибких уретеропиело</w:t>
      </w:r>
      <w:r>
        <w:rPr>
          <w:rFonts w:ascii="Times New Roman" w:hAnsi="Times New Roman"/>
          <w:color w:val="000000"/>
          <w:sz w:val="28"/>
          <w:szCs w:val="28"/>
        </w:rPr>
        <w:softHyphen/>
        <w:t>скопов, обладающих возможностью многоточечной флексии, сделало достижимыми для лечения кам</w:t>
      </w:r>
      <w:r>
        <w:rPr>
          <w:rFonts w:ascii="Times New Roman" w:hAnsi="Times New Roman"/>
          <w:color w:val="000000"/>
          <w:sz w:val="28"/>
          <w:szCs w:val="28"/>
        </w:rPr>
        <w:t>ней чашечно-лоханочной системы прак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тически любой локализации. </w:t>
      </w:r>
    </w:p>
    <w:p w:rsidR="00750932" w:rsidRDefault="00816126">
      <w:pPr>
        <w:pStyle w:val="Pa3"/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Мощным фактором развития уретероскопической техники дезин</w:t>
      </w:r>
      <w:r>
        <w:rPr>
          <w:rFonts w:ascii="Times New Roman" w:hAnsi="Times New Roman"/>
          <w:color w:val="000000"/>
          <w:sz w:val="28"/>
          <w:szCs w:val="28"/>
        </w:rPr>
        <w:softHyphen/>
        <w:t>теграции конкрементов стало актив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ное внедрение гольмиевого лазера. 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Широкое внедрение гольмиевого лазера в урологическую практику пос</w:t>
      </w:r>
      <w:r>
        <w:rPr>
          <w:rFonts w:ascii="Times New Roman" w:hAnsi="Times New Roman"/>
          <w:color w:val="000000"/>
          <w:sz w:val="28"/>
          <w:szCs w:val="28"/>
        </w:rPr>
        <w:t>ледних лет позволило существен</w:t>
      </w:r>
      <w:r>
        <w:rPr>
          <w:rFonts w:ascii="Times New Roman" w:hAnsi="Times New Roman"/>
          <w:color w:val="000000"/>
          <w:sz w:val="28"/>
          <w:szCs w:val="28"/>
        </w:rPr>
        <w:softHyphen/>
        <w:t>но повысить как клиническую, так и экономическую эффективность при</w:t>
      </w:r>
      <w:r>
        <w:rPr>
          <w:rFonts w:ascii="Times New Roman" w:hAnsi="Times New Roman"/>
          <w:color w:val="000000"/>
          <w:sz w:val="28"/>
          <w:szCs w:val="28"/>
        </w:rPr>
        <w:softHyphen/>
        <w:t>менения малоинвазивных методов в лечении не только МКБ, но и широ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кого спектра других урологических заболеваний. </w:t>
      </w:r>
    </w:p>
    <w:p w:rsidR="00750932" w:rsidRDefault="00816126">
      <w:pPr>
        <w:pStyle w:val="Default"/>
        <w:spacing w:before="60"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 миниатюрной и гибкой эндоскопич</w:t>
      </w:r>
      <w:r>
        <w:rPr>
          <w:sz w:val="28"/>
          <w:szCs w:val="28"/>
        </w:rPr>
        <w:t>еской техники в сочетании с мощным и эффективным средством контактной литотрипсии в виде гольмиевого лазера привели к значительному расширению по</w:t>
      </w:r>
      <w:r>
        <w:rPr>
          <w:sz w:val="28"/>
          <w:szCs w:val="28"/>
        </w:rPr>
        <w:softHyphen/>
        <w:t>казаний к использованию трансуре</w:t>
      </w:r>
      <w:r>
        <w:rPr>
          <w:sz w:val="28"/>
          <w:szCs w:val="28"/>
        </w:rPr>
        <w:softHyphen/>
        <w:t>тральных малоинвазивных методов лечения МКБ. Эта динамика находит отражение в</w:t>
      </w:r>
      <w:r>
        <w:rPr>
          <w:sz w:val="28"/>
          <w:szCs w:val="28"/>
        </w:rPr>
        <w:t xml:space="preserve"> росте количества урете</w:t>
      </w:r>
      <w:r>
        <w:rPr>
          <w:sz w:val="28"/>
          <w:szCs w:val="28"/>
        </w:rPr>
        <w:softHyphen/>
        <w:t>роскопий по поводу конкрементов практически любой локализации в качестве процедуры первой линии по сравнению с лидировавшей еще недавно дистанционной литотрипси</w:t>
      </w:r>
      <w:r>
        <w:rPr>
          <w:sz w:val="28"/>
          <w:szCs w:val="28"/>
        </w:rPr>
        <w:softHyphen/>
        <w:t>ей. Так, недавно проведенный Turney (2011) анализ динамики количества и</w:t>
      </w:r>
      <w:r>
        <w:rPr>
          <w:sz w:val="28"/>
          <w:szCs w:val="28"/>
        </w:rPr>
        <w:t xml:space="preserve"> видов оперативных вмешательств по поводу МКБ в статистической базе данных госпиталей Великобритании показал прирост выполнения урете</w:t>
      </w:r>
      <w:r>
        <w:rPr>
          <w:sz w:val="28"/>
          <w:szCs w:val="28"/>
        </w:rPr>
        <w:softHyphen/>
        <w:t xml:space="preserve">роскопии в 127 % за последние десять лет, причем в период с 2008 по 2011 годы приходилось около половины этого показателя </w:t>
      </w:r>
      <w:r>
        <w:rPr>
          <w:sz w:val="28"/>
          <w:szCs w:val="28"/>
        </w:rPr>
        <w:t>[168]. В то же самое время увеличение количества се</w:t>
      </w:r>
      <w:r>
        <w:rPr>
          <w:sz w:val="28"/>
          <w:szCs w:val="28"/>
        </w:rPr>
        <w:softHyphen/>
        <w:t xml:space="preserve">ансов дистанционной литотрипсии составило только 55 %. С начала 1980-х годов контактная уретеролитотрипсия (КЛТ) стала использоваться в ведущих клиниках и урологических центрах мира [169]. При правильном </w:t>
      </w:r>
      <w:r>
        <w:rPr>
          <w:sz w:val="28"/>
          <w:szCs w:val="28"/>
        </w:rPr>
        <w:t xml:space="preserve">проведении метод позволяет достичь удаления конкрементов любого отдела мочевой системы с наименьшей травматизацией мочевыводящей системы, сокращением сроков лечения и реабилитации. Полная фрагментация конкрементов происходит в 90-96% случаев [170]. </w:t>
      </w:r>
    </w:p>
    <w:p w:rsidR="00750932" w:rsidRDefault="00816126">
      <w:pPr>
        <w:pStyle w:val="Default"/>
        <w:spacing w:before="60"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Соглас</w:t>
      </w:r>
      <w:r>
        <w:rPr>
          <w:sz w:val="28"/>
          <w:szCs w:val="28"/>
        </w:rPr>
        <w:t xml:space="preserve">но рекомендациям Европейской ассоциации урологов (ЕАУ) экстракорпоральная дистанционная литотрипсия, перкутанная нефролитотрипсия и ретроградная пиелолитотрипсия  являются методами первого выбора в оперативном лечении камней почек и мочеточника. </w:t>
      </w:r>
    </w:p>
    <w:p w:rsidR="00750932" w:rsidRDefault="00816126">
      <w:pPr>
        <w:pStyle w:val="Default"/>
        <w:spacing w:before="60"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Проведенн</w:t>
      </w:r>
      <w:r>
        <w:rPr>
          <w:sz w:val="28"/>
          <w:szCs w:val="28"/>
        </w:rPr>
        <w:t xml:space="preserve">ый нами обзор литературных данных обусловил проведение настоящего исследования, целью которого явилась оценить эффективность эндоскопических методов лечения больных с нефролитиазом и уретеролитиазом. </w:t>
      </w:r>
    </w:p>
    <w:p w:rsidR="00750932" w:rsidRDefault="00816126">
      <w:pPr>
        <w:pStyle w:val="Default"/>
        <w:spacing w:before="60" w:after="60"/>
        <w:ind w:firstLine="567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Исходя из поставленной цели и задач, в настоящее исслед</w:t>
      </w:r>
      <w:r>
        <w:rPr>
          <w:sz w:val="28"/>
          <w:szCs w:val="28"/>
        </w:rPr>
        <w:t xml:space="preserve">ование включено 144 пациентов с мочекаменной болезнью, в том числе </w:t>
      </w:r>
      <w:r>
        <w:rPr>
          <w:sz w:val="28"/>
          <w:szCs w:val="28"/>
          <w:lang w:val="kk-KZ"/>
        </w:rPr>
        <w:t>с о</w:t>
      </w:r>
      <w:r>
        <w:rPr>
          <w:sz w:val="28"/>
          <w:szCs w:val="28"/>
        </w:rPr>
        <w:t>сложненными формами – двухсторонний нефролитиаз, коралловидных, крупных и множественных конкрементов почек и мочеточника, по</w:t>
      </w:r>
      <w:r>
        <w:rPr>
          <w:rFonts w:eastAsia="Calibri"/>
          <w:bCs/>
          <w:sz w:val="28"/>
          <w:szCs w:val="28"/>
        </w:rPr>
        <w:t xml:space="preserve">ступившие в плановом порядке в отделение мочекаменной болезни </w:t>
      </w:r>
      <w:r>
        <w:rPr>
          <w:rFonts w:eastAsia="Calibri"/>
          <w:bCs/>
          <w:sz w:val="28"/>
          <w:szCs w:val="28"/>
        </w:rPr>
        <w:t>и эндоурологии АО «Научный центр урологии имени Академика Б.У.Джарубсынова» с целью проведения эндоскопических методов операций с декабря 2017 по декабрь 2018 г.</w:t>
      </w:r>
    </w:p>
    <w:p w:rsidR="00750932" w:rsidRDefault="00816126">
      <w:pPr>
        <w:pStyle w:val="Default"/>
        <w:spacing w:before="60" w:after="6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Был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 xml:space="preserve"> сформированы три клинические группы: 1 группа – 74 </w:t>
      </w:r>
      <w:r>
        <w:rPr>
          <w:sz w:val="28"/>
          <w:szCs w:val="28"/>
          <w:lang w:val="kk-KZ"/>
        </w:rPr>
        <w:t>пациентов</w:t>
      </w:r>
      <w:r>
        <w:rPr>
          <w:sz w:val="28"/>
          <w:szCs w:val="28"/>
        </w:rPr>
        <w:t xml:space="preserve">, которым произведена РПТ; 2 </w:t>
      </w:r>
      <w:r>
        <w:rPr>
          <w:sz w:val="28"/>
          <w:szCs w:val="28"/>
        </w:rPr>
        <w:t xml:space="preserve">группа – 52 </w:t>
      </w:r>
      <w:r>
        <w:rPr>
          <w:sz w:val="28"/>
          <w:szCs w:val="28"/>
          <w:lang w:val="kk-KZ"/>
        </w:rPr>
        <w:t>пациента</w:t>
      </w:r>
      <w:r>
        <w:rPr>
          <w:sz w:val="28"/>
          <w:szCs w:val="28"/>
        </w:rPr>
        <w:t xml:space="preserve">, которым произведена ПНЛТ; 3 группа – 18 </w:t>
      </w:r>
      <w:r>
        <w:rPr>
          <w:sz w:val="28"/>
          <w:szCs w:val="28"/>
          <w:lang w:val="kk-KZ"/>
        </w:rPr>
        <w:t>пациентов</w:t>
      </w:r>
      <w:r>
        <w:rPr>
          <w:sz w:val="28"/>
          <w:szCs w:val="28"/>
        </w:rPr>
        <w:t>, которым произведен комбинированный эндоскопический метод лечения.</w:t>
      </w:r>
    </w:p>
    <w:p w:rsidR="00750932" w:rsidRDefault="00816126">
      <w:pPr>
        <w:spacing w:before="60" w:after="6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Метод отбора в группы – компьютерный, методом случайных чисел.</w:t>
      </w:r>
    </w:p>
    <w:p w:rsidR="00750932" w:rsidRDefault="00816126">
      <w:pPr>
        <w:spacing w:before="60" w:after="6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включении пациентов в настоящее исследование учиты</w:t>
      </w:r>
      <w:r>
        <w:rPr>
          <w:rFonts w:ascii="Times New Roman" w:hAnsi="Times New Roman"/>
          <w:sz w:val="28"/>
          <w:szCs w:val="28"/>
        </w:rPr>
        <w:t xml:space="preserve">вали абсолютные и относительные показания и противопоказания к оперативному лечению МКБ методами ПНЛТ и РПТ. Соответственно этим показаниям и противопоказаниям были разработаны критерии включения и исключения пациентов в исследование. </w:t>
      </w:r>
      <w:r>
        <w:rPr>
          <w:rFonts w:ascii="Times New Roman" w:hAnsi="Times New Roman"/>
          <w:sz w:val="28"/>
          <w:szCs w:val="28"/>
        </w:rPr>
        <w:tab/>
      </w:r>
    </w:p>
    <w:p w:rsidR="00750932" w:rsidRDefault="00816126">
      <w:pPr>
        <w:tabs>
          <w:tab w:val="left" w:pos="1134"/>
        </w:tabs>
        <w:spacing w:before="60" w:after="60" w:line="240" w:lineRule="auto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Клиническая характеристика </w:t>
      </w:r>
      <w:r>
        <w:rPr>
          <w:rFonts w:ascii="Times New Roman" w:hAnsi="Times New Roman"/>
          <w:i/>
          <w:iCs/>
          <w:sz w:val="28"/>
          <w:szCs w:val="28"/>
          <w:lang w:val="kk-KZ"/>
        </w:rPr>
        <w:t>пациентов</w:t>
      </w:r>
      <w:r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:rsidR="00750932" w:rsidRDefault="00816126">
      <w:pPr>
        <w:tabs>
          <w:tab w:val="left" w:pos="1134"/>
        </w:tabs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этническому признаку</w:t>
      </w:r>
      <w:r>
        <w:rPr>
          <w:rFonts w:ascii="Times New Roman" w:eastAsia="Calibri" w:hAnsi="Times New Roman"/>
          <w:sz w:val="28"/>
          <w:szCs w:val="28"/>
        </w:rPr>
        <w:t xml:space="preserve"> обследованных пациентов 85% были казахи, а остальные 15% другие национальности. </w:t>
      </w:r>
    </w:p>
    <w:p w:rsidR="00750932" w:rsidRDefault="00816126">
      <w:pPr>
        <w:tabs>
          <w:tab w:val="left" w:pos="1134"/>
        </w:tabs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половому признаку </w:t>
      </w:r>
      <w:r>
        <w:rPr>
          <w:rFonts w:ascii="Times New Roman" w:hAnsi="Times New Roman"/>
          <w:spacing w:val="-1"/>
          <w:sz w:val="28"/>
          <w:szCs w:val="28"/>
        </w:rPr>
        <w:t xml:space="preserve">мужчины 63 (42,75%) и 81 (56,25%) женщины. </w:t>
      </w:r>
      <w:r>
        <w:rPr>
          <w:rFonts w:ascii="Times New Roman" w:hAnsi="Times New Roman"/>
          <w:color w:val="000000"/>
          <w:sz w:val="28"/>
          <w:szCs w:val="28"/>
        </w:rPr>
        <w:t>В 1 группе из 74 пациентов было 27 мужчин 36,49%</w:t>
      </w:r>
      <w:r>
        <w:rPr>
          <w:rFonts w:ascii="Times New Roman" w:hAnsi="Times New Roman"/>
          <w:color w:val="000000"/>
          <w:sz w:val="28"/>
          <w:szCs w:val="28"/>
        </w:rPr>
        <w:t xml:space="preserve"> и 47 женщин (63,51%), во 2 группе – 28 мужчин (53,85%) и 24 женщины - 46,15%, в 3 группе всего 8 мужчин (44,44%) и 10 женщин (55,56%).</w:t>
      </w:r>
    </w:p>
    <w:p w:rsidR="00750932" w:rsidRDefault="00816126">
      <w:pPr>
        <w:pStyle w:val="Default"/>
        <w:spacing w:before="60" w:after="60"/>
        <w:ind w:firstLine="567"/>
        <w:jc w:val="both"/>
        <w:rPr>
          <w:rStyle w:val="y2iqfc"/>
          <w:rFonts w:ascii="inherit" w:hAnsi="inherit"/>
          <w:color w:val="202124"/>
          <w:sz w:val="28"/>
          <w:szCs w:val="28"/>
        </w:rPr>
      </w:pPr>
      <w:r>
        <w:rPr>
          <w:color w:val="auto"/>
          <w:sz w:val="28"/>
          <w:szCs w:val="28"/>
        </w:rPr>
        <w:t xml:space="preserve">Возраст </w:t>
      </w:r>
      <w:r>
        <w:rPr>
          <w:color w:val="auto"/>
          <w:sz w:val="28"/>
          <w:szCs w:val="28"/>
          <w:lang w:val="kk-KZ"/>
        </w:rPr>
        <w:t>пациентов</w:t>
      </w:r>
      <w:r>
        <w:rPr>
          <w:color w:val="auto"/>
          <w:sz w:val="28"/>
          <w:szCs w:val="28"/>
        </w:rPr>
        <w:t xml:space="preserve"> на момент проведения исследования колебался от 18 до 75 лет. Н</w:t>
      </w:r>
      <w:r>
        <w:rPr>
          <w:sz w:val="28"/>
          <w:szCs w:val="28"/>
        </w:rPr>
        <w:t xml:space="preserve">аибольшее число пациентов наблюдалось в </w:t>
      </w:r>
      <w:r>
        <w:rPr>
          <w:sz w:val="28"/>
          <w:szCs w:val="28"/>
        </w:rPr>
        <w:t xml:space="preserve">возрастных группах от 40 – 49 лет и 50 – 59 лет, в 1-й группе их составило 17 пациентов (11,8%) и 16 </w:t>
      </w:r>
      <w:r>
        <w:rPr>
          <w:sz w:val="28"/>
          <w:szCs w:val="28"/>
          <w:lang w:val="kk-KZ"/>
        </w:rPr>
        <w:t>пациентов</w:t>
      </w:r>
      <w:r>
        <w:rPr>
          <w:sz w:val="28"/>
          <w:szCs w:val="28"/>
        </w:rPr>
        <w:t xml:space="preserve"> (11,1%), во 2-й группе 12 (8,3%) и 17 </w:t>
      </w:r>
      <w:r>
        <w:rPr>
          <w:sz w:val="28"/>
          <w:szCs w:val="28"/>
          <w:lang w:val="kk-KZ"/>
        </w:rPr>
        <w:t>пациентов</w:t>
      </w:r>
      <w:r>
        <w:rPr>
          <w:sz w:val="28"/>
          <w:szCs w:val="28"/>
        </w:rPr>
        <w:t xml:space="preserve"> (11,8%) и в 3-й группе 4 (2,7%) и 7 </w:t>
      </w:r>
      <w:r>
        <w:rPr>
          <w:sz w:val="28"/>
          <w:szCs w:val="28"/>
          <w:lang w:val="kk-KZ"/>
        </w:rPr>
        <w:t xml:space="preserve">пациентов </w:t>
      </w:r>
      <w:r>
        <w:rPr>
          <w:sz w:val="28"/>
          <w:szCs w:val="28"/>
        </w:rPr>
        <w:t>(4,8%), соответственно. Средний возраст пациентов с</w:t>
      </w:r>
      <w:r>
        <w:rPr>
          <w:sz w:val="28"/>
          <w:szCs w:val="28"/>
        </w:rPr>
        <w:t>оставил 47,61±12,85 лет.</w:t>
      </w:r>
    </w:p>
    <w:p w:rsidR="00750932" w:rsidRDefault="00816126">
      <w:pPr>
        <w:tabs>
          <w:tab w:val="left" w:pos="1134"/>
        </w:tabs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показаний и противопоказаний к оперативному лечению (РПТ, ПНЛТ или комбинированного метода) связано с клинической оценкой таких параметров, как: размер и локализация камня, сроки нахождения камня, рентгенологическая стр</w:t>
      </w:r>
      <w:r>
        <w:rPr>
          <w:rFonts w:ascii="Times New Roman" w:hAnsi="Times New Roman"/>
          <w:sz w:val="28"/>
          <w:szCs w:val="28"/>
        </w:rPr>
        <w:t xml:space="preserve">уктура и анатомические особенности чашечно-лоханочной системы. </w:t>
      </w:r>
    </w:p>
    <w:p w:rsidR="00750932" w:rsidRDefault="00816126">
      <w:pPr>
        <w:spacing w:after="0" w:line="240" w:lineRule="auto"/>
        <w:ind w:right="-5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Конкременты почки различной локализации выявлены у 79 пациентов, из них камень правой почки обнаружили у 25,0% </w:t>
      </w:r>
      <w:r>
        <w:rPr>
          <w:rFonts w:ascii="Times New Roman" w:hAnsi="Times New Roman"/>
          <w:sz w:val="28"/>
          <w:szCs w:val="28"/>
          <w:lang w:val="kk-KZ"/>
        </w:rPr>
        <w:t>пациентов</w:t>
      </w:r>
      <w:r>
        <w:rPr>
          <w:rFonts w:ascii="Times New Roman" w:hAnsi="Times New Roman"/>
          <w:sz w:val="28"/>
          <w:szCs w:val="28"/>
        </w:rPr>
        <w:t xml:space="preserve">, левой почки у 18,05% </w:t>
      </w:r>
      <w:r>
        <w:rPr>
          <w:rFonts w:ascii="Times New Roman" w:hAnsi="Times New Roman"/>
          <w:sz w:val="28"/>
          <w:szCs w:val="28"/>
          <w:lang w:val="kk-KZ"/>
        </w:rPr>
        <w:t>пациентов</w:t>
      </w:r>
      <w:r>
        <w:rPr>
          <w:rFonts w:ascii="Times New Roman" w:hAnsi="Times New Roman"/>
          <w:sz w:val="28"/>
          <w:szCs w:val="28"/>
        </w:rPr>
        <w:t xml:space="preserve">, обеих почек в 11,80% случаях. Коралловидные камни (КК) выявлены у 34 пациентов, из них справа отмечены в 11,11% случаях, слева - 8,33%, двусторонние КК- 4,16%, соответственно. </w:t>
      </w:r>
      <w:r>
        <w:rPr>
          <w:rFonts w:ascii="Times New Roman" w:hAnsi="Times New Roman"/>
          <w:color w:val="000000"/>
          <w:sz w:val="28"/>
          <w:szCs w:val="28"/>
        </w:rPr>
        <w:t>Конкременты правой почки обнаружили у 15 пациентов (10,41%), а левой почки в 1</w:t>
      </w:r>
      <w:r>
        <w:rPr>
          <w:rFonts w:ascii="Times New Roman" w:hAnsi="Times New Roman"/>
          <w:color w:val="000000"/>
          <w:sz w:val="28"/>
          <w:szCs w:val="28"/>
        </w:rPr>
        <w:t xml:space="preserve">6 случаях (11,11%).  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Выявлена одинаковая локализация камней, что справа 43,75% и слев</w:t>
      </w:r>
      <w:r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</w:rPr>
        <w:t xml:space="preserve"> составило 40,28%. Двусторонний характер МКБ отмечен у 23 пациентов, что составило 15,97%. 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Камни почки различной локализации выявлены у 144 пациентов, в том числе камни в нижней чашечке в 40 случаях (27,7%), в средней чашечке 9,7% и в верхней чашечке 8,3%. Среди пациентов с камнями почки наиболее распространенной явилась локализация камней в лох</w:t>
      </w:r>
      <w:r>
        <w:rPr>
          <w:rFonts w:ascii="Times New Roman" w:hAnsi="Times New Roman"/>
          <w:sz w:val="28"/>
          <w:szCs w:val="28"/>
        </w:rPr>
        <w:t xml:space="preserve">анке - у 67 пациентов (46,5%). В 11 случаях с камнями лоханки, встречалась локализация камней в в/3 мочеточника.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наибольшего количества пациентов (25,6%) размер камней составил от 1,0 до 1,5 см. Камни размерами 1,5-2,0 см у 20,8% пациентов, 2,1-3,0 см –</w:t>
      </w:r>
      <w:r>
        <w:rPr>
          <w:rFonts w:ascii="Times New Roman" w:hAnsi="Times New Roman"/>
          <w:sz w:val="28"/>
          <w:szCs w:val="28"/>
        </w:rPr>
        <w:t xml:space="preserve">  18,0%, 3,1-4,0 см –  10,4%, 4,1-5,0 см – 6,25%, 5,1-6,0 см – 10,4%, соответственно. У 12 пациентов (8,3%) размер конкрементов составил 6,1-10,0 см.</w:t>
      </w:r>
    </w:p>
    <w:p w:rsidR="00750932" w:rsidRDefault="00816126">
      <w:pPr>
        <w:pStyle w:val="Default"/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Методы лечения</w:t>
      </w:r>
      <w:r>
        <w:rPr>
          <w:sz w:val="28"/>
          <w:szCs w:val="28"/>
        </w:rPr>
        <w:t xml:space="preserve">. РПТ производилась </w:t>
      </w:r>
      <w:r>
        <w:rPr>
          <w:rFonts w:eastAsia="Calibri"/>
          <w:bCs/>
          <w:sz w:val="28"/>
          <w:szCs w:val="28"/>
        </w:rPr>
        <w:t xml:space="preserve">регидным уретероскопом </w:t>
      </w:r>
      <w:r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  <w:lang w:val="en-US"/>
        </w:rPr>
        <w:t>Storz</w:t>
      </w:r>
      <w:r>
        <w:rPr>
          <w:rFonts w:eastAsia="Calibri"/>
          <w:sz w:val="28"/>
          <w:szCs w:val="28"/>
        </w:rPr>
        <w:t>», для разрушения камней использовали гольм</w:t>
      </w:r>
      <w:r>
        <w:rPr>
          <w:rFonts w:eastAsia="Calibri"/>
          <w:sz w:val="28"/>
          <w:szCs w:val="28"/>
        </w:rPr>
        <w:t xml:space="preserve">иевый лазер «Аурига». </w:t>
      </w:r>
      <w:r>
        <w:rPr>
          <w:sz w:val="28"/>
          <w:szCs w:val="28"/>
        </w:rPr>
        <w:t>Для проведения ПНЛТ б</w:t>
      </w:r>
      <w:r>
        <w:rPr>
          <w:rFonts w:eastAsia="Calibri"/>
          <w:sz w:val="28"/>
          <w:szCs w:val="28"/>
        </w:rPr>
        <w:t>ужирование осуществля</w:t>
      </w:r>
      <w:r>
        <w:rPr>
          <w:rFonts w:eastAsia="Calibri"/>
          <w:sz w:val="28"/>
          <w:szCs w:val="28"/>
          <w:lang w:val="kk-KZ"/>
        </w:rPr>
        <w:t>лось</w:t>
      </w:r>
      <w:r>
        <w:rPr>
          <w:rFonts w:eastAsia="Calibri"/>
          <w:sz w:val="28"/>
          <w:szCs w:val="28"/>
        </w:rPr>
        <w:t xml:space="preserve"> по проводнику телескопическим набором бужей «</w:t>
      </w:r>
      <w:r>
        <w:rPr>
          <w:rFonts w:eastAsia="Calibri"/>
          <w:sz w:val="28"/>
          <w:szCs w:val="28"/>
          <w:lang w:val="en-US"/>
        </w:rPr>
        <w:t>Alkon</w:t>
      </w:r>
      <w:r>
        <w:rPr>
          <w:rFonts w:eastAsia="Calibri"/>
          <w:sz w:val="28"/>
          <w:szCs w:val="28"/>
        </w:rPr>
        <w:t>» с последующей установкой стержневого ствола для проведения нефроскопа. Для фрагментации камня использовал</w:t>
      </w:r>
      <w:r>
        <w:rPr>
          <w:rFonts w:eastAsia="Calibri"/>
          <w:sz w:val="28"/>
          <w:szCs w:val="28"/>
          <w:lang w:val="kk-KZ"/>
        </w:rPr>
        <w:t>ись</w:t>
      </w:r>
      <w:r>
        <w:rPr>
          <w:rFonts w:eastAsia="Calibri"/>
          <w:sz w:val="28"/>
          <w:szCs w:val="28"/>
        </w:rPr>
        <w:t xml:space="preserve"> различные виды контактных </w:t>
      </w:r>
      <w:r>
        <w:rPr>
          <w:rFonts w:eastAsia="Calibri"/>
          <w:sz w:val="28"/>
          <w:szCs w:val="28"/>
        </w:rPr>
        <w:t>литотриптеров, как по отдельности, так и в комбинациях. Для ультразвукового разрушения камней использовали немецкий литотриптер «</w:t>
      </w:r>
      <w:r>
        <w:rPr>
          <w:rFonts w:eastAsia="Calibri"/>
          <w:sz w:val="28"/>
          <w:szCs w:val="28"/>
          <w:lang w:val="en-US"/>
        </w:rPr>
        <w:t>Storz</w:t>
      </w:r>
      <w:r>
        <w:rPr>
          <w:rFonts w:eastAsia="Calibri"/>
          <w:sz w:val="28"/>
          <w:szCs w:val="28"/>
        </w:rPr>
        <w:t>», механический литотриптер «</w:t>
      </w:r>
      <w:r>
        <w:rPr>
          <w:rFonts w:eastAsia="Calibri"/>
          <w:sz w:val="28"/>
          <w:szCs w:val="28"/>
          <w:lang w:val="en-US"/>
        </w:rPr>
        <w:t>Lithoclastmaster</w:t>
      </w:r>
      <w:r>
        <w:rPr>
          <w:rFonts w:eastAsia="Calibri"/>
          <w:sz w:val="28"/>
          <w:szCs w:val="28"/>
        </w:rPr>
        <w:t>» (Швецария). Оставшиеся фрагменты извлекались по просвету кожуха «</w:t>
      </w:r>
      <w:r>
        <w:rPr>
          <w:rFonts w:eastAsia="Calibri"/>
          <w:sz w:val="28"/>
          <w:szCs w:val="28"/>
          <w:lang w:val="en-US"/>
        </w:rPr>
        <w:t>Amplatz</w:t>
      </w:r>
      <w:r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  <w:lang w:val="en-US"/>
        </w:rPr>
        <w:t>c</w:t>
      </w:r>
      <w:r>
        <w:rPr>
          <w:rFonts w:eastAsia="Calibri"/>
          <w:sz w:val="28"/>
          <w:szCs w:val="28"/>
        </w:rPr>
        <w:t xml:space="preserve"> помощью манипуляционных щипцов. Все оперативные вмешательства проводили под спинномозговой анестезией (СМА).  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Методы статистического анализа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50932" w:rsidRDefault="008161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Статистический анализ проводился с использованием SAS University Edition, версия 3.8 (SAS Institute Inc., Кэри,</w:t>
      </w:r>
      <w:r>
        <w:rPr>
          <w:rFonts w:ascii="Times New Roman" w:hAnsi="Times New Roman"/>
          <w:sz w:val="28"/>
          <w:szCs w:val="28"/>
        </w:rPr>
        <w:t xml:space="preserve"> Северная Каролина, США). Категориальные переменные выражались как частота и процент. Мы использовали тест хи-квадрат и точный тест Фишера для оценки различий и ассоциаций между переменными. Непрерывные переменные были выражены как среднее значение и станд</w:t>
      </w:r>
      <w:r>
        <w:rPr>
          <w:rFonts w:ascii="Times New Roman" w:hAnsi="Times New Roman"/>
          <w:sz w:val="28"/>
          <w:szCs w:val="28"/>
        </w:rPr>
        <w:t>артное отклонение (СО) и были проанализированы с использованием одностороннего дисперсионного анализа. Тест Краскела-Уоллиса использовался для сравнения ненормально распределенных непрерывных переменных и представленных в виде медианы (межквартильный разма</w:t>
      </w:r>
      <w:r>
        <w:rPr>
          <w:rFonts w:ascii="Times New Roman" w:hAnsi="Times New Roman"/>
          <w:sz w:val="28"/>
          <w:szCs w:val="28"/>
        </w:rPr>
        <w:t>х). Мы использовали логистическую регрессию для оценки грубого и скорректированного отношения шансов. (OR) и 95% доверительные интервалы (CI) для ассоциаций между потенциальными факторами риска и частота отсутствия конкрементов, интра - и послеоперационные</w:t>
      </w:r>
      <w:r>
        <w:rPr>
          <w:rFonts w:ascii="Times New Roman" w:hAnsi="Times New Roman"/>
          <w:sz w:val="28"/>
          <w:szCs w:val="28"/>
        </w:rPr>
        <w:t xml:space="preserve"> осложнения. Альфа-уровень был установлен на 0,05. считая его статистически значимым.</w:t>
      </w:r>
    </w:p>
    <w:p w:rsidR="00750932" w:rsidRDefault="00816126">
      <w:pPr>
        <w:pStyle w:val="ab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color w:val="000000"/>
          <w:sz w:val="28"/>
          <w:szCs w:val="28"/>
        </w:rPr>
        <w:t xml:space="preserve">Мета – анализ </w:t>
      </w:r>
      <w:r>
        <w:rPr>
          <w:rFonts w:ascii="Times New Roman" w:hAnsi="Times New Roman"/>
          <w:i/>
          <w:sz w:val="28"/>
          <w:szCs w:val="28"/>
        </w:rPr>
        <w:t>малоинвазивных методов лечения мочекаменной болезни.</w:t>
      </w:r>
    </w:p>
    <w:p w:rsidR="00750932" w:rsidRDefault="00816126">
      <w:pPr>
        <w:tabs>
          <w:tab w:val="left" w:pos="900"/>
          <w:tab w:val="left" w:pos="990"/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С целью </w:t>
      </w:r>
      <w:r>
        <w:rPr>
          <w:rFonts w:ascii="Times New Roman" w:hAnsi="Times New Roman"/>
          <w:sz w:val="28"/>
          <w:szCs w:val="28"/>
        </w:rPr>
        <w:t>сравнения эффективности различных хирургических методов лечения МКБ мы провели м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ета – анализ </w:t>
      </w:r>
      <w:r>
        <w:rPr>
          <w:rFonts w:ascii="Times New Roman" w:hAnsi="Times New Roman"/>
          <w:sz w:val="28"/>
          <w:szCs w:val="28"/>
        </w:rPr>
        <w:t xml:space="preserve">малоинвазивных методов лечения мочекаменной болезни. Вмета – анализе мы дали </w:t>
      </w:r>
      <w:r>
        <w:rPr>
          <w:rFonts w:ascii="Times New Roman" w:eastAsia="Calibri" w:hAnsi="Times New Roman"/>
          <w:color w:val="000000"/>
          <w:sz w:val="28"/>
          <w:szCs w:val="28"/>
        </w:rPr>
        <w:t>объективную оценку существующих методов лечения МКБ, также провели анализ в сравнительном аспекте эффективности различных малоинвазивных методов лечения.</w:t>
      </w:r>
    </w:p>
    <w:p w:rsidR="00750932" w:rsidRDefault="00816126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нашего исследования п</w:t>
      </w:r>
      <w:r>
        <w:rPr>
          <w:rFonts w:ascii="Times New Roman" w:hAnsi="Times New Roman"/>
          <w:sz w:val="28"/>
          <w:szCs w:val="28"/>
        </w:rPr>
        <w:t xml:space="preserve">роведенный нами мета-анализ сравнительного разбора малоинвазивных методов оперативных вмешательств при МКБ дал возможность научно обосновать данные диссертационные исследования.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rFonts w:ascii="Times New Roman" w:eastAsia="Calibri" w:hAnsi="Times New Roman"/>
          <w:i/>
          <w:color w:val="000000"/>
          <w:sz w:val="28"/>
          <w:szCs w:val="28"/>
        </w:rPr>
        <w:t xml:space="preserve">Результаты лечения ретроградной пиелолитотрипсии. </w:t>
      </w:r>
      <w:r>
        <w:rPr>
          <w:rFonts w:ascii="Times New Roman" w:eastAsia="Calibri" w:hAnsi="Times New Roman"/>
          <w:sz w:val="28"/>
          <w:szCs w:val="28"/>
        </w:rPr>
        <w:t>При определении показаний к</w:t>
      </w:r>
      <w:r>
        <w:rPr>
          <w:rFonts w:ascii="Times New Roman" w:eastAsia="Calibri" w:hAnsi="Times New Roman"/>
          <w:sz w:val="28"/>
          <w:szCs w:val="28"/>
        </w:rPr>
        <w:t xml:space="preserve"> РПТ из 74 пациентов конкременты </w:t>
      </w:r>
      <w:r>
        <w:rPr>
          <w:rFonts w:ascii="Times New Roman" w:hAnsi="Times New Roman"/>
          <w:sz w:val="28"/>
          <w:szCs w:val="28"/>
        </w:rPr>
        <w:t xml:space="preserve">до 1,5 см. встречались у 37 пациентов (50%), от 1,6 – 2 см конкременты были в 23 случаях (31%) и до 3 см у 14 пациентов (19%).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Пациенты со</w:t>
      </w:r>
      <w:r>
        <w:rPr>
          <w:rFonts w:ascii="Times New Roman" w:eastAsia="Calibri" w:hAnsi="Times New Roman"/>
          <w:sz w:val="28"/>
          <w:szCs w:val="28"/>
        </w:rPr>
        <w:t xml:space="preserve">структурной плотностью камней от 801-1,900 HU подвергались </w:t>
      </w:r>
      <w:r>
        <w:rPr>
          <w:rFonts w:ascii="Times New Roman" w:hAnsi="Times New Roman"/>
          <w:sz w:val="28"/>
          <w:szCs w:val="28"/>
        </w:rPr>
        <w:t>РПТ с хорошим эффектом, в</w:t>
      </w:r>
      <w:r>
        <w:rPr>
          <w:rFonts w:ascii="Times New Roman" w:hAnsi="Times New Roman"/>
          <w:sz w:val="28"/>
          <w:szCs w:val="28"/>
        </w:rPr>
        <w:t>ремя операции составило в среднем 55,94±26,50 мин.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РПТ в 62 случаях (83,78%) оказалась успешной, а в 12 случаях (16,22%) неэффективной, так как не удалось полностью </w:t>
      </w:r>
      <w:r>
        <w:rPr>
          <w:rFonts w:ascii="Times New Roman" w:hAnsi="Times New Roman"/>
          <w:sz w:val="28"/>
          <w:szCs w:val="28"/>
          <w:lang w:val="kk-KZ"/>
        </w:rPr>
        <w:t>фрагментировать</w:t>
      </w:r>
      <w:r>
        <w:rPr>
          <w:rFonts w:ascii="Times New Roman" w:hAnsi="Times New Roman"/>
          <w:sz w:val="28"/>
          <w:szCs w:val="28"/>
        </w:rPr>
        <w:t xml:space="preserve"> конкремент. После выполнения РПТ, резидуальные фрагменты размерами от 2 – 4 мм отходили самостоятельно. В 1 наблюдении (1,35%) была выявлена стриктура мочеточника, в 2 случаях (2,7%) перегиб мочеточника. Двум пациентам выполнено эндоскопическое бужировани</w:t>
      </w:r>
      <w:r>
        <w:rPr>
          <w:rFonts w:ascii="Times New Roman" w:hAnsi="Times New Roman"/>
          <w:sz w:val="28"/>
          <w:szCs w:val="28"/>
        </w:rPr>
        <w:t>е стриктуры мочеточника с установкой стент-катетера, с дальнейшей заменой стент-катетера через 1 месяц, который удален через 1 месяц. Одному пациенту произведена уретеропиелопластика с внутренним дренированием. В результате проведенного лечения через 1 мес</w:t>
      </w:r>
      <w:r>
        <w:rPr>
          <w:rFonts w:ascii="Times New Roman" w:hAnsi="Times New Roman"/>
          <w:sz w:val="28"/>
          <w:szCs w:val="28"/>
        </w:rPr>
        <w:t xml:space="preserve">яц у этих 3 пациентов с осложнениями пассаж мочи был полностью восстановлен. Осложнения, как обострение хронического пиелонефрита после РПТ отмечено у 5 пациентов (6,76%).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исследования, количество нами проведенных успешных РПТ позволяет счи</w:t>
      </w:r>
      <w:r>
        <w:rPr>
          <w:rFonts w:ascii="Times New Roman" w:hAnsi="Times New Roman"/>
          <w:sz w:val="28"/>
          <w:szCs w:val="28"/>
        </w:rPr>
        <w:t xml:space="preserve">тать, что данный метод более эффективный при удалении  конкрементов до 3 см., эффективность лечения после операции составила 83,78%, а клиническая эффективность лечения, оцененная через 4 недели после РПТ 92%.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Результаты лечения перкутанной </w:t>
      </w:r>
      <w:r>
        <w:rPr>
          <w:rFonts w:ascii="Times New Roman" w:eastAsia="Calibri" w:hAnsi="Times New Roman"/>
          <w:i/>
          <w:sz w:val="28"/>
          <w:szCs w:val="28"/>
        </w:rPr>
        <w:t>нефролитотрипс</w:t>
      </w:r>
      <w:r>
        <w:rPr>
          <w:rFonts w:ascii="Times New Roman" w:eastAsia="Calibri" w:hAnsi="Times New Roman"/>
          <w:i/>
          <w:sz w:val="28"/>
          <w:szCs w:val="28"/>
        </w:rPr>
        <w:t xml:space="preserve">ии. </w:t>
      </w:r>
      <w:r>
        <w:rPr>
          <w:rFonts w:ascii="Times New Roman" w:eastAsia="Calibri" w:hAnsi="Times New Roman"/>
          <w:sz w:val="28"/>
          <w:szCs w:val="28"/>
        </w:rPr>
        <w:t xml:space="preserve">При определении показаний к ПЛНТ из 52 пациентов </w:t>
      </w:r>
      <w:r>
        <w:rPr>
          <w:rFonts w:ascii="Times New Roman" w:hAnsi="Times New Roman"/>
          <w:sz w:val="28"/>
          <w:szCs w:val="28"/>
        </w:rPr>
        <w:t xml:space="preserve">с МКБ от 1,6 – 2 см. конкременты встречались в 7 случаях (13,46%), от 2,1 – 3 см были у 11 пациентов (21,1%), от 3,1 – 4 см. конкременты  в 14 случаях (26,9%), от 4,1 – 5 см у 8 пациентов (15,3%) и у 12 </w:t>
      </w:r>
      <w:r>
        <w:rPr>
          <w:rFonts w:ascii="Times New Roman" w:hAnsi="Times New Roman"/>
          <w:sz w:val="28"/>
          <w:szCs w:val="28"/>
        </w:rPr>
        <w:t xml:space="preserve">лиц от 5,1 – 6 см. 23,0%. 52 пациентам, где 24 пациента (46,1%) имели коралловидный конкремент (К-1, К-2, К-3), Удаление </w:t>
      </w:r>
      <w:r>
        <w:rPr>
          <w:rFonts w:ascii="Times New Roman" w:eastAsia="Calibri" w:hAnsi="Times New Roman"/>
          <w:sz w:val="28"/>
          <w:szCs w:val="28"/>
        </w:rPr>
        <w:t xml:space="preserve">конкрементов в правой почке у 18 пациентов (34,6%) и в 10 случаях (19,2%) был конкрементов в левой почке.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ПНЛТ проводится в</w:t>
      </w:r>
      <w:r>
        <w:rPr>
          <w:rFonts w:ascii="Times New Roman" w:eastAsia="Calibri" w:hAnsi="Times New Roman"/>
          <w:sz w:val="28"/>
          <w:szCs w:val="28"/>
        </w:rPr>
        <w:t xml:space="preserve"> 2-а этапа: в начале создается антеградный пункционный доступ к почке, а затем удаление камня через сформированный нефростомический ход.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23 пациентов (44,2%), когда размеры конкремента не превышали от 2,1 – 4,0 см, камни удалялись целиком, у 11 пациенто</w:t>
      </w:r>
      <w:r>
        <w:rPr>
          <w:rFonts w:ascii="Times New Roman" w:hAnsi="Times New Roman"/>
          <w:sz w:val="28"/>
          <w:szCs w:val="28"/>
        </w:rPr>
        <w:t xml:space="preserve">в (21,1%) камни удаляли (при конкрементах большего размера) после предварительной </w:t>
      </w:r>
      <w:r>
        <w:rPr>
          <w:rFonts w:ascii="Times New Roman" w:eastAsia="Calibri" w:hAnsi="Times New Roman"/>
          <w:color w:val="000000"/>
          <w:sz w:val="28"/>
          <w:szCs w:val="28"/>
        </w:rPr>
        <w:t>контактной литотрипсии. После ПНЛТ миграция фрагментов коралловидного конкремента в мочеточник наблюдалась у 3 пациентов (5,7%) и им заключительно проведена уретеролитоэкстра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кция. </w:t>
      </w:r>
    </w:p>
    <w:p w:rsidR="00750932" w:rsidRDefault="00816126">
      <w:pPr>
        <w:spacing w:after="0" w:line="240" w:lineRule="auto"/>
        <w:ind w:right="-2"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sz w:val="28"/>
          <w:szCs w:val="28"/>
        </w:rPr>
        <w:t>В раннем послеоперационном периоде послеоперационные осложнения у 42 пациентов (78,85%) не наблюдались. После проведения ПНЛТ в 10 случаях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(19,23%) наблюдались высокая лихорадка и гематурия, а в 9 случаях (17,31%) было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обострение хронического </w:t>
      </w:r>
      <w:r>
        <w:rPr>
          <w:rFonts w:ascii="Times New Roman" w:eastAsia="Calibri" w:hAnsi="Times New Roman"/>
          <w:color w:val="000000"/>
          <w:sz w:val="28"/>
          <w:szCs w:val="28"/>
        </w:rPr>
        <w:t>калькулезного пиелонефрита. 2 пациентам (3,85%) при ПНЛТ проведена гемотрансфузия. П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ациентам с осложнениями после ПНЛТ проводилась соответствующая консервативная терапия.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После выполнения ПНЛТ у 3 пациентов были выявлены резидуальные </w:t>
      </w:r>
      <w:r>
        <w:rPr>
          <w:rFonts w:ascii="Times New Roman" w:hAnsi="Times New Roman"/>
          <w:sz w:val="28"/>
          <w:szCs w:val="28"/>
        </w:rPr>
        <w:t xml:space="preserve">конкременты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от 5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10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мм в диаметре, в дальнейшем этим пациентам было выполнено по одному сеансу ЭУВЛ с положительным эффектом.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val="kk-KZ"/>
        </w:rPr>
        <w:t>В результате исследования</w:t>
      </w:r>
      <w:r>
        <w:rPr>
          <w:rFonts w:ascii="Times New Roman" w:hAnsi="Times New Roman"/>
          <w:sz w:val="28"/>
          <w:szCs w:val="28"/>
        </w:rPr>
        <w:t xml:space="preserve"> при ПНЛТ установлено, что у пациентов по критерию Stone free </w:t>
      </w:r>
      <w:r>
        <w:rPr>
          <w:rFonts w:ascii="Times New Roman" w:hAnsi="Times New Roman"/>
          <w:sz w:val="28"/>
          <w:szCs w:val="28"/>
          <w:lang w:val="en-US"/>
        </w:rPr>
        <w:t>rate</w:t>
      </w:r>
      <w:r>
        <w:rPr>
          <w:rFonts w:ascii="Times New Roman" w:hAnsi="Times New Roman"/>
          <w:sz w:val="28"/>
          <w:szCs w:val="28"/>
        </w:rPr>
        <w:t xml:space="preserve"> эффективность лечения составила 78,85%. Клиническая эффек</w:t>
      </w:r>
      <w:r>
        <w:rPr>
          <w:rFonts w:ascii="Times New Roman" w:hAnsi="Times New Roman"/>
          <w:sz w:val="28"/>
          <w:szCs w:val="28"/>
        </w:rPr>
        <w:t>тивность лечения, оцененная через 4 недели после ПЛНТ 91%.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Результаты лечения </w:t>
      </w:r>
      <w:r>
        <w:rPr>
          <w:rFonts w:a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уретеролитиаза. </w:t>
      </w:r>
      <w:r>
        <w:rPr>
          <w:rFonts w:ascii="Times New Roman" w:eastAsia="Calibri" w:hAnsi="Times New Roman"/>
          <w:sz w:val="28"/>
          <w:szCs w:val="28"/>
        </w:rPr>
        <w:t xml:space="preserve">Предложенный нами комбинированной метод позволяет лечить </w:t>
      </w:r>
      <w:r>
        <w:rPr>
          <w:rFonts w:ascii="Times New Roman" w:eastAsia="Calibri" w:hAnsi="Times New Roman"/>
          <w:sz w:val="28"/>
          <w:szCs w:val="28"/>
          <w:lang w:val="kk-KZ"/>
        </w:rPr>
        <w:t>пациентов</w:t>
      </w:r>
      <w:r>
        <w:rPr>
          <w:rFonts w:ascii="Times New Roman" w:eastAsia="Calibri" w:hAnsi="Times New Roman"/>
          <w:sz w:val="28"/>
          <w:szCs w:val="28"/>
        </w:rPr>
        <w:t xml:space="preserve"> с клинически сложными вариантами нефролитиаза (крупные, плотные</w:t>
      </w:r>
      <w:r>
        <w:rPr>
          <w:rFonts w:ascii="Times New Roman" w:eastAsia="Calibri" w:hAnsi="Times New Roman"/>
          <w:sz w:val="28"/>
          <w:szCs w:val="28"/>
        </w:rPr>
        <w:t>, множественные, рецидивные, рентгеннегативные, коралловидные камни, а также больных с аномалиями верхних мочевых путей и единственно функционирующей почкой). Достоинством метода является минимизация оперативного доступа при сохранении адекватного объема в</w:t>
      </w:r>
      <w:r>
        <w:rPr>
          <w:rFonts w:ascii="Times New Roman" w:eastAsia="Calibri" w:hAnsi="Times New Roman"/>
          <w:sz w:val="28"/>
          <w:szCs w:val="28"/>
        </w:rPr>
        <w:t>мешательства.</w:t>
      </w:r>
      <w:r>
        <w:rPr>
          <w:rFonts w:ascii="Times New Roman" w:eastAsia="Calibri" w:hAnsi="Times New Roman"/>
          <w:bCs/>
          <w:sz w:val="28"/>
          <w:szCs w:val="28"/>
        </w:rPr>
        <w:t xml:space="preserve"> При комбинированном методе в первую очередь проводится ретроградная пиелолитотрипсия, поэтому пациент сначала укладывается на спину, операция проводится под СМА анестезией. После окончания пиелолитотрипсии устанавливается мочеточниковый стент</w:t>
      </w:r>
      <w:r>
        <w:rPr>
          <w:rFonts w:ascii="Times New Roman" w:eastAsia="Calibri" w:hAnsi="Times New Roman"/>
          <w:bCs/>
          <w:sz w:val="28"/>
          <w:szCs w:val="28"/>
        </w:rPr>
        <w:t xml:space="preserve"> и пациента перекладывают на живот для проведения перкутанной нефролитотрипсии. При полной эвакуации конкрементов нефростома не устанавливается после операции, остается только стент-катетер для дренирования мочевых путей и почки.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Основными показаниями к п</w:t>
      </w:r>
      <w:r>
        <w:rPr>
          <w:rFonts w:ascii="Times New Roman" w:eastAsia="Calibri" w:hAnsi="Times New Roman"/>
          <w:bCs/>
          <w:sz w:val="28"/>
          <w:szCs w:val="28"/>
        </w:rPr>
        <w:t>роведению комбинированного метода являлись крупные (более 5,0 см) и плотные (свыше 1000 ед. HU и более) конкременты почек, а также при сложных клинических формах уролитиаза и наличие одиночных конкрементов в/3 мочеточника и лоханки или нижней чашечки.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После окончания первого этапа лечения, пиелолитотрипсии устанавливается мочеточниковый катетер или стент-катетер, это помогает предотвращению миграции конкрементов в мочеточник при проведении перкутанной нефролитотрипсии.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 определении показаний к</w:t>
      </w:r>
      <w:r>
        <w:rPr>
          <w:rFonts w:ascii="Times New Roman" w:hAnsi="Times New Roman"/>
          <w:sz w:val="28"/>
          <w:szCs w:val="28"/>
        </w:rPr>
        <w:t xml:space="preserve"> комбин</w:t>
      </w:r>
      <w:r>
        <w:rPr>
          <w:rFonts w:ascii="Times New Roman" w:hAnsi="Times New Roman"/>
          <w:sz w:val="28"/>
          <w:szCs w:val="28"/>
        </w:rPr>
        <w:t>ированному методу из 18 пациентов с МКБ от 2 – 5 см. конкременты встречались в ед</w:t>
      </w:r>
      <w:r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</w:rPr>
        <w:t xml:space="preserve">ничных случаях, а 5,1 – 6 см. у 3 пациентов (16,6%) и от 6,1 – 10 см. в 12 случаях (66,6%). 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</w:t>
      </w:r>
      <w:r>
        <w:rPr>
          <w:rFonts w:ascii="Times New Roman" w:eastAsia="Calibri" w:hAnsi="Times New Roman"/>
          <w:sz w:val="28"/>
          <w:szCs w:val="28"/>
          <w:lang w:val="kk-KZ"/>
        </w:rPr>
        <w:t>10</w:t>
      </w:r>
      <w:r>
        <w:rPr>
          <w:rFonts w:ascii="Times New Roman" w:eastAsia="Calibri" w:hAnsi="Times New Roman"/>
          <w:sz w:val="28"/>
          <w:szCs w:val="28"/>
        </w:rPr>
        <w:t xml:space="preserve"> случаях </w:t>
      </w:r>
      <w:r>
        <w:rPr>
          <w:rFonts w:ascii="Times New Roman" w:hAnsi="Times New Roman"/>
          <w:color w:val="000000"/>
          <w:sz w:val="28"/>
          <w:szCs w:val="28"/>
        </w:rPr>
        <w:t>одномоментно проведен комбинированный метод. У 8 пациентов комбиниро</w:t>
      </w:r>
      <w:r>
        <w:rPr>
          <w:rFonts w:ascii="Times New Roman" w:hAnsi="Times New Roman"/>
          <w:color w:val="000000"/>
          <w:sz w:val="28"/>
          <w:szCs w:val="28"/>
        </w:rPr>
        <w:t xml:space="preserve">ванный метод выполнен в 2 этапа </w:t>
      </w:r>
      <w:r>
        <w:rPr>
          <w:rFonts w:ascii="Times New Roman" w:eastAsia="Calibri" w:hAnsi="Times New Roman"/>
          <w:sz w:val="28"/>
          <w:szCs w:val="28"/>
        </w:rPr>
        <w:t>(первый этап - перкутанная нефростомия или установка стент-катетера). В данной группе</w:t>
      </w:r>
      <w:r>
        <w:rPr>
          <w:rFonts w:ascii="Times New Roman" w:hAnsi="Times New Roman"/>
          <w:color w:val="000000"/>
          <w:sz w:val="28"/>
          <w:szCs w:val="28"/>
        </w:rPr>
        <w:t xml:space="preserve"> в среднем операция длилась </w:t>
      </w:r>
      <w:r>
        <w:rPr>
          <w:rFonts w:ascii="Times New Roman" w:hAnsi="Times New Roman"/>
          <w:sz w:val="28"/>
          <w:szCs w:val="28"/>
        </w:rPr>
        <w:t>58,88±13,12 минут.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После проведенной комбинированной операции у 17 пациентов (94,44%) полостная система почек и</w:t>
      </w:r>
      <w:r>
        <w:rPr>
          <w:rFonts w:ascii="Times New Roman" w:eastAsia="Calibri" w:hAnsi="Times New Roman"/>
          <w:bCs/>
          <w:sz w:val="28"/>
          <w:szCs w:val="28"/>
        </w:rPr>
        <w:t xml:space="preserve"> мочеточника полностью освобождена от конкрементов (</w:t>
      </w:r>
      <w:r>
        <w:rPr>
          <w:rFonts w:ascii="Times New Roman" w:eastAsia="Calibri" w:hAnsi="Times New Roman"/>
          <w:bCs/>
          <w:sz w:val="28"/>
          <w:szCs w:val="28"/>
          <w:lang w:val="en-US"/>
        </w:rPr>
        <w:t>Stone</w:t>
      </w:r>
      <w:r>
        <w:rPr>
          <w:rFonts w:ascii="Times New Roman" w:eastAsia="Calibri" w:hAnsi="Times New Roman"/>
          <w:bCs/>
          <w:sz w:val="28"/>
          <w:szCs w:val="28"/>
        </w:rPr>
        <w:t>-</w:t>
      </w:r>
      <w:r>
        <w:rPr>
          <w:rFonts w:ascii="Times New Roman" w:eastAsia="Calibri" w:hAnsi="Times New Roman"/>
          <w:bCs/>
          <w:sz w:val="28"/>
          <w:szCs w:val="28"/>
          <w:lang w:val="en-US"/>
        </w:rPr>
        <w:t>freerate</w:t>
      </w:r>
      <w:r>
        <w:rPr>
          <w:rFonts w:ascii="Times New Roman" w:eastAsia="Calibri" w:hAnsi="Times New Roman"/>
          <w:bCs/>
          <w:sz w:val="28"/>
          <w:szCs w:val="28"/>
        </w:rPr>
        <w:t xml:space="preserve">). У оставшегося 1 пациента (5,5%) отмечались резидуальные конкременты. Данному пациенту произведен дополнительно сеанс ЭУВЛ.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Интраоперационных осложнений, потребовавших проведение открытог</w:t>
      </w:r>
      <w:r>
        <w:rPr>
          <w:rFonts w:ascii="Times New Roman" w:eastAsia="Calibri" w:hAnsi="Times New Roman"/>
          <w:bCs/>
          <w:sz w:val="28"/>
          <w:szCs w:val="28"/>
        </w:rPr>
        <w:t>о оперативного вмешательства, не было.  У 1 пациента произведена перкутанная нефролитотрипсия двумя доступами. Инфекционно-воспалительные осложнения отмечались у 3 пациентов (7,3%), и были купированы консервативно.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В результате исследования</w:t>
      </w:r>
      <w:r>
        <w:rPr>
          <w:rFonts w:ascii="Times New Roman" w:hAnsi="Times New Roman"/>
          <w:sz w:val="28"/>
          <w:szCs w:val="28"/>
        </w:rPr>
        <w:t xml:space="preserve"> у пациентов 3-й</w:t>
      </w:r>
      <w:r>
        <w:rPr>
          <w:rFonts w:ascii="Times New Roman" w:hAnsi="Times New Roman"/>
          <w:sz w:val="28"/>
          <w:szCs w:val="28"/>
        </w:rPr>
        <w:t xml:space="preserve"> группы (комбинированный метод) по критерию Stone free </w:t>
      </w:r>
      <w:r>
        <w:rPr>
          <w:rFonts w:ascii="Times New Roman" w:hAnsi="Times New Roman"/>
          <w:sz w:val="28"/>
          <w:szCs w:val="28"/>
          <w:lang w:val="en-US"/>
        </w:rPr>
        <w:t>rate</w:t>
      </w:r>
      <w:r>
        <w:rPr>
          <w:rFonts w:ascii="Times New Roman" w:hAnsi="Times New Roman"/>
          <w:sz w:val="28"/>
          <w:szCs w:val="28"/>
        </w:rPr>
        <w:t xml:space="preserve"> (полное очищение почки от камня и его фрагментов) эффективность лечения составила 95%, а клиническая эффективность лечения, оцененная через 4 недели 95%.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Сравнительный анализ </w:t>
      </w:r>
      <w:r>
        <w:rPr>
          <w:rFonts w:ascii="Times New Roman" w:hAnsi="Times New Roman"/>
          <w:i/>
          <w:color w:val="000000"/>
          <w:sz w:val="28"/>
          <w:szCs w:val="28"/>
        </w:rPr>
        <w:t>малоинвазивных методо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в лечения  </w:t>
      </w:r>
      <w:r>
        <w:rPr>
          <w:rFonts w:ascii="Times New Roman" w:hAnsi="Times New Roman"/>
          <w:i/>
          <w:sz w:val="28"/>
          <w:szCs w:val="28"/>
        </w:rPr>
        <w:t>нефроуретеролитиаза.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сравнительном анализе 74 пациентам (51,3% %) выполнена РПТ, 52 пациентам (36,1 %) — выполнена ПНЛТ (в некоторых случаях этого было достаточно для удаления конкремента, в некоторых пришлось прибегнуть к дополнительным мероп</w:t>
      </w:r>
      <w:r>
        <w:rPr>
          <w:rFonts w:ascii="Times New Roman" w:hAnsi="Times New Roman"/>
          <w:color w:val="000000"/>
          <w:sz w:val="28"/>
          <w:szCs w:val="28"/>
        </w:rPr>
        <w:t xml:space="preserve">риятиям) и 18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пациентам</w:t>
      </w:r>
      <w:r>
        <w:rPr>
          <w:rFonts w:ascii="Times New Roman" w:hAnsi="Times New Roman"/>
          <w:color w:val="000000"/>
          <w:sz w:val="28"/>
          <w:szCs w:val="28"/>
        </w:rPr>
        <w:t xml:space="preserve"> (12,5%) выполнен комбинированный метод оперативного вмешательства.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Установлено, что среднее время анестезии для комбинированного метода было значительно длиннее 91±13,9 мин. и среднее время операции также было чуть длиннее, чем </w:t>
      </w:r>
      <w:r>
        <w:rPr>
          <w:rFonts w:ascii="Times New Roman" w:hAnsi="Times New Roman"/>
          <w:sz w:val="28"/>
          <w:szCs w:val="28"/>
          <w:lang w:val="kk-KZ"/>
        </w:rPr>
        <w:t xml:space="preserve">при </w:t>
      </w:r>
      <w:r>
        <w:rPr>
          <w:rFonts w:ascii="Times New Roman" w:hAnsi="Times New Roman"/>
          <w:sz w:val="28"/>
          <w:szCs w:val="28"/>
        </w:rPr>
        <w:t>РПТ на 60,31±26,71 мин. (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&lt; 0,01). Это связано с несколькими причинами, первая причина с </w:t>
      </w:r>
      <w:r>
        <w:rPr>
          <w:rFonts w:ascii="Times New Roman" w:eastAsia="Calibri" w:hAnsi="Times New Roman"/>
          <w:bCs/>
          <w:sz w:val="28"/>
          <w:szCs w:val="28"/>
        </w:rPr>
        <w:t>одновременным проведением двух этапной операции, сперва пациент укладывается на спину для проведения РПТ, затем после РПТ устанавливается мочеточниковый стент и пациен</w:t>
      </w:r>
      <w:r>
        <w:rPr>
          <w:rFonts w:ascii="Times New Roman" w:eastAsia="Calibri" w:hAnsi="Times New Roman"/>
          <w:bCs/>
          <w:sz w:val="28"/>
          <w:szCs w:val="28"/>
        </w:rPr>
        <w:t xml:space="preserve">та укладывают на живот для проведения ПНЛТ, еще одна причина связана с </w:t>
      </w:r>
      <w:r>
        <w:rPr>
          <w:rFonts w:ascii="Times New Roman" w:hAnsi="Times New Roman"/>
          <w:sz w:val="28"/>
          <w:szCs w:val="28"/>
        </w:rPr>
        <w:t xml:space="preserve">клинически сложными вариантами камней. Среднее время анестезии для РПТ по сравнению с ПНЛТ было короче </w:t>
      </w:r>
      <w:r>
        <w:rPr>
          <w:rFonts w:ascii="Times New Roman" w:hAnsi="Times New Roman"/>
          <w:sz w:val="28"/>
          <w:szCs w:val="24"/>
        </w:rPr>
        <w:t>74</w:t>
      </w:r>
      <w:r>
        <w:rPr>
          <w:rFonts w:ascii="Times New Roman" w:hAnsi="Times New Roman"/>
          <w:sz w:val="28"/>
          <w:szCs w:val="28"/>
        </w:rPr>
        <w:t>±14,2 мин, но среднее время операции (59±9,3 мин) для данных пациентов было длин</w:t>
      </w:r>
      <w:r>
        <w:rPr>
          <w:rFonts w:ascii="Times New Roman" w:hAnsi="Times New Roman"/>
          <w:sz w:val="28"/>
          <w:szCs w:val="28"/>
        </w:rPr>
        <w:t xml:space="preserve">нее, чем при проведении ПНЛТ.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Сроки дренирования почки, перкутанного доступа при ПНЛТ и комбинированного метода показало практически одинаковое время (ПНЛТ - </w:t>
      </w:r>
      <w:r>
        <w:rPr>
          <w:rFonts w:ascii="Times New Roman" w:hAnsi="Times New Roman"/>
          <w:sz w:val="28"/>
          <w:szCs w:val="24"/>
        </w:rPr>
        <w:t>6,1</w:t>
      </w:r>
      <w:r>
        <w:rPr>
          <w:rFonts w:ascii="Times New Roman" w:hAnsi="Times New Roman"/>
          <w:sz w:val="28"/>
          <w:szCs w:val="28"/>
        </w:rPr>
        <w:t xml:space="preserve">±0,4 дней, комбинированный метод </w:t>
      </w:r>
      <w:r>
        <w:rPr>
          <w:rFonts w:ascii="Times New Roman" w:hAnsi="Times New Roman"/>
          <w:sz w:val="28"/>
          <w:szCs w:val="24"/>
        </w:rPr>
        <w:t>6,8</w:t>
      </w:r>
      <w:r>
        <w:rPr>
          <w:rFonts w:ascii="Times New Roman" w:hAnsi="Times New Roman"/>
          <w:sz w:val="28"/>
          <w:szCs w:val="28"/>
        </w:rPr>
        <w:t xml:space="preserve">±0,5 дней, соответственно), а при проведении РПТ </w:t>
      </w:r>
      <w:r>
        <w:rPr>
          <w:rFonts w:ascii="Times New Roman" w:hAnsi="Times New Roman"/>
          <w:sz w:val="28"/>
          <w:szCs w:val="28"/>
          <w:lang w:val="kk-KZ"/>
        </w:rPr>
        <w:t>устанавли</w:t>
      </w:r>
      <w:r>
        <w:rPr>
          <w:rFonts w:ascii="Times New Roman" w:hAnsi="Times New Roman"/>
          <w:sz w:val="28"/>
          <w:szCs w:val="28"/>
          <w:lang w:val="kk-KZ"/>
        </w:rPr>
        <w:t>вали только стент-катетер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50932" w:rsidRDefault="00816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Сроки пребывания в стационаре были в пределах от 5 до 8 дней, в среднем 7±1,1 дней (</w:t>
      </w:r>
      <w:r>
        <w:rPr>
          <w:rFonts w:ascii="Times New Roman" w:hAnsi="Times New Roman"/>
          <w:i/>
          <w:iCs/>
          <w:sz w:val="28"/>
          <w:szCs w:val="28"/>
        </w:rPr>
        <w:t xml:space="preserve">Р </w:t>
      </w:r>
      <w:r>
        <w:rPr>
          <w:rFonts w:ascii="Times New Roman" w:hAnsi="Times New Roman"/>
          <w:sz w:val="28"/>
          <w:szCs w:val="28"/>
        </w:rPr>
        <w:t>&lt; 0,01).</w:t>
      </w:r>
    </w:p>
    <w:p w:rsidR="00750932" w:rsidRDefault="00816126">
      <w:pPr>
        <w:spacing w:after="0" w:line="240" w:lineRule="auto"/>
        <w:ind w:firstLine="567"/>
        <w:jc w:val="both"/>
        <w:rPr>
          <w:rStyle w:val="tlid-translation"/>
          <w:rFonts w:ascii="Times New Roman" w:hAnsi="Times New Roman"/>
          <w:sz w:val="28"/>
          <w:szCs w:val="28"/>
        </w:rPr>
      </w:pPr>
      <w:r>
        <w:rPr>
          <w:rStyle w:val="tlid-translation"/>
          <w:rFonts w:ascii="Times New Roman" w:hAnsi="Times New Roman"/>
          <w:sz w:val="28"/>
          <w:szCs w:val="28"/>
        </w:rPr>
        <w:t>После малоинвазивных оперативных вмешательств через 1 неделю в исследуемых группах в 1 группе из 74 пациентов у 62 пациентов (83,78%</w:t>
      </w:r>
      <w:r>
        <w:rPr>
          <w:rStyle w:val="tlid-translation"/>
          <w:rFonts w:ascii="Times New Roman" w:hAnsi="Times New Roman"/>
          <w:sz w:val="28"/>
          <w:szCs w:val="28"/>
        </w:rPr>
        <w:t>) были полностью удалены конкременты, во 2 группе показатель полной эвакуации конкрементов в 41 случаях (78,89%) и в 3 группе в 1</w:t>
      </w:r>
      <w:r>
        <w:rPr>
          <w:rStyle w:val="tlid-translation"/>
          <w:rFonts w:ascii="Times New Roman" w:hAnsi="Times New Roman"/>
          <w:sz w:val="28"/>
          <w:szCs w:val="28"/>
          <w:lang w:val="kk-KZ"/>
        </w:rPr>
        <w:t>7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случа</w:t>
      </w:r>
      <w:r>
        <w:rPr>
          <w:rStyle w:val="tlid-translation"/>
          <w:rFonts w:ascii="Times New Roman" w:hAnsi="Times New Roman"/>
          <w:sz w:val="28"/>
          <w:szCs w:val="28"/>
          <w:lang w:val="kk-KZ"/>
        </w:rPr>
        <w:t>ях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(94,44%) была полная фрагментация конкрементов. Резидуальные камни после операции через 1 неделю были больше обнаруже</w:t>
      </w:r>
      <w:r>
        <w:rPr>
          <w:rStyle w:val="tlid-translation"/>
          <w:rFonts w:ascii="Times New Roman" w:hAnsi="Times New Roman"/>
          <w:sz w:val="28"/>
          <w:szCs w:val="28"/>
        </w:rPr>
        <w:t>ны в 1 и 2 группе (16,22%, 21,15%, соответственно), а в 3 группе только в 1 случае были обнаружены резидульные камни. Высокий результат лечения через 1 неделю были у пациентов после комбинированного метода, чем после РПТ и ПНЛТ, результаты нашего исследова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ния показателей отсутствия конкрементов и </w:t>
      </w:r>
      <w:r>
        <w:rPr>
          <w:rStyle w:val="tlid-translation"/>
          <w:rFonts w:ascii="Times New Roman" w:hAnsi="Times New Roman"/>
          <w:sz w:val="28"/>
          <w:szCs w:val="28"/>
          <w:lang w:val="kk-KZ"/>
        </w:rPr>
        <w:t>резидуального</w:t>
      </w:r>
      <w:r>
        <w:rPr>
          <w:rStyle w:val="tlid-translation"/>
          <w:rFonts w:ascii="Times New Roman" w:hAnsi="Times New Roman"/>
          <w:sz w:val="28"/>
          <w:szCs w:val="28"/>
        </w:rPr>
        <w:t xml:space="preserve"> конкремента полностью были статистически достоверны (р= 0,0178, р = 0,0178). 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исследовании общий уровень  послеоперационных осложнений был выше у </w:t>
      </w:r>
      <w:r>
        <w:rPr>
          <w:rFonts w:ascii="Times New Roman" w:hAnsi="Times New Roman"/>
          <w:sz w:val="28"/>
          <w:szCs w:val="28"/>
          <w:lang w:val="kk-KZ"/>
        </w:rPr>
        <w:t>пациентов</w:t>
      </w:r>
      <w:r>
        <w:rPr>
          <w:rFonts w:ascii="Times New Roman" w:hAnsi="Times New Roman"/>
          <w:sz w:val="28"/>
          <w:szCs w:val="28"/>
        </w:rPr>
        <w:t xml:space="preserve"> 3-й группы (комбинированный метод ле</w:t>
      </w:r>
      <w:r>
        <w:rPr>
          <w:rFonts w:ascii="Times New Roman" w:hAnsi="Times New Roman"/>
          <w:sz w:val="28"/>
          <w:szCs w:val="28"/>
        </w:rPr>
        <w:t>чения) по сравнению с пациентами 1-й (РПТ) и 2-й (ПНЛТ) групп, но эта разница не была статистически значимой (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=0,9). Однако, когда мы оценили осложнения по классификации Clavien-Dindo, то обнаружили, что все осложнения, которые возникли у </w:t>
      </w:r>
      <w:r>
        <w:rPr>
          <w:rFonts w:ascii="Times New Roman" w:hAnsi="Times New Roman"/>
          <w:sz w:val="28"/>
          <w:szCs w:val="28"/>
          <w:lang w:val="kk-KZ"/>
        </w:rPr>
        <w:t>пациентов</w:t>
      </w:r>
      <w:r>
        <w:rPr>
          <w:rFonts w:ascii="Times New Roman" w:hAnsi="Times New Roman"/>
          <w:sz w:val="28"/>
          <w:szCs w:val="28"/>
        </w:rPr>
        <w:t xml:space="preserve"> 3-й гр</w:t>
      </w:r>
      <w:r>
        <w:rPr>
          <w:rFonts w:ascii="Times New Roman" w:hAnsi="Times New Roman"/>
          <w:sz w:val="28"/>
          <w:szCs w:val="28"/>
        </w:rPr>
        <w:t>уппы (комбинированный метод) не носили тяжелого характера и протекали более благоприятно, при этом разница была статистически значимой (</w:t>
      </w:r>
      <w:r>
        <w:rPr>
          <w:rFonts w:ascii="Times New Roman" w:hAnsi="Times New Roman"/>
          <w:i/>
          <w:iCs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=0,001).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Пациенты </w:t>
      </w:r>
      <w:r>
        <w:rPr>
          <w:rFonts w:ascii="Times New Roman" w:hAnsi="Times New Roman"/>
          <w:color w:val="000000"/>
          <w:sz w:val="28"/>
          <w:szCs w:val="28"/>
        </w:rPr>
        <w:t xml:space="preserve">1-й группы после выполнения РПТ не имели интраоперационных кровотечений, миграции </w:t>
      </w:r>
      <w:r>
        <w:rPr>
          <w:rFonts w:ascii="Times New Roman" w:hAnsi="Times New Roman"/>
          <w:sz w:val="28"/>
          <w:szCs w:val="28"/>
        </w:rPr>
        <w:t xml:space="preserve">конкрементов </w:t>
      </w:r>
      <w:r>
        <w:rPr>
          <w:rFonts w:ascii="Times New Roman" w:hAnsi="Times New Roman"/>
          <w:color w:val="000000"/>
          <w:sz w:val="28"/>
          <w:szCs w:val="28"/>
        </w:rPr>
        <w:t>в мочеточник, а также у них не отмечалось перфорации мочеточника. У больных 2-й группы после выполнения ПНЛТ кровопотеря, болевой симптом в послеоперационном периоде (потребность в наркотических анальгетиках), а также количество других послеоперационных ос</w:t>
      </w:r>
      <w:r>
        <w:rPr>
          <w:rFonts w:ascii="Times New Roman" w:hAnsi="Times New Roman"/>
          <w:color w:val="000000"/>
          <w:sz w:val="28"/>
          <w:szCs w:val="28"/>
        </w:rPr>
        <w:t xml:space="preserve">ложнений наблюдались чаще, чем у больных 1-й группы (РПТ). Риск развития острого пиелонефрита в послеоперационном периоде оказался выше у больных 2-й группы (ПНЛТ). У больных 3-й группы (комбинированный метод), по нашему мнению, </w:t>
      </w:r>
      <w:r>
        <w:rPr>
          <w:rFonts w:ascii="Times New Roman" w:hAnsi="Times New Roman"/>
          <w:bCs/>
          <w:color w:val="000000"/>
          <w:sz w:val="28"/>
          <w:szCs w:val="28"/>
        </w:rPr>
        <w:t>за одно оперативное вмешате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льство возможно избавление пациентов от </w:t>
      </w:r>
      <w:r>
        <w:rPr>
          <w:rFonts w:ascii="Times New Roman" w:hAnsi="Times New Roman"/>
          <w:sz w:val="28"/>
          <w:szCs w:val="28"/>
        </w:rPr>
        <w:t>конкрементов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без серьезных осложнений. При этом имеется техническая возможность одновременного удаления конкремента ипсилатерального мочеточника.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Повторное оперативное вмешательство во 2-й группе потребовалось 3 пац</w:t>
      </w:r>
      <w:r>
        <w:rPr>
          <w:rFonts w:ascii="Times New Roman" w:hAnsi="Times New Roman"/>
          <w:sz w:val="28"/>
          <w:szCs w:val="28"/>
        </w:rPr>
        <w:t>иентам, у которых имелась м</w:t>
      </w:r>
      <w:r>
        <w:rPr>
          <w:rFonts w:ascii="Times New Roman" w:hAnsi="Times New Roman"/>
          <w:color w:val="000000"/>
          <w:sz w:val="28"/>
          <w:szCs w:val="28"/>
        </w:rPr>
        <w:t>играция резидуальных фрагментовконкремента в мочеточник, по этому поводу им выполнили уретеролитоэкстракцию. Рецидивы болезни в отдаленные сроки имелись у 2 (1,39%) пациентов, а у 3 (2,1%) пациентов выявлен нефросклероз и артериа</w:t>
      </w:r>
      <w:r>
        <w:rPr>
          <w:rFonts w:ascii="Times New Roman" w:hAnsi="Times New Roman"/>
          <w:color w:val="000000"/>
          <w:sz w:val="28"/>
          <w:szCs w:val="28"/>
        </w:rPr>
        <w:t>льная гипертония.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выполнения комбинированного метода лечения по поводу </w:t>
      </w:r>
      <w:r>
        <w:rPr>
          <w:rFonts w:ascii="Times New Roman" w:hAnsi="Times New Roman"/>
          <w:bCs/>
          <w:sz w:val="28"/>
          <w:szCs w:val="28"/>
        </w:rPr>
        <w:t xml:space="preserve">резидуальных конкрементов 2 пациентам 3-й группы выполнен сеанс ЭУВЛ. У 1 пациента этой группы в отдаленном периоде развился рецидив камнеобразования и у 3 пациентов выявили </w:t>
      </w:r>
      <w:r>
        <w:rPr>
          <w:rFonts w:ascii="Times New Roman" w:hAnsi="Times New Roman"/>
          <w:color w:val="000000"/>
          <w:sz w:val="28"/>
          <w:szCs w:val="28"/>
        </w:rPr>
        <w:t>нефро</w:t>
      </w:r>
      <w:r>
        <w:rPr>
          <w:rFonts w:ascii="Times New Roman" w:hAnsi="Times New Roman"/>
          <w:color w:val="000000"/>
          <w:sz w:val="28"/>
          <w:szCs w:val="28"/>
        </w:rPr>
        <w:t xml:space="preserve">склероз и артериальную гипертонию. Эти 3 пациентов получали адекватную лекарственную терапию. 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Повторное оперативное вмешательство в сроки более одного года потребовалось 3 пациентам, после ранее перенесенной ПНЛТ, у которых была м</w:t>
      </w:r>
      <w:r>
        <w:rPr>
          <w:rFonts w:ascii="Times New Roman" w:eastAsia="Calibri" w:hAnsi="Times New Roman"/>
          <w:color w:val="000000"/>
          <w:sz w:val="28"/>
          <w:szCs w:val="28"/>
        </w:rPr>
        <w:t>играция фрагментов, по эт</w:t>
      </w:r>
      <w:r>
        <w:rPr>
          <w:rFonts w:ascii="Times New Roman" w:eastAsia="Calibri" w:hAnsi="Times New Roman"/>
          <w:color w:val="000000"/>
          <w:sz w:val="28"/>
          <w:szCs w:val="28"/>
        </w:rPr>
        <w:t>ому поводу им провели уретеролитоэкстракцию, рецидивы имелись у 2 (3,9%) больных.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После проведения комбинированного метода по поводу </w:t>
      </w:r>
      <w:r>
        <w:rPr>
          <w:rFonts w:ascii="Times New Roman" w:eastAsia="Calibri" w:hAnsi="Times New Roman"/>
          <w:bCs/>
          <w:sz w:val="28"/>
          <w:szCs w:val="28"/>
        </w:rPr>
        <w:t xml:space="preserve">резидуальных конкрементов 1 пациенту проведен сеанс ЭУВЛ, у 1 пациента развился рецидив и у 3 пациентов выявили </w:t>
      </w:r>
      <w:r>
        <w:rPr>
          <w:rFonts w:ascii="Times New Roman" w:eastAsia="Calibri" w:hAnsi="Times New Roman"/>
          <w:color w:val="000000"/>
          <w:sz w:val="28"/>
          <w:szCs w:val="28"/>
        </w:rPr>
        <w:t>нефросклеро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з и артериальную гипертонию. </w:t>
      </w:r>
    </w:p>
    <w:p w:rsidR="00750932" w:rsidRDefault="00816126">
      <w:pPr>
        <w:pStyle w:val="Default"/>
        <w:ind w:firstLine="720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</w:rPr>
        <w:t>В заключении, наши результаты позволяют предположить, что как РПТ, так и ПНЛТ являются безопасными и эффективными методами лечения конкрементов диаметром 1,5-3 см. РПТ можно рассматривать как альтернативу ПНЛТ для лечения камн</w:t>
      </w:r>
      <w:r>
        <w:rPr>
          <w:rFonts w:eastAsia="Calibri"/>
          <w:sz w:val="28"/>
          <w:szCs w:val="28"/>
        </w:rPr>
        <w:t xml:space="preserve">ей размером 1,5-3 см. </w:t>
      </w:r>
      <w:r>
        <w:rPr>
          <w:sz w:val="28"/>
          <w:szCs w:val="28"/>
        </w:rPr>
        <w:t>Результаты РПТ показал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 xml:space="preserve">, что данный метод является более безопасным с меньшим уровнем и тяжестью осложнений и целесообразна при камнях верхней трети мочеточника, размером до 3 см. </w:t>
      </w:r>
      <w:r>
        <w:rPr>
          <w:rFonts w:eastAsia="Calibri"/>
          <w:sz w:val="28"/>
          <w:szCs w:val="28"/>
        </w:rPr>
        <w:t>П</w:t>
      </w:r>
      <w:r>
        <w:rPr>
          <w:sz w:val="28"/>
          <w:szCs w:val="28"/>
        </w:rPr>
        <w:t xml:space="preserve">ри крупных камнях применение ПНЛТ и комбинированного </w:t>
      </w:r>
      <w:r>
        <w:rPr>
          <w:sz w:val="28"/>
          <w:szCs w:val="28"/>
        </w:rPr>
        <w:t xml:space="preserve">метода лечения при нефро и уретеролитиазе является оправданным и эффективным лечебным воздействием. Количество послеоперационных осложнений были больше после перкутанной нефролитотрипсии. При комбинированном методе, по нашему мнению, </w:t>
      </w:r>
      <w:r>
        <w:rPr>
          <w:rFonts w:eastAsia="Calibri"/>
          <w:bCs/>
          <w:sz w:val="28"/>
          <w:szCs w:val="28"/>
        </w:rPr>
        <w:t>что одномоментное удал</w:t>
      </w:r>
      <w:r>
        <w:rPr>
          <w:rFonts w:eastAsia="Calibri"/>
          <w:bCs/>
          <w:sz w:val="28"/>
          <w:szCs w:val="28"/>
        </w:rPr>
        <w:t>ение конкрементов почки и ипсилатерального мочеточника за одно оперативное вмешательство избавляет пациента от конкрементов без серьезных осложнений.</w:t>
      </w: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Анализ изучения факторов риска камнеобразования и оценка эффективности проводимой метафилактики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Проводилось изучение числа отклонений от нормы показателя уреазной активности с тем, чтобы определить влияет ли камнеообразующая микробная флора на процент рецидивных конкрементов. В результате исследования у пациентов с первичными</w:t>
      </w:r>
      <w:r>
        <w:rPr>
          <w:rFonts w:ascii="Times New Roman" w:hAnsi="Times New Roman"/>
          <w:sz w:val="28"/>
          <w:szCs w:val="28"/>
          <w:lang w:val="kk-KZ"/>
        </w:rPr>
        <w:t xml:space="preserve"> конкрементами</w:t>
      </w:r>
      <w:r>
        <w:rPr>
          <w:rFonts w:ascii="Times New Roman" w:hAnsi="Times New Roman"/>
          <w:sz w:val="28"/>
          <w:szCs w:val="28"/>
        </w:rPr>
        <w:t xml:space="preserve"> число откл</w:t>
      </w:r>
      <w:r>
        <w:rPr>
          <w:rFonts w:ascii="Times New Roman" w:hAnsi="Times New Roman"/>
          <w:sz w:val="28"/>
          <w:szCs w:val="28"/>
        </w:rPr>
        <w:t>онений уреазной активности остал</w:t>
      </w:r>
      <w:r>
        <w:rPr>
          <w:rFonts w:ascii="Times New Roman" w:hAnsi="Times New Roman"/>
          <w:sz w:val="28"/>
          <w:szCs w:val="28"/>
          <w:lang w:val="kk-KZ"/>
        </w:rPr>
        <w:t>ось</w:t>
      </w:r>
      <w:r>
        <w:rPr>
          <w:rFonts w:ascii="Times New Roman" w:hAnsi="Times New Roman"/>
          <w:sz w:val="28"/>
          <w:szCs w:val="28"/>
        </w:rPr>
        <w:t xml:space="preserve"> высоким в 27,78% случаев, в то время, как у пациентов с рецидивными камнями – в 72,22% случаев. Высокие значения уреазной активности наблюдались только в пробах мочи с фосфатным и кальция оксалатным составом кристаллов. </w:t>
      </w:r>
    </w:p>
    <w:p w:rsidR="00750932" w:rsidRDefault="008161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Высокая скорость кристаллообразования наблюдалась у пациентов с первичными камнями 14,6% и у пациентов с рецидивными конкрементами 12,5%. Всего у 39 пациентов, что составляет 27,1%. Средняя скоростькристаллообразования была у 15,3% больных с первичными ко</w:t>
      </w:r>
      <w:r>
        <w:rPr>
          <w:rFonts w:ascii="Times New Roman" w:hAnsi="Times New Roman"/>
          <w:sz w:val="28"/>
          <w:szCs w:val="28"/>
        </w:rPr>
        <w:t>нкрементами и 8,4% с рецидивными конкрементами. Всего у 34 пациентов, что составило 23,7%. Низкая скорость кристаллообразования у 42,4% (61) и 7,0% (10) соответственно. У пациентов с рецидивными конкрементами высокая и средняя скорости кристаллообразования</w:t>
      </w:r>
      <w:r>
        <w:rPr>
          <w:rFonts w:ascii="Times New Roman" w:hAnsi="Times New Roman"/>
          <w:sz w:val="28"/>
          <w:szCs w:val="28"/>
        </w:rPr>
        <w:t xml:space="preserve"> наблюдались чаще в 2 раза, по сравнению с пациентами с первичными камнями.</w:t>
      </w: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обследованных 144 пациентов химический состав конкрементов в 43 случа</w:t>
      </w:r>
      <w:r>
        <w:rPr>
          <w:rFonts w:ascii="Times New Roman" w:hAnsi="Times New Roman"/>
          <w:sz w:val="28"/>
          <w:szCs w:val="28"/>
          <w:lang w:val="kk-KZ"/>
        </w:rPr>
        <w:t>ях</w:t>
      </w:r>
      <w:r>
        <w:rPr>
          <w:rFonts w:ascii="Times New Roman" w:hAnsi="Times New Roman"/>
          <w:sz w:val="28"/>
          <w:szCs w:val="28"/>
        </w:rPr>
        <w:t xml:space="preserve"> (29,9%) обнаружены оксалаты, в 38 случаев (26,4%) - ураты+оксалаты, у 34 (23,7%) – ураты, у 19 (13,2%) – ф</w:t>
      </w:r>
      <w:r>
        <w:rPr>
          <w:rFonts w:ascii="Times New Roman" w:hAnsi="Times New Roman"/>
          <w:sz w:val="28"/>
          <w:szCs w:val="28"/>
        </w:rPr>
        <w:t>осфаты+оксалаты, у 7 (4,9%) – мочекислый аммоний, у 3 (2,1%) – фосфаты, содержащие кальций+магний.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результатов наших исследований позволил определить зависимость: высокое содержание сульфатов в камне сопровождается снижением уровня концентрации его </w:t>
      </w:r>
      <w:r>
        <w:rPr>
          <w:rFonts w:ascii="Times New Roman" w:hAnsi="Times New Roman"/>
          <w:sz w:val="28"/>
          <w:szCs w:val="28"/>
        </w:rPr>
        <w:t>как в плазме крови, так и в моче.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медикаментозного лечения зависел от минерального состава конкремента и выявленных метаболических нарушений. К препаратам, которые использовали при всех формах МКБ, относятся: ангиопротекторы, антиагреганты, антибакте</w:t>
      </w:r>
      <w:r>
        <w:rPr>
          <w:rFonts w:ascii="Times New Roman" w:hAnsi="Times New Roman"/>
          <w:sz w:val="28"/>
          <w:szCs w:val="28"/>
        </w:rPr>
        <w:t>риальные, антиазотемические средства, препараты растительного происхождения, анальгетики, спазмолитики.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основе наших лечебных мероприятий при МКБ лежало: 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восстановление пассажа мочи (катетеризация, стентирование, нефростомия); б) РПТ; в) ПНЛТ; г) комбинированный метод лечения. </w:t>
      </w:r>
    </w:p>
    <w:p w:rsidR="00750932" w:rsidRDefault="00816126">
      <w:pPr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Метафилактика мочекаменной болезни у пациентов после различных видов оперативного лечения начинается со дня выписки пациента из </w:t>
      </w:r>
      <w:r>
        <w:rPr>
          <w:rFonts w:ascii="Times New Roman" w:hAnsi="Times New Roman"/>
          <w:sz w:val="28"/>
          <w:szCs w:val="28"/>
        </w:rPr>
        <w:t>стационара и заканчивается последним днем жизни больного. Ее необходимо разделить на период ранней послеоперационной метафилактики и период динамической метафилактики МКБ.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Задачи ранней послеоперационной метафилактики:</w:t>
      </w:r>
    </w:p>
    <w:p w:rsidR="00750932" w:rsidRDefault="00816126">
      <w:pPr>
        <w:pStyle w:val="af2"/>
        <w:numPr>
          <w:ilvl w:val="3"/>
          <w:numId w:val="2"/>
        </w:numPr>
        <w:tabs>
          <w:tab w:val="left" w:pos="993"/>
        </w:tabs>
        <w:spacing w:before="60" w:after="60" w:line="240" w:lineRule="auto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борьба с воспалительными изменениями </w:t>
      </w:r>
      <w:r>
        <w:rPr>
          <w:rFonts w:ascii="Times New Roman" w:eastAsia="Calibri" w:hAnsi="Times New Roman"/>
          <w:sz w:val="28"/>
          <w:szCs w:val="28"/>
        </w:rPr>
        <w:t xml:space="preserve">в почке, окружающих тканях и мочевых путях </w:t>
      </w:r>
    </w:p>
    <w:p w:rsidR="00750932" w:rsidRDefault="00816126">
      <w:pPr>
        <w:pStyle w:val="af2"/>
        <w:numPr>
          <w:ilvl w:val="3"/>
          <w:numId w:val="2"/>
        </w:numPr>
        <w:tabs>
          <w:tab w:val="left" w:pos="993"/>
        </w:tabs>
        <w:spacing w:before="60" w:after="60" w:line="240" w:lineRule="auto"/>
        <w:ind w:left="0"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стимуляция отхождения дезинтегрированных фрагментов конкремента</w:t>
      </w:r>
    </w:p>
    <w:p w:rsidR="00750932" w:rsidRDefault="00816126">
      <w:pPr>
        <w:spacing w:before="60" w:after="6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рациональная метафилактика МКБ должна включать в себя обязательную оценку метаболизма. Пациентам с риском рецидива МКБ была проведена</w:t>
      </w:r>
      <w:r>
        <w:rPr>
          <w:rFonts w:ascii="Times New Roman" w:hAnsi="Times New Roman"/>
          <w:sz w:val="28"/>
          <w:szCs w:val="28"/>
        </w:rPr>
        <w:t xml:space="preserve"> общая метафилактика уролитиаза, которая предполагает соблюдения диетического режима. Противорецидивная терапия при МКБ должна проводиться по 3 месяца каждые полгода и завершаться контрольным обследованием каждые 6 месяцев в течении первого года после удал</w:t>
      </w:r>
      <w:r>
        <w:rPr>
          <w:rFonts w:ascii="Times New Roman" w:hAnsi="Times New Roman"/>
          <w:sz w:val="28"/>
          <w:szCs w:val="28"/>
        </w:rPr>
        <w:t>ения или самостоятельного отхождения конкремента, далее – 1 раз в год.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750932" w:rsidRDefault="0075093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50932" w:rsidRDefault="00816126">
      <w:pPr>
        <w:numPr>
          <w:ilvl w:val="0"/>
          <w:numId w:val="8"/>
        </w:num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Сравнительная оценка малоинвазивных эндоскопических оперативных </w:t>
      </w:r>
    </w:p>
    <w:p w:rsidR="00750932" w:rsidRDefault="00816126">
      <w:p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вмешательств показала, что клиническая эффективность лечения в среднем составила 92,7% (р&gt; 0,05) </w:t>
      </w:r>
      <w:r>
        <w:rPr>
          <w:rFonts w:ascii="Times New Roman" w:hAnsi="Times New Roman"/>
          <w:sz w:val="28"/>
          <w:szCs w:val="28"/>
        </w:rPr>
        <w:t>по всем исследуемым группам. После РПТ – 92% ( р&gt;0,05), после ПНЛТ – 91%  (р&gt;0,05) и после комбинированного метода – 95% (р&gt;0,05)</w:t>
      </w:r>
    </w:p>
    <w:p w:rsidR="00750932" w:rsidRDefault="00816126">
      <w:pPr>
        <w:numPr>
          <w:ilvl w:val="0"/>
          <w:numId w:val="8"/>
        </w:numPr>
        <w:tabs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ретроградной пиелолитотрипсии конкременты размером от 1,5-см., </w:t>
      </w:r>
    </w:p>
    <w:p w:rsidR="00750932" w:rsidRDefault="00816126">
      <w:pPr>
        <w:tabs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средней структурной плотностью от 801-1.900 HU безопасн</w:t>
      </w:r>
      <w:r>
        <w:rPr>
          <w:rFonts w:ascii="Times New Roman" w:hAnsi="Times New Roman"/>
          <w:sz w:val="28"/>
          <w:szCs w:val="28"/>
        </w:rPr>
        <w:t>о и эффективно удалены по сравнению с конкрементами (&gt;3 см) и с 2 и 3 группой.</w:t>
      </w:r>
    </w:p>
    <w:p w:rsidR="00750932" w:rsidRDefault="00816126">
      <w:pPr>
        <w:numPr>
          <w:ilvl w:val="0"/>
          <w:numId w:val="8"/>
        </w:numPr>
        <w:tabs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сравнительной оценке эндоскопических методов исследования </w:t>
      </w:r>
    </w:p>
    <w:p w:rsidR="00750932" w:rsidRDefault="00816126">
      <w:pPr>
        <w:tabs>
          <w:tab w:val="left" w:pos="54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(РПТ и ПНЛТ) Комбинированный метод лечения нефро- и уретеролитиаза показал высокий процент избавления пациента от </w:t>
      </w:r>
      <w:r>
        <w:rPr>
          <w:rFonts w:ascii="Times New Roman" w:hAnsi="Times New Roman"/>
          <w:sz w:val="28"/>
          <w:szCs w:val="28"/>
        </w:rPr>
        <w:t>конкрементов (95%) и позволяет сократить сроки госпитализации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0932" w:rsidRDefault="008161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ПРАКТИЧЕСКИЕ РЕКОМЕНДАЦИИ</w:t>
      </w:r>
    </w:p>
    <w:p w:rsidR="00750932" w:rsidRDefault="00750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0932" w:rsidRDefault="00816126">
      <w:pPr>
        <w:pStyle w:val="af2"/>
        <w:numPr>
          <w:ilvl w:val="6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удалении конкрементов размером от 1,5 до 3 см. и плотности от 801-1.900 ед. HU. выполнение РПТ рассматривать в качестве метода выбора первой линии оперативного ле</w:t>
      </w:r>
      <w:r>
        <w:rPr>
          <w:rFonts w:ascii="Times New Roman" w:hAnsi="Times New Roman"/>
          <w:sz w:val="28"/>
          <w:szCs w:val="28"/>
        </w:rPr>
        <w:t>чения.</w:t>
      </w:r>
    </w:p>
    <w:p w:rsidR="00750932" w:rsidRDefault="00816126">
      <w:pPr>
        <w:pStyle w:val="af2"/>
        <w:numPr>
          <w:ilvl w:val="6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Внедрение комбинированного эндоскопического метода позволило существенно сократить сроки нахождения в стационаре и реабилитации пациентов, не позволяя пациентам на повторные госпитализации и операции при удалении, как конкрементов почки, так и конкр</w:t>
      </w:r>
      <w:r>
        <w:rPr>
          <w:rFonts w:ascii="Times New Roman" w:hAnsi="Times New Roman"/>
          <w:sz w:val="28"/>
          <w:szCs w:val="28"/>
        </w:rPr>
        <w:t>ементов мочеточника.</w:t>
      </w:r>
    </w:p>
    <w:p w:rsidR="00750932" w:rsidRDefault="00816126">
      <w:pPr>
        <w:pStyle w:val="af2"/>
        <w:numPr>
          <w:ilvl w:val="6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Путем комбинированной малоинвазивной эндоскопической методики можно произвести удаления сложных и плотных камней почек и мочеточника в рамках одной анестезии, за одно оперативное вмешательство. </w:t>
      </w:r>
    </w:p>
    <w:p w:rsidR="00750932" w:rsidRDefault="0081612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 xml:space="preserve">На основе клинической эффективности </w:t>
      </w:r>
      <w:r>
        <w:rPr>
          <w:rFonts w:ascii="Times New Roman" w:hAnsi="Times New Roman"/>
          <w:sz w:val="28"/>
          <w:szCs w:val="28"/>
        </w:rPr>
        <w:t>после малоинвазивных эндоскопических оперативных вмешательств в аспекте достижений конечного и благоприятного результата (Stone free rate), рекомендуется применения в стационарах РК данную оперативную методику для пациентов с осложненными формами  нефролит</w:t>
      </w:r>
      <w:r>
        <w:rPr>
          <w:rFonts w:ascii="Times New Roman" w:hAnsi="Times New Roman"/>
          <w:sz w:val="28"/>
          <w:szCs w:val="28"/>
        </w:rPr>
        <w:t>иаза.</w:t>
      </w:r>
    </w:p>
    <w:p w:rsidR="00750932" w:rsidRDefault="00750932">
      <w:pPr>
        <w:tabs>
          <w:tab w:val="left" w:pos="5400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50932" w:rsidRDefault="00816126">
      <w:pPr>
        <w:tabs>
          <w:tab w:val="left" w:pos="1134"/>
        </w:tabs>
        <w:spacing w:after="160" w:line="259" w:lineRule="auto"/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СПИСОК ИСПОЛЬЗОВАННЫХ ИСТОЧНИКОВ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</w:rPr>
        <w:t>ü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rk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Knoll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Petrik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et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al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EAU guidelines on urolithiasis. 2013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update. 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Keoghane S., Walmsley B., Hodgson D. The natural history of untreated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renal tract calculi. BJU Int. 2010 Jun;105 (12):162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7-9.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3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Egilmez T., Tekin M.I., Gonen M., Kilinc F., Goren R., Ozkardes H.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Efficacy and safety of a new generation shockwave lithotripsy machine in the treatment of single renal or ureteral stones: experience with 2670 patients. // J. Endourol. – 2007 - №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21.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23-27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4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Albala D.M., Assimos D.G., Clayman R.V. et al. Lower pole I: a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prospective randomized trial of extracorporeal shock wave lithotripsy and percutaneous nephrolithotomy for lower pole nephrolithiasis - initial results. // J. Urol. – 2001.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- № 166.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2072-2080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5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Singla M., Srivastava A., Kapoor R., Gupta N., Ansari M.S. et al.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Aggressive approach to staghorn calculi-safety and efficacy of multiple tracts percutaneous nephrolithotomy // Urology. – 2008 - № 71.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1039-1042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6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Preminger G.M., Assimos D.G., Lingeman J.E., Nakada S.Y., Pearle M.S.,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Wolf J.S. Jr. Chapter 1: AUA guideline on management of staghorn calculi: diagnosis and treatment recommendations // J. Urol. -  2005 – № 173.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1991-2000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7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Michel M.S., Trojan L., Rassweiler J.J. Complications in percutaneous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nephrolithotomy // Eur Urol. – 2007 - № 51.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899-906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8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Perlmutter A.E., Talug C., Tarry W.F., Zaslau S., Mohseni H., Kandzari S.J.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Impact of stone location on success rates of en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doscopic lithotripsy for nephrolithiasis // Urology – 2008 - № 71.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214-217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9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Patel T., Kozakowski K., Hruby G., et al. Skin to stone distance is an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independent predictor of stone-free status following shockwave lithotripsy. J. Endourol. 2009 Sep; 2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3(9):1383-5.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10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Pearle M.S., Lingeman J.E., Leveillee R., Kuo R., Preminger G.M., Nadler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R.B., et al. Prospective, randomized trial comparing shockwave lithotripsy and ureteroscopy for lower pole caliceal calculi 1 cm or less // J Urol. – 2005 - № 173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2005-2009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11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 xml:space="preserve">Breda A., Ogunyemi O., Leppert J.T., Schulam P.G. Flexible ureteroscopy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and laser lithotripsy for multiple unilateral intrarenal stones // Eur. Urol. - 2009. - № 55.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1190-1196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12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ab/>
        <w:t>Schuler T.D., Shahani R., Honey R.J., et al. Medica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l expulsive therapy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as an adjunct to improve shockwave lithotripsy outcomes: a systematic review and meta-analysis. J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Endourol 2009 Mar;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23(3):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387-93.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Lim S.H., Jeong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., Seo Seong Il et al. Treatment Outcomes of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Retrograde Intrarenal Surgery for Renal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Stones and Predictive Factors of Stone-Free // Korean J. Urol. – 2010 - № 51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 777-782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Lai D., He Y., Dai Y., Li X. Combined Minimally Invasive Percutaneous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Nephrolithotomy and Retrograde Intrarenal Surgery for Staghorn Calculi in Patients with Solit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ary Kidney // PLoS ONE – 2012 - Issue 7(10): e48435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Ozturk U., Şener N.C., Goksel Goktug H.N., et al. The comparison of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laparoscopy, shock wave lithotripsy and retrograde intrarenal surgery for large proximal ureteral stones // Can. Urol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Assoc J. -  2013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- № 7(11-12).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.673-676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Yuruk E, Binbay M, Sari E, et al. A prospective, randomized trial of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management for asymptomatic lower pole calculi // J Urol. – 2010. - №183. – </w:t>
      </w:r>
      <w:r>
        <w:rPr>
          <w:rFonts w:ascii="Times New Roman" w:hAnsi="Times New Roman"/>
          <w:color w:val="000000"/>
          <w:sz w:val="28"/>
          <w:szCs w:val="28"/>
        </w:rPr>
        <w:t>рр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.1424-1428.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Wen C.C., Nakada S.Y. Treatment selection and outcomes: renal calculi.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Urol. Clin. North Am 2007 Aug; 34(3):409-19.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hyperlink r:id="rId46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Traxer O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>., </w:t>
      </w:r>
      <w:hyperlink r:id="rId47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Khan S.R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>., </w:t>
      </w:r>
      <w:hyperlink r:id="rId48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Pearle M.S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>., </w:t>
      </w:r>
      <w:hyperlink r:id="rId49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Robertson W.G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>., </w:t>
      </w:r>
      <w:r>
        <w:fldChar w:fldCharType="begin"/>
      </w:r>
      <w:r>
        <w:rPr>
          <w:lang w:val="en-US"/>
        </w:rPr>
        <w:instrText xml:space="preserve"> HYPERLINK "https://www.ncbi.nlm.nih.gov/pubmed/?term=Gambaro%20G%5BAuthor%5D&amp;cauthor=true&amp;cauthor_uid=27188687" \</w:instrText>
      </w:r>
      <w:r>
        <w:rPr>
          <w:lang w:val="en-US"/>
        </w:rPr>
        <w:instrText xml:space="preserve">h </w:instrText>
      </w:r>
      <w:r>
        <w:fldChar w:fldCharType="separate"/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Gambaro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G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color w:val="000000"/>
          <w:sz w:val="28"/>
          <w:szCs w:val="28"/>
          <w:lang w:val="en-US"/>
        </w:rPr>
        <w:t>., </w:t>
      </w:r>
      <w:hyperlink r:id="rId50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Canales B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>., </w:t>
      </w:r>
      <w:hyperlink r:id="rId51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Doizi S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>., </w:t>
      </w:r>
      <w:hyperlink r:id="rId52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Tiselius H.G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. // Kidney stones. // </w:t>
      </w:r>
      <w:hyperlink r:id="rId53"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Nat Rev Dis Primer</w:t>
        </w:r>
        <w:r>
          <w:rPr>
            <w:rFonts w:ascii="Times New Roman" w:hAnsi="Times New Roman"/>
            <w:color w:val="000000"/>
            <w:sz w:val="28"/>
            <w:szCs w:val="28"/>
            <w:lang w:val="en-US"/>
          </w:rPr>
          <w:t>s.</w:t>
        </w:r>
      </w:hyperlink>
      <w:r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2016 Feb 25;2:16008.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Knoll T. Epidemiology, Pathogenesis, and Pathophysiology of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Urolithiasis // Eur. Urol. Suppl., 2010. Vol. 9. P. 802 – 806. 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Indridason O.S., Birgisson S., Edvardsson V.O., Sigvaldason H.,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Sigfusson N., Palsson R. Epidemiology o</w:t>
      </w:r>
      <w:r>
        <w:rPr>
          <w:rFonts w:ascii="Times New Roman" w:eastAsia="Calibri" w:hAnsi="Times New Roman"/>
          <w:sz w:val="28"/>
          <w:szCs w:val="28"/>
          <w:lang w:val="en-US"/>
        </w:rPr>
        <w:t>f kidney stones in Iceland: a population -based study. // Scand. J. Urol. Nephrol., 2009. Vol. 40, N 3. P. 215 – 220.</w:t>
      </w:r>
    </w:p>
    <w:p w:rsidR="00750932" w:rsidRDefault="0081612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Romero V., Akpinar H., Assimos D.G. Kidney Stones: A Global Picture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of Prevalence, Incidence, and Associated Risk Factors. // Rev. Urol.,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2010. Vol. 12, N 2 - 3. P. 86 – 96. 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22 </w:t>
      </w:r>
      <w:r>
        <w:rPr>
          <w:lang w:val="en-US"/>
        </w:rPr>
        <w:tab/>
      </w:r>
      <w:hyperlink r:id="rId54" w:anchor="!" w:history="1">
        <w:r>
          <w:rPr>
            <w:rFonts w:ascii="Times New Roman" w:hAnsi="Times New Roman"/>
            <w:sz w:val="28"/>
            <w:szCs w:val="28"/>
            <w:lang w:val="en-US"/>
          </w:rPr>
          <w:t>Kristina L. Penniston</w:t>
        </w:r>
      </w:hyperlink>
      <w:bookmarkStart w:id="1" w:name="baep-author-id8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55" w:anchor="!" w:history="1">
        <w:r>
          <w:rPr>
            <w:rFonts w:ascii="Times New Roman" w:hAnsi="Times New Roman"/>
            <w:sz w:val="28"/>
            <w:szCs w:val="28"/>
            <w:lang w:val="en-US"/>
          </w:rPr>
          <w:t xml:space="preserve">Ian </w:t>
        </w:r>
        <w:r>
          <w:rPr>
            <w:rFonts w:ascii="Times New Roman" w:hAnsi="Times New Roman"/>
            <w:sz w:val="28"/>
            <w:szCs w:val="28"/>
            <w:lang w:val="en-US"/>
          </w:rPr>
          <w:t>D.McLaren</w:t>
        </w:r>
      </w:hyperlink>
      <w:bookmarkStart w:id="2" w:name="baep-author-id9"/>
      <w:bookmarkEnd w:id="1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56" w:anchor="!" w:history="1">
        <w:r>
          <w:rPr>
            <w:rFonts w:ascii="Times New Roman" w:hAnsi="Times New Roman"/>
            <w:sz w:val="28"/>
            <w:szCs w:val="28"/>
            <w:lang w:val="en-US"/>
          </w:rPr>
          <w:t>Robert T.Greenlee</w:t>
        </w:r>
      </w:hyperlink>
      <w:bookmarkStart w:id="3" w:name="baep-author-id10"/>
      <w:bookmarkEnd w:id="2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fldChar w:fldCharType="begin"/>
      </w:r>
      <w:r>
        <w:rPr>
          <w:lang w:val="en-US"/>
        </w:rPr>
        <w:instrText xml:space="preserve"> HYPERLINK "https://www.sciencedirect.com/science/article/pii/S0022534710053760" \l "!" </w:instrText>
      </w:r>
      <w:r>
        <w:fldChar w:fldCharType="separate"/>
      </w:r>
      <w:r>
        <w:rPr>
          <w:rFonts w:ascii="Times New Roman" w:hAnsi="Times New Roman"/>
          <w:sz w:val="28"/>
          <w:szCs w:val="28"/>
          <w:lang w:val="en-US"/>
        </w:rPr>
        <w:t xml:space="preserve">Stephen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Y.Nakada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fldChar w:fldCharType="end"/>
      </w:r>
      <w:bookmarkEnd w:id="3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>Urolithiasis in a Rura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>l Wisconsin Population From 1992 to 2008: Narrowing of the Male-to-Female Ratio</w:t>
      </w:r>
      <w:hyperlink r:id="rId57" w:tooltip="Go to African Journal of Urology on ScienceDirect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. //Journal of Urology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 xml:space="preserve"> - </w:t>
      </w:r>
      <w:hyperlink r:id="rId58" w:tooltip="Go to table of contents for this volume/issue" w:history="1">
        <w:r>
          <w:rPr>
            <w:rFonts w:ascii="Times New Roman" w:hAnsi="Times New Roman"/>
            <w:sz w:val="28"/>
            <w:szCs w:val="28"/>
            <w:lang w:val="en-US"/>
          </w:rPr>
          <w:t xml:space="preserve">Volume 185 - Issue 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>5.- May 2011 - P. 1731-1736.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23</w:t>
      </w:r>
      <w:r>
        <w:rPr>
          <w:lang w:val="en-US"/>
        </w:rPr>
        <w:t xml:space="preserve"> </w:t>
      </w:r>
      <w:hyperlink r:id="rId59" w:anchor="!" w:history="1">
        <w:r>
          <w:rPr>
            <w:rFonts w:ascii="Times New Roman" w:hAnsi="Times New Roman"/>
            <w:sz w:val="28"/>
            <w:szCs w:val="28"/>
            <w:lang w:val="en-US"/>
          </w:rPr>
          <w:t>Yu Liu</w:t>
        </w:r>
      </w:hyperlink>
      <w:bookmarkStart w:id="4" w:name="bau2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60" w:anchor="!" w:history="1">
        <w:r>
          <w:rPr>
            <w:rFonts w:ascii="Times New Roman" w:hAnsi="Times New Roman"/>
            <w:sz w:val="28"/>
            <w:szCs w:val="28"/>
            <w:lang w:val="en-US"/>
          </w:rPr>
          <w:t>Yuntian Chen</w:t>
        </w:r>
      </w:hyperlink>
      <w:bookmarkStart w:id="5" w:name="bau3"/>
      <w:bookmarkEnd w:id="4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61" w:anchor="!" w:history="1">
        <w:r>
          <w:rPr>
            <w:rFonts w:ascii="Times New Roman" w:hAnsi="Times New Roman"/>
            <w:sz w:val="28"/>
            <w:szCs w:val="28"/>
            <w:lang w:val="en-US"/>
          </w:rPr>
          <w:t>Banghua Liao</w:t>
        </w:r>
      </w:hyperlink>
      <w:bookmarkStart w:id="6" w:name="bau4"/>
      <w:bookmarkEnd w:id="5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62" w:anchor="!" w:history="1">
        <w:r>
          <w:rPr>
            <w:rFonts w:ascii="Times New Roman" w:hAnsi="Times New Roman"/>
            <w:sz w:val="28"/>
            <w:szCs w:val="28"/>
            <w:lang w:val="en-US"/>
          </w:rPr>
          <w:t>Deyi Luo</w:t>
        </w:r>
      </w:hyperlink>
      <w:bookmarkStart w:id="7" w:name="bau5"/>
      <w:bookmarkEnd w:id="6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63" w:anchor="!" w:history="1">
        <w:r>
          <w:rPr>
            <w:rFonts w:ascii="Times New Roman" w:hAnsi="Times New Roman"/>
            <w:sz w:val="28"/>
            <w:szCs w:val="28"/>
            <w:lang w:val="en-US"/>
          </w:rPr>
          <w:t>Kunjie Wang</w:t>
        </w:r>
      </w:hyperlink>
      <w:r>
        <w:rPr>
          <w:rFonts w:ascii="Times New Roman" w:hAnsi="Times New Roman"/>
          <w:sz w:val="28"/>
          <w:szCs w:val="28"/>
          <w:lang w:val="en-US"/>
        </w:rPr>
        <w:t>,</w:t>
      </w:r>
      <w:bookmarkStart w:id="8" w:name="bau6"/>
      <w:bookmarkEnd w:id="7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64" w:anchor="!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Hong Li</w:t>
        </w:r>
      </w:hyperlink>
      <w:bookmarkStart w:id="9" w:name="bau7"/>
      <w:bookmarkEnd w:id="8"/>
      <w:r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hyperlink r:id="rId65" w:anchor="!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Guohua Zeng</w:t>
        </w:r>
      </w:hyperlink>
      <w:bookmarkEnd w:id="9"/>
      <w:r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Epidemiology of urolithiasis in Asia // </w:t>
      </w:r>
      <w:hyperlink r:id="rId66" w:tooltip="Go to African Journal of Urology on ScienceDirect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Asian Journal of Urology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 xml:space="preserve"> -</w:t>
      </w:r>
      <w:hyperlink r:id="rId67" w:tooltip="Go to table of contents for this volume/issue" w:history="1">
        <w:r>
          <w:rPr>
            <w:rFonts w:ascii="Times New Roman" w:hAnsi="Times New Roman"/>
            <w:sz w:val="28"/>
            <w:szCs w:val="28"/>
            <w:lang w:val="en-US"/>
          </w:rPr>
          <w:t>Volume 24 - Issue 3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>.- September 2018.- P.186-190.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Huang W.Y.,  Chen Y.F., Carter S.,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Epidemiology of upper urinary tract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stone disease in a Taiwanese population: a nationwide, population based study // </w:t>
      </w:r>
      <w:r>
        <w:rPr>
          <w:rFonts w:ascii="Times New Roman" w:hAnsi="Times New Roman"/>
          <w:sz w:val="28"/>
          <w:szCs w:val="28"/>
          <w:lang w:val="en-US"/>
        </w:rPr>
        <w:t>J. Urol, 189 (2013), pp. 2158-2163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Talati J., Tiselius H.G.,  Albala D.M., (Eds.), Urolithiasis: basic science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and clinical practice, vol 1: epidemiology, Springer London, London (2012), pp. 39-46.</w:t>
      </w:r>
    </w:p>
    <w:p w:rsidR="00750932" w:rsidRDefault="00816126">
      <w:pPr>
        <w:keepNext/>
        <w:keepLines/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jc w:val="both"/>
        <w:outlineLvl w:val="0"/>
        <w:rPr>
          <w:rFonts w:ascii="Times New Roman" w:eastAsia="Calibri" w:hAnsi="Times New Roman"/>
          <w:sz w:val="28"/>
          <w:szCs w:val="28"/>
          <w:lang w:val="en-US"/>
        </w:rPr>
      </w:pPr>
      <w:hyperlink r:id="rId68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Muslumanoglu A.Y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hyperlink r:id="rId69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Binbay M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hyperlink r:id="rId70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Yuruk E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hyperlink r:id="rId71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Akman T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hyperlink r:id="rId72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Tepeler A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r>
        <w:fldChar w:fldCharType="begin"/>
      </w:r>
      <w:r>
        <w:rPr>
          <w:lang w:val="en-US"/>
        </w:rPr>
        <w:instrText xml:space="preserve"> HYPERLINK "https://www.ncbi.nlm.nih.gov/pubmed/?term=Esen%20T%5BAuthor%5D&amp;cauthor=true&amp;cauthor_uid=21161646" </w:instrText>
      </w:r>
      <w:r>
        <w:fldChar w:fldCharType="separate"/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Esen </w:t>
      </w:r>
    </w:p>
    <w:p w:rsidR="00750932" w:rsidRDefault="00816126">
      <w:pPr>
        <w:keepNext/>
        <w:keepLines/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T</w:t>
      </w:r>
      <w:r>
        <w:rPr>
          <w:rFonts w:ascii="Times New Roman" w:eastAsia="Calibri" w:hAnsi="Times New Roman"/>
          <w:sz w:val="28"/>
          <w:szCs w:val="28"/>
          <w:lang w:val="en-US"/>
        </w:rPr>
        <w:fldChar w:fldCharType="end"/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., </w:t>
      </w:r>
      <w:hyperlink r:id="rId73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Tefekli A.H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 Updated epidemiologic study of urolithiasis in Turkey. I: Changing characteristics of urolithiasis. </w:t>
      </w:r>
      <w:r>
        <w:rPr>
          <w:rFonts w:ascii="Times New Roman" w:hAnsi="Times New Roman"/>
          <w:sz w:val="28"/>
          <w:szCs w:val="28"/>
          <w:lang w:val="en-US"/>
        </w:rPr>
        <w:t>2011 Aug; 39(4):309-14. doi: 10.1007/s00240-010-0346-6. Epub 2010 Dec 16.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Здоровье населения РК и деятельность организац</w:t>
      </w:r>
      <w:r>
        <w:rPr>
          <w:rFonts w:ascii="Times New Roman" w:eastAsia="Calibri" w:hAnsi="Times New Roman"/>
          <w:sz w:val="28"/>
          <w:szCs w:val="28"/>
        </w:rPr>
        <w:t xml:space="preserve">ий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здравоохранения в 2017 г. // Астана // 2018. – 354 с. 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Здоровье населения РК и деаятельность организаций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здравоохранения в 2018 г. – Астана – 2019. – 353 с. 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Алчинбаев М.К., Мухамеджан И.Т., Аубакирова А.Т., Дакенова Г.Б.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Карта основных урологических заболеваний за 2016 год.- Алматы. – 2016. – 38 с. 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Taylor E.N., Stampfer M.J., Curhan G.C. Obesity, weight gain, and the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risk of kidney stones. // JAMA, 2008. Vol</w:t>
      </w:r>
      <w:r>
        <w:rPr>
          <w:rFonts w:ascii="Times New Roman" w:eastAsia="Calibri" w:hAnsi="Times New Roman"/>
          <w:sz w:val="28"/>
          <w:szCs w:val="28"/>
        </w:rPr>
        <w:t xml:space="preserve">. 293, </w:t>
      </w:r>
      <w:r>
        <w:rPr>
          <w:rFonts w:ascii="Times New Roman" w:eastAsia="Calibri" w:hAnsi="Times New Roman"/>
          <w:sz w:val="28"/>
          <w:szCs w:val="28"/>
          <w:lang w:val="en-US"/>
        </w:rPr>
        <w:t>N</w:t>
      </w:r>
      <w:r>
        <w:rPr>
          <w:rFonts w:ascii="Times New Roman" w:eastAsia="Calibri" w:hAnsi="Times New Roman"/>
          <w:sz w:val="28"/>
          <w:szCs w:val="28"/>
        </w:rPr>
        <w:t xml:space="preserve"> 4. </w:t>
      </w:r>
      <w:r>
        <w:rPr>
          <w:rFonts w:ascii="Times New Roman" w:eastAsia="Calibri" w:hAnsi="Times New Roman"/>
          <w:sz w:val="28"/>
          <w:szCs w:val="28"/>
          <w:lang w:val="en-US"/>
        </w:rPr>
        <w:t>P</w:t>
      </w:r>
      <w:r>
        <w:rPr>
          <w:rFonts w:ascii="Times New Roman" w:eastAsia="Calibri" w:hAnsi="Times New Roman"/>
          <w:sz w:val="28"/>
          <w:szCs w:val="28"/>
        </w:rPr>
        <w:t>. 45</w:t>
      </w:r>
      <w:r>
        <w:rPr>
          <w:rFonts w:ascii="Times New Roman" w:eastAsia="Calibri" w:hAnsi="Times New Roman"/>
          <w:sz w:val="28"/>
          <w:szCs w:val="28"/>
          <w:lang w:val="en-US"/>
        </w:rPr>
        <w:t>5 – 462.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Chang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H</w:t>
      </w:r>
      <w:r>
        <w:rPr>
          <w:rFonts w:ascii="Times New Roman" w:eastAsia="Calibri" w:hAnsi="Times New Roman"/>
          <w:sz w:val="28"/>
          <w:szCs w:val="28"/>
        </w:rPr>
        <w:t xml:space="preserve">., </w:t>
      </w:r>
      <w:r>
        <w:rPr>
          <w:rFonts w:ascii="Times New Roman" w:eastAsia="Calibri" w:hAnsi="Times New Roman"/>
          <w:sz w:val="28"/>
          <w:szCs w:val="28"/>
          <w:lang w:val="en-US"/>
        </w:rPr>
        <w:t>Kim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K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D</w:t>
      </w:r>
      <w:r>
        <w:rPr>
          <w:rFonts w:ascii="Times New Roman" w:eastAsia="Calibri" w:hAnsi="Times New Roman"/>
          <w:sz w:val="28"/>
          <w:szCs w:val="28"/>
        </w:rPr>
        <w:t xml:space="preserve">., </w:t>
      </w:r>
      <w:r>
        <w:rPr>
          <w:rFonts w:ascii="Times New Roman" w:eastAsia="Calibri" w:hAnsi="Times New Roman"/>
          <w:sz w:val="28"/>
          <w:szCs w:val="28"/>
          <w:lang w:val="en-US"/>
        </w:rPr>
        <w:t>Moon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Y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T</w:t>
      </w:r>
      <w:r>
        <w:rPr>
          <w:rFonts w:ascii="Times New Roman" w:eastAsia="Calibri" w:hAnsi="Times New Roman"/>
          <w:sz w:val="28"/>
          <w:szCs w:val="28"/>
        </w:rPr>
        <w:t xml:space="preserve">., </w:t>
      </w:r>
      <w:r>
        <w:rPr>
          <w:rFonts w:ascii="Times New Roman" w:eastAsia="Calibri" w:hAnsi="Times New Roman"/>
          <w:sz w:val="28"/>
          <w:szCs w:val="28"/>
          <w:lang w:val="en-US"/>
        </w:rPr>
        <w:t>Kim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T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H</w:t>
      </w:r>
      <w:r>
        <w:rPr>
          <w:rFonts w:ascii="Times New Roman" w:eastAsia="Calibri" w:hAnsi="Times New Roman"/>
          <w:sz w:val="28"/>
          <w:szCs w:val="28"/>
        </w:rPr>
        <w:t xml:space="preserve">., </w:t>
      </w:r>
      <w:r>
        <w:rPr>
          <w:rFonts w:ascii="Times New Roman" w:eastAsia="Calibri" w:hAnsi="Times New Roman"/>
          <w:sz w:val="28"/>
          <w:szCs w:val="28"/>
          <w:lang w:val="en-US"/>
        </w:rPr>
        <w:t>Myung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S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C</w:t>
      </w:r>
      <w:r>
        <w:rPr>
          <w:rFonts w:ascii="Times New Roman" w:eastAsia="Calibri" w:hAnsi="Times New Roman"/>
          <w:sz w:val="28"/>
          <w:szCs w:val="28"/>
        </w:rPr>
        <w:t xml:space="preserve">., </w:t>
      </w:r>
      <w:r>
        <w:rPr>
          <w:rFonts w:ascii="Times New Roman" w:eastAsia="Calibri" w:hAnsi="Times New Roman"/>
          <w:sz w:val="28"/>
          <w:szCs w:val="28"/>
          <w:lang w:val="en-US"/>
        </w:rPr>
        <w:t>Kim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Y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S</w:t>
      </w:r>
      <w:r>
        <w:rPr>
          <w:rFonts w:ascii="Times New Roman" w:eastAsia="Calibri" w:hAnsi="Times New Roman"/>
          <w:sz w:val="28"/>
          <w:szCs w:val="28"/>
        </w:rPr>
        <w:t xml:space="preserve">.,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Lee J.Y. Possible Relationship between Metabolic Syndrome Traits and Nephrolithiasis: Incidence for 15 Years According to Gender. // Korean J Urol., 2011. Vol. 52, N 8. P. 548 – 553.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Brikowski T.H., Lotan Y., Pearle M.S. Climate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-related increase in the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prevalence of urolithiasis in the United States. // Proc Natl Acad Sci USA, 2008. </w:t>
      </w:r>
      <w:r>
        <w:rPr>
          <w:rFonts w:ascii="Times New Roman" w:eastAsia="Calibri" w:hAnsi="Times New Roman"/>
          <w:sz w:val="28"/>
          <w:szCs w:val="28"/>
        </w:rPr>
        <w:t>Vol. 105, N 28. P. 9841 – 9846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Яненко Э.К., Меринов Д.С., Константинова О.В., Епишов В.А.,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Калиниченко Д.Н. Современные тенденции в эпидемиологии, диагностике и лечении мочекаменной болезни // Экспериментальная и клиническая урология. - №3. – 2012. – С.19-24. </w:t>
      </w:r>
    </w:p>
    <w:p w:rsidR="00750932" w:rsidRDefault="00816126">
      <w:pPr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Curhan G.C. Epidemiology of stone disease. // Urol. clin. north Am.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2007. </w:t>
      </w:r>
      <w:r>
        <w:rPr>
          <w:rFonts w:ascii="Times New Roman" w:eastAsia="Calibri" w:hAnsi="Times New Roman"/>
          <w:sz w:val="28"/>
          <w:szCs w:val="28"/>
          <w:lang w:val="en-US"/>
        </w:rPr>
        <w:t>Vol</w:t>
      </w:r>
      <w:r>
        <w:rPr>
          <w:rFonts w:ascii="Times New Roman" w:eastAsia="Calibri" w:hAnsi="Times New Roman"/>
          <w:sz w:val="28"/>
          <w:szCs w:val="28"/>
        </w:rPr>
        <w:t xml:space="preserve">. 34, </w:t>
      </w:r>
      <w:r>
        <w:rPr>
          <w:rFonts w:ascii="Times New Roman" w:eastAsia="Calibri" w:hAnsi="Times New Roman"/>
          <w:sz w:val="28"/>
          <w:szCs w:val="28"/>
          <w:lang w:val="en-US"/>
        </w:rPr>
        <w:t>N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3. </w:t>
      </w:r>
      <w:r>
        <w:rPr>
          <w:rFonts w:ascii="Times New Roman" w:eastAsia="Calibri" w:hAnsi="Times New Roman"/>
          <w:sz w:val="28"/>
          <w:szCs w:val="28"/>
          <w:lang w:val="en-US"/>
        </w:rPr>
        <w:t>P</w:t>
      </w:r>
      <w:r>
        <w:rPr>
          <w:rFonts w:ascii="Times New Roman" w:eastAsia="Calibri" w:hAnsi="Times New Roman"/>
          <w:sz w:val="28"/>
          <w:szCs w:val="28"/>
        </w:rPr>
        <w:t>. 287-293.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35</w:t>
      </w:r>
      <w:r>
        <w:rPr>
          <w:rFonts w:ascii="Times New Roman" w:eastAsia="Calibri" w:hAnsi="Times New Roman"/>
          <w:sz w:val="28"/>
          <w:szCs w:val="28"/>
        </w:rPr>
        <w:tab/>
        <w:t xml:space="preserve">Москаленко С.А. Дистанционная литотрипсия в лечении различных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форм нефролитиаза единственной почки: Дис. канд. мед. наук. М.; 1998.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36</w:t>
      </w:r>
      <w:r>
        <w:rPr>
          <w:rFonts w:ascii="Times New Roman" w:eastAsia="Calibri" w:hAnsi="Times New Roman"/>
          <w:sz w:val="28"/>
          <w:szCs w:val="28"/>
        </w:rPr>
        <w:tab/>
        <w:t xml:space="preserve">Мартов А.Г., Лопаткин Н.А. Эффективность и перспективы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современной эндоурологии. // Материалы Х съезда российских урологов. Москва, 1-3 октября 2002г. М.; 2012. С. 675-679.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Тиктинский О.Л., Александров В.П. Мочекаменная болезнь. СПб.: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Питер; 2000. С. 384.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Мартов А.Г., Дутов С.В., Андронов А.С. Ультрамини пер</w:t>
      </w:r>
      <w:r>
        <w:rPr>
          <w:rFonts w:ascii="Times New Roman" w:eastAsia="Calibri" w:hAnsi="Times New Roman"/>
          <w:sz w:val="28"/>
          <w:szCs w:val="28"/>
        </w:rPr>
        <w:t xml:space="preserve">кутанная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нефролитотрипсия в лечении камней почек // </w:t>
      </w:r>
      <w:r>
        <w:rPr>
          <w:rFonts w:ascii="Times New Roman" w:eastAsia="Calibri-Italic" w:hAnsi="Times New Roman"/>
          <w:iCs/>
          <w:sz w:val="28"/>
          <w:szCs w:val="28"/>
        </w:rPr>
        <w:t>Урология</w:t>
      </w:r>
      <w:r>
        <w:rPr>
          <w:rFonts w:ascii="Times New Roman" w:eastAsia="Calibri" w:hAnsi="Times New Roman"/>
          <w:sz w:val="28"/>
          <w:szCs w:val="28"/>
        </w:rPr>
        <w:t>. -№2. -2016.- С.82-88.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Меринов Д.С., Павлов Д.А., Фатихов Р.Р., Епишов В.А., Гурбанов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Ш.Ш., Артемов А.В. Минимально-инвазивная перкутанная нефролитотрипсия: деликатный и эффективный инструмент </w:t>
      </w:r>
      <w:r>
        <w:rPr>
          <w:rFonts w:ascii="Times New Roman" w:eastAsia="Calibri" w:hAnsi="Times New Roman"/>
          <w:sz w:val="28"/>
          <w:szCs w:val="28"/>
        </w:rPr>
        <w:t>в лечении крупных камней почек. //Экспериментальная и клиническая урология. - №3. – 2013. – С.94-98.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Рогачиков В.В., Нестеров С.Н., Ильченко Д.Н., Тевлин К.П.,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Кудряшов А.В. Перкутанная нефролитолапаксия: прошлое, настоящее, будущее //Экспериментальная и </w:t>
      </w:r>
      <w:r>
        <w:rPr>
          <w:rFonts w:ascii="Times New Roman" w:eastAsia="Calibri" w:hAnsi="Times New Roman"/>
          <w:sz w:val="28"/>
          <w:szCs w:val="28"/>
        </w:rPr>
        <w:t>клиническая урология. - №2. – 2016. – С.58-66.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Паршенкова И.Г., Дутов В.В., Румянцев А.А., Мамедов Э.А.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kern w:val="36"/>
          <w:sz w:val="28"/>
          <w:szCs w:val="28"/>
        </w:rPr>
        <w:t xml:space="preserve">Малоинвазивные методы лечения мочекаменной болезни единственной почки </w:t>
      </w:r>
      <w:r>
        <w:rPr>
          <w:rFonts w:ascii="Times New Roman" w:eastAsia="Calibri" w:hAnsi="Times New Roman"/>
          <w:sz w:val="28"/>
          <w:szCs w:val="28"/>
        </w:rPr>
        <w:t>//Экспериментальная и клиническая урология. - №1. – 2015. – С.58-59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Karlsen S.J., Renkel J., Tahir A.R. et al. Extracorporeal shockwave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lithotripsy versus ureteroscopy for 5- to 10-mm stones in the proximal ureter: Prospective effectiveness patient-preference trial. J Endourology. 2007; 21(1):28-33.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iCs/>
          <w:sz w:val="28"/>
          <w:szCs w:val="28"/>
        </w:rPr>
        <w:t>А. В. Антонов.</w:t>
      </w:r>
      <w:r>
        <w:rPr>
          <w:rFonts w:ascii="Times New Roman" w:eastAsia="Calibri" w:hAnsi="Times New Roman"/>
          <w:bCs/>
          <w:sz w:val="28"/>
          <w:szCs w:val="28"/>
        </w:rPr>
        <w:t xml:space="preserve"> Малоин</w:t>
      </w:r>
      <w:r>
        <w:rPr>
          <w:rFonts w:ascii="Times New Roman" w:eastAsia="Calibri" w:hAnsi="Times New Roman"/>
          <w:bCs/>
          <w:sz w:val="28"/>
          <w:szCs w:val="28"/>
        </w:rPr>
        <w:t xml:space="preserve">вазивные методы лечения мочекаменной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болезни //Урологические ведомости. -</w:t>
      </w:r>
      <w:r>
        <w:rPr>
          <w:rFonts w:ascii="Times New Roman" w:eastAsia="Calibri" w:hAnsi="Times New Roman"/>
          <w:sz w:val="28"/>
          <w:szCs w:val="28"/>
        </w:rPr>
        <w:t xml:space="preserve"> Том III. - № 1. - 2013. – С.33-39.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Мартов А.Г., Гордиенко А.Ю., Москаленко С.А., Пенюкова И.В.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Дистанционная и контактная уретеролитотрипсия в лечении крупных камней верхней трети </w:t>
      </w:r>
      <w:r>
        <w:rPr>
          <w:rFonts w:ascii="Times New Roman" w:eastAsia="Calibri" w:hAnsi="Times New Roman"/>
          <w:sz w:val="28"/>
          <w:szCs w:val="28"/>
        </w:rPr>
        <w:t xml:space="preserve">мочеточника// Экспериментальная и клиническая урология. – 2013. – №2. – с. 82-85.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Лопаткин Н.А., Дзеранов Н.К. 15-летний опыт применения ДЛТ в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лечении МКБ / Материалы Пленума правления Российского общества урологов (Сочи, 28-30 апреля 2003). Москва, 2003. – с. 5-25.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Massimo Tonolini, Federica Villa, Sonia Ippolito, Alessandra Pagani,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Roberto Bianco. 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>Cross-sectional imaging of iatrogenic complic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ations after extracorporeal and endourological treatment of urolithiasis //Insights into Imaging. -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December 2014, Volume 5, </w:t>
      </w:r>
      <w:hyperlink r:id="rId74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Issue 6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>, pp 677–689].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Трапезникова М.Ф., Уренков СБ., Кулачков С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.М. ДУВЛ в лечении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мочекаменной болезни у больных с пересаженной почкой/ Материалы Пленума правления Российского общества урологов (Сочи, 28-30 апреля 2003). – Сочи, 2003, – с. 322.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iCs/>
          <w:color w:val="000000"/>
          <w:sz w:val="28"/>
          <w:szCs w:val="28"/>
        </w:rPr>
        <w:t xml:space="preserve">Аляев Ю.Г, Терновой С.К., Синицын Е.В. с соавт.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Влияние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аномалий почек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и верхних мочевых путей на возникновение мочекаменной болезни. // Медицинская визуализация. 2006. N 3.C. 88-93.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Мартов А.Г. Рентген-эндоскопические методы диагностики и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лечения заболеваний почек и верхних мочевых путей (Суправезикальная эндоурология). Ди</w:t>
      </w:r>
      <w:r>
        <w:rPr>
          <w:rFonts w:ascii="Times New Roman" w:eastAsia="Calibri" w:hAnsi="Times New Roman"/>
          <w:color w:val="000000"/>
          <w:sz w:val="28"/>
          <w:szCs w:val="28"/>
        </w:rPr>
        <w:t>сс… д. м. н, Москва.,1993.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Preminger GM, Assimos DG, Lingeman JE, Nakada SY, Pearle MS et al.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Chapter 1: AUA guideline on management of staghorn calculi: diagnosis and treatment recommendations. 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>J Urol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. 2005;173:1991–2000. doi: </w:t>
      </w:r>
      <w:r>
        <w:rPr>
          <w:rFonts w:ascii="Times New Roman" w:eastAsia="Calibri" w:hAnsi="Times New Roman"/>
          <w:sz w:val="28"/>
          <w:szCs w:val="28"/>
          <w:lang w:val="en-US"/>
        </w:rPr>
        <w:t>10.1097/01.ju.0000161171.67806.2a6.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iCs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Türk C, Knoll T, Petrik A, Sarica K, Skolarikos A et al. 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 xml:space="preserve">Guidelines on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iCs/>
          <w:sz w:val="28"/>
          <w:szCs w:val="28"/>
          <w:lang w:val="en-US"/>
        </w:rPr>
        <w:t>Urolithiasis</w:t>
      </w:r>
      <w:r>
        <w:rPr>
          <w:rFonts w:ascii="Times New Roman" w:eastAsia="Calibri" w:hAnsi="Times New Roman"/>
          <w:sz w:val="28"/>
          <w:szCs w:val="28"/>
          <w:lang w:val="en-US"/>
        </w:rPr>
        <w:t>. Amsterdam, Netherlands: European Association of Urology; 2015. pp. 1–71.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De la Rosette JJ, Zuazu JR, Tsakiris P, Elsakka AM, Zudaire JJ et al.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Prognostic factors and percutaneous nephrolithotomy morbidity: a multivariate analysis of a contemporary series using the Clavien classification. 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 xml:space="preserve">J.Urol. </w:t>
      </w:r>
      <w:r>
        <w:rPr>
          <w:rFonts w:ascii="Times New Roman" w:eastAsia="Calibri" w:hAnsi="Times New Roman"/>
          <w:sz w:val="28"/>
          <w:szCs w:val="28"/>
          <w:lang w:val="en-US"/>
        </w:rPr>
        <w:t>2008;180:2489–93. doi: 10.1016/</w:t>
      </w:r>
      <w:r>
        <w:rPr>
          <w:rFonts w:ascii="Times New Roman" w:eastAsia="Calibri" w:hAnsi="Times New Roman"/>
          <w:sz w:val="28"/>
          <w:szCs w:val="28"/>
          <w:lang w:val="en-US"/>
        </w:rPr>
        <w:t>j.juro.2008.08.02.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R, Desai M, Patel S, Bapat S, Desai M.Factors affecting blood loss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during percutaneous nephrolithotomy: prospective study. 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>J Endourol</w:t>
      </w:r>
      <w:r>
        <w:rPr>
          <w:rFonts w:ascii="Times New Roman" w:eastAsia="Calibri" w:hAnsi="Times New Roman"/>
          <w:sz w:val="28"/>
          <w:szCs w:val="28"/>
          <w:lang w:val="en-US"/>
        </w:rPr>
        <w:t>. 2004; 18:715–22.doi:10.1089 /end.2004.18.715.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Michel MS, Trojan L, Rassweiler JJ. Complications in pe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rcutaneous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nephrolithotomy. 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 xml:space="preserve">Eur Urol. </w:t>
      </w:r>
      <w:r>
        <w:rPr>
          <w:rFonts w:ascii="Times New Roman" w:eastAsia="Calibri" w:hAnsi="Times New Roman"/>
          <w:sz w:val="28"/>
          <w:szCs w:val="28"/>
          <w:lang w:val="en-US"/>
        </w:rPr>
        <w:t>2007;51:899–906. doi: 10.1016/j.eururo.2006.10.020.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Skolarikos A, de la Rosette J. Prevention and treatment of complications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following percutaneous nephrolithotomy. 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>Curr Opin Urol</w:t>
      </w:r>
      <w:r>
        <w:rPr>
          <w:rFonts w:ascii="Times New Roman" w:eastAsia="Calibri" w:hAnsi="Times New Roman"/>
          <w:sz w:val="28"/>
          <w:szCs w:val="28"/>
          <w:lang w:val="en-US"/>
        </w:rPr>
        <w:t>. 2008;18:229–34. doi: 10.1097/ MOU.0</w:t>
      </w:r>
      <w:r>
        <w:rPr>
          <w:rFonts w:ascii="Times New Roman" w:eastAsia="Calibri" w:hAnsi="Times New Roman"/>
          <w:sz w:val="28"/>
          <w:szCs w:val="28"/>
          <w:lang w:val="en-US"/>
        </w:rPr>
        <w:t>b013e3282f46afc.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Мартов А.Г., Дутов С.В., Андронов А.С. Ультраминиперкутанная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нефролитотрипсия в лечении камней почек. </w:t>
      </w:r>
      <w:r>
        <w:rPr>
          <w:rFonts w:ascii="Times New Roman" w:eastAsia="Calibri-Italic" w:hAnsi="Times New Roman"/>
          <w:iCs/>
          <w:sz w:val="28"/>
          <w:szCs w:val="28"/>
        </w:rPr>
        <w:t>Урология</w:t>
      </w:r>
      <w:r>
        <w:rPr>
          <w:rFonts w:ascii="Times New Roman" w:eastAsia="Calibri" w:hAnsi="Times New Roman"/>
          <w:sz w:val="28"/>
          <w:szCs w:val="28"/>
        </w:rPr>
        <w:t>. 2016;2:82-88.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Nagele U., Horstmann M., Sievert K.D., Kuczyk M.A., Walcher U.,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Hennenlotter J. A newly designed amplatz sheath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decreases intrapelvic irrigation pressure during mini-percutaneous nephrolitholapaxy. an in vitro pressure-measurement and microscopic study. </w:t>
      </w:r>
      <w:r>
        <w:rPr>
          <w:rFonts w:ascii="Times New Roman" w:eastAsia="Calibri" w:hAnsi="Times New Roman"/>
          <w:sz w:val="28"/>
          <w:szCs w:val="28"/>
        </w:rPr>
        <w:t xml:space="preserve">J Endourol. 2007;21:1113–1116.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Lahme S., Bichler K.H., Strohmaier W.L., Gotz T. Minimally invasive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PCNL in patients with renal pelvic and calyceal stones. </w:t>
      </w:r>
      <w:r>
        <w:rPr>
          <w:rFonts w:ascii="Times New Roman" w:eastAsia="Calibri" w:hAnsi="Times New Roman"/>
          <w:sz w:val="28"/>
          <w:szCs w:val="28"/>
        </w:rPr>
        <w:t xml:space="preserve">Eur Urol. 2001;40:619–624.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Jackman S.V., Hedican S.P., Peters C.A., Docimo S.G. Percutaneous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nephrolithotomy in infants and preschool age children: experience with a new technique. Urology. 1998;52:</w:t>
      </w:r>
      <w:r>
        <w:rPr>
          <w:rFonts w:ascii="Times New Roman" w:eastAsia="Calibri" w:hAnsi="Times New Roman"/>
          <w:sz w:val="28"/>
          <w:szCs w:val="28"/>
          <w:lang w:val="en-US"/>
        </w:rPr>
        <w:t>697–701.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Abdelhafez MF, Bedke J, Amend B, ElGanainy E, Aboulella H et al.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Minimally invasive percutaneous nephrolitholapaxy as an effective and safe procedure for large renal stones. </w:t>
      </w:r>
      <w:r>
        <w:rPr>
          <w:rFonts w:ascii="Times New Roman" w:eastAsia="Calibri-Italic" w:hAnsi="Times New Roman"/>
          <w:iCs/>
          <w:sz w:val="28"/>
          <w:szCs w:val="28"/>
          <w:lang w:val="en-US"/>
        </w:rPr>
        <w:t>BJU Int</w:t>
      </w:r>
      <w:r>
        <w:rPr>
          <w:rFonts w:ascii="Times New Roman" w:eastAsia="Calibri" w:hAnsi="Times New Roman"/>
          <w:sz w:val="28"/>
          <w:szCs w:val="28"/>
          <w:lang w:val="en-US"/>
        </w:rPr>
        <w:t>. 2012;110:1022–1026. doi:10.1111/j.1464-410X.2012.11191.x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Tepeler A, Başıbüyük İ, Tosun M, Armağan A. The role of ultra-mini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percutaneous nephrolithotomy in the treatment of kidney stones</w:t>
      </w:r>
      <w:r>
        <w:rPr>
          <w:rFonts w:ascii="Times New Roman" w:eastAsia="Calibri-Italic" w:hAnsi="Times New Roman"/>
          <w:iCs/>
          <w:sz w:val="28"/>
          <w:szCs w:val="28"/>
          <w:lang w:val="en-US"/>
        </w:rPr>
        <w:t xml:space="preserve">. Turk J Urol. </w:t>
      </w:r>
      <w:r>
        <w:rPr>
          <w:rFonts w:ascii="Times New Roman" w:eastAsia="Calibri" w:hAnsi="Times New Roman"/>
          <w:sz w:val="28"/>
          <w:szCs w:val="28"/>
          <w:lang w:val="en-US"/>
        </w:rPr>
        <w:t>2016;42(4): 261–266. doi: 10.5152/tud.2016.32644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Bellman GC, Davidoff R, Candela J, Gerspach J, Kurtz S, Stout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L.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Tubeless percutaneous renal surgery. </w:t>
      </w:r>
      <w:r>
        <w:rPr>
          <w:rFonts w:ascii="Times New Roman" w:eastAsia="Calibri-Italic" w:hAnsi="Times New Roman"/>
          <w:iCs/>
          <w:sz w:val="28"/>
          <w:szCs w:val="28"/>
          <w:lang w:val="en-US"/>
        </w:rPr>
        <w:t>J Urol</w:t>
      </w:r>
      <w:r>
        <w:rPr>
          <w:rFonts w:ascii="Times New Roman" w:eastAsia="Calibri" w:hAnsi="Times New Roman"/>
          <w:sz w:val="28"/>
          <w:szCs w:val="28"/>
          <w:lang w:val="en-US"/>
        </w:rPr>
        <w:t>. 1997;157:1578–82.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val="en-US"/>
        </w:rPr>
      </w:pPr>
      <w:hyperlink r:id="rId75" w:anchor="!" w:history="1">
        <w:r>
          <w:rPr>
            <w:rFonts w:ascii="Times New Roman" w:hAnsi="Times New Roman"/>
            <w:sz w:val="28"/>
            <w:szCs w:val="28"/>
            <w:lang w:val="en-US"/>
          </w:rPr>
          <w:t>Ganesh V.Raj</w:t>
        </w:r>
      </w:hyperlink>
      <w:hyperlink r:id="rId76" w:anchor="!" w:history="1">
        <w:r>
          <w:rPr>
            <w:rFonts w:ascii="Times New Roman" w:hAnsi="Times New Roman"/>
            <w:sz w:val="28"/>
            <w:szCs w:val="28"/>
            <w:lang w:val="en-US"/>
          </w:rPr>
          <w:t>bria, K.Auge</w:t>
        </w:r>
      </w:hyperlink>
      <w:hyperlink r:id="rId77" w:anchor="!" w:history="1">
        <w:r>
          <w:rPr>
            <w:rFonts w:ascii="Times New Roman" w:hAnsi="Times New Roman"/>
            <w:sz w:val="28"/>
            <w:szCs w:val="28"/>
            <w:lang w:val="en-US"/>
          </w:rPr>
          <w:t>alon, Z.Weizer</w:t>
        </w:r>
      </w:hyperlink>
      <w:hyperlink r:id="rId78" w:anchor="!" w:history="1">
        <w:r>
          <w:rPr>
            <w:rFonts w:ascii="Times New Roman" w:hAnsi="Times New Roman"/>
            <w:sz w:val="28"/>
            <w:szCs w:val="28"/>
            <w:lang w:val="en-US"/>
          </w:rPr>
          <w:t>john, D.Denstedt et al</w:t>
        </w:r>
      </w:hyperlink>
      <w:r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kern w:val="36"/>
          <w:sz w:val="28"/>
          <w:szCs w:val="28"/>
          <w:lang w:val="en-US"/>
        </w:rPr>
        <w:t>Percutaneous Manag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>ement of Calculi Within Horseshoe Kidneys.</w:t>
      </w:r>
      <w:r>
        <w:rPr>
          <w:rFonts w:ascii="Times New Roman" w:hAnsi="Times New Roman"/>
          <w:sz w:val="28"/>
          <w:szCs w:val="28"/>
          <w:lang w:val="en-US"/>
        </w:rPr>
        <w:t xml:space="preserve"> Journal of Urology, </w:t>
      </w:r>
      <w:hyperlink r:id="rId79" w:tooltip="Go to table of contents for this volume/issue" w:history="1">
        <w:r>
          <w:rPr>
            <w:rFonts w:ascii="Times New Roman" w:eastAsia="Calibri" w:hAnsi="Times New Roman"/>
            <w:sz w:val="28"/>
            <w:szCs w:val="28"/>
            <w:lang w:val="en-US"/>
          </w:rPr>
          <w:t>Volume 170, Issue 1</w:t>
        </w:r>
      </w:hyperlink>
      <w:r>
        <w:rPr>
          <w:rFonts w:ascii="Times New Roman" w:eastAsia="Calibri" w:hAnsi="Times New Roman"/>
          <w:sz w:val="28"/>
          <w:szCs w:val="28"/>
          <w:lang w:val="en-US"/>
        </w:rPr>
        <w:t>, July 2003, Pages 48-51.</w:t>
      </w:r>
      <w:bookmarkStart w:id="10" w:name="baep-author-id2"/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bCs/>
          <w:kern w:val="36"/>
          <w:sz w:val="28"/>
          <w:szCs w:val="28"/>
          <w:lang w:val="en-US"/>
        </w:rPr>
      </w:pPr>
      <w:hyperlink r:id="rId80" w:anchor="!" w:history="1">
        <w:r>
          <w:rPr>
            <w:rFonts w:ascii="Times New Roman" w:hAnsi="Times New Roman"/>
            <w:sz w:val="28"/>
            <w:szCs w:val="28"/>
            <w:lang w:val="en-US"/>
          </w:rPr>
          <w:t>Elias Assad, Chedid Neto</w:t>
        </w:r>
      </w:hyperlink>
      <w:bookmarkStart w:id="11" w:name="baep-author-id3"/>
      <w:bookmarkEnd w:id="10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81" w:anchor="!" w:history="1">
        <w:r>
          <w:rPr>
            <w:rFonts w:ascii="Times New Roman" w:hAnsi="Times New Roman"/>
            <w:sz w:val="28"/>
            <w:szCs w:val="28"/>
            <w:lang w:val="en-US"/>
          </w:rPr>
          <w:t>Anuar Ibrahim et al.</w:t>
        </w:r>
      </w:hyperlink>
      <w:bookmarkStart w:id="12" w:name="baep-author-id4"/>
      <w:bookmarkEnd w:id="11"/>
      <w:bookmarkEnd w:id="12"/>
      <w:r>
        <w:rPr>
          <w:rFonts w:ascii="Times New Roman" w:hAnsi="Times New Roman"/>
          <w:sz w:val="28"/>
          <w:szCs w:val="28"/>
          <w:lang w:val="en-US"/>
        </w:rPr>
        <w:t xml:space="preserve"> P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ercutaneous </w:t>
      </w:r>
    </w:p>
    <w:p w:rsidR="00750932" w:rsidRDefault="00816126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Nephrolithotripsy With the 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>Patient in a Modified Supine Position.</w:t>
      </w:r>
      <w:r>
        <w:rPr>
          <w:rFonts w:ascii="Times New Roman" w:hAnsi="Times New Roman"/>
          <w:sz w:val="28"/>
          <w:szCs w:val="28"/>
          <w:lang w:val="en-US"/>
        </w:rPr>
        <w:t xml:space="preserve"> Journal of Urology, Volume 178, Issue 1, July 2007, Pages 168.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G. Zeng et al. Minimally Invasive Percutaneous Nephrolithotomy for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Simple and Complex Renal Caliceal Stones: A Comparative Analysis of More Than 10,000 </w:t>
      </w:r>
      <w:r>
        <w:rPr>
          <w:rFonts w:ascii="Times New Roman" w:eastAsia="Calibri" w:hAnsi="Times New Roman"/>
          <w:sz w:val="28"/>
          <w:szCs w:val="28"/>
          <w:lang w:val="en-US"/>
        </w:rPr>
        <w:t>Cases // J Endourology. – 2013. - Volume 27, Number 10. - P. 1203-1208.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Ю.Г. Аляев и др. Множественные доступы при перкутанной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нефролитотрипсии с меньшей вероятностью осложнений /материалы </w:t>
      </w:r>
      <w:r>
        <w:rPr>
          <w:rFonts w:ascii="Times New Roman" w:eastAsia="Calibri" w:hAnsi="Times New Roman"/>
          <w:sz w:val="28"/>
          <w:szCs w:val="28"/>
          <w:lang w:val="en-US"/>
        </w:rPr>
        <w:t>XV</w:t>
      </w:r>
      <w:r>
        <w:rPr>
          <w:rFonts w:ascii="Times New Roman" w:eastAsia="Calibri" w:hAnsi="Times New Roman"/>
          <w:sz w:val="28"/>
          <w:szCs w:val="28"/>
        </w:rPr>
        <w:t xml:space="preserve"> конгресса Российского общества урологов “Урология в </w:t>
      </w:r>
      <w:r>
        <w:rPr>
          <w:rFonts w:ascii="Times New Roman" w:eastAsia="Calibri" w:hAnsi="Times New Roman"/>
          <w:sz w:val="28"/>
          <w:szCs w:val="28"/>
          <w:lang w:val="en-US"/>
        </w:rPr>
        <w:t>XXI</w:t>
      </w:r>
      <w:r>
        <w:rPr>
          <w:rFonts w:ascii="Times New Roman" w:eastAsia="Calibri" w:hAnsi="Times New Roman"/>
          <w:sz w:val="28"/>
          <w:szCs w:val="28"/>
        </w:rPr>
        <w:t xml:space="preserve"> веке”. </w:t>
      </w:r>
      <w:r>
        <w:rPr>
          <w:rFonts w:ascii="Times New Roman" w:eastAsia="Calibri" w:hAnsi="Times New Roman"/>
          <w:sz w:val="28"/>
          <w:szCs w:val="28"/>
        </w:rPr>
        <w:t>– СПб., 2015. – С. 127.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А.Г. Мартов и др. Перкутанная хирургия коралловидного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нефролитиаза в “эпоху ДЛТ” / материалы Пленума правления Российского общества урологов (Сочи, 28-30 апреля 2003). – М., 2003. – С. 411-412.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T. Manohar et al. Percutaneous nephr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olithotomy for complex caliceal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calculi and staghorn stones in children less than 5 years of age //J Endourolю – 2006. – Vol. 20. – P. 547-551.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О.В. Теодорович и др. Минимально инвазивная перкутанная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лазерная нефролитотрипсия в лечении коралловидного не</w:t>
      </w:r>
      <w:r>
        <w:rPr>
          <w:rFonts w:ascii="Times New Roman" w:eastAsia="Calibri" w:hAnsi="Times New Roman"/>
          <w:sz w:val="28"/>
          <w:szCs w:val="28"/>
        </w:rPr>
        <w:t>фролитиаза // Медицинский вестник Башкортостана. – 2015. – Т. 10, № 3. – С. 68-72.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W. Zhu et al. Minimally invasive versus standard percutaneous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nephrolithotomy: a meta-analysis / // Urolithiasis. – 2015. - Nov; Vol.43(6). – P. 563-570.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Y. Wang et al. Sta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ndard-Tract Combined with Mini-Tract in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Percutaneous Nephrolithotomy for Renal Staghorn Calculi // Urol Int. – 2014. – Vol. 92. – P. 422-426.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Г.Н. Акопян, Ю.Г. Аляев, М.А. Газимиев и др. Малоинвазивный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мультиперкутанный доступ в лечении коралловидного не</w:t>
      </w:r>
      <w:r>
        <w:rPr>
          <w:rFonts w:ascii="Times New Roman" w:eastAsia="Calibri" w:hAnsi="Times New Roman"/>
          <w:sz w:val="28"/>
          <w:szCs w:val="28"/>
        </w:rPr>
        <w:t xml:space="preserve">фролитиаза //Медицинский вестник Башкортостана. -Том 12.- № 3 (69).- 2017.- С.110-114.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П.В. Трусов, М.И. Коган, В.К. Хван. Эффективность и безопасность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мини-перкутанной нефролитотрипсии в лечении крупных и коралловидных камней почек//Вестник урологии. -Т</w:t>
      </w:r>
      <w:r>
        <w:rPr>
          <w:rFonts w:ascii="Times New Roman" w:eastAsia="Calibri" w:hAnsi="Times New Roman"/>
          <w:bCs/>
          <w:sz w:val="28"/>
          <w:szCs w:val="28"/>
        </w:rPr>
        <w:t xml:space="preserve">ом 5.- № 1.- 2017.- С.31-36.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Олефир Ю.В. Малоинвазивные методы лечения сложных форм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нефролитиаза: Дис. ... д-ра мед.наук: 14.00.40 [ГОУВПО «Московская медицинская академия»]. – Москва, 2008. – 208 c.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Цинаев М.А. Сравнительная оценка эффективности современных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 xml:space="preserve">методов лечения больных коралловидным нефролитиазом : дис. ... канд. мед.наук: 14.00.40 [ГОУВПО «Санкт-Петербургский государственный медицинский университет»]. – Санкт-Петербург, 2009. – 134 c.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 xml:space="preserve">.G. Papatsoris, S. Kachrilas, M. ElHowairis, J. Masood, N. Buchholz.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Novel technologies in flexible ureterorenoscopy//</w:t>
      </w:r>
      <w:r>
        <w:rPr>
          <w:rFonts w:ascii="Times New Roman" w:hAnsi="Times New Roman"/>
          <w:sz w:val="28"/>
          <w:szCs w:val="28"/>
          <w:lang w:val="en-US"/>
        </w:rPr>
        <w:t>AJU.- 12 (2011).- pp. 41-46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A.A. Skolarikos, A.G. Papatsoris, I.C. Mitsogiannis, L. Chatzidarellis, C.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Liakouras, C. Deliveliotis. </w:t>
      </w:r>
      <w:r>
        <w:rPr>
          <w:rFonts w:ascii="Times New Roman" w:hAnsi="Times New Roman"/>
          <w:bCs/>
          <w:sz w:val="28"/>
          <w:szCs w:val="28"/>
          <w:lang w:val="en-US"/>
        </w:rPr>
        <w:t>Curre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nt status of ureteroscopic treatment for urolithiasis// </w:t>
      </w:r>
      <w:r>
        <w:rPr>
          <w:rFonts w:ascii="Times New Roman" w:hAnsi="Times New Roman"/>
          <w:sz w:val="28"/>
          <w:szCs w:val="28"/>
          <w:lang w:val="en-US"/>
        </w:rPr>
        <w:t>Int J Urol. - 16 (2009).- pp. 713-717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A.J. Welch, H.W. Kang, H. Lee, J.M. Teichman.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Calculus fragmentation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in laser lithotripsy//</w:t>
      </w:r>
      <w:r>
        <w:rPr>
          <w:rFonts w:ascii="Times New Roman" w:hAnsi="Times New Roman"/>
          <w:sz w:val="28"/>
          <w:szCs w:val="28"/>
          <w:lang w:val="en-US"/>
        </w:rPr>
        <w:t>Minerva Urol Nefrol.- 56 (2004).- pp. 49-63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Turk C, Knoll T, Petrik A,</w:t>
      </w:r>
      <w:r>
        <w:rPr>
          <w:rFonts w:ascii="Times New Roman" w:hAnsi="Times New Roman"/>
          <w:sz w:val="28"/>
          <w:szCs w:val="28"/>
          <w:lang w:val="en-US"/>
        </w:rPr>
        <w:t xml:space="preserve"> Sarika K, Seitz C, Straub M, et al. Guidelines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on urolithiasis // European Association of Urology. - 2011.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H.W. Kang, H. Lee, J.M. Teichman, J. Oh, J. Kim, A.J.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Welch</w:t>
      </w:r>
      <w:r>
        <w:rPr>
          <w:rFonts w:ascii="Times New Roman" w:hAnsi="Times New Roman"/>
          <w:bCs/>
          <w:sz w:val="28"/>
          <w:szCs w:val="28"/>
          <w:lang w:val="en-US"/>
        </w:rPr>
        <w:t>Dependence of calculus retropulsion on pulse duration during Ho: YAG laser lithotripsy/</w:t>
      </w:r>
      <w:r>
        <w:rPr>
          <w:rFonts w:ascii="Times New Roman" w:hAnsi="Times New Roman"/>
          <w:bCs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Lasers Surg Med.- 38 (2006).- pp. 762-772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P.K. Gupta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Is the holmium:YAG laser the best intracorporeal lithotripter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for the ureter? A 3-year retrospective study//</w:t>
      </w:r>
      <w:r>
        <w:rPr>
          <w:rFonts w:ascii="Times New Roman" w:hAnsi="Times New Roman"/>
          <w:sz w:val="28"/>
          <w:szCs w:val="28"/>
          <w:lang w:val="en-US"/>
        </w:rPr>
        <w:t>J Endourol.- 21 (2007).- pp. 305-309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A. Triantafyllidis, C. Kalaitzis, S. Giannakopoulos, A.G. Papatsoris, T.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Pantazis, A. Papathanasiou, 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et al. </w:t>
      </w:r>
      <w:r>
        <w:rPr>
          <w:rFonts w:ascii="Times New Roman" w:hAnsi="Times New Roman"/>
          <w:bCs/>
          <w:sz w:val="28"/>
          <w:szCs w:val="28"/>
          <w:lang w:val="en-US"/>
        </w:rPr>
        <w:t>Holmium laser lithothripsy of ureteral calculi: our initial experience//</w:t>
      </w:r>
      <w:r>
        <w:rPr>
          <w:rFonts w:ascii="Times New Roman" w:hAnsi="Times New Roman"/>
          <w:sz w:val="28"/>
          <w:szCs w:val="28"/>
          <w:lang w:val="en-US"/>
        </w:rPr>
        <w:t>Urol Int.-79 (2007).- pp. 24-27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S. Garg, A.K. Mandal, S.K. Singh, A. Naveen</w:t>
      </w:r>
      <w:r>
        <w:rPr>
          <w:rFonts w:ascii="Times New Roman" w:hAnsi="Times New Roman"/>
          <w:sz w:val="28"/>
          <w:szCs w:val="28"/>
          <w:lang w:val="en-US"/>
        </w:rPr>
        <w:t xml:space="preserve">, M. Ravimohan, M.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Aggarwal, </w:t>
      </w:r>
      <w:r>
        <w:rPr>
          <w:rFonts w:ascii="Times New Roman" w:hAnsi="Times New Roman"/>
          <w:iCs/>
          <w:sz w:val="28"/>
          <w:szCs w:val="28"/>
          <w:lang w:val="en-US"/>
        </w:rPr>
        <w:t>et al.</w:t>
      </w:r>
      <w:r>
        <w:rPr>
          <w:rFonts w:ascii="Times New Roman" w:hAnsi="Times New Roman"/>
          <w:bCs/>
          <w:sz w:val="28"/>
          <w:szCs w:val="28"/>
          <w:lang w:val="en-US"/>
        </w:rPr>
        <w:t>Ureteroscopic laser lithotripsy versus ballistic lithotripsy for treatment of ureteric stones: a prospective comparative study//</w:t>
      </w:r>
      <w:r>
        <w:rPr>
          <w:rFonts w:ascii="Times New Roman" w:hAnsi="Times New Roman"/>
          <w:sz w:val="28"/>
          <w:szCs w:val="28"/>
          <w:lang w:val="en-US"/>
        </w:rPr>
        <w:t>Urol Int.- 82 (2009).- pp. 341-345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M. Binbay, A. Tepeler, A. Singh, T. Akman, E. Tekinaslan, O. Sarilar, 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et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>al.</w:t>
      </w:r>
      <w:r>
        <w:rPr>
          <w:rFonts w:ascii="Times New Roman" w:hAnsi="Times New Roman"/>
          <w:bCs/>
          <w:sz w:val="28"/>
          <w:szCs w:val="28"/>
          <w:lang w:val="en-US"/>
        </w:rPr>
        <w:t>Evaluation of pneumatic versus holmium: YAG laser lithotripsy for impacted ureteral stones//</w:t>
      </w:r>
      <w:r>
        <w:rPr>
          <w:rFonts w:ascii="Times New Roman" w:hAnsi="Times New Roman"/>
          <w:sz w:val="28"/>
          <w:szCs w:val="28"/>
          <w:lang w:val="en-US"/>
        </w:rPr>
        <w:t>Int Urol Nephrol.- 43 (2011).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 xml:space="preserve"> pp. 989-995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Salvadó JA, Mandujano R, Saez I, Saavedra A,</w:t>
      </w:r>
      <w:r>
        <w:rPr>
          <w:rFonts w:ascii="Times New Roman" w:hAnsi="Times New Roman"/>
          <w:sz w:val="28"/>
          <w:szCs w:val="28"/>
          <w:lang w:val="en-US"/>
        </w:rPr>
        <w:t xml:space="preserve"> Dell’oro A, Dominguez J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et al. Ureteroscopic lithotripsy for distal ureteral calculi. Comparative evaluation of three different lithotripters// J Endourol.- 2012</w:t>
      </w:r>
      <w:r>
        <w:rPr>
          <w:rFonts w:ascii="Times New Roman" w:hAnsi="Times New Roman"/>
          <w:sz w:val="28"/>
          <w:szCs w:val="28"/>
        </w:rPr>
        <w:t>.-</w:t>
      </w:r>
      <w:r>
        <w:rPr>
          <w:rFonts w:ascii="Times New Roman" w:hAnsi="Times New Roman"/>
          <w:sz w:val="28"/>
          <w:szCs w:val="28"/>
          <w:lang w:val="en-US"/>
        </w:rPr>
        <w:t xml:space="preserve"> January 4.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M. Grasso, M. Ficazzola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Retrograde ureteropyeloscopy for lower pole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caliceal c</w:t>
      </w:r>
      <w:r>
        <w:rPr>
          <w:rFonts w:ascii="Times New Roman" w:hAnsi="Times New Roman"/>
          <w:bCs/>
          <w:sz w:val="28"/>
          <w:szCs w:val="28"/>
          <w:lang w:val="en-US"/>
        </w:rPr>
        <w:t>alculi//</w:t>
      </w:r>
      <w:r>
        <w:rPr>
          <w:rFonts w:ascii="Times New Roman" w:hAnsi="Times New Roman"/>
          <w:sz w:val="28"/>
          <w:szCs w:val="28"/>
          <w:lang w:val="en-US"/>
        </w:rPr>
        <w:t>J Urol.-162 (1999).- pp. 1904-1908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J. Kourambas, R. Munver, G.M. Preminger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Ureteroscopic management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of recurrent renal cystine calculi//</w:t>
      </w:r>
      <w:r>
        <w:rPr>
          <w:rFonts w:ascii="Times New Roman" w:hAnsi="Times New Roman"/>
          <w:sz w:val="28"/>
          <w:szCs w:val="28"/>
          <w:lang w:val="en-US"/>
        </w:rPr>
        <w:t>J Endourol.- 14 (2000).- pp. 489-492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T.G. Schuster, B.K. Hollenbeck, G.J. Faerber, J.S. Wolf Jr.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Ureteroscopic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t</w:t>
      </w:r>
      <w:r>
        <w:rPr>
          <w:rFonts w:ascii="Times New Roman" w:hAnsi="Times New Roman"/>
          <w:bCs/>
          <w:sz w:val="28"/>
          <w:szCs w:val="28"/>
          <w:lang w:val="en-US"/>
        </w:rPr>
        <w:t>reatment of lower pole calculi: comparison of lithotripsy in situ and after displacement//</w:t>
      </w:r>
      <w:r>
        <w:rPr>
          <w:rFonts w:ascii="Times New Roman" w:hAnsi="Times New Roman"/>
          <w:sz w:val="28"/>
          <w:szCs w:val="28"/>
          <w:lang w:val="en-US"/>
        </w:rPr>
        <w:t>J Urol.-168 (2002).-pp. 43-45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H.N. Shah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Retrograde intrarenal surgery for lower pole renal calculi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smaller than one centimeter//</w:t>
      </w:r>
      <w:r>
        <w:rPr>
          <w:rFonts w:ascii="Times New Roman" w:hAnsi="Times New Roman"/>
          <w:sz w:val="28"/>
          <w:szCs w:val="28"/>
          <w:lang w:val="en-US"/>
        </w:rPr>
        <w:t>Indian J Urol.-24 (2008).-pp. 544-550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C.G. Marguet, J.C. Sung, W.P. Springhart, J.O. L’Esperance, S. Zhou, P.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Zhing, 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et al. </w:t>
      </w:r>
      <w:r>
        <w:rPr>
          <w:rFonts w:ascii="Times New Roman" w:hAnsi="Times New Roman"/>
          <w:bCs/>
          <w:sz w:val="28"/>
          <w:szCs w:val="28"/>
          <w:lang w:val="en-US"/>
        </w:rPr>
        <w:t>In vitro comparison of stone retropulsion and fragmentation of the frequency doubled, double pulse Nd:YAG laser and the holmium:YAG laser//</w:t>
      </w:r>
      <w:r>
        <w:rPr>
          <w:rFonts w:ascii="Times New Roman" w:hAnsi="Times New Roman"/>
          <w:sz w:val="28"/>
          <w:szCs w:val="28"/>
          <w:lang w:val="en-US"/>
        </w:rPr>
        <w:t>J Urol.- 173 (2005).- pp. 1797</w:t>
      </w:r>
      <w:r>
        <w:rPr>
          <w:rFonts w:ascii="Times New Roman" w:hAnsi="Times New Roman"/>
          <w:sz w:val="28"/>
          <w:szCs w:val="28"/>
          <w:lang w:val="en-US"/>
        </w:rPr>
        <w:t>-1800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A.J. Marks, J.M. Teichman.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Lasers in clinical urology. State of the art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and new horizons//</w:t>
      </w:r>
      <w:r>
        <w:rPr>
          <w:rFonts w:ascii="Times New Roman" w:hAnsi="Times New Roman"/>
          <w:sz w:val="28"/>
          <w:szCs w:val="28"/>
          <w:lang w:val="en-US"/>
        </w:rPr>
        <w:t>World J Urol.- 25 (2007).- pp. 227-233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M.J. Bader, C. Gratzke, V. Hecht, B. Schlenker, M. Seitz, O. Reich, 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et al.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Impact of collateral damage to endourologic </w:t>
      </w:r>
      <w:r>
        <w:rPr>
          <w:rFonts w:ascii="Times New Roman" w:hAnsi="Times New Roman"/>
          <w:bCs/>
          <w:sz w:val="28"/>
          <w:szCs w:val="28"/>
          <w:lang w:val="en-US"/>
        </w:rPr>
        <w:t>tools during laser lithotripsy. Vitro comparison of three different clinical laser systems//</w:t>
      </w:r>
      <w:r>
        <w:rPr>
          <w:rFonts w:ascii="Times New Roman" w:hAnsi="Times New Roman"/>
          <w:sz w:val="28"/>
          <w:szCs w:val="28"/>
          <w:lang w:val="en-US"/>
        </w:rPr>
        <w:t>J Endourol.- 25 (2011).- pp. 667-672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J.H. Amón Sesmero. </w:t>
      </w:r>
      <w:r>
        <w:rPr>
          <w:rFonts w:ascii="Times New Roman" w:hAnsi="Times New Roman"/>
          <w:bCs/>
          <w:sz w:val="28"/>
          <w:szCs w:val="28"/>
          <w:lang w:val="en-US"/>
        </w:rPr>
        <w:t>New perspectives for laser therapy//</w:t>
      </w:r>
      <w:r>
        <w:rPr>
          <w:rFonts w:ascii="Times New Roman" w:hAnsi="Times New Roman"/>
          <w:sz w:val="28"/>
          <w:szCs w:val="28"/>
          <w:lang w:val="en-US"/>
        </w:rPr>
        <w:t xml:space="preserve">Arch Esp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Urol.- 61 (2008).- pp. 1163-1169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B.R. Matlaga, J.E. Lingeman. </w:t>
      </w:r>
      <w:r>
        <w:rPr>
          <w:rFonts w:ascii="Times New Roman" w:hAnsi="Times New Roman"/>
          <w:bCs/>
          <w:sz w:val="28"/>
          <w:szCs w:val="28"/>
          <w:lang w:val="en-US"/>
        </w:rPr>
        <w:t>Surgical management of stones: new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technology//</w:t>
      </w:r>
      <w:r>
        <w:rPr>
          <w:rFonts w:ascii="Times New Roman" w:hAnsi="Times New Roman"/>
          <w:sz w:val="28"/>
          <w:szCs w:val="28"/>
          <w:lang w:val="en-US"/>
        </w:rPr>
        <w:t>Adv Chronic Kidney Dis.- 16 (2009).- pp. 60-64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S.N. Chawla, M.F. Chang, A. Chang, J. Lenoir, D.H. Bagley.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Effectiveness of high-frequency holmium: YAG laser stone fragmentation: the ‘popcorn effect’//</w:t>
      </w:r>
      <w:r>
        <w:rPr>
          <w:rFonts w:ascii="Times New Roman" w:hAnsi="Times New Roman"/>
          <w:sz w:val="28"/>
          <w:szCs w:val="28"/>
          <w:lang w:val="en-US"/>
        </w:rPr>
        <w:t xml:space="preserve">J </w:t>
      </w:r>
      <w:r>
        <w:rPr>
          <w:rFonts w:ascii="Times New Roman" w:hAnsi="Times New Roman"/>
          <w:sz w:val="28"/>
          <w:szCs w:val="28"/>
          <w:lang w:val="en-US"/>
        </w:rPr>
        <w:t>Endourol.- 22 (2008).- pp. 645-650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P. Kalra, N.B. Le, D. Bagley.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Effect of pulse width on object movement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in vitro using holmium: YAG laser//</w:t>
      </w:r>
      <w:r>
        <w:rPr>
          <w:rFonts w:ascii="Times New Roman" w:hAnsi="Times New Roman"/>
          <w:sz w:val="28"/>
          <w:szCs w:val="28"/>
          <w:lang w:val="en-US"/>
        </w:rPr>
        <w:t>J Endourol.- 21 (2007)</w:t>
      </w:r>
      <w:r>
        <w:rPr>
          <w:rFonts w:ascii="Times New Roman" w:hAnsi="Times New Roman"/>
          <w:sz w:val="28"/>
          <w:szCs w:val="28"/>
        </w:rPr>
        <w:t>.-</w:t>
      </w:r>
      <w:r>
        <w:rPr>
          <w:rFonts w:ascii="Times New Roman" w:hAnsi="Times New Roman"/>
          <w:sz w:val="28"/>
          <w:szCs w:val="28"/>
          <w:lang w:val="en-US"/>
        </w:rPr>
        <w:t xml:space="preserve"> pp. 228-231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B.E. Knudsen, R. Pedro, B. Hinck, M. Monga.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Durability of reusable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holmium: </w:t>
      </w:r>
      <w:r>
        <w:rPr>
          <w:rFonts w:ascii="Times New Roman" w:hAnsi="Times New Roman"/>
          <w:bCs/>
          <w:sz w:val="28"/>
          <w:szCs w:val="28"/>
          <w:lang w:val="en-US"/>
        </w:rPr>
        <w:t>YAG laser fibres: a multicenter study//</w:t>
      </w:r>
      <w:r>
        <w:rPr>
          <w:rFonts w:ascii="Times New Roman" w:hAnsi="Times New Roman"/>
          <w:sz w:val="28"/>
          <w:szCs w:val="28"/>
          <w:lang w:val="en-US"/>
        </w:rPr>
        <w:t>J Urol.- 185 (2011).- pp. 160-163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Y. Xu, Q. Wei, L.R. Liu. </w:t>
      </w:r>
      <w:r>
        <w:rPr>
          <w:rFonts w:ascii="Times New Roman" w:hAnsi="Times New Roman"/>
          <w:bCs/>
          <w:sz w:val="28"/>
          <w:szCs w:val="28"/>
          <w:lang w:val="en-US"/>
        </w:rPr>
        <w:t>A prospective randomized trial comparing non-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stented versus routine stented ureteroscopic holmium laser lithotripsy// </w:t>
      </w:r>
      <w:r>
        <w:rPr>
          <w:rFonts w:ascii="Times New Roman" w:hAnsi="Times New Roman"/>
          <w:sz w:val="28"/>
          <w:szCs w:val="28"/>
          <w:lang w:val="en-US"/>
        </w:rPr>
        <w:t>Saudi Med J.- 30 (2009).- pp. 1276-1280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J. Reeves, T. El Husseiny, A. Papatsoris, J. Masood, N. Buchholz, M.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Birch. </w:t>
      </w:r>
      <w:r>
        <w:rPr>
          <w:rFonts w:ascii="Times New Roman" w:hAnsi="Times New Roman"/>
          <w:bCs/>
          <w:sz w:val="28"/>
          <w:szCs w:val="28"/>
          <w:lang w:val="en-US"/>
        </w:rPr>
        <w:t>Ureteric guidewire damage by Holmium: YAG laser: preliminary results//</w:t>
      </w:r>
      <w:r>
        <w:rPr>
          <w:rFonts w:ascii="Times New Roman" w:hAnsi="Times New Roman"/>
          <w:sz w:val="28"/>
          <w:szCs w:val="28"/>
          <w:lang w:val="en-US"/>
        </w:rPr>
        <w:t>Urol Res.- 37 (2009).- pp. 7-10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E. Durak, G. Hruby, R. Mitchell, F. Marruffo, J.O. Abundez, J. Landman.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Eva</w:t>
      </w:r>
      <w:r>
        <w:rPr>
          <w:rFonts w:ascii="Times New Roman" w:hAnsi="Times New Roman"/>
          <w:bCs/>
          <w:sz w:val="28"/>
          <w:szCs w:val="28"/>
          <w:lang w:val="en-US"/>
        </w:rPr>
        <w:t>luation of a protective laser sheath for application in flexible ureteroscopy//</w:t>
      </w:r>
      <w:r>
        <w:rPr>
          <w:rFonts w:ascii="Times New Roman" w:hAnsi="Times New Roman"/>
          <w:sz w:val="28"/>
          <w:szCs w:val="28"/>
          <w:lang w:val="en-US"/>
        </w:rPr>
        <w:t>J Endourol.- 22 (2008).- pp. 57-60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K. Xavier, G.W. Hruby, C.R. Kelly, J. Landman, M. Gupta.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Clinical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evaluation of efficacy of novel optically activated digital endoscope prote</w:t>
      </w:r>
      <w:r>
        <w:rPr>
          <w:rFonts w:ascii="Times New Roman" w:hAnsi="Times New Roman"/>
          <w:bCs/>
          <w:sz w:val="28"/>
          <w:szCs w:val="28"/>
          <w:lang w:val="en-US"/>
        </w:rPr>
        <w:t>ction system against laser energy damage//</w:t>
      </w:r>
      <w:r>
        <w:rPr>
          <w:rFonts w:ascii="Times New Roman" w:hAnsi="Times New Roman"/>
          <w:sz w:val="28"/>
          <w:szCs w:val="28"/>
          <w:lang w:val="en-US"/>
        </w:rPr>
        <w:t>Urology.- 73 (2009).- pp. 37-40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Chaussy C., Schmiedt E., Jocham D., Brendel W., Forssmann B.,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Walther V. First clinical experience with extracorporeally induced destruction of kidney stones by shock waves. J Urol.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1982;127:417–420.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Preminger G.M., Tiselius H.G., Assimos D.G., Alken P., Buck A.C.,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Galluci M. 2007 Guideline for the management of ureteral calculi. Eur Urol. 2007;52:1610–1631.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Tiselius H.G., Ackermann D., Alken P., Buck C., Conort P., Gallucci M.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Guidelines on urolithiasis. Eur Urol. 2001;40:362–371.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Marguet C.G., Springhart W.P., Auge B.K., Preminger G.M. Advances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in the surgical management of nephrolithiasis. Minerva Urol Nefrol. 2004;56:33–48.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Tan Y.H., Preminger G.M. Advances in video and im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aging in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ureteroscopy. Urol Clin North Am. 2004;31:33–42.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Chow G.K., Patterson D.E., Blute M.L., Segura J.W. Ureteroscopy.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Effect of technology and technique on clinical practice. J Urol. 2003;170:99–102.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Raman J.D., Pearle M.S. Management options for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lower pole renal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calculi. </w:t>
      </w:r>
      <w:r>
        <w:rPr>
          <w:rFonts w:ascii="Times New Roman" w:eastAsia="Calibri" w:hAnsi="Times New Roman"/>
          <w:sz w:val="28"/>
          <w:szCs w:val="28"/>
        </w:rPr>
        <w:t>Curr Opin Urol. 2008;18:214–219.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Juan Y.S., Chuang S.M., Wu W.J., Shen J.T., Wang C.J., Huang C.H.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Impact of lower pole anatomy on stone clearance after shock wave lithotripsy. </w:t>
      </w:r>
      <w:r>
        <w:rPr>
          <w:rFonts w:ascii="Times New Roman" w:eastAsia="Calibri" w:hAnsi="Times New Roman"/>
          <w:sz w:val="28"/>
          <w:szCs w:val="28"/>
        </w:rPr>
        <w:t>Kaohsiung J Med Sci. 2005;21:358–364.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Novak K. Trea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tment of the lower pole nephrolithiasis. Cas Lek Cesk.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2005;144(Suppl. 2):45–47.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Riedler I., Trummer H., Hebel P., Hubmer G. Outcome and safety of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extracorporeal shock wave lithotripsy as first-line therapy of lower pole nephrolithiasis. Urol Int. 2003;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71:350–354.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Obek C., Onal B., Kantay K., Kalkan M., Yalcin V., Oner A. The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efficacy of extracorporeal shock wave lithotripsy for isolated lower pole calculi compared with isolated middle and upper caliceal calculi. J Urol. 2001;166:2081–2084. </w:t>
      </w:r>
    </w:p>
    <w:p w:rsidR="00750932" w:rsidRDefault="00816126">
      <w:pPr>
        <w:numPr>
          <w:ilvl w:val="0"/>
          <w:numId w:val="12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Lingeman J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.E., Siegel Y.I., Steele B., Nyhuis A.W., Woods J.R., Fuchs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G.J. Management of lower pole nephrolithiasis: a critical analysis. J Urol. 1994;151:663–669.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114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Marios James, D.Watter Sontimothy, A.Wollin et al.  Holmium: YAG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laser lithotripsy for upper </w:t>
      </w:r>
      <w:r>
        <w:rPr>
          <w:rFonts w:ascii="Times New Roman" w:eastAsia="Calibri" w:hAnsi="Times New Roman"/>
          <w:sz w:val="28"/>
          <w:szCs w:val="28"/>
          <w:lang w:val="en-US"/>
        </w:rPr>
        <w:t>urinary tract calculi in 598 patients// Jurnal of Urology Volume 167.- Issue</w:t>
      </w:r>
      <w:r>
        <w:rPr>
          <w:rFonts w:ascii="Times New Roman" w:eastAsia="Calibri" w:hAnsi="Times New Roman"/>
          <w:sz w:val="28"/>
          <w:szCs w:val="28"/>
        </w:rPr>
        <w:t xml:space="preserve"> 1.- </w:t>
      </w:r>
      <w:r>
        <w:rPr>
          <w:rFonts w:ascii="Times New Roman" w:eastAsia="Calibri" w:hAnsi="Times New Roman"/>
          <w:sz w:val="28"/>
          <w:szCs w:val="28"/>
          <w:lang w:val="en-US"/>
        </w:rPr>
        <w:t>January</w:t>
      </w:r>
      <w:r>
        <w:rPr>
          <w:rFonts w:ascii="Times New Roman" w:eastAsia="Calibri" w:hAnsi="Times New Roman"/>
          <w:sz w:val="28"/>
          <w:szCs w:val="28"/>
        </w:rPr>
        <w:t xml:space="preserve"> 2002.- </w:t>
      </w:r>
      <w:r>
        <w:rPr>
          <w:rFonts w:ascii="Times New Roman" w:eastAsia="Calibri" w:hAnsi="Times New Roman"/>
          <w:sz w:val="28"/>
          <w:szCs w:val="28"/>
          <w:lang w:val="en-US"/>
        </w:rPr>
        <w:t>Pages</w:t>
      </w:r>
      <w:r>
        <w:rPr>
          <w:rFonts w:ascii="Times New Roman" w:eastAsia="Calibri" w:hAnsi="Times New Roman"/>
          <w:sz w:val="28"/>
          <w:szCs w:val="28"/>
        </w:rPr>
        <w:t xml:space="preserve"> 31-34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115</w:t>
      </w:r>
      <w:r>
        <w:rPr>
          <w:rFonts w:ascii="Times New Roman" w:eastAsia="Calibri" w:hAnsi="Times New Roman"/>
          <w:sz w:val="28"/>
          <w:szCs w:val="28"/>
        </w:rPr>
        <w:tab/>
        <w:t xml:space="preserve">Клинические рекомендации европейской ассоциации урологов 2020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г., с. 20.</w:t>
      </w:r>
    </w:p>
    <w:p w:rsidR="00750932" w:rsidRDefault="0081612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kern w:val="36"/>
          <w:sz w:val="28"/>
          <w:szCs w:val="28"/>
          <w:lang w:val="en-US"/>
        </w:rPr>
      </w:pPr>
      <w:hyperlink r:id="rId82" w:anchor="!" w:history="1">
        <w:r>
          <w:rPr>
            <w:rFonts w:ascii="Times New Roman" w:hAnsi="Times New Roman"/>
            <w:sz w:val="28"/>
            <w:szCs w:val="28"/>
            <w:lang w:val="en-US"/>
          </w:rPr>
          <w:t>DanielA.Wollin</w:t>
        </w:r>
        <w:r>
          <w:rPr>
            <w:rFonts w:ascii="Times New Roman" w:hAnsi="Times New Roman"/>
            <w:sz w:val="28"/>
            <w:szCs w:val="28"/>
            <w:vertAlign w:val="superscript"/>
            <w:lang w:val="en-US"/>
          </w:rPr>
          <w:t>a</w:t>
        </w:r>
      </w:hyperlink>
      <w:r>
        <w:rPr>
          <w:rFonts w:ascii="Times New Roman" w:hAnsi="Times New Roman"/>
          <w:sz w:val="28"/>
          <w:szCs w:val="28"/>
          <w:lang w:val="en-US"/>
        </w:rPr>
        <w:t xml:space="preserve">etal. </w:t>
      </w:r>
      <w:r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VariablePulseDuration From a New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kern w:val="36"/>
          <w:sz w:val="28"/>
          <w:szCs w:val="28"/>
          <w:lang w:val="en-US"/>
        </w:rPr>
        <w:t xml:space="preserve">Holmium:YAG Laser: The Effect on Stone Comminution, Fiber Tip Degradation, and Retropulsion in a Dusting Model// </w:t>
      </w:r>
      <w:hyperlink r:id="rId83" w:tooltip="Go to Urology on ScienceDirect" w:history="1">
        <w:r>
          <w:rPr>
            <w:rFonts w:ascii="Times New Roman" w:hAnsi="Times New Roman"/>
            <w:bCs/>
            <w:sz w:val="28"/>
            <w:szCs w:val="28"/>
            <w:lang w:val="en-US"/>
          </w:rPr>
          <w:t>Urology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.- </w:t>
      </w:r>
      <w:hyperlink r:id="rId84" w:tooltip="Go to table of contents for this volume/issue" w:history="1">
        <w:r>
          <w:rPr>
            <w:rFonts w:ascii="Times New Roman" w:hAnsi="Times New Roman"/>
            <w:sz w:val="28"/>
            <w:szCs w:val="28"/>
            <w:lang w:val="en-US"/>
          </w:rPr>
          <w:t>Volume 103</w:t>
        </w:r>
      </w:hyperlink>
      <w:r>
        <w:rPr>
          <w:rFonts w:ascii="Times New Roman" w:hAnsi="Times New Roman"/>
          <w:sz w:val="28"/>
          <w:szCs w:val="28"/>
          <w:lang w:val="en-US"/>
        </w:rPr>
        <w:t>.- May 2017.- Pages 47-51</w:t>
      </w:r>
    </w:p>
    <w:p w:rsidR="00750932" w:rsidRDefault="00816126">
      <w:pPr>
        <w:numPr>
          <w:ilvl w:val="0"/>
          <w:numId w:val="13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Knoll T., Jessen J.P., Honeck P., Wen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dt-Nordahl G. Flexible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ureterorenoscopy versus miniaturized PNL for solitary renal calculi of 10–30 mm size. World J Urol. 2011;29:755–759. </w:t>
      </w:r>
    </w:p>
    <w:p w:rsidR="00750932" w:rsidRDefault="00816126">
      <w:pPr>
        <w:numPr>
          <w:ilvl w:val="0"/>
          <w:numId w:val="13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Breda A., Ogunyemi O., Leppert J.T., Lam J.S., Schulam P.G. Flexible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ureteroscopy and laser lithotripsy for singl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e intrarenal stones 2 cm or greater – is this the new frontier? J Urol. 2008;179:981–984. </w:t>
      </w:r>
    </w:p>
    <w:p w:rsidR="00750932" w:rsidRDefault="00816126">
      <w:pPr>
        <w:numPr>
          <w:ilvl w:val="0"/>
          <w:numId w:val="13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Hyams E.S., Munver R., Bird V.G., Uberoi J., Shah O. Flexible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ureterorenoscopy and holmium laser lithotripsy for the management of renal stone burdens that measure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2–3 cm: a multi-institutional experience. J Endourol. 2010;24:1583–1588. </w:t>
      </w:r>
    </w:p>
    <w:p w:rsidR="00750932" w:rsidRDefault="00816126">
      <w:pPr>
        <w:numPr>
          <w:ilvl w:val="0"/>
          <w:numId w:val="13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Srisubat A., Potisat S., Lojanapiwat B., Setthawong V., Laopaiboon M.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Extracorporeal shock wave lithotripsy (ESWL) versus percutaneous nephrolithotomy (PCNL) or retrograde intrarena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l surgery (RIRS) for kidney stones. </w:t>
      </w:r>
      <w:r>
        <w:rPr>
          <w:rFonts w:ascii="Times New Roman" w:eastAsia="Calibri" w:hAnsi="Times New Roman"/>
          <w:sz w:val="28"/>
          <w:szCs w:val="28"/>
        </w:rPr>
        <w:t xml:space="preserve">Cochrane Database Sys Rev. 2009;(4):CD007044. </w:t>
      </w:r>
    </w:p>
    <w:p w:rsidR="00750932" w:rsidRDefault="00816126">
      <w:pPr>
        <w:numPr>
          <w:ilvl w:val="0"/>
          <w:numId w:val="13"/>
        </w:num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Zanetti G., Kartalas-Goumas I., Montanari E., Federici A.B., Trinchieri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A., Rovera F. Extracorporeal shockwave lithotripsy in patients treated with antithrombotic agents. J Endourol. 2001;15:237–241. </w:t>
      </w:r>
    </w:p>
    <w:p w:rsidR="00750932" w:rsidRDefault="008161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Style w:val="tlid-translation"/>
          <w:rFonts w:ascii="Times New Roman" w:hAnsi="Times New Roman"/>
          <w:sz w:val="28"/>
          <w:szCs w:val="28"/>
          <w:lang w:val="en-US"/>
        </w:rPr>
      </w:pPr>
      <w:r>
        <w:rPr>
          <w:rStyle w:val="tlid-translation"/>
          <w:rFonts w:ascii="Times New Roman" w:hAnsi="Times New Roman"/>
          <w:sz w:val="28"/>
          <w:szCs w:val="28"/>
          <w:lang w:val="en-US"/>
        </w:rPr>
        <w:t>122</w:t>
      </w:r>
      <w:r>
        <w:rPr>
          <w:rStyle w:val="tlid-translation"/>
          <w:rFonts w:ascii="Times New Roman" w:hAnsi="Times New Roman"/>
          <w:sz w:val="28"/>
          <w:szCs w:val="28"/>
          <w:lang w:val="en-US"/>
        </w:rPr>
        <w:tab/>
        <w:t xml:space="preserve">Khan S.R., Pearle M.S., Robertson W.G., Gambaro G., Canales B.K., </w:t>
      </w:r>
    </w:p>
    <w:p w:rsidR="00750932" w:rsidRDefault="0081612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  <w:lang w:val="en-US"/>
        </w:rPr>
      </w:pPr>
      <w:r>
        <w:rPr>
          <w:rStyle w:val="tlid-translation"/>
          <w:rFonts w:ascii="Times New Roman" w:hAnsi="Times New Roman"/>
          <w:sz w:val="28"/>
          <w:szCs w:val="28"/>
          <w:lang w:val="en-US"/>
        </w:rPr>
        <w:t xml:space="preserve">Doizi S., Traxer O., Tiselius H.G. // </w:t>
      </w:r>
      <w:r>
        <w:rPr>
          <w:rFonts w:ascii="Times New Roman" w:hAnsi="Times New Roman"/>
          <w:sz w:val="28"/>
          <w:szCs w:val="28"/>
          <w:lang w:val="en-US"/>
        </w:rPr>
        <w:t xml:space="preserve">Kidney stones. // Nat. Rev. Dis. Primers.; 2016 Feb 25. 2:16008. doi: 10.1038/nrdp. 2016.8.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123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Watterson J.D., Girvan A.R., Cook A.J., Beiko D.T., Nott L., Auge B.K.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Safety and efficacy of holmium: YAG laser lithotripsy in patients with bleeding diathes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es. J Urol. 2002;168:442–445.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124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Dash A., Schuster T.G., Hollenbeck B.K., Faerber G.J., Wolf J.S., Jr.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reteroscopic treatment of renal calculi in morbidly obese patients: a stone-matched comparison. Urology. 2002;60:393–397.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125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>Sahinkanat T., Ekerbice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r H., Onal B., Tansu N., Resim S., Citgez S.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Evaluation of the effects of relationships between main spatial lower pole calyceal anatomic factors on the success of shock-wave lithotripsy in patients with lower pole kidney stones. Urology. 2008;71:801–805.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126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Onal B., Demirkesen O., Tansu N., Kalkan M., Altintas R., Yalcin V.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The impact of caliceal pelvic anatomy on stone clearance after shock wave lithotripsy for pediatric lower pole stones. J Urol. 2004;172:1082–1086.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127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Pareek G., Hedican S.P., Lee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F.T., Jr, Nakada S.Y. Shock wave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lithotripsy success determined by skin-to-stone distance on computed tomography. Urology. 2005;66:941–944.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128</w:t>
      </w:r>
      <w:r>
        <w:rPr>
          <w:rFonts w:ascii="Times New Roman" w:hAnsi="Times New Roman"/>
          <w:sz w:val="28"/>
          <w:szCs w:val="28"/>
          <w:lang w:val="en-US"/>
        </w:rPr>
        <w:tab/>
        <w:t xml:space="preserve">A.M. Elbahnasy, A.L. Shalhav, D.M. Hoenig, O.M. Elashry, D.S. Smith,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E.M. McDougall, </w:t>
      </w:r>
      <w:r>
        <w:rPr>
          <w:rFonts w:ascii="Times New Roman" w:hAnsi="Times New Roman"/>
          <w:iCs/>
          <w:sz w:val="28"/>
          <w:szCs w:val="28"/>
          <w:lang w:val="en-US"/>
        </w:rPr>
        <w:t>et al.</w:t>
      </w:r>
      <w:r>
        <w:rPr>
          <w:rFonts w:ascii="Times New Roman" w:hAnsi="Times New Roman"/>
          <w:bCs/>
          <w:sz w:val="28"/>
          <w:szCs w:val="28"/>
          <w:lang w:val="en-US"/>
        </w:rPr>
        <w:t>Lower pole calyceal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stone clearance after shockwave lithotripsy or ureteroscopy. The impact of lower pole radiographic anatomy. </w:t>
      </w:r>
      <w:r>
        <w:rPr>
          <w:rFonts w:ascii="Times New Roman" w:hAnsi="Times New Roman"/>
          <w:sz w:val="28"/>
          <w:szCs w:val="28"/>
          <w:lang w:val="en-US"/>
        </w:rPr>
        <w:t>J Urol, 159 (1998), pp. 676-682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129</w:t>
      </w:r>
      <w:r>
        <w:rPr>
          <w:rFonts w:ascii="Times New Roman" w:hAnsi="Times New Roman"/>
          <w:sz w:val="28"/>
          <w:szCs w:val="28"/>
          <w:lang w:val="en-US"/>
        </w:rPr>
        <w:tab/>
        <w:t>R.B. Sabnis, K. Naik, S.H. Patel, M.R. Desai, S.D. Bapat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Extracorporeal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shock wave lithotripsy for lower calyce</w:t>
      </w:r>
      <w:r>
        <w:rPr>
          <w:rFonts w:ascii="Times New Roman" w:hAnsi="Times New Roman"/>
          <w:bCs/>
          <w:sz w:val="28"/>
          <w:szCs w:val="28"/>
          <w:lang w:val="en-US"/>
        </w:rPr>
        <w:t>al stones: can clearance be predicted?</w:t>
      </w:r>
      <w:r>
        <w:rPr>
          <w:rFonts w:ascii="Times New Roman" w:hAnsi="Times New Roman"/>
          <w:sz w:val="28"/>
          <w:szCs w:val="28"/>
          <w:lang w:val="en-US"/>
        </w:rPr>
        <w:t xml:space="preserve"> J Urol, 80 (1997), pp. 853-857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130</w:t>
      </w:r>
      <w:r>
        <w:rPr>
          <w:rFonts w:ascii="Times New Roman" w:hAnsi="Times New Roman"/>
          <w:sz w:val="28"/>
          <w:szCs w:val="28"/>
          <w:lang w:val="en-US"/>
        </w:rPr>
        <w:tab/>
        <w:t>O.F. Bozkurt, B. Resorlu, Y. Yildiz, C.E. Can, A. Unsal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Retrograde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intrarenal surgery versus percutaneous nephrolithotomy in the management of lower pole renal stones with a diameter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of 15–20 mm</w:t>
      </w:r>
      <w:r>
        <w:rPr>
          <w:rFonts w:ascii="Times New Roman" w:hAnsi="Times New Roman"/>
          <w:sz w:val="28"/>
          <w:szCs w:val="28"/>
          <w:lang w:val="en-US"/>
        </w:rPr>
        <w:t>J Endourol, 25 (2011), pp. 1131-1135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ab/>
        <w:t>131</w:t>
      </w:r>
      <w:r>
        <w:rPr>
          <w:rFonts w:ascii="Times New Roman" w:hAnsi="Times New Roman"/>
          <w:sz w:val="28"/>
          <w:szCs w:val="28"/>
          <w:lang w:val="en-US"/>
        </w:rPr>
        <w:tab/>
        <w:t>G. Wandt-Nordahl, T. Mut, P. Krombach, M.S. Michel, T. Knoll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Do new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generation flexible ureterorenoscopes offer a higher treatment success than their predecessors? </w:t>
      </w:r>
      <w:r>
        <w:rPr>
          <w:rFonts w:ascii="Times New Roman" w:hAnsi="Times New Roman"/>
          <w:sz w:val="28"/>
          <w:szCs w:val="28"/>
          <w:lang w:val="en-US"/>
        </w:rPr>
        <w:t>Urol Res, 39 (2011), pp. 185-188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132</w:t>
      </w:r>
      <w:r>
        <w:rPr>
          <w:rFonts w:ascii="Times New Roman" w:hAnsi="Times New Roman"/>
          <w:sz w:val="28"/>
          <w:szCs w:val="28"/>
          <w:lang w:val="en-US"/>
        </w:rPr>
        <w:tab/>
        <w:t>R</w:t>
      </w:r>
      <w:r>
        <w:rPr>
          <w:rFonts w:ascii="Times New Roman" w:hAnsi="Times New Roman"/>
          <w:sz w:val="28"/>
          <w:szCs w:val="28"/>
          <w:lang w:val="en-US"/>
        </w:rPr>
        <w:t>. Takazawa, S. Kitayama, T. Tsujii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Successful outcome of flexible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ureteroscopy with holmium laser lithotripsy for renal stones 2 cm or greater </w:t>
      </w:r>
      <w:r>
        <w:rPr>
          <w:rFonts w:ascii="Times New Roman" w:hAnsi="Times New Roman"/>
          <w:sz w:val="28"/>
          <w:szCs w:val="28"/>
          <w:lang w:val="en-US"/>
        </w:rPr>
        <w:t>Int J Urol, 19 (2012), pp. 264-267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133</w:t>
      </w:r>
      <w:r>
        <w:rPr>
          <w:rFonts w:ascii="Times New Roman" w:hAnsi="Times New Roman"/>
          <w:sz w:val="28"/>
          <w:szCs w:val="28"/>
          <w:lang w:val="en-US"/>
        </w:rPr>
        <w:tab/>
        <w:t>C.H. Chan, A. El-Hakim, S. Andonian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Renal matrix stone managed by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ureteros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copic holmium laser lithotripsy </w:t>
      </w:r>
      <w:r>
        <w:rPr>
          <w:rFonts w:ascii="Times New Roman" w:hAnsi="Times New Roman"/>
          <w:sz w:val="28"/>
          <w:szCs w:val="28"/>
          <w:lang w:val="en-US"/>
        </w:rPr>
        <w:t>Can J Urol, 17 (2010), pp. 5127-5130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134</w:t>
      </w:r>
      <w:r>
        <w:rPr>
          <w:rFonts w:ascii="Times New Roman" w:hAnsi="Times New Roman"/>
          <w:sz w:val="28"/>
          <w:szCs w:val="28"/>
          <w:lang w:val="en-US"/>
        </w:rPr>
        <w:tab/>
        <w:t>E.S. Hyams, R. Munver, V.G. Bird, J. Uberoi, O. Shah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Flexible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ureterorenoscopy and holmium laser lithotripsy for the management of renal stone burdens that measure 2–3 cm: a multi-ins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titutional experience </w:t>
      </w:r>
      <w:r>
        <w:rPr>
          <w:rFonts w:ascii="Times New Roman" w:hAnsi="Times New Roman"/>
          <w:sz w:val="28"/>
          <w:szCs w:val="28"/>
          <w:lang w:val="en-US"/>
        </w:rPr>
        <w:t>J Endourol, 24 (2010), pp. 1583-1588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135</w:t>
      </w:r>
      <w:r>
        <w:rPr>
          <w:rFonts w:ascii="Times New Roman" w:hAnsi="Times New Roman"/>
          <w:sz w:val="28"/>
          <w:szCs w:val="28"/>
          <w:lang w:val="en-US"/>
        </w:rPr>
        <w:tab/>
        <w:t>E.S. Hyams, O. Shah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Percutaneous nephrostolithotomy versus flexible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ureteroscopy/holmium laser lithotripsy. Cost and outcome analysis</w:t>
      </w:r>
      <w:r>
        <w:rPr>
          <w:rFonts w:ascii="Times New Roman" w:hAnsi="Times New Roman"/>
          <w:sz w:val="28"/>
          <w:szCs w:val="28"/>
          <w:lang w:val="en-US"/>
        </w:rPr>
        <w:t>J Urol, 182 (2009), pp. 1012-1017</w:t>
      </w:r>
    </w:p>
    <w:p w:rsidR="00750932" w:rsidRDefault="00816126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136</w:t>
      </w:r>
      <w:r>
        <w:rPr>
          <w:rFonts w:ascii="Times New Roman" w:hAnsi="Times New Roman"/>
          <w:sz w:val="28"/>
          <w:szCs w:val="28"/>
          <w:lang w:val="en-US"/>
        </w:rPr>
        <w:tab/>
        <w:t>S. Chen, L. Zhu, S. Ya</w:t>
      </w:r>
      <w:r>
        <w:rPr>
          <w:rFonts w:ascii="Times New Roman" w:hAnsi="Times New Roman"/>
          <w:sz w:val="28"/>
          <w:szCs w:val="28"/>
          <w:lang w:val="en-US"/>
        </w:rPr>
        <w:t>ng, W. Wu, L. Liao, J. Tan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High-vs low-power </w:t>
      </w:r>
    </w:p>
    <w:p w:rsidR="00750932" w:rsidRDefault="00816126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 xml:space="preserve">holmium laser lithotripsy: a prospective, randomized study in patients undergoing multitract minipercutaneous nephrolithotomy </w:t>
      </w:r>
      <w:r>
        <w:rPr>
          <w:rFonts w:ascii="Times New Roman" w:hAnsi="Times New Roman"/>
          <w:sz w:val="28"/>
          <w:szCs w:val="28"/>
          <w:lang w:val="en-US"/>
        </w:rPr>
        <w:t>Urology, 79 (2012), pp. 293-297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137</w:t>
      </w:r>
      <w:r>
        <w:rPr>
          <w:rFonts w:ascii="Times New Roman" w:hAnsi="Times New Roman"/>
          <w:sz w:val="28"/>
          <w:szCs w:val="28"/>
          <w:lang w:val="en-US"/>
        </w:rPr>
        <w:tab/>
        <w:t>J. Sea, L.M. Jonat, B.H. Chew, J. Qiu, B. Wang, J</w:t>
      </w:r>
      <w:r>
        <w:rPr>
          <w:rFonts w:ascii="Times New Roman" w:hAnsi="Times New Roman"/>
          <w:sz w:val="28"/>
          <w:szCs w:val="28"/>
          <w:lang w:val="en-US"/>
        </w:rPr>
        <w:t xml:space="preserve">. Hoopman, T. Milner,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hAnsi="Times New Roman"/>
          <w:iCs/>
          <w:sz w:val="28"/>
          <w:szCs w:val="28"/>
          <w:lang w:val="en-US"/>
        </w:rPr>
        <w:t xml:space="preserve">et al.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Optimal power settings for Holmium: YAG lithotripsy// </w:t>
      </w:r>
      <w:r>
        <w:rPr>
          <w:rFonts w:ascii="Times New Roman" w:hAnsi="Times New Roman"/>
          <w:sz w:val="28"/>
          <w:szCs w:val="28"/>
          <w:lang w:val="en-US"/>
        </w:rPr>
        <w:t>J Urol, 187 (2012), pp. 914-919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138</w:t>
      </w:r>
      <w:r>
        <w:rPr>
          <w:rFonts w:ascii="Times New Roman" w:eastAsia="Calibri" w:hAnsi="Times New Roman"/>
          <w:sz w:val="28"/>
          <w:szCs w:val="28"/>
        </w:rPr>
        <w:tab/>
        <w:t xml:space="preserve">Ю.Г. Аляев и др. Малоинвазивная «безнефростомная» перкутанная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</w:rPr>
        <w:t xml:space="preserve">нефролитотрипсия // Урология. </w:t>
      </w:r>
      <w:r>
        <w:rPr>
          <w:rFonts w:ascii="Times New Roman" w:eastAsia="Calibri" w:hAnsi="Times New Roman"/>
          <w:sz w:val="28"/>
          <w:szCs w:val="28"/>
          <w:lang w:val="en-US"/>
        </w:rPr>
        <w:t>‒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2014. ‒ № 2. ‒ </w:t>
      </w:r>
      <w:r>
        <w:rPr>
          <w:rFonts w:ascii="Times New Roman" w:eastAsia="Calibri" w:hAnsi="Times New Roman"/>
          <w:sz w:val="28"/>
          <w:szCs w:val="28"/>
        </w:rPr>
        <w:t>С</w:t>
      </w:r>
      <w:r>
        <w:rPr>
          <w:rFonts w:ascii="Times New Roman" w:eastAsia="Calibri" w:hAnsi="Times New Roman"/>
          <w:sz w:val="28"/>
          <w:szCs w:val="28"/>
          <w:lang w:val="en-US"/>
        </w:rPr>
        <w:t>. 76-79.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139</w:t>
      </w:r>
      <w:r>
        <w:rPr>
          <w:rFonts w:ascii="Times New Roman" w:eastAsia="Calibri" w:hAnsi="Times New Roman"/>
          <w:sz w:val="28"/>
          <w:szCs w:val="28"/>
          <w:lang w:val="en-US"/>
        </w:rPr>
        <w:tab/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Fernstrom, B. Johansson. Percutaneous pyelolithotomy. A new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extraction technique // Scandinavian journal of urology and nephrology. ‒ 1976. ‒ № 10. ‒Р. 257-259.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iCs/>
          <w:sz w:val="28"/>
          <w:szCs w:val="28"/>
          <w:lang w:val="en-US"/>
        </w:rPr>
        <w:t>140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ab/>
        <w:t xml:space="preserve">Kurahashi T., Miyake H., Oka N., et al.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Clinical outcome of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ureteroscopic lithotripsy for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2,129 patients with ureteral stones // Urol. Res. — 2007. — Vol. 35. — P. 149-153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iCs/>
          <w:sz w:val="28"/>
          <w:szCs w:val="28"/>
          <w:lang w:val="en-US"/>
        </w:rPr>
        <w:t>141</w:t>
      </w:r>
      <w:r>
        <w:rPr>
          <w:rFonts w:ascii="Times New Roman" w:eastAsia="Calibri" w:hAnsi="Times New Roman"/>
          <w:iCs/>
          <w:sz w:val="28"/>
          <w:szCs w:val="28"/>
          <w:lang w:val="en-US"/>
        </w:rPr>
        <w:tab/>
        <w:t xml:space="preserve">Ibrahim H.M., Al-Kandari A.M., Shaaban H.S., et al.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Role of ureteral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stenting aft er uncomplicated ureteroscopy for distal ureteral stones: a randomized, controlled tri</w:t>
      </w:r>
      <w:r>
        <w:rPr>
          <w:rFonts w:ascii="Times New Roman" w:eastAsia="Calibri" w:hAnsi="Times New Roman"/>
          <w:sz w:val="28"/>
          <w:szCs w:val="28"/>
          <w:lang w:val="en-US"/>
        </w:rPr>
        <w:t>al // J. Urol. — 2008. — Vol. 180. — P. 961-965.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142</w:t>
      </w:r>
      <w:r>
        <w:rPr>
          <w:rFonts w:ascii="Times New Roman" w:hAnsi="Times New Roman"/>
          <w:sz w:val="28"/>
          <w:szCs w:val="28"/>
          <w:lang w:val="en-US"/>
        </w:rPr>
        <w:tab/>
        <w:t xml:space="preserve">Dimarco D.S., Chow G.K., Getman M.T. et al. Ureteroscopic treatment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of upper tract urinary calculi//Mineral Urol. Nefrol. – 2005. – Vol. 57, №1. – P. 17-22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143</w:t>
      </w:r>
      <w:r>
        <w:rPr>
          <w:rFonts w:ascii="Times New Roman" w:hAnsi="Times New Roman"/>
          <w:sz w:val="28"/>
          <w:szCs w:val="28"/>
          <w:lang w:val="en-US"/>
        </w:rPr>
        <w:tab/>
        <w:t>Geavlete P., Seyed Aghamiri S.A. et al. Re</w:t>
      </w:r>
      <w:r>
        <w:rPr>
          <w:rFonts w:ascii="Times New Roman" w:hAnsi="Times New Roman"/>
          <w:sz w:val="28"/>
          <w:szCs w:val="28"/>
          <w:lang w:val="en-US"/>
        </w:rPr>
        <w:t xml:space="preserve">trograde flexible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ureteroscopic approach for pyelocaliceal calculi//Urol. – 2006. – Vol. 3 (1). – P. 15-19.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144</w:t>
      </w:r>
      <w:r>
        <w:rPr>
          <w:rFonts w:ascii="Times New Roman" w:hAnsi="Times New Roman"/>
          <w:sz w:val="28"/>
          <w:szCs w:val="28"/>
          <w:lang w:val="en-US"/>
        </w:rPr>
        <w:tab/>
        <w:t xml:space="preserve">Lotan Y., Matthew T., Gettman M.T. et al. Management of ureteral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lang w:val="en-US"/>
        </w:rPr>
        <w:t>lculi: A cost comparison and decision-making analysis//Advanced technology.</w:t>
      </w:r>
      <w:r>
        <w:rPr>
          <w:rFonts w:ascii="Times New Roman" w:hAnsi="Times New Roman"/>
          <w:sz w:val="28"/>
          <w:szCs w:val="28"/>
          <w:lang w:val="en-US"/>
        </w:rPr>
        <w:t xml:space="preserve"> Clinicallyproven. Dallas, Texas.  – 2005. –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  <w:lang w:val="en-US"/>
        </w:rPr>
        <w:t>. 406.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lang w:val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145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ab/>
        <w:t xml:space="preserve">Akman T., Binbay M., Ozgor F., Ugurlu M., Tekinarslan E., Kezer C.,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Arslan R., Muslumanoglu A.Y. Comparison of percutaneous nephrolithotomy and retrograde flexible nephrolithotripsy for the manageme</w:t>
      </w:r>
      <w:r>
        <w:rPr>
          <w:rFonts w:ascii="Times New Roman" w:eastAsia="Calibri" w:hAnsi="Times New Roman"/>
          <w:color w:val="000000"/>
          <w:sz w:val="28"/>
          <w:szCs w:val="28"/>
          <w:lang w:val="en-US"/>
        </w:rPr>
        <w:t>nt of 2 – 4 cm stones: a matched-pair analysis. // BJU Int., 2011 Oct 28. doi: 10.1111/j.1464-410X.2011.10691.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146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Armitage J.N., Irving S.O., Burgess N.A. Percutaneous nephrolithotomy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in the United Kingdom: results of a prospective data registry. // Eur </w:t>
      </w:r>
      <w:r>
        <w:rPr>
          <w:rFonts w:ascii="Times New Roman" w:eastAsia="Calibri" w:hAnsi="Times New Roman"/>
          <w:sz w:val="28"/>
          <w:szCs w:val="28"/>
          <w:lang w:val="en-US"/>
        </w:rPr>
        <w:t>Urol. 2012. Vol. 61, N 6. P. 1188 – 1193.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147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Skolarikos A., Papatsoris A.G., Albanis S., Assimos D. Laparoscopic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urinary stone surgery: an updated evidence-based review.// Urol Res., 2010. Vol. 38, N 5. P. 337 – 344.].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148</w:t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 xml:space="preserve">Кирчева А.В., Паскалев Д.Н. Нозокомиальная инфекция мочевого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тракта. Нефрология. – М.: Медицина, 2000. – 126 с.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149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Foxman B. Epidemiology of urinary tract infections: incidence,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morbidity, and economic cost. // Am. J. Med. –2002. – N5. – P.13.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150</w:t>
      </w:r>
      <w:r>
        <w:rPr>
          <w:rFonts w:ascii="Times New Roman" w:eastAsia="Calibri" w:hAnsi="Times New Roman"/>
          <w:sz w:val="28"/>
          <w:szCs w:val="28"/>
        </w:rPr>
        <w:tab/>
        <w:t>Алчи</w:t>
      </w:r>
      <w:r>
        <w:rPr>
          <w:rFonts w:ascii="Times New Roman" w:eastAsia="Calibri" w:hAnsi="Times New Roman"/>
          <w:sz w:val="28"/>
          <w:szCs w:val="28"/>
        </w:rPr>
        <w:t xml:space="preserve">нбаев М.К., Малих А.М. Лабораторные методы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прогнозирования первичного и рецидивного камнеобразования в почках // Урология. – 2007 – № 1. – С. 40-41.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151</w:t>
      </w:r>
      <w:r>
        <w:rPr>
          <w:rFonts w:ascii="Times New Roman" w:eastAsia="Calibri" w:hAnsi="Times New Roman"/>
          <w:sz w:val="28"/>
          <w:szCs w:val="28"/>
        </w:rPr>
        <w:tab/>
        <w:t xml:space="preserve">Нигматулина, Е.Н. Сокол Э.В., Максимова Н.В., Чиклинцев А.Ю.,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Лукьянов Я.Л. Главные минералогические </w:t>
      </w:r>
      <w:r>
        <w:rPr>
          <w:rFonts w:ascii="Times New Roman" w:eastAsia="Calibri" w:hAnsi="Times New Roman"/>
          <w:sz w:val="28"/>
          <w:szCs w:val="28"/>
        </w:rPr>
        <w:t>типы почечных камней // Химия в интересах устойчивого развития. – 2004. – № 12. – С. 67-81.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152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Shakhotina S.N. Early diagnosis of urolithiasis, determination of its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activity and composition of urine salts (System Litos) // Urology. – 1998. – № 2. – P. </w:t>
      </w:r>
      <w:r>
        <w:rPr>
          <w:rFonts w:ascii="Times New Roman" w:eastAsia="Calibri" w:hAnsi="Times New Roman"/>
          <w:sz w:val="28"/>
          <w:szCs w:val="28"/>
          <w:lang w:val="en-US"/>
        </w:rPr>
        <w:t>19-23.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153</w:t>
      </w:r>
      <w:r>
        <w:rPr>
          <w:rFonts w:ascii="Times New Roman" w:eastAsia="Calibri" w:hAnsi="Times New Roman"/>
          <w:sz w:val="28"/>
          <w:szCs w:val="28"/>
        </w:rPr>
        <w:tab/>
        <w:t xml:space="preserve">Антонова, М.О. Кузьмичева Г.М., Руденко В.И. Применение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физико-химических методов для изучения состава мочевых камней in vitro // Химия в интересах устойчивого развития. – 2011. – № 4. – С. 437-445.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154</w:t>
      </w:r>
      <w:r>
        <w:rPr>
          <w:rFonts w:ascii="Times New Roman" w:eastAsia="Calibri" w:hAnsi="Times New Roman"/>
          <w:sz w:val="28"/>
          <w:szCs w:val="28"/>
        </w:rPr>
        <w:tab/>
        <w:t>Кузьмичева, Г.М. Антонова М.О., Руденко В</w:t>
      </w:r>
      <w:r>
        <w:rPr>
          <w:rFonts w:ascii="Times New Roman" w:eastAsia="Calibri" w:hAnsi="Times New Roman"/>
          <w:sz w:val="28"/>
          <w:szCs w:val="28"/>
        </w:rPr>
        <w:t xml:space="preserve">.И., Щичко А.С.,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Рязанов В.В., Натыкан А.А. Методология изучения образования мочевых камней // Фундаментальные исследования. – 2012. – № 9. – С. 193-198.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155</w:t>
      </w:r>
      <w:r>
        <w:rPr>
          <w:rFonts w:ascii="Times New Roman" w:eastAsia="Calibri" w:hAnsi="Times New Roman"/>
          <w:sz w:val="28"/>
          <w:szCs w:val="28"/>
        </w:rPr>
        <w:tab/>
        <w:t xml:space="preserve">Ситдыкова М.Э., Кузьмина Ф.М. Метафилактика мочекаменной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болезни с учетом риска рецидива заболев</w:t>
      </w:r>
      <w:r>
        <w:rPr>
          <w:rFonts w:ascii="Times New Roman" w:eastAsia="Calibri" w:hAnsi="Times New Roman"/>
          <w:sz w:val="28"/>
          <w:szCs w:val="28"/>
        </w:rPr>
        <w:t>ания // Саратовский научно-медицинский журнал – 2011. – Т. 7, № 4. – С. 85-87.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156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Carini M. Electivi treatment of ureteral stones with extracorporeal shock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wave Lithotripsy // Eur. Urology. – 1997. – Vol. 3, № 5. – P. 289-292.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157</w:t>
      </w:r>
      <w:r>
        <w:rPr>
          <w:rFonts w:ascii="Times New Roman" w:eastAsia="Calibri" w:hAnsi="Times New Roman"/>
          <w:sz w:val="28"/>
          <w:szCs w:val="28"/>
        </w:rPr>
        <w:tab/>
        <w:t>Барскова В.Г. Подагра и</w:t>
      </w:r>
      <w:r>
        <w:rPr>
          <w:rFonts w:ascii="Times New Roman" w:eastAsia="Calibri" w:hAnsi="Times New Roman"/>
          <w:sz w:val="28"/>
          <w:szCs w:val="28"/>
        </w:rPr>
        <w:t xml:space="preserve"> уратный нефролитиаз: метод. 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рекомендации / М.: Российское общество урологов, 2012. – 34 с.</w:t>
      </w:r>
    </w:p>
    <w:p w:rsidR="00750932" w:rsidRDefault="00816126">
      <w:pPr>
        <w:pStyle w:val="af2"/>
        <w:tabs>
          <w:tab w:val="left" w:pos="1134"/>
        </w:tabs>
        <w:spacing w:after="160" w:line="259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158</w:t>
      </w:r>
      <w:r>
        <w:rPr>
          <w:rFonts w:ascii="Times New Roman" w:eastAsia="Calibri" w:hAnsi="Times New Roman"/>
          <w:sz w:val="28"/>
          <w:szCs w:val="28"/>
        </w:rPr>
        <w:tab/>
        <w:t xml:space="preserve">Борисов, В.В., ДзерановН.К., Терапия больных камнями почек и </w:t>
      </w:r>
    </w:p>
    <w:p w:rsidR="00750932" w:rsidRDefault="00816126">
      <w:pPr>
        <w:pStyle w:val="af2"/>
        <w:tabs>
          <w:tab w:val="left" w:pos="1134"/>
        </w:tabs>
        <w:spacing w:after="160" w:line="259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мочеточников / Российское общество урологов, 2011. – 108 с.</w:t>
      </w:r>
    </w:p>
    <w:p w:rsidR="00750932" w:rsidRDefault="00816126">
      <w:pPr>
        <w:pStyle w:val="af2"/>
        <w:tabs>
          <w:tab w:val="left" w:pos="1134"/>
        </w:tabs>
        <w:spacing w:after="160" w:line="259" w:lineRule="auto"/>
        <w:ind w:left="567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159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>Chaussy C, Schüller J, Schmiedt E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, Brandl H, Jocham D, Liedl B, et al. </w:t>
      </w:r>
    </w:p>
    <w:p w:rsidR="00750932" w:rsidRDefault="00816126">
      <w:pPr>
        <w:pStyle w:val="af2"/>
        <w:tabs>
          <w:tab w:val="left" w:pos="1134"/>
        </w:tabs>
        <w:spacing w:after="160" w:line="259" w:lineRule="auto"/>
        <w:ind w:left="0"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Extracorporeal shock-wave lithotripsy (ESWL) for treatment of urolithiasis. Urology. 1984;23:59–66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160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Assimos D, Krambeck A, Miller N.L, Monga M., Murad M.H, Nelson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C.P, et al. Surgical management of stones: American Urological Association/Endourological Society Guideline, PART I. J. Urol. 2016; 196: 1153 –60.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161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Segura J.W, Preminger G.M, Assimos D.G, Dretler S.P, Kahn R.I,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Lingeman J.E, et al. Ureteral stones cli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nical guidelines panel summary report on the management of ureteral calculi. The American Urological Association. J. Urol. 1997; 158:1915–21.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162</w:t>
      </w:r>
      <w:r>
        <w:rPr>
          <w:rFonts w:ascii="Times New Roman" w:eastAsia="Calibri" w:hAnsi="Times New Roman"/>
          <w:sz w:val="28"/>
          <w:szCs w:val="28"/>
          <w:lang w:val="en-US"/>
        </w:rPr>
        <w:tab/>
      </w:r>
      <w:r>
        <w:rPr>
          <w:rFonts w:ascii="Times New Roman" w:eastAsia="Calibri" w:hAnsi="Times New Roman"/>
          <w:sz w:val="28"/>
          <w:szCs w:val="28"/>
        </w:rPr>
        <w:t>Като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У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Ямагути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С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Хори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Дж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Окуяма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Какизаки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Х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. </w:t>
      </w:r>
      <w:r>
        <w:rPr>
          <w:rFonts w:ascii="Times New Roman" w:eastAsia="Calibri" w:hAnsi="Times New Roman"/>
          <w:sz w:val="28"/>
          <w:szCs w:val="28"/>
        </w:rPr>
        <w:t>Улучшение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комминуции камня медленными темпами распространения ударных волн при экстракорпоральной литотрипсии. Int J Urol. 2006; 13: 1461-5.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163</w:t>
      </w:r>
      <w:r>
        <w:rPr>
          <w:rFonts w:ascii="Times New Roman" w:eastAsia="Calibri" w:hAnsi="Times New Roman"/>
          <w:sz w:val="28"/>
          <w:szCs w:val="28"/>
        </w:rPr>
        <w:tab/>
        <w:t xml:space="preserve">Park H, Park M, Park T. двухлетний опыт работы с камнями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</w:rPr>
        <w:t>мочеточника: экстракорпоральная ударно-волновая литотрипсия пр</w:t>
      </w:r>
      <w:r>
        <w:rPr>
          <w:rFonts w:ascii="Times New Roman" w:eastAsia="Calibri" w:hAnsi="Times New Roman"/>
          <w:sz w:val="28"/>
          <w:szCs w:val="28"/>
        </w:rPr>
        <w:t xml:space="preserve">отив уретероскопических манипуляций.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J. Endourol. 1998; 12: 501-4.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164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Liong M.L, Clayman R.V, Gittes R.F, Lingeman J.E, Huffman J.L, Lyon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E</w:t>
      </w:r>
      <w:r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  <w:lang w:val="en-US"/>
        </w:rPr>
        <w:t>S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et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al</w:t>
      </w:r>
      <w:r>
        <w:rPr>
          <w:rFonts w:ascii="Times New Roman" w:eastAsia="Calibri" w:hAnsi="Times New Roman"/>
          <w:sz w:val="28"/>
          <w:szCs w:val="28"/>
        </w:rPr>
        <w:t>. Варианты лечения камней проксимального отдела мочеточника: обзор и рекомендации. J. Urol. 1989; 141: 50</w:t>
      </w:r>
      <w:r>
        <w:rPr>
          <w:rFonts w:ascii="Times New Roman" w:eastAsia="Calibri" w:hAnsi="Times New Roman"/>
          <w:sz w:val="28"/>
          <w:szCs w:val="28"/>
        </w:rPr>
        <w:t xml:space="preserve">4-9.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165</w:t>
      </w:r>
      <w:r>
        <w:rPr>
          <w:rFonts w:ascii="Times New Roman" w:eastAsia="Calibri" w:hAnsi="Times New Roman"/>
          <w:sz w:val="28"/>
          <w:szCs w:val="28"/>
        </w:rPr>
        <w:tab/>
        <w:t xml:space="preserve">Preminger GM. Управление мочеточниковыми калькуляторами: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дебаты продолжаются. J Urol. 1992; 148: 1102-4.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166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Aravantinos E, Anagnostou T, Samarinas M, Ioannides K, Ziavliakis K,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Ntafos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et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al</w:t>
      </w:r>
      <w:r>
        <w:rPr>
          <w:rFonts w:ascii="Times New Roman" w:eastAsia="Calibri" w:hAnsi="Times New Roman"/>
          <w:sz w:val="28"/>
          <w:szCs w:val="28"/>
        </w:rPr>
        <w:t>. Двухступенчатая мини-перкутанная уретеролитотрип</w:t>
      </w:r>
      <w:r>
        <w:rPr>
          <w:rFonts w:ascii="Times New Roman" w:eastAsia="Calibri" w:hAnsi="Times New Roman"/>
          <w:sz w:val="28"/>
          <w:szCs w:val="28"/>
        </w:rPr>
        <w:t xml:space="preserve">сия под мультимодальной анальгезией для осложненных плотно сжатых камней в проксимальном отделе мочеточника. Урология. 2013; 81: 1147-52.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167</w:t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  <w:lang w:val="en-US"/>
        </w:rPr>
        <w:t>Long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Q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Guo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J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Xu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Z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Yang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Y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Wang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H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Zhu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Y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val="en-US"/>
        </w:rPr>
        <w:t>et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al</w:t>
      </w:r>
      <w:r>
        <w:rPr>
          <w:rFonts w:ascii="Times New Roman" w:eastAsia="Calibri" w:hAnsi="Times New Roman"/>
          <w:sz w:val="28"/>
          <w:szCs w:val="28"/>
        </w:rPr>
        <w:t>. Опыт мини-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</w:rPr>
        <w:t>чрескожной нефролитотомии в лечении крупных поврежд</w:t>
      </w:r>
      <w:r>
        <w:rPr>
          <w:rFonts w:ascii="Times New Roman" w:eastAsia="Calibri" w:hAnsi="Times New Roman"/>
          <w:sz w:val="28"/>
          <w:szCs w:val="28"/>
        </w:rPr>
        <w:t xml:space="preserve">енных проксимальных камней мочеточника.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Urol Int. 2013; 90: 384-8.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168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Goel R, Aron M, Kesarwani P.K, Dogra P.N, Hemal A.K, Gupta N.P, et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al</w:t>
      </w:r>
      <w:r>
        <w:rPr>
          <w:rFonts w:ascii="Times New Roman" w:eastAsia="Calibri" w:hAnsi="Times New Roman"/>
          <w:sz w:val="28"/>
          <w:szCs w:val="28"/>
        </w:rPr>
        <w:t>. Чрескожное антеградное удаление конкрементов верхней трети мочеточника: все еще лечение выбора в развивающихся с</w:t>
      </w:r>
      <w:r>
        <w:rPr>
          <w:rFonts w:ascii="Times New Roman" w:eastAsia="Calibri" w:hAnsi="Times New Roman"/>
          <w:sz w:val="28"/>
          <w:szCs w:val="28"/>
        </w:rPr>
        <w:t xml:space="preserve">транах.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J. Endourol.  2005; 19: 54-7.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169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 xml:space="preserve">Bozkurt I.H., Yonguc T., Arslan B., Degirmenci T., Gunlusoy B.,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Aydogdu</w:t>
      </w:r>
      <w:r>
        <w:rPr>
          <w:rFonts w:ascii="Times New Roman" w:eastAsia="Calibri" w:hAnsi="Times New Roman"/>
          <w:sz w:val="28"/>
          <w:szCs w:val="28"/>
        </w:rPr>
        <w:t xml:space="preserve"> О., </w:t>
      </w:r>
      <w:r>
        <w:rPr>
          <w:rFonts w:ascii="Times New Roman" w:eastAsia="Calibri" w:hAnsi="Times New Roman"/>
          <w:sz w:val="28"/>
          <w:szCs w:val="28"/>
          <w:lang w:val="en-US"/>
        </w:rPr>
        <w:t>et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en-US"/>
        </w:rPr>
        <w:t>al</w:t>
      </w:r>
      <w:r>
        <w:rPr>
          <w:rFonts w:ascii="Times New Roman" w:eastAsia="Calibri" w:hAnsi="Times New Roman"/>
          <w:sz w:val="28"/>
          <w:szCs w:val="28"/>
        </w:rPr>
        <w:t xml:space="preserve">. Малоинвазивная хирургическая обработка для крупных плотных камней верхней трети мочеточника: Уретероскопическая литотрипсия или чрескожная нефролитотомия? 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Can. Urol. Assoc J. 2015; 9: E 122–5. </w:t>
      </w:r>
    </w:p>
    <w:p w:rsidR="00750932" w:rsidRDefault="00816126">
      <w:pPr>
        <w:tabs>
          <w:tab w:val="left" w:pos="1134"/>
        </w:tabs>
        <w:spacing w:after="160" w:line="259" w:lineRule="auto"/>
        <w:ind w:left="567"/>
        <w:contextualSpacing/>
        <w:jc w:val="both"/>
        <w:rPr>
          <w:rFonts w:ascii="Times New Roman" w:eastAsia="Calibri" w:hAnsi="Times New Roman"/>
          <w:sz w:val="28"/>
          <w:szCs w:val="28"/>
          <w:lang w:val="en-US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>170</w:t>
      </w:r>
      <w:r>
        <w:rPr>
          <w:rFonts w:ascii="Times New Roman" w:eastAsia="Calibri" w:hAnsi="Times New Roman"/>
          <w:sz w:val="28"/>
          <w:szCs w:val="28"/>
          <w:lang w:val="en-US"/>
        </w:rPr>
        <w:tab/>
        <w:t>Maheshwari P.N., Oswal A.T., Andankar M., Nanjappa K.M.,</w:t>
      </w:r>
      <w:r>
        <w:rPr>
          <w:rFonts w:ascii="Times New Roman" w:eastAsia="Calibri" w:hAnsi="Times New Roman"/>
          <w:sz w:val="28"/>
          <w:szCs w:val="28"/>
          <w:lang w:val="en-US"/>
        </w:rPr>
        <w:t xml:space="preserve"> Bansal M. 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является ли антеградная уретероскопия лучше, чем ретроградная уретероскопия для воздействия на большие верхние уретеральные исчисления? J Endourol. 1999; 13: 441-4. </w:t>
      </w:r>
    </w:p>
    <w:p w:rsidR="00750932" w:rsidRDefault="00750932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750932">
      <w:pPr>
        <w:tabs>
          <w:tab w:val="left" w:pos="1134"/>
        </w:tabs>
        <w:spacing w:after="160" w:line="259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ПРИЛОЖЕНИЕ А</w:t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Выписка из протокола ЛЭК</w:t>
      </w:r>
    </w:p>
    <w:p w:rsidR="00750932" w:rsidRDefault="00750932">
      <w:pPr>
        <w:tabs>
          <w:tab w:val="left" w:pos="1134"/>
        </w:tabs>
        <w:spacing w:after="160" w:line="259" w:lineRule="auto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</w:pPr>
      <w:r>
        <w:rPr>
          <w:noProof/>
        </w:rPr>
        <w:drawing>
          <wp:inline distT="0" distB="0" distL="114300" distR="114300">
            <wp:extent cx="5569585" cy="8387080"/>
            <wp:effectExtent l="0" t="0" r="12065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5"/>
                    <a:srcRect l="6102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816126">
      <w:pPr>
        <w:tabs>
          <w:tab w:val="left" w:pos="1134"/>
        </w:tabs>
        <w:spacing w:after="160" w:line="259" w:lineRule="auto"/>
        <w:contextualSpacing/>
        <w:jc w:val="both"/>
      </w:pPr>
      <w:r>
        <w:rPr>
          <w:noProof/>
        </w:rPr>
        <w:drawing>
          <wp:inline distT="0" distB="0" distL="114300" distR="114300">
            <wp:extent cx="5613400" cy="8387080"/>
            <wp:effectExtent l="0" t="0" r="6350" b="13970"/>
            <wp:docPr id="3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2"/>
                    <pic:cNvPicPr>
                      <a:picLocks noChangeAspect="1"/>
                    </pic:cNvPicPr>
                  </pic:nvPicPr>
                  <pic:blipFill>
                    <a:blip r:embed="rId86"/>
                    <a:srcRect l="536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</w:pP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</w:pP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</w:pP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</w:pP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Б</w:t>
      </w: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ЛЭК</w:t>
      </w: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</w:pPr>
      <w:r>
        <w:rPr>
          <w:noProof/>
        </w:rPr>
        <w:drawing>
          <wp:inline distT="0" distB="0" distL="0" distR="0">
            <wp:extent cx="5810250" cy="8096250"/>
            <wp:effectExtent l="0" t="0" r="0" b="0"/>
            <wp:docPr id="41" name="Изображение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5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</w:pP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</w:pPr>
    </w:p>
    <w:p w:rsidR="00750932" w:rsidRDefault="0081612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</w:pPr>
      <w:r>
        <w:rPr>
          <w:noProof/>
        </w:rPr>
        <w:drawing>
          <wp:inline distT="0" distB="0" distL="0" distR="0">
            <wp:extent cx="5819775" cy="8153400"/>
            <wp:effectExtent l="0" t="0" r="0" b="0"/>
            <wp:docPr id="42" name="Изображение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5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</w:pP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"/>
        <w:contextualSpacing/>
        <w:jc w:val="center"/>
      </w:pPr>
    </w:p>
    <w:p w:rsidR="00750932" w:rsidRDefault="0075093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</w:pPr>
    </w:p>
    <w:sectPr w:rsidR="00750932">
      <w:footerReference w:type="default" r:id="rId89"/>
      <w:footerReference w:type="first" r:id="rId90"/>
      <w:pgSz w:w="11906" w:h="16838"/>
      <w:pgMar w:top="1134" w:right="851" w:bottom="1134" w:left="1701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126" w:rsidRDefault="00816126">
      <w:pPr>
        <w:spacing w:line="240" w:lineRule="auto"/>
      </w:pPr>
      <w:r>
        <w:separator/>
      </w:r>
    </w:p>
  </w:endnote>
  <w:endnote w:type="continuationSeparator" w:id="0">
    <w:p w:rsidR="00816126" w:rsidRDefault="008161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aramondNarrowC">
    <w:altName w:val="Liberation Mono"/>
    <w:charset w:val="CC"/>
    <w:family w:val="roman"/>
    <w:pitch w:val="default"/>
    <w:sig w:usb0="00000000" w:usb1="00000000" w:usb2="00000000" w:usb3="00000000" w:csb0="00000004" w:csb1="00000000"/>
  </w:font>
  <w:font w:name="Myriad Pro">
    <w:altName w:val="Liberation Mono"/>
    <w:charset w:val="CC"/>
    <w:family w:val="swiss"/>
    <w:pitch w:val="default"/>
    <w:sig w:usb0="00000000" w:usb1="00000000" w:usb2="00000000" w:usb3="00000000" w:csb0="00000004" w:csb1="00000000"/>
  </w:font>
  <w:font w:name="Minion Pro">
    <w:altName w:val="Times New Roman"/>
    <w:charset w:val="CC"/>
    <w:family w:val="roman"/>
    <w:pitch w:val="default"/>
    <w:sig w:usb0="00000000" w:usb1="00000000" w:usb2="00000000" w:usb3="00000000" w:csb0="00000005" w:csb1="00000000"/>
  </w:font>
  <w:font w:name="sans-serif">
    <w:altName w:val="Liberation Mono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-Italic">
    <w:altName w:val="Yu Gothic"/>
    <w:charset w:val="80"/>
    <w:family w:val="auto"/>
    <w:pitch w:val="default"/>
    <w:sig w:usb0="00000000" w:usb1="00000000" w:usb2="00000010" w:usb3="00000000" w:csb0="0002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932" w:rsidRDefault="00816126">
    <w:pPr>
      <w:pStyle w:val="a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Текстовое поле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275851926"/>
                          </w:sdtPr>
                          <w:sdtEndPr/>
                          <w:sdtContent>
                            <w:p w:rsidR="00750932" w:rsidRDefault="00816126">
                              <w:pPr>
                                <w:pStyle w:val="ae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instrText>PAGE   \* MERGEFORMAT</w:instrTex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fldChar w:fldCharType="separate"/>
                              </w:r>
                              <w:r w:rsidR="00C97A0A">
                                <w:rPr>
                                  <w:rFonts w:ascii="Times New Roman" w:hAnsi="Times New Roman"/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750932" w:rsidRDefault="0075093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40" o:spid="_x0000_s1032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" filled="f" stroked="f" strokeweight=".5pt">
              <v:textbox style="mso-fit-shape-to-text:t" inset="0,0,0,0">
                <w:txbxContent>
                  <w:sdt>
                    <w:sdtPr>
                      <w:id w:val="-1275851926"/>
                    </w:sdtPr>
                    <w:sdtEndPr/>
                    <w:sdtContent>
                      <w:p w:rsidR="00750932" w:rsidRDefault="00816126">
                        <w:pPr>
                          <w:pStyle w:val="ae"/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/>
                          </w:rPr>
                          <w:instrText>PAGE   \* MERGEFORMAT</w:instrText>
                        </w:r>
                        <w:r>
                          <w:rPr>
                            <w:rFonts w:ascii="Times New Roman" w:hAnsi="Times New Roman"/>
                          </w:rPr>
                          <w:fldChar w:fldCharType="separate"/>
                        </w:r>
                        <w:r w:rsidR="00C97A0A">
                          <w:rPr>
                            <w:rFonts w:ascii="Times New Roman" w:hAnsi="Times New Roman"/>
                            <w:noProof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</w:rPr>
                          <w:fldChar w:fldCharType="end"/>
                        </w:r>
                      </w:p>
                    </w:sdtContent>
                  </w:sdt>
                  <w:p w:rsidR="00750932" w:rsidRDefault="00750932"/>
                </w:txbxContent>
              </v:textbox>
              <w10:wrap anchorx="margin"/>
            </v:shape>
          </w:pict>
        </mc:Fallback>
      </mc:AlternateContent>
    </w:r>
  </w:p>
  <w:p w:rsidR="00750932" w:rsidRDefault="0075093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932" w:rsidRDefault="00816126">
    <w:pPr>
      <w:pStyle w:val="a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Текстовое поле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0932" w:rsidRDefault="00816126">
                          <w:pPr>
                            <w:pStyle w:val="a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97A0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56" o:spid="_x0000_s1033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" filled="f" stroked="f" strokeweight=".5pt">
              <v:textbox style="mso-fit-shape-to-text:t" inset="0,0,0,0">
                <w:txbxContent>
                  <w:p w:rsidR="00750932" w:rsidRDefault="00816126">
                    <w:pPr>
                      <w:pStyle w:val="a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97A0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126" w:rsidRDefault="00816126">
      <w:pPr>
        <w:spacing w:after="0"/>
      </w:pPr>
      <w:r>
        <w:separator/>
      </w:r>
    </w:p>
  </w:footnote>
  <w:footnote w:type="continuationSeparator" w:id="0">
    <w:p w:rsidR="00816126" w:rsidRDefault="0081612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837740"/>
    <w:multiLevelType w:val="singleLevel"/>
    <w:tmpl w:val="89837740"/>
    <w:lvl w:ilvl="0">
      <w:start w:val="24"/>
      <w:numFmt w:val="decimal"/>
      <w:lvlText w:val="%1"/>
      <w:lvlJc w:val="left"/>
    </w:lvl>
  </w:abstractNum>
  <w:abstractNum w:abstractNumId="1" w15:restartNumberingAfterBreak="0">
    <w:nsid w:val="CE91CFBF"/>
    <w:multiLevelType w:val="singleLevel"/>
    <w:tmpl w:val="CE91CFBF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226A2AC"/>
    <w:multiLevelType w:val="singleLevel"/>
    <w:tmpl w:val="F226A2AC"/>
    <w:lvl w:ilvl="0">
      <w:start w:val="37"/>
      <w:numFmt w:val="decimal"/>
      <w:lvlText w:val="%1"/>
      <w:lvlJc w:val="left"/>
    </w:lvl>
  </w:abstractNum>
  <w:abstractNum w:abstractNumId="3" w15:restartNumberingAfterBreak="0">
    <w:nsid w:val="05E0F2BB"/>
    <w:multiLevelType w:val="singleLevel"/>
    <w:tmpl w:val="05E0F2B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06906EDD"/>
    <w:multiLevelType w:val="multilevel"/>
    <w:tmpl w:val="06906ED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F17F1"/>
    <w:multiLevelType w:val="multilevel"/>
    <w:tmpl w:val="079F17F1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C14F8"/>
    <w:multiLevelType w:val="multilevel"/>
    <w:tmpl w:val="107C14F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3334246"/>
    <w:multiLevelType w:val="singleLevel"/>
    <w:tmpl w:val="43334246"/>
    <w:lvl w:ilvl="0">
      <w:start w:val="116"/>
      <w:numFmt w:val="decimal"/>
      <w:lvlText w:val="%1"/>
      <w:lvlJc w:val="left"/>
    </w:lvl>
  </w:abstractNum>
  <w:abstractNum w:abstractNumId="8" w15:restartNumberingAfterBreak="0">
    <w:nsid w:val="4E36390A"/>
    <w:multiLevelType w:val="multilevel"/>
    <w:tmpl w:val="4E36390A"/>
    <w:lvl w:ilvl="0">
      <w:start w:val="1"/>
      <w:numFmt w:val="decimal"/>
      <w:lvlText w:val="%1."/>
      <w:lvlJc w:val="left"/>
      <w:pPr>
        <w:tabs>
          <w:tab w:val="left" w:pos="1259"/>
        </w:tabs>
        <w:ind w:left="1259" w:hanging="360"/>
      </w:pPr>
    </w:lvl>
    <w:lvl w:ilvl="1">
      <w:start w:val="1"/>
      <w:numFmt w:val="lowerLetter"/>
      <w:lvlText w:val="%2."/>
      <w:lvlJc w:val="left"/>
      <w:pPr>
        <w:tabs>
          <w:tab w:val="left" w:pos="1979"/>
        </w:tabs>
        <w:ind w:left="1979" w:hanging="360"/>
      </w:pPr>
    </w:lvl>
    <w:lvl w:ilvl="2">
      <w:start w:val="1"/>
      <w:numFmt w:val="lowerRoman"/>
      <w:lvlText w:val="%3."/>
      <w:lvlJc w:val="right"/>
      <w:pPr>
        <w:tabs>
          <w:tab w:val="left" w:pos="2699"/>
        </w:tabs>
        <w:ind w:left="2699" w:hanging="180"/>
      </w:pPr>
    </w:lvl>
    <w:lvl w:ilvl="3">
      <w:start w:val="1"/>
      <w:numFmt w:val="decimal"/>
      <w:lvlText w:val="%4."/>
      <w:lvlJc w:val="left"/>
      <w:pPr>
        <w:tabs>
          <w:tab w:val="left" w:pos="3419"/>
        </w:tabs>
        <w:ind w:left="3419" w:hanging="360"/>
      </w:pPr>
    </w:lvl>
    <w:lvl w:ilvl="4">
      <w:start w:val="1"/>
      <w:numFmt w:val="lowerLetter"/>
      <w:lvlText w:val="%5."/>
      <w:lvlJc w:val="left"/>
      <w:pPr>
        <w:tabs>
          <w:tab w:val="left" w:pos="4139"/>
        </w:tabs>
        <w:ind w:left="4139" w:hanging="360"/>
      </w:pPr>
    </w:lvl>
    <w:lvl w:ilvl="5">
      <w:start w:val="1"/>
      <w:numFmt w:val="lowerRoman"/>
      <w:lvlText w:val="%6."/>
      <w:lvlJc w:val="right"/>
      <w:pPr>
        <w:tabs>
          <w:tab w:val="left" w:pos="4859"/>
        </w:tabs>
        <w:ind w:left="4859" w:hanging="180"/>
      </w:pPr>
    </w:lvl>
    <w:lvl w:ilvl="6">
      <w:start w:val="1"/>
      <w:numFmt w:val="decimal"/>
      <w:lvlText w:val="%7."/>
      <w:lvlJc w:val="left"/>
      <w:pPr>
        <w:tabs>
          <w:tab w:val="left" w:pos="5579"/>
        </w:tabs>
        <w:ind w:left="5579" w:hanging="360"/>
      </w:pPr>
    </w:lvl>
    <w:lvl w:ilvl="7">
      <w:start w:val="1"/>
      <w:numFmt w:val="lowerLetter"/>
      <w:lvlText w:val="%8."/>
      <w:lvlJc w:val="left"/>
      <w:pPr>
        <w:tabs>
          <w:tab w:val="left" w:pos="6299"/>
        </w:tabs>
        <w:ind w:left="6299" w:hanging="360"/>
      </w:pPr>
    </w:lvl>
    <w:lvl w:ilvl="8">
      <w:start w:val="1"/>
      <w:numFmt w:val="lowerRoman"/>
      <w:lvlText w:val="%9."/>
      <w:lvlJc w:val="right"/>
      <w:pPr>
        <w:tabs>
          <w:tab w:val="left" w:pos="7019"/>
        </w:tabs>
        <w:ind w:left="7019" w:hanging="180"/>
      </w:pPr>
    </w:lvl>
  </w:abstractNum>
  <w:abstractNum w:abstractNumId="9" w15:restartNumberingAfterBreak="0">
    <w:nsid w:val="52D4504F"/>
    <w:multiLevelType w:val="multilevel"/>
    <w:tmpl w:val="52D4504F"/>
    <w:lvl w:ilvl="0">
      <w:start w:val="1"/>
      <w:numFmt w:val="decimal"/>
      <w:lvlText w:val="%1."/>
      <w:lvlJc w:val="left"/>
      <w:pPr>
        <w:tabs>
          <w:tab w:val="left" w:pos="1260"/>
        </w:tabs>
        <w:ind w:left="1260" w:hanging="360"/>
      </w:pPr>
    </w:lvl>
    <w:lvl w:ilvl="1">
      <w:start w:val="1"/>
      <w:numFmt w:val="bullet"/>
      <w:lvlText w:val=""/>
      <w:lvlJc w:val="left"/>
      <w:pPr>
        <w:tabs>
          <w:tab w:val="left" w:pos="1980"/>
        </w:tabs>
        <w:ind w:left="198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left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left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left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left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left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left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left" w:pos="7020"/>
        </w:tabs>
        <w:ind w:left="7020" w:hanging="180"/>
      </w:pPr>
    </w:lvl>
  </w:abstractNum>
  <w:abstractNum w:abstractNumId="10" w15:restartNumberingAfterBreak="0">
    <w:nsid w:val="58C2FE3C"/>
    <w:multiLevelType w:val="singleLevel"/>
    <w:tmpl w:val="58C2FE3C"/>
    <w:lvl w:ilvl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11" w15:restartNumberingAfterBreak="0">
    <w:nsid w:val="5CFAE760"/>
    <w:multiLevelType w:val="singleLevel"/>
    <w:tmpl w:val="5CFAE760"/>
    <w:lvl w:ilvl="0">
      <w:start w:val="13"/>
      <w:numFmt w:val="decimal"/>
      <w:lvlText w:val="%1"/>
      <w:lvlJc w:val="left"/>
    </w:lvl>
  </w:abstractNum>
  <w:abstractNum w:abstractNumId="12" w15:restartNumberingAfterBreak="0">
    <w:nsid w:val="70250A9E"/>
    <w:multiLevelType w:val="multilevel"/>
    <w:tmpl w:val="70250A9E"/>
    <w:lvl w:ilvl="0">
      <w:start w:val="3"/>
      <w:numFmt w:val="decimal"/>
      <w:lvlText w:val="%1"/>
      <w:lvlJc w:val="left"/>
      <w:pPr>
        <w:ind w:left="375" w:hanging="375"/>
      </w:pPr>
      <w:rPr>
        <w:rFonts w:eastAsia="Calibri" w:hint="default"/>
        <w:color w:val="000000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Calibri" w:hint="default"/>
        <w:color w:val="00000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12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11"/>
  </w:num>
  <w:num w:numId="11">
    <w:abstractNumId w:val="0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AC1"/>
    <w:rsid w:val="00003471"/>
    <w:rsid w:val="00003F05"/>
    <w:rsid w:val="00011A95"/>
    <w:rsid w:val="00011ABA"/>
    <w:rsid w:val="000126AE"/>
    <w:rsid w:val="00013172"/>
    <w:rsid w:val="00013DBE"/>
    <w:rsid w:val="000141DB"/>
    <w:rsid w:val="000145DC"/>
    <w:rsid w:val="000151A6"/>
    <w:rsid w:val="00015DB6"/>
    <w:rsid w:val="00015DF5"/>
    <w:rsid w:val="0001660E"/>
    <w:rsid w:val="0001690A"/>
    <w:rsid w:val="000171D0"/>
    <w:rsid w:val="00017D54"/>
    <w:rsid w:val="00020457"/>
    <w:rsid w:val="00021B19"/>
    <w:rsid w:val="00021CE0"/>
    <w:rsid w:val="00025894"/>
    <w:rsid w:val="00025CEA"/>
    <w:rsid w:val="0002768D"/>
    <w:rsid w:val="0002771B"/>
    <w:rsid w:val="00027C48"/>
    <w:rsid w:val="00030426"/>
    <w:rsid w:val="00031336"/>
    <w:rsid w:val="00031A09"/>
    <w:rsid w:val="000320CE"/>
    <w:rsid w:val="00032673"/>
    <w:rsid w:val="00033198"/>
    <w:rsid w:val="00035838"/>
    <w:rsid w:val="00036876"/>
    <w:rsid w:val="00040116"/>
    <w:rsid w:val="00040E60"/>
    <w:rsid w:val="00041557"/>
    <w:rsid w:val="00041C71"/>
    <w:rsid w:val="00042470"/>
    <w:rsid w:val="000425CB"/>
    <w:rsid w:val="000426D5"/>
    <w:rsid w:val="00043A5D"/>
    <w:rsid w:val="000446C2"/>
    <w:rsid w:val="0004573A"/>
    <w:rsid w:val="000459B6"/>
    <w:rsid w:val="000475E3"/>
    <w:rsid w:val="000504AC"/>
    <w:rsid w:val="00050943"/>
    <w:rsid w:val="00050F20"/>
    <w:rsid w:val="00050FB4"/>
    <w:rsid w:val="000522D6"/>
    <w:rsid w:val="0005285A"/>
    <w:rsid w:val="00053B09"/>
    <w:rsid w:val="00053E69"/>
    <w:rsid w:val="000576AD"/>
    <w:rsid w:val="00057816"/>
    <w:rsid w:val="00060A73"/>
    <w:rsid w:val="0006107D"/>
    <w:rsid w:val="00061D5A"/>
    <w:rsid w:val="00061F5F"/>
    <w:rsid w:val="000633E2"/>
    <w:rsid w:val="00065294"/>
    <w:rsid w:val="0006767A"/>
    <w:rsid w:val="000707E0"/>
    <w:rsid w:val="00071A51"/>
    <w:rsid w:val="00071C3F"/>
    <w:rsid w:val="00072384"/>
    <w:rsid w:val="00075D95"/>
    <w:rsid w:val="000809C0"/>
    <w:rsid w:val="0008110B"/>
    <w:rsid w:val="0008247B"/>
    <w:rsid w:val="0008252F"/>
    <w:rsid w:val="00082B97"/>
    <w:rsid w:val="00084E53"/>
    <w:rsid w:val="00085229"/>
    <w:rsid w:val="00086123"/>
    <w:rsid w:val="0008714E"/>
    <w:rsid w:val="00087307"/>
    <w:rsid w:val="00087CD9"/>
    <w:rsid w:val="0009092E"/>
    <w:rsid w:val="00090FC0"/>
    <w:rsid w:val="0009397A"/>
    <w:rsid w:val="00094C24"/>
    <w:rsid w:val="000A0600"/>
    <w:rsid w:val="000A108F"/>
    <w:rsid w:val="000A1ED5"/>
    <w:rsid w:val="000A272F"/>
    <w:rsid w:val="000A2C71"/>
    <w:rsid w:val="000A403F"/>
    <w:rsid w:val="000A48CE"/>
    <w:rsid w:val="000A6147"/>
    <w:rsid w:val="000A696D"/>
    <w:rsid w:val="000A775B"/>
    <w:rsid w:val="000B0102"/>
    <w:rsid w:val="000B1136"/>
    <w:rsid w:val="000B2E40"/>
    <w:rsid w:val="000B4301"/>
    <w:rsid w:val="000B50A7"/>
    <w:rsid w:val="000B50D5"/>
    <w:rsid w:val="000B5851"/>
    <w:rsid w:val="000C0A5F"/>
    <w:rsid w:val="000C0C1C"/>
    <w:rsid w:val="000C142A"/>
    <w:rsid w:val="000C33A4"/>
    <w:rsid w:val="000C33C7"/>
    <w:rsid w:val="000C413D"/>
    <w:rsid w:val="000C7EAC"/>
    <w:rsid w:val="000C7F26"/>
    <w:rsid w:val="000D20C9"/>
    <w:rsid w:val="000D3982"/>
    <w:rsid w:val="000D4B22"/>
    <w:rsid w:val="000D5AE5"/>
    <w:rsid w:val="000D6B2C"/>
    <w:rsid w:val="000D7F97"/>
    <w:rsid w:val="000E0DC9"/>
    <w:rsid w:val="000E10E1"/>
    <w:rsid w:val="000E437D"/>
    <w:rsid w:val="000E4B96"/>
    <w:rsid w:val="000E59BE"/>
    <w:rsid w:val="000E7FCF"/>
    <w:rsid w:val="000F0127"/>
    <w:rsid w:val="000F0BDA"/>
    <w:rsid w:val="000F1CEC"/>
    <w:rsid w:val="000F2C56"/>
    <w:rsid w:val="000F4ACA"/>
    <w:rsid w:val="000F59F0"/>
    <w:rsid w:val="000F5ED3"/>
    <w:rsid w:val="000F6585"/>
    <w:rsid w:val="000F7268"/>
    <w:rsid w:val="00100FC6"/>
    <w:rsid w:val="00101ACB"/>
    <w:rsid w:val="001029AE"/>
    <w:rsid w:val="001031F7"/>
    <w:rsid w:val="00104385"/>
    <w:rsid w:val="001058D7"/>
    <w:rsid w:val="00106895"/>
    <w:rsid w:val="00106D0E"/>
    <w:rsid w:val="00106FC9"/>
    <w:rsid w:val="00107161"/>
    <w:rsid w:val="00107172"/>
    <w:rsid w:val="0011235B"/>
    <w:rsid w:val="001139A5"/>
    <w:rsid w:val="00117C4A"/>
    <w:rsid w:val="0012059A"/>
    <w:rsid w:val="00120DE2"/>
    <w:rsid w:val="00121FD5"/>
    <w:rsid w:val="00122DCB"/>
    <w:rsid w:val="00123AFE"/>
    <w:rsid w:val="00123C2B"/>
    <w:rsid w:val="001240A3"/>
    <w:rsid w:val="00124272"/>
    <w:rsid w:val="00124F1D"/>
    <w:rsid w:val="00130FC7"/>
    <w:rsid w:val="00131ADE"/>
    <w:rsid w:val="00131FE4"/>
    <w:rsid w:val="0013447B"/>
    <w:rsid w:val="00134534"/>
    <w:rsid w:val="00134618"/>
    <w:rsid w:val="0013474A"/>
    <w:rsid w:val="00134CA5"/>
    <w:rsid w:val="00135C0E"/>
    <w:rsid w:val="00140400"/>
    <w:rsid w:val="00141F2E"/>
    <w:rsid w:val="0014217A"/>
    <w:rsid w:val="0014401C"/>
    <w:rsid w:val="00146989"/>
    <w:rsid w:val="001470E2"/>
    <w:rsid w:val="00154DD3"/>
    <w:rsid w:val="00156671"/>
    <w:rsid w:val="00156E83"/>
    <w:rsid w:val="0016070E"/>
    <w:rsid w:val="00161456"/>
    <w:rsid w:val="00162837"/>
    <w:rsid w:val="00166D37"/>
    <w:rsid w:val="00167FEC"/>
    <w:rsid w:val="001708E4"/>
    <w:rsid w:val="00170BED"/>
    <w:rsid w:val="0017508D"/>
    <w:rsid w:val="001768A7"/>
    <w:rsid w:val="00182B89"/>
    <w:rsid w:val="00183689"/>
    <w:rsid w:val="00184196"/>
    <w:rsid w:val="00184526"/>
    <w:rsid w:val="00185B49"/>
    <w:rsid w:val="001871BD"/>
    <w:rsid w:val="001900DA"/>
    <w:rsid w:val="0019021E"/>
    <w:rsid w:val="0019074A"/>
    <w:rsid w:val="00190DBD"/>
    <w:rsid w:val="001913DD"/>
    <w:rsid w:val="00193A85"/>
    <w:rsid w:val="00195D96"/>
    <w:rsid w:val="001960A7"/>
    <w:rsid w:val="001960AB"/>
    <w:rsid w:val="001971F8"/>
    <w:rsid w:val="00197D7D"/>
    <w:rsid w:val="001A2967"/>
    <w:rsid w:val="001A2DFF"/>
    <w:rsid w:val="001A3136"/>
    <w:rsid w:val="001A3201"/>
    <w:rsid w:val="001A37D8"/>
    <w:rsid w:val="001A3E33"/>
    <w:rsid w:val="001A4401"/>
    <w:rsid w:val="001A44FA"/>
    <w:rsid w:val="001A5497"/>
    <w:rsid w:val="001A5F7E"/>
    <w:rsid w:val="001A6142"/>
    <w:rsid w:val="001A6A02"/>
    <w:rsid w:val="001A70E9"/>
    <w:rsid w:val="001A735F"/>
    <w:rsid w:val="001B226F"/>
    <w:rsid w:val="001B32DC"/>
    <w:rsid w:val="001B3437"/>
    <w:rsid w:val="001B37C0"/>
    <w:rsid w:val="001B4659"/>
    <w:rsid w:val="001B5646"/>
    <w:rsid w:val="001B5DB2"/>
    <w:rsid w:val="001B6655"/>
    <w:rsid w:val="001B6C98"/>
    <w:rsid w:val="001B7693"/>
    <w:rsid w:val="001C0126"/>
    <w:rsid w:val="001C2997"/>
    <w:rsid w:val="001C30F4"/>
    <w:rsid w:val="001C3F82"/>
    <w:rsid w:val="001C4126"/>
    <w:rsid w:val="001C46F9"/>
    <w:rsid w:val="001C4FA5"/>
    <w:rsid w:val="001C5F96"/>
    <w:rsid w:val="001C65BA"/>
    <w:rsid w:val="001D0B57"/>
    <w:rsid w:val="001D17BA"/>
    <w:rsid w:val="001D1B98"/>
    <w:rsid w:val="001D2676"/>
    <w:rsid w:val="001D2886"/>
    <w:rsid w:val="001D3719"/>
    <w:rsid w:val="001D4581"/>
    <w:rsid w:val="001D670C"/>
    <w:rsid w:val="001D7507"/>
    <w:rsid w:val="001D7B02"/>
    <w:rsid w:val="001D7BFE"/>
    <w:rsid w:val="001E0A47"/>
    <w:rsid w:val="001E2173"/>
    <w:rsid w:val="001E261D"/>
    <w:rsid w:val="001E2F99"/>
    <w:rsid w:val="001E3D29"/>
    <w:rsid w:val="001E57A4"/>
    <w:rsid w:val="001E58F9"/>
    <w:rsid w:val="001E6B6A"/>
    <w:rsid w:val="001E7FF4"/>
    <w:rsid w:val="001F0E5D"/>
    <w:rsid w:val="001F11F2"/>
    <w:rsid w:val="001F1652"/>
    <w:rsid w:val="001F226B"/>
    <w:rsid w:val="001F22CA"/>
    <w:rsid w:val="001F3846"/>
    <w:rsid w:val="001F3EDB"/>
    <w:rsid w:val="001F5E29"/>
    <w:rsid w:val="001F69C1"/>
    <w:rsid w:val="0020151A"/>
    <w:rsid w:val="0020244E"/>
    <w:rsid w:val="00202A2F"/>
    <w:rsid w:val="00202B48"/>
    <w:rsid w:val="0020359B"/>
    <w:rsid w:val="00203CB6"/>
    <w:rsid w:val="00204627"/>
    <w:rsid w:val="002060D4"/>
    <w:rsid w:val="00207BE8"/>
    <w:rsid w:val="0021315C"/>
    <w:rsid w:val="002131B1"/>
    <w:rsid w:val="00215571"/>
    <w:rsid w:val="00215955"/>
    <w:rsid w:val="00220C02"/>
    <w:rsid w:val="00221835"/>
    <w:rsid w:val="002218C8"/>
    <w:rsid w:val="002228D3"/>
    <w:rsid w:val="002242EE"/>
    <w:rsid w:val="0022546A"/>
    <w:rsid w:val="00225CAD"/>
    <w:rsid w:val="002262A8"/>
    <w:rsid w:val="00226C0C"/>
    <w:rsid w:val="00227500"/>
    <w:rsid w:val="00227D3A"/>
    <w:rsid w:val="002307BC"/>
    <w:rsid w:val="00230B40"/>
    <w:rsid w:val="00231309"/>
    <w:rsid w:val="00231745"/>
    <w:rsid w:val="002322BE"/>
    <w:rsid w:val="0023274C"/>
    <w:rsid w:val="00232D12"/>
    <w:rsid w:val="002344F8"/>
    <w:rsid w:val="002349A9"/>
    <w:rsid w:val="0023633E"/>
    <w:rsid w:val="00236EEF"/>
    <w:rsid w:val="0023708F"/>
    <w:rsid w:val="00237310"/>
    <w:rsid w:val="00237964"/>
    <w:rsid w:val="00237A28"/>
    <w:rsid w:val="002403C9"/>
    <w:rsid w:val="0024047B"/>
    <w:rsid w:val="002431DF"/>
    <w:rsid w:val="0024436B"/>
    <w:rsid w:val="00244C2B"/>
    <w:rsid w:val="00245E4F"/>
    <w:rsid w:val="0024628C"/>
    <w:rsid w:val="00247B1E"/>
    <w:rsid w:val="00251B21"/>
    <w:rsid w:val="00251FE0"/>
    <w:rsid w:val="0025391E"/>
    <w:rsid w:val="00253B84"/>
    <w:rsid w:val="0025414E"/>
    <w:rsid w:val="002562F3"/>
    <w:rsid w:val="00256481"/>
    <w:rsid w:val="00257FD7"/>
    <w:rsid w:val="00260B6A"/>
    <w:rsid w:val="00262B14"/>
    <w:rsid w:val="002662E6"/>
    <w:rsid w:val="00267407"/>
    <w:rsid w:val="002717E7"/>
    <w:rsid w:val="00272B97"/>
    <w:rsid w:val="00272EF1"/>
    <w:rsid w:val="002744A6"/>
    <w:rsid w:val="002750DC"/>
    <w:rsid w:val="00276400"/>
    <w:rsid w:val="00281E5E"/>
    <w:rsid w:val="0028288A"/>
    <w:rsid w:val="00283D19"/>
    <w:rsid w:val="00284374"/>
    <w:rsid w:val="00285C9B"/>
    <w:rsid w:val="00286888"/>
    <w:rsid w:val="00291ECD"/>
    <w:rsid w:val="0029203A"/>
    <w:rsid w:val="00292399"/>
    <w:rsid w:val="002927ED"/>
    <w:rsid w:val="00292FA4"/>
    <w:rsid w:val="00293008"/>
    <w:rsid w:val="00294B79"/>
    <w:rsid w:val="0029502D"/>
    <w:rsid w:val="00296CFD"/>
    <w:rsid w:val="00296DE8"/>
    <w:rsid w:val="00297048"/>
    <w:rsid w:val="00297EBA"/>
    <w:rsid w:val="002A0435"/>
    <w:rsid w:val="002A1FFC"/>
    <w:rsid w:val="002A2E39"/>
    <w:rsid w:val="002A3A11"/>
    <w:rsid w:val="002A4B07"/>
    <w:rsid w:val="002A5BF8"/>
    <w:rsid w:val="002A7694"/>
    <w:rsid w:val="002A7F3E"/>
    <w:rsid w:val="002B055D"/>
    <w:rsid w:val="002B1693"/>
    <w:rsid w:val="002B1915"/>
    <w:rsid w:val="002B209F"/>
    <w:rsid w:val="002B4E9F"/>
    <w:rsid w:val="002B6ED9"/>
    <w:rsid w:val="002B7869"/>
    <w:rsid w:val="002C01AB"/>
    <w:rsid w:val="002C1649"/>
    <w:rsid w:val="002C1667"/>
    <w:rsid w:val="002C29D6"/>
    <w:rsid w:val="002C2B4C"/>
    <w:rsid w:val="002C30FE"/>
    <w:rsid w:val="002C461C"/>
    <w:rsid w:val="002C5CF7"/>
    <w:rsid w:val="002C6960"/>
    <w:rsid w:val="002C6B20"/>
    <w:rsid w:val="002C72EE"/>
    <w:rsid w:val="002C7AE3"/>
    <w:rsid w:val="002D3936"/>
    <w:rsid w:val="002D46A8"/>
    <w:rsid w:val="002D4744"/>
    <w:rsid w:val="002D69D2"/>
    <w:rsid w:val="002D7552"/>
    <w:rsid w:val="002D77A6"/>
    <w:rsid w:val="002D7817"/>
    <w:rsid w:val="002E10BF"/>
    <w:rsid w:val="002E1263"/>
    <w:rsid w:val="002E23E3"/>
    <w:rsid w:val="002E2ED8"/>
    <w:rsid w:val="002E33DD"/>
    <w:rsid w:val="002E35B0"/>
    <w:rsid w:val="002E3D60"/>
    <w:rsid w:val="002E59D7"/>
    <w:rsid w:val="002E5FCE"/>
    <w:rsid w:val="002E607D"/>
    <w:rsid w:val="002E68A1"/>
    <w:rsid w:val="002E79E2"/>
    <w:rsid w:val="002E7EBB"/>
    <w:rsid w:val="002F023C"/>
    <w:rsid w:val="002F09FF"/>
    <w:rsid w:val="002F1E56"/>
    <w:rsid w:val="002F28FC"/>
    <w:rsid w:val="002F31E9"/>
    <w:rsid w:val="002F371B"/>
    <w:rsid w:val="002F4465"/>
    <w:rsid w:val="002F5591"/>
    <w:rsid w:val="002F55DB"/>
    <w:rsid w:val="002F5BA0"/>
    <w:rsid w:val="002F735E"/>
    <w:rsid w:val="003001E6"/>
    <w:rsid w:val="00300CBD"/>
    <w:rsid w:val="00301CD2"/>
    <w:rsid w:val="0030201C"/>
    <w:rsid w:val="00302486"/>
    <w:rsid w:val="0030332E"/>
    <w:rsid w:val="00303527"/>
    <w:rsid w:val="003114FD"/>
    <w:rsid w:val="003150E1"/>
    <w:rsid w:val="00316589"/>
    <w:rsid w:val="00317490"/>
    <w:rsid w:val="00317567"/>
    <w:rsid w:val="00317FCB"/>
    <w:rsid w:val="00317FD2"/>
    <w:rsid w:val="003200D9"/>
    <w:rsid w:val="00320D85"/>
    <w:rsid w:val="003219B6"/>
    <w:rsid w:val="00321A81"/>
    <w:rsid w:val="00321F3D"/>
    <w:rsid w:val="003231FB"/>
    <w:rsid w:val="003238A4"/>
    <w:rsid w:val="0032553F"/>
    <w:rsid w:val="00326E5E"/>
    <w:rsid w:val="00326E7E"/>
    <w:rsid w:val="00327010"/>
    <w:rsid w:val="00327BD9"/>
    <w:rsid w:val="003313D2"/>
    <w:rsid w:val="00331B85"/>
    <w:rsid w:val="0033224A"/>
    <w:rsid w:val="00333438"/>
    <w:rsid w:val="00333E1C"/>
    <w:rsid w:val="00334780"/>
    <w:rsid w:val="00334A97"/>
    <w:rsid w:val="00334BFE"/>
    <w:rsid w:val="0033654E"/>
    <w:rsid w:val="00336A54"/>
    <w:rsid w:val="00336E62"/>
    <w:rsid w:val="00336E85"/>
    <w:rsid w:val="003402BF"/>
    <w:rsid w:val="003409A7"/>
    <w:rsid w:val="00342FC0"/>
    <w:rsid w:val="00343059"/>
    <w:rsid w:val="00345E02"/>
    <w:rsid w:val="00350C4E"/>
    <w:rsid w:val="00352BA8"/>
    <w:rsid w:val="00354AAC"/>
    <w:rsid w:val="0035599E"/>
    <w:rsid w:val="00355F95"/>
    <w:rsid w:val="003572B0"/>
    <w:rsid w:val="003607AB"/>
    <w:rsid w:val="003619C0"/>
    <w:rsid w:val="00362F3A"/>
    <w:rsid w:val="003632A9"/>
    <w:rsid w:val="003651C7"/>
    <w:rsid w:val="003662C4"/>
    <w:rsid w:val="00366DF3"/>
    <w:rsid w:val="00366F86"/>
    <w:rsid w:val="00367A0E"/>
    <w:rsid w:val="0037067E"/>
    <w:rsid w:val="00370B9E"/>
    <w:rsid w:val="00371381"/>
    <w:rsid w:val="00372DB0"/>
    <w:rsid w:val="00373EB7"/>
    <w:rsid w:val="0037530D"/>
    <w:rsid w:val="00375D43"/>
    <w:rsid w:val="00375F38"/>
    <w:rsid w:val="00376CB8"/>
    <w:rsid w:val="00377C78"/>
    <w:rsid w:val="00377DB0"/>
    <w:rsid w:val="00377E3B"/>
    <w:rsid w:val="00377EF3"/>
    <w:rsid w:val="00380761"/>
    <w:rsid w:val="00380BEB"/>
    <w:rsid w:val="00381E36"/>
    <w:rsid w:val="00382CB4"/>
    <w:rsid w:val="0038432D"/>
    <w:rsid w:val="00385C6F"/>
    <w:rsid w:val="00386187"/>
    <w:rsid w:val="003866A9"/>
    <w:rsid w:val="00386808"/>
    <w:rsid w:val="00386A09"/>
    <w:rsid w:val="00386B2C"/>
    <w:rsid w:val="0039040D"/>
    <w:rsid w:val="00391CF3"/>
    <w:rsid w:val="00392591"/>
    <w:rsid w:val="00392D5D"/>
    <w:rsid w:val="003945B5"/>
    <w:rsid w:val="003945EE"/>
    <w:rsid w:val="00394A95"/>
    <w:rsid w:val="00395965"/>
    <w:rsid w:val="00397004"/>
    <w:rsid w:val="003A09DC"/>
    <w:rsid w:val="003A128E"/>
    <w:rsid w:val="003A370A"/>
    <w:rsid w:val="003A38C1"/>
    <w:rsid w:val="003A3B71"/>
    <w:rsid w:val="003A473E"/>
    <w:rsid w:val="003A5538"/>
    <w:rsid w:val="003A5F15"/>
    <w:rsid w:val="003A6A5B"/>
    <w:rsid w:val="003A6E9E"/>
    <w:rsid w:val="003A7225"/>
    <w:rsid w:val="003B08A0"/>
    <w:rsid w:val="003B1710"/>
    <w:rsid w:val="003B18EE"/>
    <w:rsid w:val="003B1FC1"/>
    <w:rsid w:val="003B29B0"/>
    <w:rsid w:val="003B2FDE"/>
    <w:rsid w:val="003B4904"/>
    <w:rsid w:val="003B4A05"/>
    <w:rsid w:val="003B4B2B"/>
    <w:rsid w:val="003B50B9"/>
    <w:rsid w:val="003B5130"/>
    <w:rsid w:val="003B51C1"/>
    <w:rsid w:val="003B5BB7"/>
    <w:rsid w:val="003B7F24"/>
    <w:rsid w:val="003B7FB9"/>
    <w:rsid w:val="003C1214"/>
    <w:rsid w:val="003C1CE1"/>
    <w:rsid w:val="003C3BBC"/>
    <w:rsid w:val="003C43D4"/>
    <w:rsid w:val="003C5B9B"/>
    <w:rsid w:val="003C6D2F"/>
    <w:rsid w:val="003D0C23"/>
    <w:rsid w:val="003D17EA"/>
    <w:rsid w:val="003D2913"/>
    <w:rsid w:val="003D3189"/>
    <w:rsid w:val="003D397E"/>
    <w:rsid w:val="003D39FE"/>
    <w:rsid w:val="003D3BB8"/>
    <w:rsid w:val="003D4D10"/>
    <w:rsid w:val="003D57EA"/>
    <w:rsid w:val="003D7604"/>
    <w:rsid w:val="003E0ACB"/>
    <w:rsid w:val="003E3F71"/>
    <w:rsid w:val="003E4C0F"/>
    <w:rsid w:val="003E57B0"/>
    <w:rsid w:val="003E5C5B"/>
    <w:rsid w:val="003E6A16"/>
    <w:rsid w:val="003E6F62"/>
    <w:rsid w:val="003E77BA"/>
    <w:rsid w:val="003F08C4"/>
    <w:rsid w:val="003F1E2C"/>
    <w:rsid w:val="003F288C"/>
    <w:rsid w:val="003F293D"/>
    <w:rsid w:val="003F2B0A"/>
    <w:rsid w:val="003F2D54"/>
    <w:rsid w:val="003F3FD4"/>
    <w:rsid w:val="003F7651"/>
    <w:rsid w:val="00401767"/>
    <w:rsid w:val="0040208B"/>
    <w:rsid w:val="00402254"/>
    <w:rsid w:val="0040226F"/>
    <w:rsid w:val="00403378"/>
    <w:rsid w:val="00403399"/>
    <w:rsid w:val="00403D36"/>
    <w:rsid w:val="004048DA"/>
    <w:rsid w:val="00405D1B"/>
    <w:rsid w:val="00410D34"/>
    <w:rsid w:val="00411CC6"/>
    <w:rsid w:val="00414781"/>
    <w:rsid w:val="00416E81"/>
    <w:rsid w:val="00417427"/>
    <w:rsid w:val="004207A7"/>
    <w:rsid w:val="0042734F"/>
    <w:rsid w:val="00430510"/>
    <w:rsid w:val="00431296"/>
    <w:rsid w:val="00434222"/>
    <w:rsid w:val="00434B99"/>
    <w:rsid w:val="00435C74"/>
    <w:rsid w:val="00435D66"/>
    <w:rsid w:val="00436D40"/>
    <w:rsid w:val="00437146"/>
    <w:rsid w:val="004377A5"/>
    <w:rsid w:val="00437A22"/>
    <w:rsid w:val="00437CE7"/>
    <w:rsid w:val="00437EF7"/>
    <w:rsid w:val="00441872"/>
    <w:rsid w:val="00441B17"/>
    <w:rsid w:val="00442439"/>
    <w:rsid w:val="00442CAD"/>
    <w:rsid w:val="00445765"/>
    <w:rsid w:val="00446147"/>
    <w:rsid w:val="00447658"/>
    <w:rsid w:val="004500DB"/>
    <w:rsid w:val="00450846"/>
    <w:rsid w:val="00450F2C"/>
    <w:rsid w:val="00451FA8"/>
    <w:rsid w:val="0045389E"/>
    <w:rsid w:val="00453A4E"/>
    <w:rsid w:val="00453B51"/>
    <w:rsid w:val="00454075"/>
    <w:rsid w:val="0045506B"/>
    <w:rsid w:val="00455177"/>
    <w:rsid w:val="0045545B"/>
    <w:rsid w:val="004573A9"/>
    <w:rsid w:val="00461A46"/>
    <w:rsid w:val="004620E4"/>
    <w:rsid w:val="00465F46"/>
    <w:rsid w:val="00465F67"/>
    <w:rsid w:val="0046616D"/>
    <w:rsid w:val="0046627D"/>
    <w:rsid w:val="00467BDF"/>
    <w:rsid w:val="00471AFA"/>
    <w:rsid w:val="004736E1"/>
    <w:rsid w:val="00474C9C"/>
    <w:rsid w:val="00480133"/>
    <w:rsid w:val="004802BF"/>
    <w:rsid w:val="0048046D"/>
    <w:rsid w:val="00480CBC"/>
    <w:rsid w:val="00481A02"/>
    <w:rsid w:val="00484386"/>
    <w:rsid w:val="00484591"/>
    <w:rsid w:val="00486523"/>
    <w:rsid w:val="00487408"/>
    <w:rsid w:val="00487DB4"/>
    <w:rsid w:val="00487EFA"/>
    <w:rsid w:val="0049103A"/>
    <w:rsid w:val="00491EC3"/>
    <w:rsid w:val="00491F30"/>
    <w:rsid w:val="00491F58"/>
    <w:rsid w:val="004922CE"/>
    <w:rsid w:val="0049351E"/>
    <w:rsid w:val="00493AB0"/>
    <w:rsid w:val="00493C84"/>
    <w:rsid w:val="00494C48"/>
    <w:rsid w:val="0049592E"/>
    <w:rsid w:val="00495E58"/>
    <w:rsid w:val="0049631B"/>
    <w:rsid w:val="004963CE"/>
    <w:rsid w:val="004967B7"/>
    <w:rsid w:val="0049690B"/>
    <w:rsid w:val="00496EE0"/>
    <w:rsid w:val="004A1F4A"/>
    <w:rsid w:val="004A22B9"/>
    <w:rsid w:val="004A2560"/>
    <w:rsid w:val="004A5709"/>
    <w:rsid w:val="004A5E1A"/>
    <w:rsid w:val="004A5E52"/>
    <w:rsid w:val="004A73AD"/>
    <w:rsid w:val="004A7774"/>
    <w:rsid w:val="004A7BC3"/>
    <w:rsid w:val="004A7DAA"/>
    <w:rsid w:val="004B05B7"/>
    <w:rsid w:val="004B0A13"/>
    <w:rsid w:val="004B1AAF"/>
    <w:rsid w:val="004B1D0E"/>
    <w:rsid w:val="004B1FC9"/>
    <w:rsid w:val="004B3A23"/>
    <w:rsid w:val="004B4413"/>
    <w:rsid w:val="004B617B"/>
    <w:rsid w:val="004B6364"/>
    <w:rsid w:val="004B670C"/>
    <w:rsid w:val="004B6C26"/>
    <w:rsid w:val="004B6FD7"/>
    <w:rsid w:val="004B7499"/>
    <w:rsid w:val="004C0C0C"/>
    <w:rsid w:val="004C14E1"/>
    <w:rsid w:val="004C185C"/>
    <w:rsid w:val="004C2CA5"/>
    <w:rsid w:val="004C4F02"/>
    <w:rsid w:val="004C7264"/>
    <w:rsid w:val="004C7301"/>
    <w:rsid w:val="004C74E5"/>
    <w:rsid w:val="004C758C"/>
    <w:rsid w:val="004D0D96"/>
    <w:rsid w:val="004D0EBA"/>
    <w:rsid w:val="004D1572"/>
    <w:rsid w:val="004D27A1"/>
    <w:rsid w:val="004D47C2"/>
    <w:rsid w:val="004D6C4D"/>
    <w:rsid w:val="004D76DA"/>
    <w:rsid w:val="004D7B97"/>
    <w:rsid w:val="004E099B"/>
    <w:rsid w:val="004E0DAE"/>
    <w:rsid w:val="004E3003"/>
    <w:rsid w:val="004E4C69"/>
    <w:rsid w:val="004E4D5F"/>
    <w:rsid w:val="004E4E4A"/>
    <w:rsid w:val="004E6B61"/>
    <w:rsid w:val="004E7AE4"/>
    <w:rsid w:val="004E7DD0"/>
    <w:rsid w:val="004F00D8"/>
    <w:rsid w:val="004F07B3"/>
    <w:rsid w:val="004F0A53"/>
    <w:rsid w:val="004F0D69"/>
    <w:rsid w:val="004F4B92"/>
    <w:rsid w:val="004F71D7"/>
    <w:rsid w:val="00500DF9"/>
    <w:rsid w:val="00501B21"/>
    <w:rsid w:val="00502B0A"/>
    <w:rsid w:val="00506C1F"/>
    <w:rsid w:val="005104CA"/>
    <w:rsid w:val="005106CE"/>
    <w:rsid w:val="00510754"/>
    <w:rsid w:val="00510AF6"/>
    <w:rsid w:val="0051402F"/>
    <w:rsid w:val="00514A93"/>
    <w:rsid w:val="0051616D"/>
    <w:rsid w:val="00517032"/>
    <w:rsid w:val="00517756"/>
    <w:rsid w:val="00517B87"/>
    <w:rsid w:val="0052079B"/>
    <w:rsid w:val="00521970"/>
    <w:rsid w:val="00523409"/>
    <w:rsid w:val="00523819"/>
    <w:rsid w:val="00523B84"/>
    <w:rsid w:val="00524BB3"/>
    <w:rsid w:val="00524D1E"/>
    <w:rsid w:val="00530894"/>
    <w:rsid w:val="00530A33"/>
    <w:rsid w:val="00531336"/>
    <w:rsid w:val="00531893"/>
    <w:rsid w:val="00532240"/>
    <w:rsid w:val="00532506"/>
    <w:rsid w:val="0053389F"/>
    <w:rsid w:val="00533FCF"/>
    <w:rsid w:val="005343D5"/>
    <w:rsid w:val="00534F9B"/>
    <w:rsid w:val="00534FE4"/>
    <w:rsid w:val="0053515A"/>
    <w:rsid w:val="00535A65"/>
    <w:rsid w:val="00535CCC"/>
    <w:rsid w:val="00536281"/>
    <w:rsid w:val="00536365"/>
    <w:rsid w:val="005376EA"/>
    <w:rsid w:val="005379CE"/>
    <w:rsid w:val="00540979"/>
    <w:rsid w:val="00541D7D"/>
    <w:rsid w:val="0054259C"/>
    <w:rsid w:val="00542DC8"/>
    <w:rsid w:val="00545BC8"/>
    <w:rsid w:val="0054724A"/>
    <w:rsid w:val="00547310"/>
    <w:rsid w:val="0054759F"/>
    <w:rsid w:val="0054788F"/>
    <w:rsid w:val="00547C7B"/>
    <w:rsid w:val="005503C4"/>
    <w:rsid w:val="005509CA"/>
    <w:rsid w:val="00550EA1"/>
    <w:rsid w:val="00551165"/>
    <w:rsid w:val="005514E9"/>
    <w:rsid w:val="00551D0E"/>
    <w:rsid w:val="0055252B"/>
    <w:rsid w:val="00552C33"/>
    <w:rsid w:val="005544E2"/>
    <w:rsid w:val="0055667F"/>
    <w:rsid w:val="0055756C"/>
    <w:rsid w:val="00557619"/>
    <w:rsid w:val="0055782E"/>
    <w:rsid w:val="00561B44"/>
    <w:rsid w:val="00561B8A"/>
    <w:rsid w:val="00562101"/>
    <w:rsid w:val="005621BE"/>
    <w:rsid w:val="0056227D"/>
    <w:rsid w:val="00562CFC"/>
    <w:rsid w:val="00562DCF"/>
    <w:rsid w:val="005641A7"/>
    <w:rsid w:val="00564CCB"/>
    <w:rsid w:val="00564E24"/>
    <w:rsid w:val="00565420"/>
    <w:rsid w:val="005657CA"/>
    <w:rsid w:val="00567612"/>
    <w:rsid w:val="005701EE"/>
    <w:rsid w:val="0057279D"/>
    <w:rsid w:val="00573CDA"/>
    <w:rsid w:val="00574B2B"/>
    <w:rsid w:val="0057550B"/>
    <w:rsid w:val="00575708"/>
    <w:rsid w:val="00576491"/>
    <w:rsid w:val="0057662D"/>
    <w:rsid w:val="00576644"/>
    <w:rsid w:val="0057687A"/>
    <w:rsid w:val="00577939"/>
    <w:rsid w:val="00580599"/>
    <w:rsid w:val="00580B95"/>
    <w:rsid w:val="005830C8"/>
    <w:rsid w:val="005876C1"/>
    <w:rsid w:val="005903A4"/>
    <w:rsid w:val="005907CC"/>
    <w:rsid w:val="005915D9"/>
    <w:rsid w:val="0059262C"/>
    <w:rsid w:val="00593B65"/>
    <w:rsid w:val="00595D8D"/>
    <w:rsid w:val="0059689B"/>
    <w:rsid w:val="00596967"/>
    <w:rsid w:val="00597FB5"/>
    <w:rsid w:val="005A087B"/>
    <w:rsid w:val="005A3311"/>
    <w:rsid w:val="005A4934"/>
    <w:rsid w:val="005A5A38"/>
    <w:rsid w:val="005A5E67"/>
    <w:rsid w:val="005A5F77"/>
    <w:rsid w:val="005A6D6F"/>
    <w:rsid w:val="005A7DA7"/>
    <w:rsid w:val="005B18C6"/>
    <w:rsid w:val="005B1D86"/>
    <w:rsid w:val="005B2F20"/>
    <w:rsid w:val="005B32C0"/>
    <w:rsid w:val="005B3358"/>
    <w:rsid w:val="005B41A6"/>
    <w:rsid w:val="005B4D22"/>
    <w:rsid w:val="005B4FFF"/>
    <w:rsid w:val="005C145A"/>
    <w:rsid w:val="005C152C"/>
    <w:rsid w:val="005C320B"/>
    <w:rsid w:val="005C3EC7"/>
    <w:rsid w:val="005C40A7"/>
    <w:rsid w:val="005C49C5"/>
    <w:rsid w:val="005C4A7F"/>
    <w:rsid w:val="005C6142"/>
    <w:rsid w:val="005C658E"/>
    <w:rsid w:val="005C7B0D"/>
    <w:rsid w:val="005D06E4"/>
    <w:rsid w:val="005D1927"/>
    <w:rsid w:val="005D217F"/>
    <w:rsid w:val="005D21F8"/>
    <w:rsid w:val="005D23A4"/>
    <w:rsid w:val="005D456D"/>
    <w:rsid w:val="005D4AF5"/>
    <w:rsid w:val="005D5799"/>
    <w:rsid w:val="005D5BE2"/>
    <w:rsid w:val="005D710B"/>
    <w:rsid w:val="005E189C"/>
    <w:rsid w:val="005E21B3"/>
    <w:rsid w:val="005E2FDE"/>
    <w:rsid w:val="005E316F"/>
    <w:rsid w:val="005E378F"/>
    <w:rsid w:val="005E49E0"/>
    <w:rsid w:val="005E6F9F"/>
    <w:rsid w:val="005E783E"/>
    <w:rsid w:val="005F0CDE"/>
    <w:rsid w:val="005F39EC"/>
    <w:rsid w:val="005F462E"/>
    <w:rsid w:val="005F4CD0"/>
    <w:rsid w:val="005F5145"/>
    <w:rsid w:val="005F5284"/>
    <w:rsid w:val="005F52E5"/>
    <w:rsid w:val="005F5C1F"/>
    <w:rsid w:val="005F7313"/>
    <w:rsid w:val="005F7816"/>
    <w:rsid w:val="0060035A"/>
    <w:rsid w:val="00600DC4"/>
    <w:rsid w:val="00603286"/>
    <w:rsid w:val="006034A6"/>
    <w:rsid w:val="00603830"/>
    <w:rsid w:val="00604FAA"/>
    <w:rsid w:val="006058BE"/>
    <w:rsid w:val="00612158"/>
    <w:rsid w:val="006121EF"/>
    <w:rsid w:val="00612380"/>
    <w:rsid w:val="006127DD"/>
    <w:rsid w:val="00613056"/>
    <w:rsid w:val="0061325A"/>
    <w:rsid w:val="00615A77"/>
    <w:rsid w:val="00615C0E"/>
    <w:rsid w:val="006202C7"/>
    <w:rsid w:val="006206A5"/>
    <w:rsid w:val="00620EAB"/>
    <w:rsid w:val="006227CB"/>
    <w:rsid w:val="00623FC8"/>
    <w:rsid w:val="0062411F"/>
    <w:rsid w:val="00624B61"/>
    <w:rsid w:val="00625507"/>
    <w:rsid w:val="00626116"/>
    <w:rsid w:val="0062634F"/>
    <w:rsid w:val="00626D5D"/>
    <w:rsid w:val="006305B2"/>
    <w:rsid w:val="00632192"/>
    <w:rsid w:val="00632344"/>
    <w:rsid w:val="00632F76"/>
    <w:rsid w:val="0063331E"/>
    <w:rsid w:val="00633EBA"/>
    <w:rsid w:val="00634929"/>
    <w:rsid w:val="006430FE"/>
    <w:rsid w:val="006434AB"/>
    <w:rsid w:val="00644CB4"/>
    <w:rsid w:val="00645380"/>
    <w:rsid w:val="00646063"/>
    <w:rsid w:val="0065171C"/>
    <w:rsid w:val="006517D3"/>
    <w:rsid w:val="00651A4B"/>
    <w:rsid w:val="0065297E"/>
    <w:rsid w:val="00652BBC"/>
    <w:rsid w:val="006535F6"/>
    <w:rsid w:val="006545A3"/>
    <w:rsid w:val="006548F9"/>
    <w:rsid w:val="00655B3B"/>
    <w:rsid w:val="00657378"/>
    <w:rsid w:val="006631F3"/>
    <w:rsid w:val="0066401C"/>
    <w:rsid w:val="00664598"/>
    <w:rsid w:val="00664709"/>
    <w:rsid w:val="00664F35"/>
    <w:rsid w:val="00665863"/>
    <w:rsid w:val="00667235"/>
    <w:rsid w:val="00670952"/>
    <w:rsid w:val="00672FA2"/>
    <w:rsid w:val="0067347A"/>
    <w:rsid w:val="00675743"/>
    <w:rsid w:val="006757DF"/>
    <w:rsid w:val="00676539"/>
    <w:rsid w:val="006775CF"/>
    <w:rsid w:val="0068036C"/>
    <w:rsid w:val="0068177E"/>
    <w:rsid w:val="006824FB"/>
    <w:rsid w:val="0068300F"/>
    <w:rsid w:val="0068410D"/>
    <w:rsid w:val="00684FFA"/>
    <w:rsid w:val="0068544F"/>
    <w:rsid w:val="0068675D"/>
    <w:rsid w:val="0068717F"/>
    <w:rsid w:val="006877CE"/>
    <w:rsid w:val="006901C4"/>
    <w:rsid w:val="00690590"/>
    <w:rsid w:val="006914D5"/>
    <w:rsid w:val="00691BBD"/>
    <w:rsid w:val="00691EE3"/>
    <w:rsid w:val="006939E3"/>
    <w:rsid w:val="00694498"/>
    <w:rsid w:val="00695333"/>
    <w:rsid w:val="0069596E"/>
    <w:rsid w:val="0069605D"/>
    <w:rsid w:val="00696526"/>
    <w:rsid w:val="006A05E4"/>
    <w:rsid w:val="006A16A9"/>
    <w:rsid w:val="006A252E"/>
    <w:rsid w:val="006A27D3"/>
    <w:rsid w:val="006A38A8"/>
    <w:rsid w:val="006A3EC9"/>
    <w:rsid w:val="006A422E"/>
    <w:rsid w:val="006A48A4"/>
    <w:rsid w:val="006A5351"/>
    <w:rsid w:val="006B2E24"/>
    <w:rsid w:val="006B3497"/>
    <w:rsid w:val="006B3866"/>
    <w:rsid w:val="006B3939"/>
    <w:rsid w:val="006B3EAA"/>
    <w:rsid w:val="006B4B29"/>
    <w:rsid w:val="006B52FD"/>
    <w:rsid w:val="006B5DB3"/>
    <w:rsid w:val="006B6C46"/>
    <w:rsid w:val="006B6D75"/>
    <w:rsid w:val="006B75AB"/>
    <w:rsid w:val="006C16F0"/>
    <w:rsid w:val="006C17F5"/>
    <w:rsid w:val="006C21CD"/>
    <w:rsid w:val="006C2CB0"/>
    <w:rsid w:val="006D0279"/>
    <w:rsid w:val="006D1581"/>
    <w:rsid w:val="006D239F"/>
    <w:rsid w:val="006D2640"/>
    <w:rsid w:val="006D29B4"/>
    <w:rsid w:val="006D33BA"/>
    <w:rsid w:val="006D39F1"/>
    <w:rsid w:val="006D3EC7"/>
    <w:rsid w:val="006D4356"/>
    <w:rsid w:val="006D6586"/>
    <w:rsid w:val="006D68C1"/>
    <w:rsid w:val="006D68F1"/>
    <w:rsid w:val="006D77E8"/>
    <w:rsid w:val="006E002D"/>
    <w:rsid w:val="006E0AC5"/>
    <w:rsid w:val="006E0B0C"/>
    <w:rsid w:val="006E17E4"/>
    <w:rsid w:val="006E3261"/>
    <w:rsid w:val="006E4B74"/>
    <w:rsid w:val="006E5725"/>
    <w:rsid w:val="006E5FE7"/>
    <w:rsid w:val="006E7449"/>
    <w:rsid w:val="006E7858"/>
    <w:rsid w:val="006E7EBA"/>
    <w:rsid w:val="006F046F"/>
    <w:rsid w:val="006F4F29"/>
    <w:rsid w:val="006F5F05"/>
    <w:rsid w:val="007028B6"/>
    <w:rsid w:val="00703CC9"/>
    <w:rsid w:val="00704881"/>
    <w:rsid w:val="00704E33"/>
    <w:rsid w:val="00705D4B"/>
    <w:rsid w:val="0071283C"/>
    <w:rsid w:val="0071388E"/>
    <w:rsid w:val="00716927"/>
    <w:rsid w:val="00720957"/>
    <w:rsid w:val="0072229B"/>
    <w:rsid w:val="00722E84"/>
    <w:rsid w:val="00723621"/>
    <w:rsid w:val="00724B58"/>
    <w:rsid w:val="007252C5"/>
    <w:rsid w:val="00726B6D"/>
    <w:rsid w:val="007272AE"/>
    <w:rsid w:val="00727DC6"/>
    <w:rsid w:val="007309F0"/>
    <w:rsid w:val="00730BE7"/>
    <w:rsid w:val="00733F67"/>
    <w:rsid w:val="00734364"/>
    <w:rsid w:val="00735084"/>
    <w:rsid w:val="007353ED"/>
    <w:rsid w:val="00735B4C"/>
    <w:rsid w:val="007363C9"/>
    <w:rsid w:val="0073687D"/>
    <w:rsid w:val="00737A1D"/>
    <w:rsid w:val="007405F2"/>
    <w:rsid w:val="00740B2B"/>
    <w:rsid w:val="007412D1"/>
    <w:rsid w:val="00744A36"/>
    <w:rsid w:val="00745CF4"/>
    <w:rsid w:val="00746369"/>
    <w:rsid w:val="007501D7"/>
    <w:rsid w:val="00750382"/>
    <w:rsid w:val="007506AE"/>
    <w:rsid w:val="00750932"/>
    <w:rsid w:val="007509E5"/>
    <w:rsid w:val="00751DA0"/>
    <w:rsid w:val="007522A4"/>
    <w:rsid w:val="00753B27"/>
    <w:rsid w:val="0075427D"/>
    <w:rsid w:val="00754506"/>
    <w:rsid w:val="00756454"/>
    <w:rsid w:val="00761DDD"/>
    <w:rsid w:val="0076239F"/>
    <w:rsid w:val="00763ED1"/>
    <w:rsid w:val="0076431D"/>
    <w:rsid w:val="007660B6"/>
    <w:rsid w:val="007664C4"/>
    <w:rsid w:val="007673E7"/>
    <w:rsid w:val="00772893"/>
    <w:rsid w:val="00772C69"/>
    <w:rsid w:val="00773436"/>
    <w:rsid w:val="00774FC1"/>
    <w:rsid w:val="007753F4"/>
    <w:rsid w:val="007754C4"/>
    <w:rsid w:val="00775B5F"/>
    <w:rsid w:val="00775B7C"/>
    <w:rsid w:val="007760E2"/>
    <w:rsid w:val="00776919"/>
    <w:rsid w:val="00776A99"/>
    <w:rsid w:val="00776D64"/>
    <w:rsid w:val="00777AC1"/>
    <w:rsid w:val="00777DAC"/>
    <w:rsid w:val="007805CB"/>
    <w:rsid w:val="00781872"/>
    <w:rsid w:val="00781F4B"/>
    <w:rsid w:val="00783D4D"/>
    <w:rsid w:val="00784573"/>
    <w:rsid w:val="00784BB4"/>
    <w:rsid w:val="00787C39"/>
    <w:rsid w:val="0079170F"/>
    <w:rsid w:val="00793740"/>
    <w:rsid w:val="007941C6"/>
    <w:rsid w:val="00795CA0"/>
    <w:rsid w:val="00795E43"/>
    <w:rsid w:val="00795EB4"/>
    <w:rsid w:val="007960F8"/>
    <w:rsid w:val="0079690D"/>
    <w:rsid w:val="007A052D"/>
    <w:rsid w:val="007A18CE"/>
    <w:rsid w:val="007A2193"/>
    <w:rsid w:val="007A29DF"/>
    <w:rsid w:val="007A319E"/>
    <w:rsid w:val="007A369F"/>
    <w:rsid w:val="007A36AF"/>
    <w:rsid w:val="007A3B51"/>
    <w:rsid w:val="007A413D"/>
    <w:rsid w:val="007A4257"/>
    <w:rsid w:val="007A473B"/>
    <w:rsid w:val="007A4B54"/>
    <w:rsid w:val="007A5EFD"/>
    <w:rsid w:val="007A7A77"/>
    <w:rsid w:val="007A7A97"/>
    <w:rsid w:val="007B00DC"/>
    <w:rsid w:val="007B1079"/>
    <w:rsid w:val="007B2859"/>
    <w:rsid w:val="007B3611"/>
    <w:rsid w:val="007B4F04"/>
    <w:rsid w:val="007B7AD6"/>
    <w:rsid w:val="007C17DD"/>
    <w:rsid w:val="007C2E01"/>
    <w:rsid w:val="007C3101"/>
    <w:rsid w:val="007C3657"/>
    <w:rsid w:val="007C3C77"/>
    <w:rsid w:val="007C4ADB"/>
    <w:rsid w:val="007C5401"/>
    <w:rsid w:val="007C6C64"/>
    <w:rsid w:val="007D0D01"/>
    <w:rsid w:val="007D0E30"/>
    <w:rsid w:val="007D10FA"/>
    <w:rsid w:val="007D7006"/>
    <w:rsid w:val="007E26FF"/>
    <w:rsid w:val="007E363C"/>
    <w:rsid w:val="007E49CF"/>
    <w:rsid w:val="007E6192"/>
    <w:rsid w:val="007E66FB"/>
    <w:rsid w:val="007F0867"/>
    <w:rsid w:val="007F0A88"/>
    <w:rsid w:val="007F1234"/>
    <w:rsid w:val="007F1827"/>
    <w:rsid w:val="007F3221"/>
    <w:rsid w:val="007F3BB6"/>
    <w:rsid w:val="007F4668"/>
    <w:rsid w:val="007F553F"/>
    <w:rsid w:val="007F6FFB"/>
    <w:rsid w:val="007F7AEC"/>
    <w:rsid w:val="00800453"/>
    <w:rsid w:val="008005E9"/>
    <w:rsid w:val="00801370"/>
    <w:rsid w:val="00801779"/>
    <w:rsid w:val="00802681"/>
    <w:rsid w:val="00806B0E"/>
    <w:rsid w:val="00810511"/>
    <w:rsid w:val="008109CF"/>
    <w:rsid w:val="00811FE3"/>
    <w:rsid w:val="00812690"/>
    <w:rsid w:val="00813A6F"/>
    <w:rsid w:val="00814BCC"/>
    <w:rsid w:val="00814F65"/>
    <w:rsid w:val="0081559B"/>
    <w:rsid w:val="00815609"/>
    <w:rsid w:val="00816126"/>
    <w:rsid w:val="008171F0"/>
    <w:rsid w:val="008171F6"/>
    <w:rsid w:val="00820684"/>
    <w:rsid w:val="00820CE7"/>
    <w:rsid w:val="00821556"/>
    <w:rsid w:val="008217EC"/>
    <w:rsid w:val="00821C66"/>
    <w:rsid w:val="00822AC1"/>
    <w:rsid w:val="00827259"/>
    <w:rsid w:val="00827CB4"/>
    <w:rsid w:val="008307CF"/>
    <w:rsid w:val="00836876"/>
    <w:rsid w:val="00836D6A"/>
    <w:rsid w:val="008371C5"/>
    <w:rsid w:val="008402D2"/>
    <w:rsid w:val="0084140D"/>
    <w:rsid w:val="0084202E"/>
    <w:rsid w:val="00843A46"/>
    <w:rsid w:val="00843E32"/>
    <w:rsid w:val="00843FEC"/>
    <w:rsid w:val="008440AE"/>
    <w:rsid w:val="00845AAA"/>
    <w:rsid w:val="00847573"/>
    <w:rsid w:val="00847BE1"/>
    <w:rsid w:val="00851307"/>
    <w:rsid w:val="008514B7"/>
    <w:rsid w:val="00851E22"/>
    <w:rsid w:val="00853E57"/>
    <w:rsid w:val="00853E9D"/>
    <w:rsid w:val="00854059"/>
    <w:rsid w:val="00854638"/>
    <w:rsid w:val="00855DE7"/>
    <w:rsid w:val="00856B81"/>
    <w:rsid w:val="00857C09"/>
    <w:rsid w:val="00857C95"/>
    <w:rsid w:val="00857D60"/>
    <w:rsid w:val="00860349"/>
    <w:rsid w:val="008609AA"/>
    <w:rsid w:val="00862301"/>
    <w:rsid w:val="00863AB7"/>
    <w:rsid w:val="00864607"/>
    <w:rsid w:val="00864B14"/>
    <w:rsid w:val="00865296"/>
    <w:rsid w:val="008669AA"/>
    <w:rsid w:val="00870290"/>
    <w:rsid w:val="00871BD9"/>
    <w:rsid w:val="00871FEE"/>
    <w:rsid w:val="008733BE"/>
    <w:rsid w:val="00874070"/>
    <w:rsid w:val="008744A6"/>
    <w:rsid w:val="008749AC"/>
    <w:rsid w:val="008753A1"/>
    <w:rsid w:val="00880156"/>
    <w:rsid w:val="008812A0"/>
    <w:rsid w:val="00881C93"/>
    <w:rsid w:val="00883932"/>
    <w:rsid w:val="0088393A"/>
    <w:rsid w:val="008843C0"/>
    <w:rsid w:val="008925B4"/>
    <w:rsid w:val="0089293D"/>
    <w:rsid w:val="00892CF5"/>
    <w:rsid w:val="00893460"/>
    <w:rsid w:val="00894B54"/>
    <w:rsid w:val="00894C28"/>
    <w:rsid w:val="008972F2"/>
    <w:rsid w:val="008A26BF"/>
    <w:rsid w:val="008A2B3B"/>
    <w:rsid w:val="008A2CD4"/>
    <w:rsid w:val="008A31A0"/>
    <w:rsid w:val="008A39DE"/>
    <w:rsid w:val="008A3E1E"/>
    <w:rsid w:val="008A41F2"/>
    <w:rsid w:val="008A4AF2"/>
    <w:rsid w:val="008A5376"/>
    <w:rsid w:val="008A6030"/>
    <w:rsid w:val="008A621E"/>
    <w:rsid w:val="008A660F"/>
    <w:rsid w:val="008A668E"/>
    <w:rsid w:val="008B05FC"/>
    <w:rsid w:val="008B0B77"/>
    <w:rsid w:val="008B1855"/>
    <w:rsid w:val="008B19BB"/>
    <w:rsid w:val="008B2C73"/>
    <w:rsid w:val="008B31DB"/>
    <w:rsid w:val="008B5F07"/>
    <w:rsid w:val="008B5FEC"/>
    <w:rsid w:val="008B62D5"/>
    <w:rsid w:val="008B7457"/>
    <w:rsid w:val="008B7C74"/>
    <w:rsid w:val="008C0799"/>
    <w:rsid w:val="008C0C6C"/>
    <w:rsid w:val="008C12D3"/>
    <w:rsid w:val="008C3FE1"/>
    <w:rsid w:val="008C4757"/>
    <w:rsid w:val="008C5330"/>
    <w:rsid w:val="008C7C56"/>
    <w:rsid w:val="008C7EE6"/>
    <w:rsid w:val="008D066F"/>
    <w:rsid w:val="008D06C3"/>
    <w:rsid w:val="008D1566"/>
    <w:rsid w:val="008D1808"/>
    <w:rsid w:val="008D1A39"/>
    <w:rsid w:val="008D3769"/>
    <w:rsid w:val="008D4447"/>
    <w:rsid w:val="008D536E"/>
    <w:rsid w:val="008D6229"/>
    <w:rsid w:val="008D6327"/>
    <w:rsid w:val="008D7A1D"/>
    <w:rsid w:val="008E035C"/>
    <w:rsid w:val="008E174B"/>
    <w:rsid w:val="008E5C92"/>
    <w:rsid w:val="008E6D5A"/>
    <w:rsid w:val="008F1723"/>
    <w:rsid w:val="008F1A9B"/>
    <w:rsid w:val="008F2260"/>
    <w:rsid w:val="008F34F6"/>
    <w:rsid w:val="008F3807"/>
    <w:rsid w:val="008F45A8"/>
    <w:rsid w:val="008F4C11"/>
    <w:rsid w:val="008F5179"/>
    <w:rsid w:val="008F5208"/>
    <w:rsid w:val="008F5DF7"/>
    <w:rsid w:val="00904580"/>
    <w:rsid w:val="0090475B"/>
    <w:rsid w:val="009053A3"/>
    <w:rsid w:val="0091129A"/>
    <w:rsid w:val="00911704"/>
    <w:rsid w:val="00911FBE"/>
    <w:rsid w:val="00914141"/>
    <w:rsid w:val="00914FC8"/>
    <w:rsid w:val="00915577"/>
    <w:rsid w:val="00915D14"/>
    <w:rsid w:val="00916CBF"/>
    <w:rsid w:val="00916DED"/>
    <w:rsid w:val="009174C6"/>
    <w:rsid w:val="0092103B"/>
    <w:rsid w:val="00921055"/>
    <w:rsid w:val="009213C3"/>
    <w:rsid w:val="00921662"/>
    <w:rsid w:val="00924771"/>
    <w:rsid w:val="009258C5"/>
    <w:rsid w:val="0092598D"/>
    <w:rsid w:val="00925CAF"/>
    <w:rsid w:val="00926CDF"/>
    <w:rsid w:val="00927483"/>
    <w:rsid w:val="00930E00"/>
    <w:rsid w:val="0093126F"/>
    <w:rsid w:val="009319AF"/>
    <w:rsid w:val="0093227C"/>
    <w:rsid w:val="009345A4"/>
    <w:rsid w:val="00935518"/>
    <w:rsid w:val="009360F6"/>
    <w:rsid w:val="0094064E"/>
    <w:rsid w:val="0094169E"/>
    <w:rsid w:val="00941920"/>
    <w:rsid w:val="00943624"/>
    <w:rsid w:val="00944A70"/>
    <w:rsid w:val="00946C95"/>
    <w:rsid w:val="00946E51"/>
    <w:rsid w:val="00946E9F"/>
    <w:rsid w:val="0094755C"/>
    <w:rsid w:val="00947D71"/>
    <w:rsid w:val="00950A6E"/>
    <w:rsid w:val="00950FC5"/>
    <w:rsid w:val="00951597"/>
    <w:rsid w:val="00951A60"/>
    <w:rsid w:val="00951CCC"/>
    <w:rsid w:val="00952AEC"/>
    <w:rsid w:val="009539F8"/>
    <w:rsid w:val="00954E23"/>
    <w:rsid w:val="009557FF"/>
    <w:rsid w:val="0095580A"/>
    <w:rsid w:val="0095624B"/>
    <w:rsid w:val="00956830"/>
    <w:rsid w:val="00960C96"/>
    <w:rsid w:val="00960D70"/>
    <w:rsid w:val="009621D3"/>
    <w:rsid w:val="00963FE1"/>
    <w:rsid w:val="00964425"/>
    <w:rsid w:val="00965ED9"/>
    <w:rsid w:val="00966BC7"/>
    <w:rsid w:val="009670E4"/>
    <w:rsid w:val="00967525"/>
    <w:rsid w:val="009678A9"/>
    <w:rsid w:val="00970AF1"/>
    <w:rsid w:val="00970CFE"/>
    <w:rsid w:val="0097417F"/>
    <w:rsid w:val="00974345"/>
    <w:rsid w:val="0097435B"/>
    <w:rsid w:val="00975AFE"/>
    <w:rsid w:val="00977981"/>
    <w:rsid w:val="009807B1"/>
    <w:rsid w:val="0098139B"/>
    <w:rsid w:val="0098194A"/>
    <w:rsid w:val="00981A92"/>
    <w:rsid w:val="0098262E"/>
    <w:rsid w:val="00984660"/>
    <w:rsid w:val="00985505"/>
    <w:rsid w:val="0099059C"/>
    <w:rsid w:val="00992142"/>
    <w:rsid w:val="00992A09"/>
    <w:rsid w:val="00993753"/>
    <w:rsid w:val="009947B8"/>
    <w:rsid w:val="009956B5"/>
    <w:rsid w:val="0099591B"/>
    <w:rsid w:val="00995B4F"/>
    <w:rsid w:val="00995E36"/>
    <w:rsid w:val="00995FA0"/>
    <w:rsid w:val="00997FC9"/>
    <w:rsid w:val="009A097F"/>
    <w:rsid w:val="009A0A0F"/>
    <w:rsid w:val="009A0DAD"/>
    <w:rsid w:val="009A552B"/>
    <w:rsid w:val="009A716D"/>
    <w:rsid w:val="009A7756"/>
    <w:rsid w:val="009A7DDC"/>
    <w:rsid w:val="009B00D9"/>
    <w:rsid w:val="009B16D6"/>
    <w:rsid w:val="009B278B"/>
    <w:rsid w:val="009B627F"/>
    <w:rsid w:val="009B682B"/>
    <w:rsid w:val="009C1422"/>
    <w:rsid w:val="009C159C"/>
    <w:rsid w:val="009C26CA"/>
    <w:rsid w:val="009C3845"/>
    <w:rsid w:val="009C4970"/>
    <w:rsid w:val="009C60B4"/>
    <w:rsid w:val="009C61C2"/>
    <w:rsid w:val="009D08C0"/>
    <w:rsid w:val="009D323E"/>
    <w:rsid w:val="009D5DF9"/>
    <w:rsid w:val="009D7427"/>
    <w:rsid w:val="009D7B3E"/>
    <w:rsid w:val="009E04DC"/>
    <w:rsid w:val="009E13BF"/>
    <w:rsid w:val="009E1DBD"/>
    <w:rsid w:val="009E2AC1"/>
    <w:rsid w:val="009E3450"/>
    <w:rsid w:val="009E43BA"/>
    <w:rsid w:val="009E5CE9"/>
    <w:rsid w:val="009E605A"/>
    <w:rsid w:val="009E6282"/>
    <w:rsid w:val="009E69D4"/>
    <w:rsid w:val="009F0239"/>
    <w:rsid w:val="009F1189"/>
    <w:rsid w:val="009F2370"/>
    <w:rsid w:val="009F300D"/>
    <w:rsid w:val="009F5E9A"/>
    <w:rsid w:val="009F5EB7"/>
    <w:rsid w:val="009F5F05"/>
    <w:rsid w:val="009F6875"/>
    <w:rsid w:val="00A00C5D"/>
    <w:rsid w:val="00A010AA"/>
    <w:rsid w:val="00A023DA"/>
    <w:rsid w:val="00A03051"/>
    <w:rsid w:val="00A0395C"/>
    <w:rsid w:val="00A03B69"/>
    <w:rsid w:val="00A04012"/>
    <w:rsid w:val="00A04722"/>
    <w:rsid w:val="00A05081"/>
    <w:rsid w:val="00A063A6"/>
    <w:rsid w:val="00A07634"/>
    <w:rsid w:val="00A07A2F"/>
    <w:rsid w:val="00A07BBE"/>
    <w:rsid w:val="00A104EA"/>
    <w:rsid w:val="00A10FD7"/>
    <w:rsid w:val="00A136D9"/>
    <w:rsid w:val="00A144CE"/>
    <w:rsid w:val="00A14ACB"/>
    <w:rsid w:val="00A14B8E"/>
    <w:rsid w:val="00A15582"/>
    <w:rsid w:val="00A17B0F"/>
    <w:rsid w:val="00A21792"/>
    <w:rsid w:val="00A21AE7"/>
    <w:rsid w:val="00A21F2A"/>
    <w:rsid w:val="00A2200E"/>
    <w:rsid w:val="00A23474"/>
    <w:rsid w:val="00A23BA7"/>
    <w:rsid w:val="00A23CB6"/>
    <w:rsid w:val="00A23FDA"/>
    <w:rsid w:val="00A241CC"/>
    <w:rsid w:val="00A244F4"/>
    <w:rsid w:val="00A250F1"/>
    <w:rsid w:val="00A26157"/>
    <w:rsid w:val="00A26EA4"/>
    <w:rsid w:val="00A27D85"/>
    <w:rsid w:val="00A30930"/>
    <w:rsid w:val="00A31C30"/>
    <w:rsid w:val="00A31E34"/>
    <w:rsid w:val="00A32D18"/>
    <w:rsid w:val="00A34016"/>
    <w:rsid w:val="00A34421"/>
    <w:rsid w:val="00A34B53"/>
    <w:rsid w:val="00A363E3"/>
    <w:rsid w:val="00A36E4F"/>
    <w:rsid w:val="00A3754A"/>
    <w:rsid w:val="00A37B16"/>
    <w:rsid w:val="00A37E6D"/>
    <w:rsid w:val="00A40B34"/>
    <w:rsid w:val="00A41342"/>
    <w:rsid w:val="00A43260"/>
    <w:rsid w:val="00A4414C"/>
    <w:rsid w:val="00A45AC4"/>
    <w:rsid w:val="00A468A1"/>
    <w:rsid w:val="00A51760"/>
    <w:rsid w:val="00A55258"/>
    <w:rsid w:val="00A5541C"/>
    <w:rsid w:val="00A55D9F"/>
    <w:rsid w:val="00A56865"/>
    <w:rsid w:val="00A57060"/>
    <w:rsid w:val="00A60459"/>
    <w:rsid w:val="00A60729"/>
    <w:rsid w:val="00A61246"/>
    <w:rsid w:val="00A64903"/>
    <w:rsid w:val="00A656B3"/>
    <w:rsid w:val="00A676BF"/>
    <w:rsid w:val="00A67E0F"/>
    <w:rsid w:val="00A67E71"/>
    <w:rsid w:val="00A704E9"/>
    <w:rsid w:val="00A71DB3"/>
    <w:rsid w:val="00A71DC8"/>
    <w:rsid w:val="00A72CB9"/>
    <w:rsid w:val="00A74951"/>
    <w:rsid w:val="00A751DA"/>
    <w:rsid w:val="00A757D9"/>
    <w:rsid w:val="00A75C49"/>
    <w:rsid w:val="00A8112E"/>
    <w:rsid w:val="00A840AB"/>
    <w:rsid w:val="00A84198"/>
    <w:rsid w:val="00A84801"/>
    <w:rsid w:val="00A85BC6"/>
    <w:rsid w:val="00A86608"/>
    <w:rsid w:val="00A903DD"/>
    <w:rsid w:val="00A91D0B"/>
    <w:rsid w:val="00A94972"/>
    <w:rsid w:val="00A9532E"/>
    <w:rsid w:val="00AA0D27"/>
    <w:rsid w:val="00AA32B5"/>
    <w:rsid w:val="00AA3457"/>
    <w:rsid w:val="00AA3AE5"/>
    <w:rsid w:val="00AA4CCC"/>
    <w:rsid w:val="00AA5B35"/>
    <w:rsid w:val="00AA6B67"/>
    <w:rsid w:val="00AA71D7"/>
    <w:rsid w:val="00AA7C48"/>
    <w:rsid w:val="00AB17BB"/>
    <w:rsid w:val="00AB2160"/>
    <w:rsid w:val="00AB220D"/>
    <w:rsid w:val="00AB4DC1"/>
    <w:rsid w:val="00AB5D84"/>
    <w:rsid w:val="00AB6C78"/>
    <w:rsid w:val="00AB7990"/>
    <w:rsid w:val="00AC0CE6"/>
    <w:rsid w:val="00AC0FFA"/>
    <w:rsid w:val="00AC1466"/>
    <w:rsid w:val="00AC2551"/>
    <w:rsid w:val="00AC578C"/>
    <w:rsid w:val="00AC79C6"/>
    <w:rsid w:val="00AD0018"/>
    <w:rsid w:val="00AD18E7"/>
    <w:rsid w:val="00AD32FA"/>
    <w:rsid w:val="00AD3BC3"/>
    <w:rsid w:val="00AD3DBD"/>
    <w:rsid w:val="00AD455C"/>
    <w:rsid w:val="00AD49D4"/>
    <w:rsid w:val="00AD5F72"/>
    <w:rsid w:val="00AD62E9"/>
    <w:rsid w:val="00AD6868"/>
    <w:rsid w:val="00AE04E9"/>
    <w:rsid w:val="00AE1838"/>
    <w:rsid w:val="00AE1EA0"/>
    <w:rsid w:val="00AE3EAD"/>
    <w:rsid w:val="00AE43A2"/>
    <w:rsid w:val="00AE567B"/>
    <w:rsid w:val="00AF454C"/>
    <w:rsid w:val="00AF4D09"/>
    <w:rsid w:val="00AF5B98"/>
    <w:rsid w:val="00AF7F13"/>
    <w:rsid w:val="00B00FB4"/>
    <w:rsid w:val="00B035F3"/>
    <w:rsid w:val="00B03B46"/>
    <w:rsid w:val="00B03D9B"/>
    <w:rsid w:val="00B04EAD"/>
    <w:rsid w:val="00B0518A"/>
    <w:rsid w:val="00B05D89"/>
    <w:rsid w:val="00B0673F"/>
    <w:rsid w:val="00B069AB"/>
    <w:rsid w:val="00B06EEA"/>
    <w:rsid w:val="00B07C04"/>
    <w:rsid w:val="00B1004C"/>
    <w:rsid w:val="00B1015D"/>
    <w:rsid w:val="00B1090E"/>
    <w:rsid w:val="00B15AA3"/>
    <w:rsid w:val="00B16A1B"/>
    <w:rsid w:val="00B17360"/>
    <w:rsid w:val="00B1797E"/>
    <w:rsid w:val="00B22A70"/>
    <w:rsid w:val="00B23EC7"/>
    <w:rsid w:val="00B23FF6"/>
    <w:rsid w:val="00B242E9"/>
    <w:rsid w:val="00B24606"/>
    <w:rsid w:val="00B24A5C"/>
    <w:rsid w:val="00B24A73"/>
    <w:rsid w:val="00B24B19"/>
    <w:rsid w:val="00B2560D"/>
    <w:rsid w:val="00B25A01"/>
    <w:rsid w:val="00B25F8E"/>
    <w:rsid w:val="00B260EB"/>
    <w:rsid w:val="00B2625B"/>
    <w:rsid w:val="00B27340"/>
    <w:rsid w:val="00B276BC"/>
    <w:rsid w:val="00B31A96"/>
    <w:rsid w:val="00B31F40"/>
    <w:rsid w:val="00B32588"/>
    <w:rsid w:val="00B3296A"/>
    <w:rsid w:val="00B362B0"/>
    <w:rsid w:val="00B36756"/>
    <w:rsid w:val="00B36BD8"/>
    <w:rsid w:val="00B36BDE"/>
    <w:rsid w:val="00B37211"/>
    <w:rsid w:val="00B407C6"/>
    <w:rsid w:val="00B415AF"/>
    <w:rsid w:val="00B428CA"/>
    <w:rsid w:val="00B42E92"/>
    <w:rsid w:val="00B455B7"/>
    <w:rsid w:val="00B45992"/>
    <w:rsid w:val="00B46577"/>
    <w:rsid w:val="00B469F4"/>
    <w:rsid w:val="00B46F76"/>
    <w:rsid w:val="00B50769"/>
    <w:rsid w:val="00B514DD"/>
    <w:rsid w:val="00B5210A"/>
    <w:rsid w:val="00B52900"/>
    <w:rsid w:val="00B544B3"/>
    <w:rsid w:val="00B56FB8"/>
    <w:rsid w:val="00B60571"/>
    <w:rsid w:val="00B6113B"/>
    <w:rsid w:val="00B61EEF"/>
    <w:rsid w:val="00B633F8"/>
    <w:rsid w:val="00B63695"/>
    <w:rsid w:val="00B64747"/>
    <w:rsid w:val="00B64C5F"/>
    <w:rsid w:val="00B65F2B"/>
    <w:rsid w:val="00B67E6B"/>
    <w:rsid w:val="00B71EAA"/>
    <w:rsid w:val="00B72C13"/>
    <w:rsid w:val="00B74013"/>
    <w:rsid w:val="00B75C3C"/>
    <w:rsid w:val="00B766F6"/>
    <w:rsid w:val="00B76E80"/>
    <w:rsid w:val="00B80539"/>
    <w:rsid w:val="00B81204"/>
    <w:rsid w:val="00B81DB0"/>
    <w:rsid w:val="00B83341"/>
    <w:rsid w:val="00B8351B"/>
    <w:rsid w:val="00B83CF8"/>
    <w:rsid w:val="00B92D7C"/>
    <w:rsid w:val="00B9350C"/>
    <w:rsid w:val="00B93846"/>
    <w:rsid w:val="00B93930"/>
    <w:rsid w:val="00B94ACF"/>
    <w:rsid w:val="00B94EEA"/>
    <w:rsid w:val="00B961DA"/>
    <w:rsid w:val="00B96B89"/>
    <w:rsid w:val="00B976D9"/>
    <w:rsid w:val="00B97A55"/>
    <w:rsid w:val="00BA047E"/>
    <w:rsid w:val="00BA0A0C"/>
    <w:rsid w:val="00BA0F84"/>
    <w:rsid w:val="00BA111C"/>
    <w:rsid w:val="00BA1B76"/>
    <w:rsid w:val="00BA1CA6"/>
    <w:rsid w:val="00BA2771"/>
    <w:rsid w:val="00BA2CD6"/>
    <w:rsid w:val="00BA46FE"/>
    <w:rsid w:val="00BA4AC6"/>
    <w:rsid w:val="00BA4F78"/>
    <w:rsid w:val="00BA6780"/>
    <w:rsid w:val="00BB0C33"/>
    <w:rsid w:val="00BB187A"/>
    <w:rsid w:val="00BB235D"/>
    <w:rsid w:val="00BB3A96"/>
    <w:rsid w:val="00BB3EAE"/>
    <w:rsid w:val="00BB3F1C"/>
    <w:rsid w:val="00BB5380"/>
    <w:rsid w:val="00BB7FB7"/>
    <w:rsid w:val="00BC1BDF"/>
    <w:rsid w:val="00BC2117"/>
    <w:rsid w:val="00BC268B"/>
    <w:rsid w:val="00BC27D2"/>
    <w:rsid w:val="00BC54A4"/>
    <w:rsid w:val="00BC64D0"/>
    <w:rsid w:val="00BC6517"/>
    <w:rsid w:val="00BC6A6C"/>
    <w:rsid w:val="00BC7074"/>
    <w:rsid w:val="00BD35DD"/>
    <w:rsid w:val="00BD3615"/>
    <w:rsid w:val="00BD3782"/>
    <w:rsid w:val="00BD3E77"/>
    <w:rsid w:val="00BD4267"/>
    <w:rsid w:val="00BD4E07"/>
    <w:rsid w:val="00BD5AC9"/>
    <w:rsid w:val="00BD5BF1"/>
    <w:rsid w:val="00BE1490"/>
    <w:rsid w:val="00BE174F"/>
    <w:rsid w:val="00BE2D84"/>
    <w:rsid w:val="00BE2DFC"/>
    <w:rsid w:val="00BE42AB"/>
    <w:rsid w:val="00BE5079"/>
    <w:rsid w:val="00BE54C4"/>
    <w:rsid w:val="00BE5EE9"/>
    <w:rsid w:val="00BE606F"/>
    <w:rsid w:val="00BE65DB"/>
    <w:rsid w:val="00BE68CF"/>
    <w:rsid w:val="00BE7C63"/>
    <w:rsid w:val="00BF0363"/>
    <w:rsid w:val="00BF1904"/>
    <w:rsid w:val="00BF2BA4"/>
    <w:rsid w:val="00BF32BF"/>
    <w:rsid w:val="00BF3343"/>
    <w:rsid w:val="00BF50E2"/>
    <w:rsid w:val="00BF6970"/>
    <w:rsid w:val="00BF6E0A"/>
    <w:rsid w:val="00BF7CB8"/>
    <w:rsid w:val="00BF7E18"/>
    <w:rsid w:val="00BF7EBB"/>
    <w:rsid w:val="00C004AB"/>
    <w:rsid w:val="00C005DB"/>
    <w:rsid w:val="00C0191D"/>
    <w:rsid w:val="00C026E9"/>
    <w:rsid w:val="00C05268"/>
    <w:rsid w:val="00C05B97"/>
    <w:rsid w:val="00C06112"/>
    <w:rsid w:val="00C0739E"/>
    <w:rsid w:val="00C121BF"/>
    <w:rsid w:val="00C12686"/>
    <w:rsid w:val="00C14EC0"/>
    <w:rsid w:val="00C15029"/>
    <w:rsid w:val="00C16AC3"/>
    <w:rsid w:val="00C17D2B"/>
    <w:rsid w:val="00C204D0"/>
    <w:rsid w:val="00C20E1A"/>
    <w:rsid w:val="00C2114A"/>
    <w:rsid w:val="00C2153A"/>
    <w:rsid w:val="00C21662"/>
    <w:rsid w:val="00C242CD"/>
    <w:rsid w:val="00C246ED"/>
    <w:rsid w:val="00C2552E"/>
    <w:rsid w:val="00C26248"/>
    <w:rsid w:val="00C27070"/>
    <w:rsid w:val="00C27871"/>
    <w:rsid w:val="00C32C5E"/>
    <w:rsid w:val="00C344CF"/>
    <w:rsid w:val="00C34E97"/>
    <w:rsid w:val="00C3533F"/>
    <w:rsid w:val="00C369B6"/>
    <w:rsid w:val="00C36B8B"/>
    <w:rsid w:val="00C3743D"/>
    <w:rsid w:val="00C3774D"/>
    <w:rsid w:val="00C37FE7"/>
    <w:rsid w:val="00C40C87"/>
    <w:rsid w:val="00C40DD1"/>
    <w:rsid w:val="00C4280B"/>
    <w:rsid w:val="00C43ECB"/>
    <w:rsid w:val="00C4419D"/>
    <w:rsid w:val="00C44DB7"/>
    <w:rsid w:val="00C45230"/>
    <w:rsid w:val="00C46AF5"/>
    <w:rsid w:val="00C46B46"/>
    <w:rsid w:val="00C476BD"/>
    <w:rsid w:val="00C47A70"/>
    <w:rsid w:val="00C50071"/>
    <w:rsid w:val="00C50396"/>
    <w:rsid w:val="00C522B2"/>
    <w:rsid w:val="00C52422"/>
    <w:rsid w:val="00C53B4B"/>
    <w:rsid w:val="00C5427C"/>
    <w:rsid w:val="00C543E6"/>
    <w:rsid w:val="00C54B14"/>
    <w:rsid w:val="00C6029D"/>
    <w:rsid w:val="00C607AF"/>
    <w:rsid w:val="00C611F1"/>
    <w:rsid w:val="00C61505"/>
    <w:rsid w:val="00C61F0F"/>
    <w:rsid w:val="00C622DD"/>
    <w:rsid w:val="00C63212"/>
    <w:rsid w:val="00C635F7"/>
    <w:rsid w:val="00C63EC6"/>
    <w:rsid w:val="00C642AF"/>
    <w:rsid w:val="00C643B3"/>
    <w:rsid w:val="00C65FC4"/>
    <w:rsid w:val="00C66094"/>
    <w:rsid w:val="00C66C73"/>
    <w:rsid w:val="00C66EEE"/>
    <w:rsid w:val="00C709DF"/>
    <w:rsid w:val="00C70D7A"/>
    <w:rsid w:val="00C7302A"/>
    <w:rsid w:val="00C746C8"/>
    <w:rsid w:val="00C754A0"/>
    <w:rsid w:val="00C7594C"/>
    <w:rsid w:val="00C76255"/>
    <w:rsid w:val="00C76BB7"/>
    <w:rsid w:val="00C772CD"/>
    <w:rsid w:val="00C80E30"/>
    <w:rsid w:val="00C81E0A"/>
    <w:rsid w:val="00C829F2"/>
    <w:rsid w:val="00C82A4B"/>
    <w:rsid w:val="00C82A72"/>
    <w:rsid w:val="00C84217"/>
    <w:rsid w:val="00C84C7C"/>
    <w:rsid w:val="00C87FF2"/>
    <w:rsid w:val="00C904D7"/>
    <w:rsid w:val="00C90705"/>
    <w:rsid w:val="00C913B7"/>
    <w:rsid w:val="00C932B2"/>
    <w:rsid w:val="00C9340D"/>
    <w:rsid w:val="00C93AC9"/>
    <w:rsid w:val="00C9413A"/>
    <w:rsid w:val="00C95A2B"/>
    <w:rsid w:val="00C97A0A"/>
    <w:rsid w:val="00CA15E3"/>
    <w:rsid w:val="00CA3E04"/>
    <w:rsid w:val="00CA6DBC"/>
    <w:rsid w:val="00CB05BC"/>
    <w:rsid w:val="00CB0E84"/>
    <w:rsid w:val="00CB41E1"/>
    <w:rsid w:val="00CB5049"/>
    <w:rsid w:val="00CB61AB"/>
    <w:rsid w:val="00CB63C4"/>
    <w:rsid w:val="00CB6577"/>
    <w:rsid w:val="00CB6889"/>
    <w:rsid w:val="00CB706B"/>
    <w:rsid w:val="00CC007D"/>
    <w:rsid w:val="00CC337B"/>
    <w:rsid w:val="00CC446A"/>
    <w:rsid w:val="00CC6011"/>
    <w:rsid w:val="00CC6535"/>
    <w:rsid w:val="00CD3AEC"/>
    <w:rsid w:val="00CD494E"/>
    <w:rsid w:val="00CD6BA2"/>
    <w:rsid w:val="00CE0039"/>
    <w:rsid w:val="00CE01B1"/>
    <w:rsid w:val="00CE0C27"/>
    <w:rsid w:val="00CE127A"/>
    <w:rsid w:val="00CE2043"/>
    <w:rsid w:val="00CE22BE"/>
    <w:rsid w:val="00CE6716"/>
    <w:rsid w:val="00CF1BE5"/>
    <w:rsid w:val="00CF1E8C"/>
    <w:rsid w:val="00CF21D9"/>
    <w:rsid w:val="00CF5474"/>
    <w:rsid w:val="00CF5B73"/>
    <w:rsid w:val="00CF6470"/>
    <w:rsid w:val="00D00155"/>
    <w:rsid w:val="00D0157B"/>
    <w:rsid w:val="00D01C56"/>
    <w:rsid w:val="00D020C3"/>
    <w:rsid w:val="00D0378D"/>
    <w:rsid w:val="00D0425D"/>
    <w:rsid w:val="00D0461B"/>
    <w:rsid w:val="00D0494E"/>
    <w:rsid w:val="00D05B6F"/>
    <w:rsid w:val="00D06F45"/>
    <w:rsid w:val="00D121FD"/>
    <w:rsid w:val="00D13355"/>
    <w:rsid w:val="00D154CC"/>
    <w:rsid w:val="00D17B81"/>
    <w:rsid w:val="00D207B0"/>
    <w:rsid w:val="00D208D4"/>
    <w:rsid w:val="00D20E15"/>
    <w:rsid w:val="00D21304"/>
    <w:rsid w:val="00D21BFB"/>
    <w:rsid w:val="00D22900"/>
    <w:rsid w:val="00D22A6B"/>
    <w:rsid w:val="00D25DC8"/>
    <w:rsid w:val="00D260AE"/>
    <w:rsid w:val="00D260C2"/>
    <w:rsid w:val="00D27798"/>
    <w:rsid w:val="00D319AD"/>
    <w:rsid w:val="00D31D12"/>
    <w:rsid w:val="00D32093"/>
    <w:rsid w:val="00D335CB"/>
    <w:rsid w:val="00D33B87"/>
    <w:rsid w:val="00D365BB"/>
    <w:rsid w:val="00D37CEC"/>
    <w:rsid w:val="00D41F1D"/>
    <w:rsid w:val="00D42B46"/>
    <w:rsid w:val="00D42F4B"/>
    <w:rsid w:val="00D434A5"/>
    <w:rsid w:val="00D43ABD"/>
    <w:rsid w:val="00D4407F"/>
    <w:rsid w:val="00D45048"/>
    <w:rsid w:val="00D45FFB"/>
    <w:rsid w:val="00D46616"/>
    <w:rsid w:val="00D466A4"/>
    <w:rsid w:val="00D46867"/>
    <w:rsid w:val="00D46B7A"/>
    <w:rsid w:val="00D46ECE"/>
    <w:rsid w:val="00D4744B"/>
    <w:rsid w:val="00D51A4A"/>
    <w:rsid w:val="00D54EE4"/>
    <w:rsid w:val="00D5565A"/>
    <w:rsid w:val="00D56103"/>
    <w:rsid w:val="00D6023E"/>
    <w:rsid w:val="00D60B89"/>
    <w:rsid w:val="00D60CF1"/>
    <w:rsid w:val="00D6182A"/>
    <w:rsid w:val="00D62A2C"/>
    <w:rsid w:val="00D63763"/>
    <w:rsid w:val="00D6471E"/>
    <w:rsid w:val="00D6631F"/>
    <w:rsid w:val="00D668F8"/>
    <w:rsid w:val="00D674C4"/>
    <w:rsid w:val="00D70751"/>
    <w:rsid w:val="00D7115B"/>
    <w:rsid w:val="00D71E3B"/>
    <w:rsid w:val="00D72C56"/>
    <w:rsid w:val="00D72E4A"/>
    <w:rsid w:val="00D73007"/>
    <w:rsid w:val="00D81C21"/>
    <w:rsid w:val="00D83982"/>
    <w:rsid w:val="00D85977"/>
    <w:rsid w:val="00D86B27"/>
    <w:rsid w:val="00D92330"/>
    <w:rsid w:val="00D9340C"/>
    <w:rsid w:val="00D93BFD"/>
    <w:rsid w:val="00D94F70"/>
    <w:rsid w:val="00D96AD7"/>
    <w:rsid w:val="00DA02ED"/>
    <w:rsid w:val="00DA0855"/>
    <w:rsid w:val="00DA15AA"/>
    <w:rsid w:val="00DA1FC0"/>
    <w:rsid w:val="00DA21C7"/>
    <w:rsid w:val="00DA4278"/>
    <w:rsid w:val="00DA48BA"/>
    <w:rsid w:val="00DA4BCE"/>
    <w:rsid w:val="00DA6A71"/>
    <w:rsid w:val="00DA79F9"/>
    <w:rsid w:val="00DB15BA"/>
    <w:rsid w:val="00DB1767"/>
    <w:rsid w:val="00DB4238"/>
    <w:rsid w:val="00DB6EE7"/>
    <w:rsid w:val="00DB72E6"/>
    <w:rsid w:val="00DC0995"/>
    <w:rsid w:val="00DC0A9F"/>
    <w:rsid w:val="00DC0D5A"/>
    <w:rsid w:val="00DC1518"/>
    <w:rsid w:val="00DC340C"/>
    <w:rsid w:val="00DC365E"/>
    <w:rsid w:val="00DC46E6"/>
    <w:rsid w:val="00DC4ACA"/>
    <w:rsid w:val="00DC5E1E"/>
    <w:rsid w:val="00DC7A42"/>
    <w:rsid w:val="00DD0589"/>
    <w:rsid w:val="00DD09A6"/>
    <w:rsid w:val="00DD0DE5"/>
    <w:rsid w:val="00DD3377"/>
    <w:rsid w:val="00DD54DD"/>
    <w:rsid w:val="00DD7651"/>
    <w:rsid w:val="00DE2702"/>
    <w:rsid w:val="00DE32E3"/>
    <w:rsid w:val="00DE4457"/>
    <w:rsid w:val="00DE553D"/>
    <w:rsid w:val="00DE596F"/>
    <w:rsid w:val="00DE6F71"/>
    <w:rsid w:val="00DE7BE1"/>
    <w:rsid w:val="00DF0663"/>
    <w:rsid w:val="00DF0870"/>
    <w:rsid w:val="00DF14AF"/>
    <w:rsid w:val="00DF2131"/>
    <w:rsid w:val="00DF2716"/>
    <w:rsid w:val="00DF2FB7"/>
    <w:rsid w:val="00DF42DB"/>
    <w:rsid w:val="00DF44C5"/>
    <w:rsid w:val="00DF56D9"/>
    <w:rsid w:val="00DF60E7"/>
    <w:rsid w:val="00DF6A8A"/>
    <w:rsid w:val="00E0028F"/>
    <w:rsid w:val="00E00CD5"/>
    <w:rsid w:val="00E019C6"/>
    <w:rsid w:val="00E01A12"/>
    <w:rsid w:val="00E02F8D"/>
    <w:rsid w:val="00E03E28"/>
    <w:rsid w:val="00E0455C"/>
    <w:rsid w:val="00E05010"/>
    <w:rsid w:val="00E071EC"/>
    <w:rsid w:val="00E07730"/>
    <w:rsid w:val="00E07A61"/>
    <w:rsid w:val="00E11BF6"/>
    <w:rsid w:val="00E12443"/>
    <w:rsid w:val="00E1341C"/>
    <w:rsid w:val="00E13DF3"/>
    <w:rsid w:val="00E15EE8"/>
    <w:rsid w:val="00E20347"/>
    <w:rsid w:val="00E20539"/>
    <w:rsid w:val="00E22C3E"/>
    <w:rsid w:val="00E23DF2"/>
    <w:rsid w:val="00E2438A"/>
    <w:rsid w:val="00E2569F"/>
    <w:rsid w:val="00E25B3C"/>
    <w:rsid w:val="00E305BF"/>
    <w:rsid w:val="00E31545"/>
    <w:rsid w:val="00E31B79"/>
    <w:rsid w:val="00E343D7"/>
    <w:rsid w:val="00E34874"/>
    <w:rsid w:val="00E351F8"/>
    <w:rsid w:val="00E35936"/>
    <w:rsid w:val="00E36114"/>
    <w:rsid w:val="00E3642F"/>
    <w:rsid w:val="00E368B7"/>
    <w:rsid w:val="00E4146B"/>
    <w:rsid w:val="00E414FF"/>
    <w:rsid w:val="00E41826"/>
    <w:rsid w:val="00E42405"/>
    <w:rsid w:val="00E43AD4"/>
    <w:rsid w:val="00E45745"/>
    <w:rsid w:val="00E467F4"/>
    <w:rsid w:val="00E4793C"/>
    <w:rsid w:val="00E4796B"/>
    <w:rsid w:val="00E51824"/>
    <w:rsid w:val="00E5283F"/>
    <w:rsid w:val="00E530F2"/>
    <w:rsid w:val="00E5339C"/>
    <w:rsid w:val="00E534BA"/>
    <w:rsid w:val="00E53620"/>
    <w:rsid w:val="00E54823"/>
    <w:rsid w:val="00E54D19"/>
    <w:rsid w:val="00E54E72"/>
    <w:rsid w:val="00E55286"/>
    <w:rsid w:val="00E57D3B"/>
    <w:rsid w:val="00E60AA3"/>
    <w:rsid w:val="00E60EC5"/>
    <w:rsid w:val="00E619DB"/>
    <w:rsid w:val="00E61B27"/>
    <w:rsid w:val="00E61EAE"/>
    <w:rsid w:val="00E62CC4"/>
    <w:rsid w:val="00E62E20"/>
    <w:rsid w:val="00E63350"/>
    <w:rsid w:val="00E6373E"/>
    <w:rsid w:val="00E64360"/>
    <w:rsid w:val="00E665D8"/>
    <w:rsid w:val="00E6683C"/>
    <w:rsid w:val="00E66CCD"/>
    <w:rsid w:val="00E676C5"/>
    <w:rsid w:val="00E67A2D"/>
    <w:rsid w:val="00E70B3E"/>
    <w:rsid w:val="00E72A30"/>
    <w:rsid w:val="00E744CA"/>
    <w:rsid w:val="00E75B58"/>
    <w:rsid w:val="00E75CB2"/>
    <w:rsid w:val="00E776B7"/>
    <w:rsid w:val="00E77D72"/>
    <w:rsid w:val="00E81400"/>
    <w:rsid w:val="00E82493"/>
    <w:rsid w:val="00E8319B"/>
    <w:rsid w:val="00E839F7"/>
    <w:rsid w:val="00E848D6"/>
    <w:rsid w:val="00E86448"/>
    <w:rsid w:val="00E86D73"/>
    <w:rsid w:val="00E90803"/>
    <w:rsid w:val="00E9161A"/>
    <w:rsid w:val="00E91914"/>
    <w:rsid w:val="00E91B85"/>
    <w:rsid w:val="00E94852"/>
    <w:rsid w:val="00E95891"/>
    <w:rsid w:val="00E9678E"/>
    <w:rsid w:val="00EA3C96"/>
    <w:rsid w:val="00EA5760"/>
    <w:rsid w:val="00EA5977"/>
    <w:rsid w:val="00EA5F1C"/>
    <w:rsid w:val="00EA6CBC"/>
    <w:rsid w:val="00EA7349"/>
    <w:rsid w:val="00EB0C34"/>
    <w:rsid w:val="00EB1A5B"/>
    <w:rsid w:val="00EB384E"/>
    <w:rsid w:val="00EB3C55"/>
    <w:rsid w:val="00EB3F7B"/>
    <w:rsid w:val="00EB4206"/>
    <w:rsid w:val="00EB51D3"/>
    <w:rsid w:val="00EB5F17"/>
    <w:rsid w:val="00EB7791"/>
    <w:rsid w:val="00EB7AF1"/>
    <w:rsid w:val="00EC08AF"/>
    <w:rsid w:val="00EC0B3C"/>
    <w:rsid w:val="00EC1958"/>
    <w:rsid w:val="00EC4F62"/>
    <w:rsid w:val="00EC55D1"/>
    <w:rsid w:val="00EC648E"/>
    <w:rsid w:val="00EC770D"/>
    <w:rsid w:val="00ED051C"/>
    <w:rsid w:val="00ED1518"/>
    <w:rsid w:val="00ED2AF6"/>
    <w:rsid w:val="00ED47A1"/>
    <w:rsid w:val="00ED4D03"/>
    <w:rsid w:val="00ED4FF2"/>
    <w:rsid w:val="00ED6D85"/>
    <w:rsid w:val="00ED70C5"/>
    <w:rsid w:val="00ED7B08"/>
    <w:rsid w:val="00EE0123"/>
    <w:rsid w:val="00EE093E"/>
    <w:rsid w:val="00EE0EB2"/>
    <w:rsid w:val="00EE1378"/>
    <w:rsid w:val="00EE1526"/>
    <w:rsid w:val="00EE1FB8"/>
    <w:rsid w:val="00EE25E0"/>
    <w:rsid w:val="00EE33A1"/>
    <w:rsid w:val="00EE4A31"/>
    <w:rsid w:val="00EE7E6F"/>
    <w:rsid w:val="00EF0093"/>
    <w:rsid w:val="00EF0AD9"/>
    <w:rsid w:val="00EF169C"/>
    <w:rsid w:val="00EF1E61"/>
    <w:rsid w:val="00EF2D6A"/>
    <w:rsid w:val="00EF38AC"/>
    <w:rsid w:val="00EF5207"/>
    <w:rsid w:val="00EF57E3"/>
    <w:rsid w:val="00EF6A73"/>
    <w:rsid w:val="00EF6F43"/>
    <w:rsid w:val="00EF7065"/>
    <w:rsid w:val="00F01F17"/>
    <w:rsid w:val="00F02FC1"/>
    <w:rsid w:val="00F1051F"/>
    <w:rsid w:val="00F1089D"/>
    <w:rsid w:val="00F12394"/>
    <w:rsid w:val="00F13C73"/>
    <w:rsid w:val="00F1517C"/>
    <w:rsid w:val="00F160B2"/>
    <w:rsid w:val="00F21E48"/>
    <w:rsid w:val="00F235B0"/>
    <w:rsid w:val="00F23F4E"/>
    <w:rsid w:val="00F25244"/>
    <w:rsid w:val="00F26F3A"/>
    <w:rsid w:val="00F30E96"/>
    <w:rsid w:val="00F32288"/>
    <w:rsid w:val="00F32704"/>
    <w:rsid w:val="00F334DD"/>
    <w:rsid w:val="00F33D13"/>
    <w:rsid w:val="00F341EC"/>
    <w:rsid w:val="00F34264"/>
    <w:rsid w:val="00F34DD1"/>
    <w:rsid w:val="00F37DE7"/>
    <w:rsid w:val="00F40937"/>
    <w:rsid w:val="00F42DBE"/>
    <w:rsid w:val="00F44103"/>
    <w:rsid w:val="00F46F89"/>
    <w:rsid w:val="00F479F8"/>
    <w:rsid w:val="00F50913"/>
    <w:rsid w:val="00F52652"/>
    <w:rsid w:val="00F52F99"/>
    <w:rsid w:val="00F53952"/>
    <w:rsid w:val="00F54FB1"/>
    <w:rsid w:val="00F559D3"/>
    <w:rsid w:val="00F56CD7"/>
    <w:rsid w:val="00F57DC0"/>
    <w:rsid w:val="00F60701"/>
    <w:rsid w:val="00F6112D"/>
    <w:rsid w:val="00F61790"/>
    <w:rsid w:val="00F62331"/>
    <w:rsid w:val="00F6297B"/>
    <w:rsid w:val="00F62FF8"/>
    <w:rsid w:val="00F63864"/>
    <w:rsid w:val="00F641B1"/>
    <w:rsid w:val="00F64241"/>
    <w:rsid w:val="00F64CDE"/>
    <w:rsid w:val="00F65604"/>
    <w:rsid w:val="00F66CC3"/>
    <w:rsid w:val="00F70D9F"/>
    <w:rsid w:val="00F710B3"/>
    <w:rsid w:val="00F737D5"/>
    <w:rsid w:val="00F73ADC"/>
    <w:rsid w:val="00F73CFB"/>
    <w:rsid w:val="00F73E40"/>
    <w:rsid w:val="00F73E99"/>
    <w:rsid w:val="00F73FAA"/>
    <w:rsid w:val="00F751D3"/>
    <w:rsid w:val="00F752D7"/>
    <w:rsid w:val="00F759FD"/>
    <w:rsid w:val="00F76795"/>
    <w:rsid w:val="00F772E9"/>
    <w:rsid w:val="00F834A2"/>
    <w:rsid w:val="00F835FE"/>
    <w:rsid w:val="00F847A3"/>
    <w:rsid w:val="00F849F7"/>
    <w:rsid w:val="00F85E4A"/>
    <w:rsid w:val="00F86B34"/>
    <w:rsid w:val="00F870D8"/>
    <w:rsid w:val="00F8758C"/>
    <w:rsid w:val="00F87CEC"/>
    <w:rsid w:val="00F9093A"/>
    <w:rsid w:val="00F91509"/>
    <w:rsid w:val="00F935C6"/>
    <w:rsid w:val="00F94C70"/>
    <w:rsid w:val="00F95BF7"/>
    <w:rsid w:val="00F95C91"/>
    <w:rsid w:val="00F96959"/>
    <w:rsid w:val="00F96D30"/>
    <w:rsid w:val="00FA06A4"/>
    <w:rsid w:val="00FA2CC2"/>
    <w:rsid w:val="00FA5A9C"/>
    <w:rsid w:val="00FA6598"/>
    <w:rsid w:val="00FA7E54"/>
    <w:rsid w:val="00FA7EE4"/>
    <w:rsid w:val="00FB16E8"/>
    <w:rsid w:val="00FB2AC3"/>
    <w:rsid w:val="00FB30AB"/>
    <w:rsid w:val="00FB30B2"/>
    <w:rsid w:val="00FB3B58"/>
    <w:rsid w:val="00FB5066"/>
    <w:rsid w:val="00FB5A50"/>
    <w:rsid w:val="00FB6472"/>
    <w:rsid w:val="00FB6592"/>
    <w:rsid w:val="00FB6E4E"/>
    <w:rsid w:val="00FC22AF"/>
    <w:rsid w:val="00FC2373"/>
    <w:rsid w:val="00FC2D0A"/>
    <w:rsid w:val="00FC3CFE"/>
    <w:rsid w:val="00FC5DE6"/>
    <w:rsid w:val="00FD0AD6"/>
    <w:rsid w:val="00FD2048"/>
    <w:rsid w:val="00FD2944"/>
    <w:rsid w:val="00FD2A06"/>
    <w:rsid w:val="00FD3826"/>
    <w:rsid w:val="00FD3C25"/>
    <w:rsid w:val="00FD680E"/>
    <w:rsid w:val="00FD7685"/>
    <w:rsid w:val="00FE07B3"/>
    <w:rsid w:val="00FE16DF"/>
    <w:rsid w:val="00FE40AC"/>
    <w:rsid w:val="00FE6456"/>
    <w:rsid w:val="00FE64D2"/>
    <w:rsid w:val="00FE666E"/>
    <w:rsid w:val="00FE7B95"/>
    <w:rsid w:val="00FF061C"/>
    <w:rsid w:val="00FF23F2"/>
    <w:rsid w:val="00FF46AC"/>
    <w:rsid w:val="00FF5BD9"/>
    <w:rsid w:val="05137AF9"/>
    <w:rsid w:val="06881ADC"/>
    <w:rsid w:val="08BC6F18"/>
    <w:rsid w:val="08ED7278"/>
    <w:rsid w:val="0BA82648"/>
    <w:rsid w:val="0C67666B"/>
    <w:rsid w:val="0E672794"/>
    <w:rsid w:val="0FA15FEB"/>
    <w:rsid w:val="10CF6C55"/>
    <w:rsid w:val="15A76C51"/>
    <w:rsid w:val="19A55B56"/>
    <w:rsid w:val="1D6C78EE"/>
    <w:rsid w:val="2176325F"/>
    <w:rsid w:val="248B28D9"/>
    <w:rsid w:val="24913D7F"/>
    <w:rsid w:val="256E4FA5"/>
    <w:rsid w:val="27D1163D"/>
    <w:rsid w:val="2817700D"/>
    <w:rsid w:val="2ECE707C"/>
    <w:rsid w:val="33635A8F"/>
    <w:rsid w:val="33986289"/>
    <w:rsid w:val="35183480"/>
    <w:rsid w:val="35DF3F8D"/>
    <w:rsid w:val="3A8E6F28"/>
    <w:rsid w:val="3E3A7756"/>
    <w:rsid w:val="3ED144BA"/>
    <w:rsid w:val="424D4189"/>
    <w:rsid w:val="44DF11F6"/>
    <w:rsid w:val="4A0749F1"/>
    <w:rsid w:val="4D3F171F"/>
    <w:rsid w:val="4EE41094"/>
    <w:rsid w:val="500B6645"/>
    <w:rsid w:val="510D2C06"/>
    <w:rsid w:val="512303D5"/>
    <w:rsid w:val="53B43301"/>
    <w:rsid w:val="53B93BDA"/>
    <w:rsid w:val="56697EF2"/>
    <w:rsid w:val="5F1F4BFD"/>
    <w:rsid w:val="612303FB"/>
    <w:rsid w:val="66513435"/>
    <w:rsid w:val="6B053B25"/>
    <w:rsid w:val="6B624913"/>
    <w:rsid w:val="6F2209B0"/>
    <w:rsid w:val="7A892075"/>
    <w:rsid w:val="7BFA2EAA"/>
    <w:rsid w:val="7DC14712"/>
    <w:rsid w:val="7E0B2F32"/>
    <w:rsid w:val="7F32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unhideWhenUsed="1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uiPriority w:val="99"/>
    <w:unhideWhenUsed/>
    <w:qFormat/>
    <w:pPr>
      <w:spacing w:after="120"/>
      <w:ind w:left="283"/>
    </w:pPr>
    <w:rPr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iPriority w:val="99"/>
    <w:unhideWhenUsed/>
    <w:qFormat/>
    <w:pPr>
      <w:spacing w:after="120"/>
    </w:pPr>
  </w:style>
  <w:style w:type="paragraph" w:styleId="ab">
    <w:name w:val="Body Text Indent"/>
    <w:basedOn w:val="a"/>
    <w:link w:val="ac"/>
    <w:uiPriority w:val="99"/>
    <w:unhideWhenUsed/>
    <w:qFormat/>
    <w:pPr>
      <w:spacing w:after="120"/>
      <w:ind w:left="283"/>
    </w:pPr>
  </w:style>
  <w:style w:type="paragraph" w:styleId="ad">
    <w:name w:val="Title"/>
    <w:basedOn w:val="a"/>
    <w:qFormat/>
    <w:pPr>
      <w:spacing w:line="360" w:lineRule="auto"/>
      <w:jc w:val="center"/>
    </w:pPr>
    <w:rPr>
      <w:b/>
      <w:sz w:val="28"/>
      <w:szCs w:val="20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qFormat/>
    <w:pPr>
      <w:spacing w:after="120" w:line="480" w:lineRule="auto"/>
      <w:ind w:left="283"/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af1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qFormat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a">
    <w:name w:val="Основной текст Знак"/>
    <w:basedOn w:val="a0"/>
    <w:link w:val="a9"/>
    <w:uiPriority w:val="99"/>
    <w:qFormat/>
  </w:style>
  <w:style w:type="character" w:customStyle="1" w:styleId="ac">
    <w:name w:val="Основной текст с отступом Знак"/>
    <w:basedOn w:val="a0"/>
    <w:link w:val="ab"/>
    <w:uiPriority w:val="99"/>
    <w:qFormat/>
  </w:style>
  <w:style w:type="character" w:customStyle="1" w:styleId="af">
    <w:name w:val="Нижний колонтитул Знак"/>
    <w:basedOn w:val="a0"/>
    <w:link w:val="ae"/>
    <w:uiPriority w:val="99"/>
    <w:qFormat/>
  </w:style>
  <w:style w:type="character" w:customStyle="1" w:styleId="22">
    <w:name w:val="Основной текст с отступом 2 Знак"/>
    <w:basedOn w:val="a0"/>
    <w:link w:val="21"/>
    <w:uiPriority w:val="99"/>
    <w:semiHidden/>
    <w:qFormat/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table" w:customStyle="1" w:styleId="11">
    <w:name w:val="Сетка таблиц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Гиперссылка1"/>
    <w:basedOn w:val="a0"/>
    <w:uiPriority w:val="99"/>
    <w:unhideWhenUsed/>
    <w:qFormat/>
    <w:rPr>
      <w:color w:val="0000FF"/>
      <w:u w:val="single"/>
    </w:rPr>
  </w:style>
  <w:style w:type="table" w:customStyle="1" w:styleId="120">
    <w:name w:val="Сетка таблицы12"/>
    <w:basedOn w:val="a1"/>
    <w:uiPriority w:val="39"/>
    <w:qFormat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39"/>
    <w:qFormat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tlid-translation">
    <w:name w:val="tlid-translation"/>
    <w:basedOn w:val="a0"/>
    <w:qFormat/>
  </w:style>
  <w:style w:type="paragraph" w:customStyle="1" w:styleId="211">
    <w:name w:val="Заголовок 21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rFonts w:ascii="Calibri Light" w:hAnsi="Calibri Light"/>
      <w:color w:val="2E74B5"/>
      <w:sz w:val="26"/>
      <w:szCs w:val="26"/>
    </w:rPr>
  </w:style>
  <w:style w:type="character" w:customStyle="1" w:styleId="212">
    <w:name w:val="Заголовок 2 Знак1"/>
    <w:basedOn w:val="a0"/>
    <w:uiPriority w:val="9"/>
    <w:semiHidden/>
    <w:qFormat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authorsname">
    <w:name w:val="authors__name"/>
    <w:basedOn w:val="a0"/>
    <w:qFormat/>
  </w:style>
  <w:style w:type="paragraph" w:customStyle="1" w:styleId="Pa3">
    <w:name w:val="Pa3"/>
    <w:basedOn w:val="Default"/>
    <w:next w:val="Default"/>
    <w:uiPriority w:val="99"/>
    <w:qFormat/>
    <w:pPr>
      <w:spacing w:line="181" w:lineRule="atLeast"/>
    </w:pPr>
    <w:rPr>
      <w:rFonts w:ascii="GaramondNarrowC" w:hAnsi="GaramondNarrowC"/>
      <w:color w:val="auto"/>
    </w:rPr>
  </w:style>
  <w:style w:type="paragraph" w:customStyle="1" w:styleId="Pa4">
    <w:name w:val="Pa4"/>
    <w:basedOn w:val="Default"/>
    <w:next w:val="Default"/>
    <w:uiPriority w:val="99"/>
    <w:qFormat/>
    <w:pPr>
      <w:spacing w:line="261" w:lineRule="atLeast"/>
    </w:pPr>
    <w:rPr>
      <w:rFonts w:ascii="GaramondNarrowC" w:hAnsi="GaramondNarrowC"/>
      <w:color w:val="auto"/>
    </w:rPr>
  </w:style>
  <w:style w:type="paragraph" w:customStyle="1" w:styleId="Pa5">
    <w:name w:val="Pa5"/>
    <w:basedOn w:val="Default"/>
    <w:next w:val="Default"/>
    <w:uiPriority w:val="99"/>
    <w:qFormat/>
    <w:pPr>
      <w:spacing w:line="181" w:lineRule="atLeast"/>
    </w:pPr>
    <w:rPr>
      <w:rFonts w:ascii="GaramondNarrowC" w:hAnsi="GaramondNarrowC"/>
      <w:color w:val="auto"/>
    </w:rPr>
  </w:style>
  <w:style w:type="character" w:customStyle="1" w:styleId="text">
    <w:name w:val="text"/>
    <w:basedOn w:val="a0"/>
    <w:qFormat/>
  </w:style>
  <w:style w:type="character" w:customStyle="1" w:styleId="author-ref">
    <w:name w:val="author-ref"/>
    <w:basedOn w:val="a0"/>
    <w:qFormat/>
  </w:style>
  <w:style w:type="paragraph" w:customStyle="1" w:styleId="Pa13">
    <w:name w:val="Pa13"/>
    <w:basedOn w:val="Default"/>
    <w:next w:val="Default"/>
    <w:uiPriority w:val="99"/>
    <w:qFormat/>
    <w:pPr>
      <w:spacing w:line="181" w:lineRule="atLeast"/>
    </w:pPr>
    <w:rPr>
      <w:rFonts w:ascii="Myriad Pro" w:hAnsi="Myriad Pro"/>
      <w:color w:val="auto"/>
    </w:rPr>
  </w:style>
  <w:style w:type="paragraph" w:customStyle="1" w:styleId="Pa12">
    <w:name w:val="Pa12"/>
    <w:basedOn w:val="Default"/>
    <w:next w:val="Default"/>
    <w:uiPriority w:val="99"/>
    <w:qFormat/>
    <w:pPr>
      <w:spacing w:line="181" w:lineRule="atLeast"/>
    </w:pPr>
    <w:rPr>
      <w:rFonts w:ascii="Myriad Pro" w:hAnsi="Myriad Pro"/>
      <w:color w:val="auto"/>
    </w:rPr>
  </w:style>
  <w:style w:type="character" w:customStyle="1" w:styleId="A16">
    <w:name w:val="A16"/>
    <w:uiPriority w:val="99"/>
    <w:qFormat/>
    <w:rPr>
      <w:rFonts w:cs="Myriad Pro"/>
      <w:color w:val="000000"/>
      <w:sz w:val="14"/>
      <w:szCs w:val="14"/>
    </w:rPr>
  </w:style>
  <w:style w:type="character" w:customStyle="1" w:styleId="headtext">
    <w:name w:val="headtext"/>
    <w:basedOn w:val="a0"/>
    <w:qFormat/>
  </w:style>
  <w:style w:type="paragraph" w:customStyle="1" w:styleId="14">
    <w:name w:val="Рецензия1"/>
    <w:uiPriority w:val="99"/>
    <w:semiHidden/>
    <w:qFormat/>
    <w:rPr>
      <w:rFonts w:ascii="Calibri" w:eastAsia="Times New Roman" w:hAnsi="Calibri"/>
      <w:sz w:val="22"/>
      <w:szCs w:val="22"/>
    </w:rPr>
  </w:style>
  <w:style w:type="character" w:customStyle="1" w:styleId="A10">
    <w:name w:val="A10"/>
    <w:uiPriority w:val="99"/>
    <w:qFormat/>
    <w:rPr>
      <w:rFonts w:cs="Minion Pro"/>
      <w:color w:val="000000"/>
      <w:sz w:val="13"/>
      <w:szCs w:val="13"/>
    </w:rPr>
  </w:style>
  <w:style w:type="paragraph" w:customStyle="1" w:styleId="Pa2">
    <w:name w:val="Pa2"/>
    <w:basedOn w:val="Default"/>
    <w:next w:val="Default"/>
    <w:uiPriority w:val="99"/>
    <w:qFormat/>
    <w:pPr>
      <w:spacing w:line="241" w:lineRule="atLeast"/>
    </w:pPr>
    <w:rPr>
      <w:rFonts w:ascii="Minion Pro" w:hAnsi="Minion Pro"/>
      <w:color w:val="auto"/>
    </w:rPr>
  </w:style>
  <w:style w:type="paragraph" w:customStyle="1" w:styleId="p">
    <w:name w:val="p"/>
    <w:basedOn w:val="a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611">
    <w:name w:val="Сетка таблицы61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5.jpeg"/><Relationship Id="rId26" Type="http://schemas.openxmlformats.org/officeDocument/2006/relationships/chart" Target="charts/chart8.xml"/><Relationship Id="rId39" Type="http://schemas.openxmlformats.org/officeDocument/2006/relationships/image" Target="media/image18.jpeg"/><Relationship Id="rId21" Type="http://schemas.openxmlformats.org/officeDocument/2006/relationships/image" Target="media/image8.jpeg"/><Relationship Id="rId34" Type="http://schemas.openxmlformats.org/officeDocument/2006/relationships/chart" Target="charts/chart11.xml"/><Relationship Id="rId42" Type="http://schemas.openxmlformats.org/officeDocument/2006/relationships/chart" Target="charts/chart14.xml"/><Relationship Id="rId47" Type="http://schemas.openxmlformats.org/officeDocument/2006/relationships/hyperlink" Target="https://www.ncbi.nlm.nih.gov/pubmed/?term=Khan%20SR%5BAuthor%5D&amp;cauthor=true&amp;cauthor_uid=27188687" TargetMode="External"/><Relationship Id="rId50" Type="http://schemas.openxmlformats.org/officeDocument/2006/relationships/hyperlink" Target="https://www.ncbi.nlm.nih.gov/pubmed/?term=Canales%20BK%5BAuthor%5D&amp;cauthor=true&amp;cauthor_uid=27188687" TargetMode="External"/><Relationship Id="rId55" Type="http://schemas.openxmlformats.org/officeDocument/2006/relationships/hyperlink" Target="https://www.sciencedirect.com/science/article/pii/S0022534710053760" TargetMode="External"/><Relationship Id="rId63" Type="http://schemas.openxmlformats.org/officeDocument/2006/relationships/hyperlink" Target="https://www.sciencedirect.com/science/article/pii/S2214388218300729" TargetMode="External"/><Relationship Id="rId68" Type="http://schemas.openxmlformats.org/officeDocument/2006/relationships/hyperlink" Target="https://www.ncbi.nlm.nih.gov/pubmed/?term=Muslumanoglu%20AY%5BAuthor%5D&amp;cauthor=true&amp;cauthor_uid=21161646" TargetMode="External"/><Relationship Id="rId76" Type="http://schemas.openxmlformats.org/officeDocument/2006/relationships/hyperlink" Target="https://www.sciencedirect.com/science/article/pii/S0022534705634301" TargetMode="External"/><Relationship Id="rId84" Type="http://schemas.openxmlformats.org/officeDocument/2006/relationships/hyperlink" Target="https://www.sciencedirect.com/science/journal/00904295/103/supp/C" TargetMode="External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www.ncbi.nlm.nih.gov/pubmed/?term=Akman%20T%5BAuthor%5D&amp;cauthor=true&amp;cauthor_uid=21161646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2.jpeg"/><Relationship Id="rId11" Type="http://schemas.openxmlformats.org/officeDocument/2006/relationships/image" Target="media/image2.jpeg"/><Relationship Id="rId24" Type="http://schemas.openxmlformats.org/officeDocument/2006/relationships/chart" Target="charts/chart6.xml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chart" Target="charts/chart16.xml"/><Relationship Id="rId53" Type="http://schemas.openxmlformats.org/officeDocument/2006/relationships/hyperlink" Target="https://www.ncbi.nlm.nih.gov/pubmed/27188687" TargetMode="External"/><Relationship Id="rId58" Type="http://schemas.openxmlformats.org/officeDocument/2006/relationships/hyperlink" Target="https://www.sciencedirect.com/science/journal/11105704/24/3" TargetMode="External"/><Relationship Id="rId66" Type="http://schemas.openxmlformats.org/officeDocument/2006/relationships/hyperlink" Target="https://www.sciencedirect.com/science/journal/11105704" TargetMode="External"/><Relationship Id="rId74" Type="http://schemas.openxmlformats.org/officeDocument/2006/relationships/hyperlink" Target="https://link.springer.com/journal/13244/5/6/page/1" TargetMode="External"/><Relationship Id="rId79" Type="http://schemas.openxmlformats.org/officeDocument/2006/relationships/hyperlink" Target="https://www.sciencedirect.com/science/journal/00225347/170/1" TargetMode="External"/><Relationship Id="rId87" Type="http://schemas.openxmlformats.org/officeDocument/2006/relationships/image" Target="media/image24.png"/><Relationship Id="rId5" Type="http://schemas.openxmlformats.org/officeDocument/2006/relationships/webSettings" Target="webSettings.xml"/><Relationship Id="rId61" Type="http://schemas.openxmlformats.org/officeDocument/2006/relationships/hyperlink" Target="https://www.sciencedirect.com/science/article/pii/S2214388218300729" TargetMode="External"/><Relationship Id="rId82" Type="http://schemas.openxmlformats.org/officeDocument/2006/relationships/hyperlink" Target="https://www.sciencedirect.com/science/article/pii/S0090429517300328" TargetMode="External"/><Relationship Id="rId90" Type="http://schemas.openxmlformats.org/officeDocument/2006/relationships/footer" Target="footer2.xml"/><Relationship Id="rId19" Type="http://schemas.openxmlformats.org/officeDocument/2006/relationships/image" Target="media/image6.jpeg"/><Relationship Id="rId14" Type="http://schemas.openxmlformats.org/officeDocument/2006/relationships/chart" Target="charts/chart4.xml"/><Relationship Id="rId22" Type="http://schemas.openxmlformats.org/officeDocument/2006/relationships/image" Target="media/image9.jpeg"/><Relationship Id="rId27" Type="http://schemas.openxmlformats.org/officeDocument/2006/relationships/chart" Target="charts/chart9.xml"/><Relationship Id="rId30" Type="http://schemas.openxmlformats.org/officeDocument/2006/relationships/image" Target="media/image13.jpeg"/><Relationship Id="rId35" Type="http://schemas.openxmlformats.org/officeDocument/2006/relationships/chart" Target="charts/chart12.xml"/><Relationship Id="rId43" Type="http://schemas.openxmlformats.org/officeDocument/2006/relationships/chart" Target="charts/chart15.xml"/><Relationship Id="rId48" Type="http://schemas.openxmlformats.org/officeDocument/2006/relationships/hyperlink" Target="https://www.ncbi.nlm.nih.gov/pubmed/?term=Pearle%20MS%5BAuthor%5D&amp;cauthor=true&amp;cauthor_uid=27188687" TargetMode="External"/><Relationship Id="rId56" Type="http://schemas.openxmlformats.org/officeDocument/2006/relationships/hyperlink" Target="https://www.sciencedirect.com/science/article/pii/S0022534710053760" TargetMode="External"/><Relationship Id="rId64" Type="http://schemas.openxmlformats.org/officeDocument/2006/relationships/hyperlink" Target="https://www.sciencedirect.com/science/article/pii/S2214388218300729" TargetMode="External"/><Relationship Id="rId69" Type="http://schemas.openxmlformats.org/officeDocument/2006/relationships/hyperlink" Target="https://www.ncbi.nlm.nih.gov/pubmed/?term=Binbay%20M%5BAuthor%5D&amp;cauthor=true&amp;cauthor_uid=21161646" TargetMode="External"/><Relationship Id="rId77" Type="http://schemas.openxmlformats.org/officeDocument/2006/relationships/hyperlink" Target="https://www.sciencedirect.com/science/article/pii/S0022534705634301" TargetMode="External"/><Relationship Id="rId8" Type="http://schemas.openxmlformats.org/officeDocument/2006/relationships/hyperlink" Target="https://www.ncbi.nlm.nih.gov/pubmed/?term=Muslumanoglu%20AY%5BAuthor%5D&amp;cauthor=true&amp;cauthor_uid=21161646" TargetMode="External"/><Relationship Id="rId51" Type="http://schemas.openxmlformats.org/officeDocument/2006/relationships/hyperlink" Target="https://www.ncbi.nlm.nih.gov/pubmed/?term=Doizi%20S%5BAuthor%5D&amp;cauthor=true&amp;cauthor_uid=27188687" TargetMode="External"/><Relationship Id="rId72" Type="http://schemas.openxmlformats.org/officeDocument/2006/relationships/hyperlink" Target="https://www.ncbi.nlm.nih.gov/pubmed/?term=Tepeler%20A%5BAuthor%5D&amp;cauthor=true&amp;cauthor_uid=21161646" TargetMode="External"/><Relationship Id="rId80" Type="http://schemas.openxmlformats.org/officeDocument/2006/relationships/hyperlink" Target="https://www.sciencedirect.com/science/article/pii/S0022534707005526" TargetMode="External"/><Relationship Id="rId85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chart" Target="charts/chart7.xml"/><Relationship Id="rId33" Type="http://schemas.openxmlformats.org/officeDocument/2006/relationships/chart" Target="charts/chart10.xml"/><Relationship Id="rId38" Type="http://schemas.openxmlformats.org/officeDocument/2006/relationships/image" Target="media/image17.jpeg"/><Relationship Id="rId46" Type="http://schemas.openxmlformats.org/officeDocument/2006/relationships/hyperlink" Target="https://www.ncbi.nlm.nih.gov/pubmed/?term=Traxer%20O%5BAuthor%5D&amp;cauthor=true&amp;cauthor_uid=27188687" TargetMode="External"/><Relationship Id="rId59" Type="http://schemas.openxmlformats.org/officeDocument/2006/relationships/hyperlink" Target="https://www.sciencedirect.com/science/article/pii/S2214388218300729" TargetMode="External"/><Relationship Id="rId67" Type="http://schemas.openxmlformats.org/officeDocument/2006/relationships/hyperlink" Target="https://www.sciencedirect.com/science/journal/11105704/24/3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hyperlink" Target="https://www.sciencedirect.com/science/article/pii/S0022534710053760" TargetMode="External"/><Relationship Id="rId62" Type="http://schemas.openxmlformats.org/officeDocument/2006/relationships/hyperlink" Target="https://www.sciencedirect.com/science/article/pii/S2214388218300729" TargetMode="External"/><Relationship Id="rId70" Type="http://schemas.openxmlformats.org/officeDocument/2006/relationships/hyperlink" Target="https://www.ncbi.nlm.nih.gov/pubmed/?term=Yuruk%20E%5BAuthor%5D&amp;cauthor=true&amp;cauthor_uid=21161646" TargetMode="External"/><Relationship Id="rId75" Type="http://schemas.openxmlformats.org/officeDocument/2006/relationships/hyperlink" Target="https://www.sciencedirect.com/science/article/pii/S0022534705634301" TargetMode="External"/><Relationship Id="rId83" Type="http://schemas.openxmlformats.org/officeDocument/2006/relationships/hyperlink" Target="https://www.sciencedirect.com/science/journal/00904295" TargetMode="External"/><Relationship Id="rId88" Type="http://schemas.openxmlformats.org/officeDocument/2006/relationships/image" Target="media/image25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image" Target="media/image10.jpeg"/><Relationship Id="rId28" Type="http://schemas.openxmlformats.org/officeDocument/2006/relationships/image" Target="media/image11.jpeg"/><Relationship Id="rId36" Type="http://schemas.openxmlformats.org/officeDocument/2006/relationships/chart" Target="charts/chart13.xml"/><Relationship Id="rId49" Type="http://schemas.openxmlformats.org/officeDocument/2006/relationships/hyperlink" Target="https://www.ncbi.nlm.nih.gov/pubmed/?term=Robertson%20WG%5BAuthor%5D&amp;cauthor=true&amp;cauthor_uid=27188687" TargetMode="External"/><Relationship Id="rId57" Type="http://schemas.openxmlformats.org/officeDocument/2006/relationships/hyperlink" Target="https://www.sciencedirect.com/science/journal/11105704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image" Target="media/image21.png"/><Relationship Id="rId52" Type="http://schemas.openxmlformats.org/officeDocument/2006/relationships/hyperlink" Target="https://www.ncbi.nlm.nih.gov/pubmed/?term=Tiselius%20HG%5BAuthor%5D&amp;cauthor=true&amp;cauthor_uid=27188687" TargetMode="External"/><Relationship Id="rId60" Type="http://schemas.openxmlformats.org/officeDocument/2006/relationships/hyperlink" Target="https://www.sciencedirect.com/science/article/pii/S2214388218300729" TargetMode="External"/><Relationship Id="rId65" Type="http://schemas.openxmlformats.org/officeDocument/2006/relationships/hyperlink" Target="https://www.sciencedirect.com/science/article/pii/S2214388218300729" TargetMode="External"/><Relationship Id="rId73" Type="http://schemas.openxmlformats.org/officeDocument/2006/relationships/hyperlink" Target="https://www.ncbi.nlm.nih.gov/pubmed/?term=Tefekli%20AH%5BAuthor%5D&amp;cauthor=true&amp;cauthor_uid=21161646" TargetMode="External"/><Relationship Id="rId78" Type="http://schemas.openxmlformats.org/officeDocument/2006/relationships/hyperlink" Target="https://www.sciencedirect.com/science/article/pii/S0022534705634301" TargetMode="External"/><Relationship Id="rId81" Type="http://schemas.openxmlformats.org/officeDocument/2006/relationships/hyperlink" Target="https://www.sciencedirect.com/science/article/pii/S0022534707005526" TargetMode="External"/><Relationship Id="rId86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PO-1-adm\Desktop\&#1044;&#1072;&#1088;&#1093;&#1072;&#1085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8119995956681E-2"/>
          <c:y val="5.1400554097404502E-2"/>
          <c:w val="0.915297340820445"/>
          <c:h val="0.59312975396489498"/>
        </c:manualLayout>
      </c:layout>
      <c:lineChart>
        <c:grouping val="stacked"/>
        <c:varyColors val="0"/>
        <c:ser>
          <c:idx val="0"/>
          <c:order val="0"/>
          <c:tx>
            <c:strRef>
              <c:f>Лист2!$D$3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Лист2!$C$4:$C$36</c:f>
              <c:strCache>
                <c:ptCount val="33"/>
                <c:pt idx="0">
                  <c:v>Актюбинская </c:v>
                </c:pt>
                <c:pt idx="2">
                  <c:v>Алматинская </c:v>
                </c:pt>
                <c:pt idx="4">
                  <c:v>г.Алматы </c:v>
                </c:pt>
                <c:pt idx="6">
                  <c:v>г. Нур-Султан</c:v>
                </c:pt>
                <c:pt idx="8">
                  <c:v>Атырауская</c:v>
                </c:pt>
                <c:pt idx="10">
                  <c:v>Восточно-Казахстанская </c:v>
                </c:pt>
                <c:pt idx="12">
                  <c:v>Жамбылская </c:v>
                </c:pt>
                <c:pt idx="14">
                  <c:v>Западно-Казахстанская </c:v>
                </c:pt>
                <c:pt idx="16">
                  <c:v>Карагандинская </c:v>
                </c:pt>
                <c:pt idx="18">
                  <c:v>Костанайская </c:v>
                </c:pt>
                <c:pt idx="20">
                  <c:v>Кызылординская </c:v>
                </c:pt>
                <c:pt idx="22">
                  <c:v>Мангистауская </c:v>
                </c:pt>
                <c:pt idx="24">
                  <c:v>Павлодарская </c:v>
                </c:pt>
                <c:pt idx="26">
                  <c:v>Северо-Казахстанская </c:v>
                </c:pt>
                <c:pt idx="28">
                  <c:v>Туркестанская </c:v>
                </c:pt>
                <c:pt idx="30">
                  <c:v>г. Шымкент</c:v>
                </c:pt>
                <c:pt idx="32">
                  <c:v>Акмолинская </c:v>
                </c:pt>
              </c:strCache>
            </c:strRef>
          </c:cat>
          <c:val>
            <c:numRef>
              <c:f>Лист2!$D$4:$D$36</c:f>
              <c:numCache>
                <c:formatCode>General</c:formatCode>
                <c:ptCount val="33"/>
                <c:pt idx="0">
                  <c:v>321</c:v>
                </c:pt>
                <c:pt idx="2">
                  <c:v>875</c:v>
                </c:pt>
                <c:pt idx="4">
                  <c:v>1158</c:v>
                </c:pt>
                <c:pt idx="6">
                  <c:v>477</c:v>
                </c:pt>
                <c:pt idx="8">
                  <c:v>118</c:v>
                </c:pt>
                <c:pt idx="10">
                  <c:v>1153</c:v>
                </c:pt>
                <c:pt idx="12">
                  <c:v>486</c:v>
                </c:pt>
                <c:pt idx="14">
                  <c:v>278</c:v>
                </c:pt>
                <c:pt idx="16">
                  <c:v>831</c:v>
                </c:pt>
                <c:pt idx="18">
                  <c:v>705</c:v>
                </c:pt>
                <c:pt idx="20">
                  <c:v>354</c:v>
                </c:pt>
                <c:pt idx="22">
                  <c:v>485</c:v>
                </c:pt>
                <c:pt idx="24">
                  <c:v>725</c:v>
                </c:pt>
                <c:pt idx="26">
                  <c:v>348</c:v>
                </c:pt>
                <c:pt idx="28">
                  <c:v>1041</c:v>
                </c:pt>
                <c:pt idx="30">
                  <c:v>63</c:v>
                </c:pt>
                <c:pt idx="32">
                  <c:v>490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Лист2!$E$3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Лист2!$C$4:$C$36</c:f>
              <c:strCache>
                <c:ptCount val="33"/>
                <c:pt idx="0">
                  <c:v>Актюбинская </c:v>
                </c:pt>
                <c:pt idx="2">
                  <c:v>Алматинская </c:v>
                </c:pt>
                <c:pt idx="4">
                  <c:v>г.Алматы </c:v>
                </c:pt>
                <c:pt idx="6">
                  <c:v>г. Нур-Султан</c:v>
                </c:pt>
                <c:pt idx="8">
                  <c:v>Атырауская</c:v>
                </c:pt>
                <c:pt idx="10">
                  <c:v>Восточно-Казахстанская </c:v>
                </c:pt>
                <c:pt idx="12">
                  <c:v>Жамбылская </c:v>
                </c:pt>
                <c:pt idx="14">
                  <c:v>Западно-Казахстанская </c:v>
                </c:pt>
                <c:pt idx="16">
                  <c:v>Карагандинская </c:v>
                </c:pt>
                <c:pt idx="18">
                  <c:v>Костанайская </c:v>
                </c:pt>
                <c:pt idx="20">
                  <c:v>Кызылординская </c:v>
                </c:pt>
                <c:pt idx="22">
                  <c:v>Мангистауская </c:v>
                </c:pt>
                <c:pt idx="24">
                  <c:v>Павлодарская </c:v>
                </c:pt>
                <c:pt idx="26">
                  <c:v>Северо-Казахстанская </c:v>
                </c:pt>
                <c:pt idx="28">
                  <c:v>Туркестанская </c:v>
                </c:pt>
                <c:pt idx="30">
                  <c:v>г. Шымкент</c:v>
                </c:pt>
                <c:pt idx="32">
                  <c:v>Акмолинская </c:v>
                </c:pt>
              </c:strCache>
            </c:strRef>
          </c:cat>
          <c:val>
            <c:numRef>
              <c:f>Лист2!$E$4:$E$36</c:f>
              <c:numCache>
                <c:formatCode>General</c:formatCode>
                <c:ptCount val="33"/>
                <c:pt idx="0">
                  <c:v>326</c:v>
                </c:pt>
                <c:pt idx="2">
                  <c:v>759</c:v>
                </c:pt>
                <c:pt idx="4">
                  <c:v>1124</c:v>
                </c:pt>
                <c:pt idx="6">
                  <c:v>1024</c:v>
                </c:pt>
                <c:pt idx="8">
                  <c:v>152</c:v>
                </c:pt>
                <c:pt idx="10">
                  <c:v>1119</c:v>
                </c:pt>
                <c:pt idx="12">
                  <c:v>509</c:v>
                </c:pt>
                <c:pt idx="14">
                  <c:v>242</c:v>
                </c:pt>
                <c:pt idx="16">
                  <c:v>823</c:v>
                </c:pt>
                <c:pt idx="18">
                  <c:v>622</c:v>
                </c:pt>
                <c:pt idx="20">
                  <c:v>401</c:v>
                </c:pt>
                <c:pt idx="22">
                  <c:v>559</c:v>
                </c:pt>
                <c:pt idx="24">
                  <c:v>1207</c:v>
                </c:pt>
                <c:pt idx="26">
                  <c:v>403</c:v>
                </c:pt>
                <c:pt idx="28">
                  <c:v>477</c:v>
                </c:pt>
                <c:pt idx="30">
                  <c:v>41</c:v>
                </c:pt>
                <c:pt idx="32">
                  <c:v>467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Лист2!$F$3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50" b="1" i="0" u="none" strike="noStrike" kern="1200" baseline="0">
                    <a:solidFill>
                      <a:srgbClr val="000000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Лист2!$C$4:$C$36</c:f>
              <c:strCache>
                <c:ptCount val="33"/>
                <c:pt idx="0">
                  <c:v>Актюбинская </c:v>
                </c:pt>
                <c:pt idx="2">
                  <c:v>Алматинская </c:v>
                </c:pt>
                <c:pt idx="4">
                  <c:v>г.Алматы </c:v>
                </c:pt>
                <c:pt idx="6">
                  <c:v>г. Нур-Султан</c:v>
                </c:pt>
                <c:pt idx="8">
                  <c:v>Атырауская</c:v>
                </c:pt>
                <c:pt idx="10">
                  <c:v>Восточно-Казахстанская </c:v>
                </c:pt>
                <c:pt idx="12">
                  <c:v>Жамбылская </c:v>
                </c:pt>
                <c:pt idx="14">
                  <c:v>Западно-Казахстанская </c:v>
                </c:pt>
                <c:pt idx="16">
                  <c:v>Карагандинская </c:v>
                </c:pt>
                <c:pt idx="18">
                  <c:v>Костанайская </c:v>
                </c:pt>
                <c:pt idx="20">
                  <c:v>Кызылординская </c:v>
                </c:pt>
                <c:pt idx="22">
                  <c:v>Мангистауская </c:v>
                </c:pt>
                <c:pt idx="24">
                  <c:v>Павлодарская </c:v>
                </c:pt>
                <c:pt idx="26">
                  <c:v>Северо-Казахстанская </c:v>
                </c:pt>
                <c:pt idx="28">
                  <c:v>Туркестанская </c:v>
                </c:pt>
                <c:pt idx="30">
                  <c:v>г. Шымкент</c:v>
                </c:pt>
                <c:pt idx="32">
                  <c:v>Акмолинская </c:v>
                </c:pt>
              </c:strCache>
            </c:strRef>
          </c:cat>
          <c:val>
            <c:numRef>
              <c:f>Лист2!$F$4:$F$36</c:f>
              <c:numCache>
                <c:formatCode>General</c:formatCode>
                <c:ptCount val="33"/>
                <c:pt idx="0">
                  <c:v>440</c:v>
                </c:pt>
                <c:pt idx="2">
                  <c:v>662</c:v>
                </c:pt>
                <c:pt idx="4">
                  <c:v>1039</c:v>
                </c:pt>
                <c:pt idx="6">
                  <c:v>662</c:v>
                </c:pt>
                <c:pt idx="8">
                  <c:v>185</c:v>
                </c:pt>
                <c:pt idx="10">
                  <c:v>1091</c:v>
                </c:pt>
                <c:pt idx="12">
                  <c:v>506</c:v>
                </c:pt>
                <c:pt idx="14">
                  <c:v>171</c:v>
                </c:pt>
                <c:pt idx="16">
                  <c:v>913</c:v>
                </c:pt>
                <c:pt idx="18">
                  <c:v>656</c:v>
                </c:pt>
                <c:pt idx="20">
                  <c:v>336</c:v>
                </c:pt>
                <c:pt idx="22">
                  <c:v>530</c:v>
                </c:pt>
                <c:pt idx="24">
                  <c:v>1145</c:v>
                </c:pt>
                <c:pt idx="26">
                  <c:v>410</c:v>
                </c:pt>
                <c:pt idx="28">
                  <c:v>1229</c:v>
                </c:pt>
                <c:pt idx="30">
                  <c:v>37</c:v>
                </c:pt>
                <c:pt idx="32">
                  <c:v>428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3197856"/>
        <c:axId val="306830600"/>
      </c:lineChart>
      <c:catAx>
        <c:axId val="253197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800" b="1" i="0" u="none" strike="noStrike" kern="1200" baseline="0">
                <a:solidFill>
                  <a:srgbClr val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306830600"/>
        <c:crosses val="autoZero"/>
        <c:auto val="1"/>
        <c:lblAlgn val="ctr"/>
        <c:lblOffset val="100"/>
        <c:noMultiLvlLbl val="0"/>
      </c:catAx>
      <c:valAx>
        <c:axId val="3068306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50" b="1" i="0" u="none" strike="noStrike" kern="1200" baseline="0">
                <a:solidFill>
                  <a:srgbClr val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253197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413963037564803"/>
          <c:y val="1.1036113403671499E-2"/>
          <c:w val="9.9619032678060895E-2"/>
          <c:h val="0.19220777289524399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900" b="1" i="0" u="none" strike="noStrike" kern="1200" baseline="0">
              <a:solidFill>
                <a:srgbClr val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txPr>
    <a:bodyPr/>
    <a:lstStyle/>
    <a:p>
      <a:pPr>
        <a:defRPr lang="ru-RU" sz="11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Лист1!$F$39:$F$43</c:f>
              <c:strCache>
                <c:ptCount val="5"/>
                <c:pt idx="0">
                  <c:v>2,1 – 3 см.</c:v>
                </c:pt>
                <c:pt idx="1">
                  <c:v>3,1 – 4 см.</c:v>
                </c:pt>
                <c:pt idx="2">
                  <c:v>4,1– 5 см.</c:v>
                </c:pt>
                <c:pt idx="3">
                  <c:v>5,1 – 6 см. </c:v>
                </c:pt>
                <c:pt idx="4">
                  <c:v>6,1 – 10 см. </c:v>
                </c:pt>
              </c:strCache>
            </c:strRef>
          </c:cat>
          <c:val>
            <c:numRef>
              <c:f>Лист1!$G$39:$G$43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194576"/>
        <c:axId val="307194968"/>
      </c:barChart>
      <c:catAx>
        <c:axId val="30719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4968"/>
        <c:crosses val="autoZero"/>
        <c:auto val="1"/>
        <c:lblAlgn val="ctr"/>
        <c:lblOffset val="100"/>
        <c:noMultiLvlLbl val="0"/>
      </c:catAx>
      <c:valAx>
        <c:axId val="307194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4576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Лист1!$S$131:$S$137</c:f>
              <c:strCache>
                <c:ptCount val="7"/>
                <c:pt idx="0">
                  <c:v>900 - 1000 HU</c:v>
                </c:pt>
                <c:pt idx="1">
                  <c:v>1000 - 1200 HU</c:v>
                </c:pt>
                <c:pt idx="2">
                  <c:v>1200 - 1400 HU</c:v>
                </c:pt>
                <c:pt idx="3">
                  <c:v>1400 - 1600 HU</c:v>
                </c:pt>
                <c:pt idx="4">
                  <c:v>1600 - 1800 HU</c:v>
                </c:pt>
                <c:pt idx="5">
                  <c:v>1800 - 1900 HU</c:v>
                </c:pt>
                <c:pt idx="6">
                  <c:v>1900 - 2000 HU</c:v>
                </c:pt>
              </c:strCache>
            </c:strRef>
          </c:cat>
          <c:val>
            <c:numRef>
              <c:f>Лист1!$T$131:$T$137</c:f>
              <c:numCache>
                <c:formatCode>General</c:formatCode>
                <c:ptCount val="7"/>
              </c:numCache>
            </c:numRef>
          </c:val>
        </c:ser>
        <c:ser>
          <c:idx val="1"/>
          <c:order val="1"/>
          <c:spPr>
            <a:solidFill>
              <a:srgbClr val="4F81BD"/>
            </a:solidFill>
            <a:ln w="1905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Лист1!$S$131:$S$137</c:f>
              <c:strCache>
                <c:ptCount val="7"/>
                <c:pt idx="0">
                  <c:v>900 - 1000 HU</c:v>
                </c:pt>
                <c:pt idx="1">
                  <c:v>1000 - 1200 HU</c:v>
                </c:pt>
                <c:pt idx="2">
                  <c:v>1200 - 1400 HU</c:v>
                </c:pt>
                <c:pt idx="3">
                  <c:v>1400 - 1600 HU</c:v>
                </c:pt>
                <c:pt idx="4">
                  <c:v>1600 - 1800 HU</c:v>
                </c:pt>
                <c:pt idx="5">
                  <c:v>1800 - 1900 HU</c:v>
                </c:pt>
                <c:pt idx="6">
                  <c:v>1900 - 2000 HU</c:v>
                </c:pt>
              </c:strCache>
            </c:strRef>
          </c:cat>
          <c:val>
            <c:numRef>
              <c:f>Лист1!$U$131:$U$137</c:f>
              <c:numCache>
                <c:formatCode>General</c:formatCode>
                <c:ptCount val="7"/>
                <c:pt idx="0">
                  <c:v>7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198496"/>
        <c:axId val="307198104"/>
      </c:barChart>
      <c:catAx>
        <c:axId val="307198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8104"/>
        <c:crosses val="autoZero"/>
        <c:auto val="1"/>
        <c:lblAlgn val="ctr"/>
        <c:lblOffset val="100"/>
        <c:noMultiLvlLbl val="0"/>
      </c:catAx>
      <c:valAx>
        <c:axId val="307198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84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Лист1!$T$49:$T$51</c:f>
              <c:strCache>
                <c:ptCount val="3"/>
                <c:pt idx="0">
                  <c:v>левая сторона </c:v>
                </c:pt>
                <c:pt idx="1">
                  <c:v>правая сторона </c:v>
                </c:pt>
                <c:pt idx="2">
                  <c:v>двусторонние</c:v>
                </c:pt>
              </c:strCache>
            </c:strRef>
          </c:cat>
          <c:val>
            <c:numRef>
              <c:f>Лист1!$U$49:$U$51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196536"/>
        <c:axId val="307196928"/>
      </c:barChart>
      <c:catAx>
        <c:axId val="307196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6928"/>
        <c:crosses val="autoZero"/>
        <c:auto val="1"/>
        <c:lblAlgn val="ctr"/>
        <c:lblOffset val="100"/>
        <c:noMultiLvlLbl val="0"/>
      </c:catAx>
      <c:valAx>
        <c:axId val="307196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6536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51639734799901E-2"/>
          <c:y val="2.6340272887080501E-2"/>
          <c:w val="0.93086511724313004"/>
          <c:h val="0.7861221166223629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Лист1!$E$73:$E$77</c:f>
              <c:strCache>
                <c:ptCount val="5"/>
                <c:pt idx="0">
                  <c:v>Лоханка</c:v>
                </c:pt>
                <c:pt idx="1">
                  <c:v>Лоханочно-мочет. сегмент</c:v>
                </c:pt>
                <c:pt idx="2">
                  <c:v>Нижняя чашечка</c:v>
                </c:pt>
                <c:pt idx="3">
                  <c:v>Средняя чашечка</c:v>
                </c:pt>
                <c:pt idx="4">
                  <c:v>Верхняя чашечка</c:v>
                </c:pt>
              </c:strCache>
            </c:strRef>
          </c:cat>
          <c:val>
            <c:numRef>
              <c:f>Лист1!$F$73:$F$77</c:f>
              <c:numCache>
                <c:formatCode>General</c:formatCode>
                <c:ptCount val="5"/>
                <c:pt idx="0">
                  <c:v>11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199280"/>
        <c:axId val="307198888"/>
      </c:barChart>
      <c:catAx>
        <c:axId val="307199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8888"/>
        <c:crosses val="autoZero"/>
        <c:auto val="1"/>
        <c:lblAlgn val="ctr"/>
        <c:lblOffset val="100"/>
        <c:noMultiLvlLbl val="0"/>
      </c:catAx>
      <c:valAx>
        <c:axId val="307198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9280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488407699037593E-2"/>
          <c:y val="5.1400554097404502E-2"/>
          <c:w val="0.895749125109361"/>
          <c:h val="0.798225065616798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Лист1!$G$81</c:f>
              <c:strCache>
                <c:ptCount val="1"/>
                <c:pt idx="0">
                  <c:v>левая сторона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Лист1!$H$80:$J$80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 </c:v>
                </c:pt>
              </c:strCache>
            </c:strRef>
          </c:cat>
          <c:val>
            <c:numRef>
              <c:f>Лист1!$H$81:$J$81</c:f>
              <c:numCache>
                <c:formatCode>General</c:formatCode>
                <c:ptCount val="3"/>
                <c:pt idx="0">
                  <c:v>51</c:v>
                </c:pt>
                <c:pt idx="1">
                  <c:v>26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Лист1!$G$82</c:f>
              <c:strCache>
                <c:ptCount val="1"/>
                <c:pt idx="0">
                  <c:v>правая сторона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Лист1!$H$80:$J$80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 </c:v>
                </c:pt>
              </c:strCache>
            </c:strRef>
          </c:cat>
          <c:val>
            <c:numRef>
              <c:f>Лист1!$H$82:$J$82</c:f>
              <c:numCache>
                <c:formatCode>General</c:formatCode>
                <c:ptCount val="3"/>
                <c:pt idx="0">
                  <c:v>24</c:v>
                </c:pt>
                <c:pt idx="1">
                  <c:v>17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Лист1!$G$83</c:f>
              <c:strCache>
                <c:ptCount val="1"/>
                <c:pt idx="0">
                  <c:v>двусторонние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Лист1!$H$80:$J$80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 </c:v>
                </c:pt>
              </c:strCache>
            </c:strRef>
          </c:cat>
          <c:val>
            <c:numRef>
              <c:f>Лист1!$H$83:$J$83</c:f>
              <c:numCache>
                <c:formatCode>General</c:formatCode>
                <c:ptCount val="3"/>
                <c:pt idx="0">
                  <c:v>12</c:v>
                </c:pt>
                <c:pt idx="1">
                  <c:v>9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200064"/>
        <c:axId val="307195752"/>
      </c:barChart>
      <c:catAx>
        <c:axId val="307200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5752"/>
        <c:crosses val="autoZero"/>
        <c:auto val="1"/>
        <c:lblAlgn val="ctr"/>
        <c:lblOffset val="100"/>
        <c:noMultiLvlLbl val="0"/>
      </c:catAx>
      <c:valAx>
        <c:axId val="307195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200064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3579308836395499"/>
          <c:y val="9.6646252551764497E-2"/>
          <c:w val="0.63642913385826805"/>
          <c:h val="6.1336759988334801E-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000" b="1" i="0" u="none" strike="noStrik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488407699037593E-2"/>
          <c:y val="5.1400554097404502E-2"/>
          <c:w val="0.904374015748031"/>
          <c:h val="0.793398585593466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Лист1!$B$108</c:f>
              <c:strCache>
                <c:ptCount val="1"/>
                <c:pt idx="0">
                  <c:v>1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Лист1!$A$109:$A$115</c:f>
              <c:strCache>
                <c:ptCount val="7"/>
                <c:pt idx="0">
                  <c:v>До 1,5</c:v>
                </c:pt>
                <c:pt idx="1">
                  <c:v>1,5-2,0</c:v>
                </c:pt>
                <c:pt idx="2">
                  <c:v>2,1-3,0</c:v>
                </c:pt>
                <c:pt idx="3">
                  <c:v>3,1-4,0</c:v>
                </c:pt>
                <c:pt idx="4">
                  <c:v>4,1-5,0</c:v>
                </c:pt>
                <c:pt idx="5">
                  <c:v>5,1-6,0</c:v>
                </c:pt>
                <c:pt idx="6">
                  <c:v>6,1-10,0</c:v>
                </c:pt>
              </c:strCache>
            </c:strRef>
          </c:cat>
          <c:val>
            <c:numRef>
              <c:f>Лист1!$B$109:$B$115</c:f>
              <c:numCache>
                <c:formatCode>General</c:formatCode>
                <c:ptCount val="7"/>
                <c:pt idx="0">
                  <c:v>37</c:v>
                </c:pt>
                <c:pt idx="1">
                  <c:v>23</c:v>
                </c:pt>
                <c:pt idx="2">
                  <c:v>14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Лист1!$C$108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Лист1!$A$109:$A$115</c:f>
              <c:strCache>
                <c:ptCount val="7"/>
                <c:pt idx="0">
                  <c:v>До 1,5</c:v>
                </c:pt>
                <c:pt idx="1">
                  <c:v>1,5-2,0</c:v>
                </c:pt>
                <c:pt idx="2">
                  <c:v>2,1-3,0</c:v>
                </c:pt>
                <c:pt idx="3">
                  <c:v>3,1-4,0</c:v>
                </c:pt>
                <c:pt idx="4">
                  <c:v>4,1-5,0</c:v>
                </c:pt>
                <c:pt idx="5">
                  <c:v>5,1-6,0</c:v>
                </c:pt>
                <c:pt idx="6">
                  <c:v>6,1-10,0</c:v>
                </c:pt>
              </c:strCache>
            </c:strRef>
          </c:cat>
          <c:val>
            <c:numRef>
              <c:f>Лист1!$C$109:$C$115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11</c:v>
                </c:pt>
                <c:pt idx="3">
                  <c:v>14</c:v>
                </c:pt>
                <c:pt idx="4">
                  <c:v>8</c:v>
                </c:pt>
                <c:pt idx="5">
                  <c:v>12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Лист1!$D$108</c:f>
              <c:strCache>
                <c:ptCount val="1"/>
                <c:pt idx="0">
                  <c:v>3 группа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Лист1!$A$109:$A$115</c:f>
              <c:strCache>
                <c:ptCount val="7"/>
                <c:pt idx="0">
                  <c:v>До 1,5</c:v>
                </c:pt>
                <c:pt idx="1">
                  <c:v>1,5-2,0</c:v>
                </c:pt>
                <c:pt idx="2">
                  <c:v>2,1-3,0</c:v>
                </c:pt>
                <c:pt idx="3">
                  <c:v>3,1-4,0</c:v>
                </c:pt>
                <c:pt idx="4">
                  <c:v>4,1-5,0</c:v>
                </c:pt>
                <c:pt idx="5">
                  <c:v>5,1-6,0</c:v>
                </c:pt>
                <c:pt idx="6">
                  <c:v>6,1-10,0</c:v>
                </c:pt>
              </c:strCache>
            </c:strRef>
          </c:cat>
          <c:val>
            <c:numRef>
              <c:f>Лист1!$D$109:$D$115</c:f>
              <c:numCache>
                <c:formatCode>General</c:formatCode>
                <c:ptCount val="7"/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201240"/>
        <c:axId val="307193792"/>
      </c:barChart>
      <c:catAx>
        <c:axId val="307201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3792"/>
        <c:crosses val="autoZero"/>
        <c:auto val="1"/>
        <c:lblAlgn val="ctr"/>
        <c:lblOffset val="100"/>
        <c:noMultiLvlLbl val="0"/>
      </c:catAx>
      <c:valAx>
        <c:axId val="307193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201240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0552909011373599"/>
          <c:y val="4.1090696996209097E-2"/>
          <c:w val="0.70002646544182001"/>
          <c:h val="0.107633056284632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ru-RU" sz="1000" b="1" i="0" u="none" strike="noStrik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990813648294006E-2"/>
          <c:y val="5.4235928842228498E-2"/>
          <c:w val="0.92400918635170604"/>
          <c:h val="0.4614271653543329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Лист1!$A$108:$A$113</c:f>
              <c:strCache>
                <c:ptCount val="6"/>
                <c:pt idx="0">
                  <c:v>оксалаты</c:v>
                </c:pt>
                <c:pt idx="1">
                  <c:v>ураты</c:v>
                </c:pt>
                <c:pt idx="2">
                  <c:v>фосфаты</c:v>
                </c:pt>
                <c:pt idx="3">
                  <c:v>ураты+оксалаты</c:v>
                </c:pt>
                <c:pt idx="4">
                  <c:v>фосфаты+оксалаты</c:v>
                </c:pt>
                <c:pt idx="5">
                  <c:v>мочекислый аммоний </c:v>
                </c:pt>
              </c:strCache>
            </c:strRef>
          </c:cat>
          <c:val>
            <c:numRef>
              <c:f>Лист1!$B$108:$B$113</c:f>
              <c:numCache>
                <c:formatCode>General</c:formatCode>
                <c:ptCount val="6"/>
                <c:pt idx="0">
                  <c:v>43</c:v>
                </c:pt>
                <c:pt idx="1">
                  <c:v>34</c:v>
                </c:pt>
                <c:pt idx="2">
                  <c:v>3</c:v>
                </c:pt>
                <c:pt idx="3">
                  <c:v>38</c:v>
                </c:pt>
                <c:pt idx="4">
                  <c:v>19</c:v>
                </c:pt>
                <c:pt idx="5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196144"/>
        <c:axId val="309735520"/>
      </c:barChart>
      <c:catAx>
        <c:axId val="307196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9735520"/>
        <c:crosses val="autoZero"/>
        <c:auto val="1"/>
        <c:lblAlgn val="ctr"/>
        <c:lblOffset val="100"/>
        <c:noMultiLvlLbl val="0"/>
      </c:catAx>
      <c:valAx>
        <c:axId val="30973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96144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 rot="0" spcFirstLastPara="0" vertOverflow="ellipsis" vert="horz" wrap="square" anchor="ctr" anchorCtr="1"/>
        <a:lstStyle/>
        <a:p>
          <a:pPr>
            <a:defRPr lang="ru-RU" sz="1800" b="1" i="0" u="none" strike="noStrike" kern="1200" baseline="0">
              <a:solidFill>
                <a:srgbClr val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Лист1!$G$4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Лист1!$F$5:$F$7</c:f>
              <c:strCache>
                <c:ptCount val="3"/>
                <c:pt idx="0">
                  <c:v>до 1,5 см. </c:v>
                </c:pt>
                <c:pt idx="1">
                  <c:v>1,6 - 2 см.</c:v>
                </c:pt>
                <c:pt idx="2">
                  <c:v>2,1 - 3 см.</c:v>
                </c:pt>
              </c:strCache>
            </c:strRef>
          </c:cat>
          <c:val>
            <c:numRef>
              <c:f>Лист1!$G$5:$G$7</c:f>
              <c:numCache>
                <c:formatCode>General</c:formatCode>
                <c:ptCount val="3"/>
                <c:pt idx="0">
                  <c:v>37</c:v>
                </c:pt>
                <c:pt idx="1">
                  <c:v>23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6833736"/>
        <c:axId val="128977648"/>
      </c:barChart>
      <c:catAx>
        <c:axId val="306833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977648"/>
        <c:crosses val="autoZero"/>
        <c:auto val="1"/>
        <c:lblAlgn val="ctr"/>
        <c:lblOffset val="100"/>
        <c:noMultiLvlLbl val="0"/>
      </c:catAx>
      <c:valAx>
        <c:axId val="12897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833736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Лист1!$F$10:$F$12</c:f>
              <c:strCache>
                <c:ptCount val="3"/>
                <c:pt idx="0">
                  <c:v>левая сторона </c:v>
                </c:pt>
                <c:pt idx="1">
                  <c:v>правая сторона </c:v>
                </c:pt>
                <c:pt idx="2">
                  <c:v>двусторонние</c:v>
                </c:pt>
              </c:strCache>
            </c:strRef>
          </c:cat>
          <c:val>
            <c:numRef>
              <c:f>Лист1!$G$10:$G$12</c:f>
              <c:numCache>
                <c:formatCode>General</c:formatCode>
                <c:ptCount val="3"/>
                <c:pt idx="0">
                  <c:v>38</c:v>
                </c:pt>
                <c:pt idx="1">
                  <c:v>24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2198184"/>
        <c:axId val="252197400"/>
      </c:barChart>
      <c:catAx>
        <c:axId val="252198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97400"/>
        <c:crosses val="autoZero"/>
        <c:auto val="1"/>
        <c:lblAlgn val="ctr"/>
        <c:lblOffset val="100"/>
        <c:noMultiLvlLbl val="0"/>
      </c:catAx>
      <c:valAx>
        <c:axId val="252197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98184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256012827365101E-2"/>
          <c:y val="6.0286436993142803E-2"/>
          <c:w val="0.91591662212720504"/>
          <c:h val="0.6946266574729219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Лист1!$F$25:$F$29</c:f>
              <c:strCache>
                <c:ptCount val="5"/>
                <c:pt idx="0">
                  <c:v>Лоханка</c:v>
                </c:pt>
                <c:pt idx="1">
                  <c:v>Лоханочно-мочет. сегмент</c:v>
                </c:pt>
                <c:pt idx="2">
                  <c:v>Нижняя чашечка</c:v>
                </c:pt>
                <c:pt idx="3">
                  <c:v>Средняя чашечка</c:v>
                </c:pt>
                <c:pt idx="4">
                  <c:v>Верхняя чашечка</c:v>
                </c:pt>
              </c:strCache>
            </c:strRef>
          </c:cat>
          <c:val>
            <c:numRef>
              <c:f>Лист1!$G$25:$G$29</c:f>
              <c:numCache>
                <c:formatCode>General</c:formatCode>
                <c:ptCount val="5"/>
                <c:pt idx="0">
                  <c:v>41</c:v>
                </c:pt>
                <c:pt idx="1">
                  <c:v>8</c:v>
                </c:pt>
                <c:pt idx="2">
                  <c:v>12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2197792"/>
        <c:axId val="252195832"/>
      </c:barChart>
      <c:catAx>
        <c:axId val="252197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8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95832"/>
        <c:crosses val="autoZero"/>
        <c:auto val="1"/>
        <c:lblAlgn val="ctr"/>
        <c:lblOffset val="100"/>
        <c:noMultiLvlLbl val="0"/>
      </c:catAx>
      <c:valAx>
        <c:axId val="252195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97792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821190189539103E-2"/>
          <c:y val="5.4235928842228102E-2"/>
          <c:w val="0.92417880981046097"/>
          <c:h val="0.738885243511227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Лист1!$A$121:$A$126</c:f>
              <c:strCache>
                <c:ptCount val="6"/>
                <c:pt idx="0">
                  <c:v>300 - 1000 HU</c:v>
                </c:pt>
                <c:pt idx="1">
                  <c:v>1000 - 1200 HU</c:v>
                </c:pt>
                <c:pt idx="2">
                  <c:v>1200 - 1400 HU</c:v>
                </c:pt>
                <c:pt idx="3">
                  <c:v>1400 - 1600 HU</c:v>
                </c:pt>
                <c:pt idx="4">
                  <c:v>1600 - 1800 HU</c:v>
                </c:pt>
                <c:pt idx="5">
                  <c:v>1800 - 1900 HU</c:v>
                </c:pt>
              </c:strCache>
            </c:strRef>
          </c:cat>
          <c:val>
            <c:numRef>
              <c:f>Лист1!$B$121:$B$126</c:f>
              <c:numCache>
                <c:formatCode>General</c:formatCode>
                <c:ptCount val="6"/>
                <c:pt idx="0">
                  <c:v>45</c:v>
                </c:pt>
                <c:pt idx="1">
                  <c:v>14</c:v>
                </c:pt>
                <c:pt idx="2">
                  <c:v>7</c:v>
                </c:pt>
                <c:pt idx="3">
                  <c:v>3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2195440"/>
        <c:axId val="252196224"/>
      </c:barChart>
      <c:catAx>
        <c:axId val="252195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7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96224"/>
        <c:crosses val="autoZero"/>
        <c:auto val="1"/>
        <c:lblAlgn val="ctr"/>
        <c:lblOffset val="100"/>
        <c:noMultiLvlLbl val="0"/>
      </c:catAx>
      <c:valAx>
        <c:axId val="252196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95440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Лист1!$A$52:$A$56</c:f>
              <c:strCache>
                <c:ptCount val="5"/>
                <c:pt idx="0">
                  <c:v>1,6 - 2 см.</c:v>
                </c:pt>
                <c:pt idx="1">
                  <c:v>2,1 - 3 см.</c:v>
                </c:pt>
                <c:pt idx="2">
                  <c:v>3,1 – 4 см.</c:v>
                </c:pt>
                <c:pt idx="3">
                  <c:v>4,1– 5 см.</c:v>
                </c:pt>
                <c:pt idx="4">
                  <c:v>5,1 – 6 см. </c:v>
                </c:pt>
              </c:strCache>
            </c:strRef>
          </c:cat>
          <c:val>
            <c:numRef>
              <c:f>Лист1!$B$52:$B$56</c:f>
              <c:numCache>
                <c:formatCode>General</c:formatCode>
                <c:ptCount val="5"/>
                <c:pt idx="0">
                  <c:v>7</c:v>
                </c:pt>
                <c:pt idx="1">
                  <c:v>11</c:v>
                </c:pt>
                <c:pt idx="2">
                  <c:v>14</c:v>
                </c:pt>
                <c:pt idx="3">
                  <c:v>8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2197008"/>
        <c:axId val="307163376"/>
      </c:barChart>
      <c:catAx>
        <c:axId val="252197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3376"/>
        <c:crosses val="autoZero"/>
        <c:auto val="1"/>
        <c:lblAlgn val="ctr"/>
        <c:lblOffset val="100"/>
        <c:noMultiLvlLbl val="0"/>
      </c:catAx>
      <c:valAx>
        <c:axId val="307163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197008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Лист1!$S$122:$S$128</c:f>
              <c:strCache>
                <c:ptCount val="7"/>
                <c:pt idx="0">
                  <c:v>500 - 1000 HU</c:v>
                </c:pt>
                <c:pt idx="1">
                  <c:v>1000 - 1200 HU</c:v>
                </c:pt>
                <c:pt idx="2">
                  <c:v>1200 - 1400 HU</c:v>
                </c:pt>
                <c:pt idx="3">
                  <c:v>1400 - 1600 HU</c:v>
                </c:pt>
                <c:pt idx="4">
                  <c:v>1600 - 1800 HU</c:v>
                </c:pt>
                <c:pt idx="5">
                  <c:v>1800 - 1900 HU</c:v>
                </c:pt>
                <c:pt idx="6">
                  <c:v>1900 - 2000 HU</c:v>
                </c:pt>
              </c:strCache>
            </c:strRef>
          </c:cat>
          <c:val>
            <c:numRef>
              <c:f>Лист1!$T$122:$T$128</c:f>
              <c:numCache>
                <c:formatCode>General</c:formatCode>
                <c:ptCount val="7"/>
              </c:numCache>
            </c:numRef>
          </c:val>
        </c:ser>
        <c:ser>
          <c:idx val="1"/>
          <c:order val="1"/>
          <c:spPr>
            <a:solidFill>
              <a:srgbClr val="4F81BD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Лист1!$S$122:$S$128</c:f>
              <c:strCache>
                <c:ptCount val="7"/>
                <c:pt idx="0">
                  <c:v>500 - 1000 HU</c:v>
                </c:pt>
                <c:pt idx="1">
                  <c:v>1000 - 1200 HU</c:v>
                </c:pt>
                <c:pt idx="2">
                  <c:v>1200 - 1400 HU</c:v>
                </c:pt>
                <c:pt idx="3">
                  <c:v>1400 - 1600 HU</c:v>
                </c:pt>
                <c:pt idx="4">
                  <c:v>1600 - 1800 HU</c:v>
                </c:pt>
                <c:pt idx="5">
                  <c:v>1800 - 1900 HU</c:v>
                </c:pt>
                <c:pt idx="6">
                  <c:v>1900 - 2000 HU</c:v>
                </c:pt>
              </c:strCache>
            </c:strRef>
          </c:cat>
          <c:val>
            <c:numRef>
              <c:f>Лист1!$U$122:$U$128</c:f>
              <c:numCache>
                <c:formatCode>General</c:formatCode>
                <c:ptCount val="7"/>
                <c:pt idx="0">
                  <c:v>19</c:v>
                </c:pt>
                <c:pt idx="1">
                  <c:v>12</c:v>
                </c:pt>
                <c:pt idx="2">
                  <c:v>14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161416"/>
        <c:axId val="307162984"/>
      </c:barChart>
      <c:catAx>
        <c:axId val="307161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2984"/>
        <c:crosses val="autoZero"/>
        <c:auto val="1"/>
        <c:lblAlgn val="ctr"/>
        <c:lblOffset val="100"/>
        <c:noMultiLvlLbl val="0"/>
      </c:catAx>
      <c:valAx>
        <c:axId val="307162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14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Лист1!$E$51:$E$53</c:f>
              <c:strCache>
                <c:ptCount val="3"/>
                <c:pt idx="0">
                  <c:v>левая сторона </c:v>
                </c:pt>
                <c:pt idx="1">
                  <c:v>правая сторона </c:v>
                </c:pt>
                <c:pt idx="2">
                  <c:v>двусторонние</c:v>
                </c:pt>
              </c:strCache>
            </c:strRef>
          </c:cat>
          <c:val>
            <c:numRef>
              <c:f>Лист1!$F$51:$F$53</c:f>
              <c:numCache>
                <c:formatCode>General</c:formatCode>
                <c:ptCount val="3"/>
                <c:pt idx="0">
                  <c:v>26</c:v>
                </c:pt>
                <c:pt idx="1">
                  <c:v>17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161024"/>
        <c:axId val="307164160"/>
      </c:barChart>
      <c:catAx>
        <c:axId val="307161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4160"/>
        <c:crosses val="autoZero"/>
        <c:auto val="1"/>
        <c:lblAlgn val="ctr"/>
        <c:lblOffset val="100"/>
        <c:noMultiLvlLbl val="0"/>
      </c:catAx>
      <c:valAx>
        <c:axId val="307164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1024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566057471598498E-2"/>
          <c:y val="3.4034496644241699E-2"/>
          <c:w val="0.94543394252840296"/>
          <c:h val="0.8047794108716610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15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Лист1!$E$61:$E$65</c:f>
              <c:strCache>
                <c:ptCount val="5"/>
                <c:pt idx="0">
                  <c:v>Лоханка</c:v>
                </c:pt>
                <c:pt idx="1">
                  <c:v>Лоханочно-мочет. сегмент</c:v>
                </c:pt>
                <c:pt idx="2">
                  <c:v>Нижняя чашечка</c:v>
                </c:pt>
                <c:pt idx="3">
                  <c:v>Средняя чашечка</c:v>
                </c:pt>
                <c:pt idx="4">
                  <c:v>Верхняя чашечка</c:v>
                </c:pt>
              </c:strCache>
            </c:strRef>
          </c:cat>
          <c:val>
            <c:numRef>
              <c:f>Лист1!$F$61:$F$65</c:f>
              <c:numCache>
                <c:formatCode>General</c:formatCode>
                <c:ptCount val="5"/>
                <c:pt idx="0">
                  <c:v>15</c:v>
                </c:pt>
                <c:pt idx="1">
                  <c:v>2</c:v>
                </c:pt>
                <c:pt idx="2">
                  <c:v>25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07161808"/>
        <c:axId val="307162200"/>
      </c:barChart>
      <c:catAx>
        <c:axId val="307161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0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2200"/>
        <c:crosses val="autoZero"/>
        <c:auto val="1"/>
        <c:lblAlgn val="ctr"/>
        <c:lblOffset val="100"/>
        <c:noMultiLvlLbl val="0"/>
      </c:catAx>
      <c:valAx>
        <c:axId val="307162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150" b="1" i="0" u="none" strike="noStrike" kern="1200" baseline="0">
                <a:solidFill>
                  <a:srgbClr val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7161808"/>
        <c:crosses val="autoZero"/>
        <c:crossBetween val="between"/>
      </c:valAx>
      <c:spPr>
        <a:solidFill>
          <a:srgbClr val="FFFFFF"/>
        </a:solidFill>
        <a:ln>
          <a:noFill/>
        </a:ln>
        <a:effectLst/>
      </c:spPr>
    </c:plotArea>
    <c:plotVisOnly val="1"/>
    <c:dispBlanksAs val="gap"/>
    <c:showDLblsOverMax val="0"/>
  </c:chart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35637</Words>
  <Characters>203131</Characters>
  <Application>Microsoft Office Word</Application>
  <DocSecurity>0</DocSecurity>
  <Lines>1692</Lines>
  <Paragraphs>476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238292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2022-09-14T04:21:00Z</dcterms:created>
  <dcterms:modified xsi:type="dcterms:W3CDTF">2022-09-14T04:21:00Z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536B49FC904A46E589211855A5C8B4C9</vt:lpwstr>
  </property>
</Properties>
</file>