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chart6.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7.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8.xml" ContentType="application/vnd.openxmlformats-officedocument.drawingml.chart+xml"/>
  <Override PartName="/word/charts/chart9.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10.xml" ContentType="application/vnd.openxmlformats-officedocument.drawingml.chart+xml"/>
  <Override PartName="/word/charts/style7.xml" ContentType="application/vnd.ms-office.chartstyle+xml"/>
  <Override PartName="/word/charts/colors7.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A3797" w:rsidRDefault="00A660E7">
      <w:pPr>
        <w:spacing w:after="0" w:line="240" w:lineRule="auto"/>
        <w:jc w:val="center"/>
        <w:rPr>
          <w:rFonts w:ascii="Times New Roman" w:eastAsia="Times New Roman" w:hAnsi="Times New Roman" w:cs="Times New Roman"/>
          <w:sz w:val="28"/>
          <w:szCs w:val="28"/>
        </w:rPr>
      </w:pPr>
      <w:bookmarkStart w:id="0" w:name="_GoBack"/>
      <w:bookmarkEnd w:id="0"/>
      <w:r>
        <w:rPr>
          <w:rFonts w:ascii="Times New Roman" w:eastAsia="Times New Roman" w:hAnsi="Times New Roman" w:cs="Times New Roman"/>
          <w:sz w:val="28"/>
          <w:szCs w:val="28"/>
        </w:rPr>
        <w:t>Казахстанский медицинский университет «Высшая школа общественного здравоохранения»</w:t>
      </w:r>
    </w:p>
    <w:p w:rsidR="000A3797" w:rsidRDefault="000A3797">
      <w:pPr>
        <w:spacing w:after="0" w:line="240" w:lineRule="auto"/>
        <w:jc w:val="center"/>
        <w:rPr>
          <w:rFonts w:ascii="Times New Roman" w:eastAsia="Times New Roman" w:hAnsi="Times New Roman" w:cs="Times New Roman"/>
          <w:sz w:val="28"/>
          <w:szCs w:val="28"/>
        </w:rPr>
      </w:pPr>
    </w:p>
    <w:p w:rsidR="000A3797" w:rsidRDefault="00A660E7">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УДК 618.14-007.42                                                        На правах рукописи</w:t>
      </w:r>
    </w:p>
    <w:p w:rsidR="000A3797" w:rsidRDefault="000A3797">
      <w:pPr>
        <w:spacing w:after="0" w:line="240" w:lineRule="auto"/>
        <w:jc w:val="center"/>
        <w:rPr>
          <w:rFonts w:ascii="Times New Roman" w:eastAsia="Times New Roman" w:hAnsi="Times New Roman" w:cs="Times New Roman"/>
          <w:sz w:val="28"/>
          <w:szCs w:val="28"/>
        </w:rPr>
      </w:pPr>
    </w:p>
    <w:p w:rsidR="000A3797" w:rsidRDefault="000A3797">
      <w:pPr>
        <w:spacing w:after="0" w:line="240" w:lineRule="auto"/>
        <w:jc w:val="center"/>
        <w:rPr>
          <w:rFonts w:ascii="Times New Roman" w:eastAsia="Times New Roman" w:hAnsi="Times New Roman" w:cs="Times New Roman"/>
          <w:sz w:val="28"/>
          <w:szCs w:val="28"/>
        </w:rPr>
      </w:pPr>
    </w:p>
    <w:p w:rsidR="000A3797" w:rsidRDefault="000A3797">
      <w:pPr>
        <w:spacing w:after="0" w:line="240" w:lineRule="auto"/>
        <w:jc w:val="center"/>
        <w:rPr>
          <w:rFonts w:ascii="Times New Roman" w:eastAsia="Times New Roman" w:hAnsi="Times New Roman" w:cs="Times New Roman"/>
          <w:sz w:val="28"/>
          <w:szCs w:val="28"/>
        </w:rPr>
      </w:pPr>
    </w:p>
    <w:p w:rsidR="000A3797" w:rsidRDefault="00A660E7">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ЛАКТИОНОВА МАРИЯ ВЛАДИМИРОВНА</w:t>
      </w: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A660E7">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Качество жизни и обоснование новых организационных форм послеоперационного ведения пациентов с генитальным пролапсом в организациях ПМСП</w:t>
      </w:r>
    </w:p>
    <w:p w:rsidR="000A3797" w:rsidRDefault="000A3797">
      <w:pPr>
        <w:spacing w:after="0" w:line="240" w:lineRule="auto"/>
        <w:jc w:val="center"/>
        <w:rPr>
          <w:rFonts w:ascii="Times New Roman" w:eastAsia="Times New Roman" w:hAnsi="Times New Roman" w:cs="Times New Roman"/>
          <w:b/>
          <w:sz w:val="28"/>
          <w:szCs w:val="28"/>
        </w:rPr>
      </w:pPr>
    </w:p>
    <w:p w:rsidR="000A3797" w:rsidRDefault="00A660E7">
      <w:pPr>
        <w:tabs>
          <w:tab w:val="left" w:pos="142"/>
          <w:tab w:val="left" w:pos="9639"/>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8D10139 - Общественное здравоохранение</w:t>
      </w:r>
    </w:p>
    <w:p w:rsidR="000A3797" w:rsidRDefault="000A3797">
      <w:pPr>
        <w:tabs>
          <w:tab w:val="left" w:pos="142"/>
          <w:tab w:val="left" w:pos="9639"/>
        </w:tabs>
        <w:spacing w:after="0" w:line="240" w:lineRule="auto"/>
        <w:jc w:val="center"/>
        <w:rPr>
          <w:rFonts w:ascii="Times New Roman" w:eastAsia="Times New Roman" w:hAnsi="Times New Roman" w:cs="Times New Roman"/>
          <w:sz w:val="28"/>
          <w:szCs w:val="28"/>
        </w:rPr>
      </w:pPr>
    </w:p>
    <w:p w:rsidR="000A3797" w:rsidRDefault="000A3797">
      <w:pPr>
        <w:tabs>
          <w:tab w:val="left" w:pos="142"/>
          <w:tab w:val="left" w:pos="9639"/>
        </w:tabs>
        <w:spacing w:after="0" w:line="240" w:lineRule="auto"/>
        <w:jc w:val="center"/>
        <w:rPr>
          <w:rFonts w:ascii="Times New Roman" w:eastAsia="Times New Roman" w:hAnsi="Times New Roman" w:cs="Times New Roman"/>
          <w:sz w:val="28"/>
          <w:szCs w:val="28"/>
        </w:rPr>
      </w:pPr>
    </w:p>
    <w:p w:rsidR="000A3797" w:rsidRDefault="000A3797">
      <w:pPr>
        <w:tabs>
          <w:tab w:val="left" w:pos="142"/>
          <w:tab w:val="left" w:pos="9639"/>
        </w:tabs>
        <w:spacing w:after="0" w:line="240" w:lineRule="auto"/>
        <w:jc w:val="center"/>
        <w:rPr>
          <w:rFonts w:ascii="Times New Roman" w:eastAsia="Times New Roman" w:hAnsi="Times New Roman" w:cs="Times New Roman"/>
          <w:sz w:val="28"/>
          <w:szCs w:val="28"/>
        </w:rPr>
      </w:pPr>
    </w:p>
    <w:p w:rsidR="000A3797" w:rsidRDefault="000A3797">
      <w:pPr>
        <w:tabs>
          <w:tab w:val="left" w:pos="142"/>
          <w:tab w:val="left" w:pos="9639"/>
        </w:tabs>
        <w:spacing w:after="0" w:line="240" w:lineRule="auto"/>
        <w:jc w:val="center"/>
        <w:rPr>
          <w:rFonts w:ascii="Times New Roman" w:eastAsia="Times New Roman" w:hAnsi="Times New Roman" w:cs="Times New Roman"/>
          <w:sz w:val="28"/>
          <w:szCs w:val="28"/>
        </w:rPr>
      </w:pPr>
    </w:p>
    <w:p w:rsidR="000A3797" w:rsidRDefault="000A3797">
      <w:pPr>
        <w:tabs>
          <w:tab w:val="left" w:pos="142"/>
          <w:tab w:val="left" w:pos="9639"/>
        </w:tabs>
        <w:spacing w:after="0" w:line="240" w:lineRule="auto"/>
        <w:jc w:val="center"/>
        <w:rPr>
          <w:rFonts w:ascii="Times New Roman" w:eastAsia="Times New Roman" w:hAnsi="Times New Roman" w:cs="Times New Roman"/>
          <w:sz w:val="28"/>
          <w:szCs w:val="28"/>
        </w:rPr>
      </w:pPr>
    </w:p>
    <w:p w:rsidR="000A3797" w:rsidRDefault="00A660E7">
      <w:pPr>
        <w:tabs>
          <w:tab w:val="left" w:pos="142"/>
          <w:tab w:val="left" w:pos="9639"/>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Диссертация на соискание степени </w:t>
      </w:r>
    </w:p>
    <w:p w:rsidR="000A3797" w:rsidRDefault="00A660E7">
      <w:pPr>
        <w:tabs>
          <w:tab w:val="left" w:pos="142"/>
          <w:tab w:val="left" w:pos="9639"/>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доктора философии (PhD)</w:t>
      </w:r>
    </w:p>
    <w:p w:rsidR="000A3797" w:rsidRDefault="000A3797">
      <w:pPr>
        <w:tabs>
          <w:tab w:val="left" w:pos="142"/>
          <w:tab w:val="left" w:pos="9639"/>
        </w:tabs>
        <w:spacing w:after="0" w:line="240" w:lineRule="auto"/>
        <w:jc w:val="center"/>
        <w:rPr>
          <w:rFonts w:ascii="Times New Roman" w:eastAsia="Times New Roman" w:hAnsi="Times New Roman" w:cs="Times New Roman"/>
          <w:sz w:val="28"/>
          <w:szCs w:val="28"/>
        </w:rPr>
      </w:pPr>
    </w:p>
    <w:p w:rsidR="000A3797" w:rsidRDefault="000A3797">
      <w:pPr>
        <w:tabs>
          <w:tab w:val="left" w:pos="142"/>
          <w:tab w:val="left" w:pos="9639"/>
        </w:tabs>
        <w:spacing w:after="0" w:line="240" w:lineRule="auto"/>
        <w:jc w:val="right"/>
        <w:rPr>
          <w:rFonts w:ascii="Times New Roman" w:eastAsia="Times New Roman" w:hAnsi="Times New Roman" w:cs="Times New Roman"/>
          <w:sz w:val="28"/>
          <w:szCs w:val="28"/>
        </w:rPr>
      </w:pPr>
    </w:p>
    <w:p w:rsidR="000A3797" w:rsidRDefault="000A3797">
      <w:pPr>
        <w:tabs>
          <w:tab w:val="left" w:pos="142"/>
          <w:tab w:val="left" w:pos="9639"/>
        </w:tabs>
        <w:spacing w:after="0" w:line="240" w:lineRule="auto"/>
        <w:jc w:val="right"/>
        <w:rPr>
          <w:rFonts w:ascii="Times New Roman" w:eastAsia="Times New Roman" w:hAnsi="Times New Roman" w:cs="Times New Roman"/>
          <w:sz w:val="28"/>
          <w:szCs w:val="28"/>
        </w:rPr>
      </w:pPr>
    </w:p>
    <w:p w:rsidR="000A3797" w:rsidRDefault="00A660E7">
      <w:pPr>
        <w:tabs>
          <w:tab w:val="left" w:pos="142"/>
          <w:tab w:val="left" w:pos="9639"/>
        </w:tabs>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Научный консу</w:t>
      </w:r>
      <w:r>
        <w:rPr>
          <w:rFonts w:ascii="Times New Roman" w:eastAsia="Times New Roman" w:hAnsi="Times New Roman" w:cs="Times New Roman"/>
          <w:sz w:val="28"/>
          <w:szCs w:val="28"/>
        </w:rPr>
        <w:t>льтанты:</w:t>
      </w:r>
    </w:p>
    <w:p w:rsidR="000A3797" w:rsidRDefault="00A660E7">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д.м.н.,</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профессор</w:t>
      </w:r>
    </w:p>
    <w:p w:rsidR="000A3797" w:rsidRDefault="00A660E7">
      <w:pPr>
        <w:spacing w:after="0" w:line="240" w:lineRule="auto"/>
        <w:jc w:val="right"/>
        <w:rPr>
          <w:rFonts w:ascii="Times New Roman" w:eastAsia="Times New Roman" w:hAnsi="Times New Roman" w:cs="Times New Roman"/>
          <w:b/>
          <w:sz w:val="28"/>
          <w:szCs w:val="28"/>
        </w:rPr>
      </w:pPr>
      <w:r>
        <w:rPr>
          <w:rFonts w:ascii="Times New Roman" w:eastAsia="Times New Roman" w:hAnsi="Times New Roman" w:cs="Times New Roman"/>
          <w:sz w:val="28"/>
          <w:szCs w:val="28"/>
        </w:rPr>
        <w:t>Арингазина А.М.</w:t>
      </w:r>
    </w:p>
    <w:p w:rsidR="000A3797" w:rsidRDefault="000A3797">
      <w:pPr>
        <w:spacing w:after="0" w:line="240" w:lineRule="auto"/>
        <w:rPr>
          <w:rFonts w:ascii="Times New Roman" w:eastAsia="Times New Roman" w:hAnsi="Times New Roman" w:cs="Times New Roman"/>
          <w:sz w:val="28"/>
          <w:szCs w:val="28"/>
        </w:rPr>
      </w:pPr>
      <w:bookmarkStart w:id="1" w:name="_gjdgxs" w:colFirst="0" w:colLast="0"/>
      <w:bookmarkEnd w:id="1"/>
    </w:p>
    <w:p w:rsidR="000A3797" w:rsidRDefault="00A660E7">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д.м.н.,</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профессор</w:t>
      </w:r>
    </w:p>
    <w:p w:rsidR="000A3797" w:rsidRDefault="00A660E7">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Кульжанов М.К.</w:t>
      </w:r>
    </w:p>
    <w:p w:rsidR="000A3797" w:rsidRDefault="000A3797">
      <w:pPr>
        <w:spacing w:after="0" w:line="240" w:lineRule="auto"/>
        <w:jc w:val="right"/>
        <w:rPr>
          <w:rFonts w:ascii="Times New Roman" w:eastAsia="Times New Roman" w:hAnsi="Times New Roman" w:cs="Times New Roman"/>
          <w:sz w:val="28"/>
          <w:szCs w:val="28"/>
        </w:rPr>
      </w:pPr>
    </w:p>
    <w:p w:rsidR="000A3797" w:rsidRDefault="00A660E7">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Зарубежный консультант:</w:t>
      </w:r>
    </w:p>
    <w:p w:rsidR="000A3797" w:rsidRDefault="00A660E7">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д.м.н.,</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профессор</w:t>
      </w:r>
    </w:p>
    <w:p w:rsidR="000A3797" w:rsidRDefault="00A660E7">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Аскеров А.А.</w:t>
      </w:r>
    </w:p>
    <w:p w:rsidR="000A3797" w:rsidRDefault="000A3797">
      <w:pPr>
        <w:spacing w:after="0" w:line="240" w:lineRule="auto"/>
        <w:jc w:val="right"/>
        <w:rPr>
          <w:rFonts w:ascii="Times New Roman" w:eastAsia="Times New Roman" w:hAnsi="Times New Roman" w:cs="Times New Roman"/>
          <w:sz w:val="28"/>
          <w:szCs w:val="28"/>
        </w:rPr>
      </w:pPr>
    </w:p>
    <w:p w:rsidR="000A3797" w:rsidRDefault="000A3797">
      <w:pPr>
        <w:spacing w:after="0" w:line="240" w:lineRule="auto"/>
        <w:jc w:val="right"/>
        <w:rPr>
          <w:rFonts w:ascii="Times New Roman" w:eastAsia="Times New Roman" w:hAnsi="Times New Roman" w:cs="Times New Roman"/>
          <w:sz w:val="28"/>
          <w:szCs w:val="28"/>
        </w:rPr>
      </w:pPr>
    </w:p>
    <w:p w:rsidR="000A3797" w:rsidRDefault="000A3797">
      <w:pPr>
        <w:spacing w:after="0" w:line="240" w:lineRule="auto"/>
        <w:jc w:val="center"/>
        <w:rPr>
          <w:rFonts w:ascii="Times New Roman" w:eastAsia="Times New Roman" w:hAnsi="Times New Roman" w:cs="Times New Roman"/>
          <w:sz w:val="28"/>
          <w:szCs w:val="28"/>
        </w:rPr>
      </w:pPr>
    </w:p>
    <w:p w:rsidR="000A3797" w:rsidRDefault="000A3797">
      <w:pPr>
        <w:spacing w:after="0" w:line="240" w:lineRule="auto"/>
        <w:jc w:val="center"/>
        <w:rPr>
          <w:rFonts w:ascii="Times New Roman" w:eastAsia="Times New Roman" w:hAnsi="Times New Roman" w:cs="Times New Roman"/>
          <w:sz w:val="28"/>
          <w:szCs w:val="28"/>
        </w:rPr>
      </w:pPr>
    </w:p>
    <w:p w:rsidR="000A3797" w:rsidRDefault="000A3797">
      <w:pPr>
        <w:spacing w:after="0" w:line="240" w:lineRule="auto"/>
        <w:jc w:val="center"/>
        <w:rPr>
          <w:rFonts w:ascii="Times New Roman" w:eastAsia="Times New Roman" w:hAnsi="Times New Roman" w:cs="Times New Roman"/>
          <w:sz w:val="28"/>
          <w:szCs w:val="28"/>
        </w:rPr>
      </w:pPr>
    </w:p>
    <w:p w:rsidR="000A3797" w:rsidRDefault="000A3797">
      <w:pPr>
        <w:spacing w:after="0" w:line="240" w:lineRule="auto"/>
        <w:jc w:val="center"/>
        <w:rPr>
          <w:rFonts w:ascii="Times New Roman" w:eastAsia="Times New Roman" w:hAnsi="Times New Roman" w:cs="Times New Roman"/>
          <w:sz w:val="28"/>
          <w:szCs w:val="28"/>
        </w:rPr>
      </w:pPr>
    </w:p>
    <w:p w:rsidR="000A3797" w:rsidRDefault="00A660E7">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Республика Казахстан</w:t>
      </w:r>
    </w:p>
    <w:p w:rsidR="000A3797" w:rsidRDefault="00A660E7">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Алматы, 2024</w:t>
      </w:r>
    </w:p>
    <w:p w:rsidR="000A3797" w:rsidRDefault="00A660E7">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СОДЕРЖАНИЕ</w:t>
      </w:r>
    </w:p>
    <w:p w:rsidR="000A3797" w:rsidRDefault="00A660E7">
      <w:pPr>
        <w:keepNext/>
        <w:keepLines/>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НОРМАТИВНЫЕ ССЫЛКИ 4</w:t>
      </w:r>
    </w:p>
    <w:p w:rsidR="000A3797" w:rsidRDefault="00A660E7">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ОПРЕДЕЛЕНИЯ6</w:t>
      </w:r>
    </w:p>
    <w:p w:rsidR="000A3797" w:rsidRDefault="00A660E7">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ОБОЗНАЧЕНИЯ И СОКРАЩЕНИЯ7</w:t>
      </w:r>
    </w:p>
    <w:p w:rsidR="000A3797" w:rsidRDefault="00A660E7">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ВВЕДЕНИЕ8</w:t>
      </w:r>
    </w:p>
    <w:p w:rsidR="000A3797" w:rsidRDefault="00A660E7">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 ЛИТЕРАТУРНЫЙ ОБЗОР17</w:t>
      </w:r>
    </w:p>
    <w:p w:rsidR="000A3797" w:rsidRDefault="00A660E7">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1.1 </w:t>
      </w:r>
      <w:r>
        <w:rPr>
          <w:rFonts w:ascii="Times New Roman" w:eastAsia="Times New Roman" w:hAnsi="Times New Roman" w:cs="Times New Roman"/>
          <w:smallCaps/>
          <w:color w:val="000000"/>
          <w:sz w:val="28"/>
          <w:szCs w:val="28"/>
        </w:rPr>
        <w:t>ЭПИДЕМИОЛОГИЯ, ЭТИОЛОГИЯ И ПАТОГЕНЕЗ ГЕНИТАЛЬНОГО ПРОЛАПСА.</w:t>
      </w:r>
      <w:r>
        <w:rPr>
          <w:rFonts w:ascii="Times New Roman" w:eastAsia="Times New Roman" w:hAnsi="Times New Roman" w:cs="Times New Roman"/>
          <w:color w:val="000000"/>
          <w:sz w:val="28"/>
          <w:szCs w:val="28"/>
        </w:rPr>
        <w:t>17</w:t>
      </w:r>
    </w:p>
    <w:p w:rsidR="000A3797" w:rsidRDefault="00A660E7">
      <w:pPr>
        <w:spacing w:after="0" w:line="240" w:lineRule="auto"/>
        <w:jc w:val="both"/>
        <w:rPr>
          <w:rFonts w:ascii="Times New Roman" w:eastAsia="Times New Roman" w:hAnsi="Times New Roman" w:cs="Times New Roman"/>
          <w:smallCaps/>
          <w:sz w:val="28"/>
          <w:szCs w:val="28"/>
        </w:rPr>
      </w:pPr>
      <w:r>
        <w:rPr>
          <w:rFonts w:ascii="Times New Roman" w:eastAsia="Times New Roman" w:hAnsi="Times New Roman" w:cs="Times New Roman"/>
          <w:sz w:val="28"/>
          <w:szCs w:val="28"/>
        </w:rPr>
        <w:t xml:space="preserve">1.2 </w:t>
      </w:r>
      <w:r>
        <w:rPr>
          <w:rFonts w:ascii="Times New Roman" w:eastAsia="Times New Roman" w:hAnsi="Times New Roman" w:cs="Times New Roman"/>
          <w:smallCaps/>
          <w:sz w:val="28"/>
          <w:szCs w:val="28"/>
        </w:rPr>
        <w:t>ОЦЕНКА КАЧЕСТВА ЖИЗНИ ПРИ ГЕНИТАЛЬНОМ ПРОЛАПСЕ КАК ИНСТРУМЕНТ РЕГУЛИРОВАНИЯ КАЧЕСТВОМ ОКАЗАНИЯ МЕДИЦИНСКОЙ ПОМОЩИ..28</w:t>
      </w:r>
    </w:p>
    <w:p w:rsidR="000A3797" w:rsidRDefault="00A660E7">
      <w:pPr>
        <w:pStyle w:val="1"/>
        <w:shd w:val="clear" w:color="auto" w:fill="FFFFFF"/>
        <w:spacing w:before="0" w:line="240" w:lineRule="auto"/>
        <w:jc w:val="both"/>
        <w:rPr>
          <w:rFonts w:ascii="Times New Roman" w:eastAsia="Times New Roman" w:hAnsi="Times New Roman" w:cs="Times New Roman"/>
          <w:smallCaps/>
          <w:color w:val="000000"/>
          <w:sz w:val="28"/>
          <w:szCs w:val="28"/>
        </w:rPr>
      </w:pPr>
      <w:r>
        <w:rPr>
          <w:rFonts w:ascii="Times New Roman" w:eastAsia="Times New Roman" w:hAnsi="Times New Roman" w:cs="Times New Roman"/>
          <w:smallCaps/>
          <w:color w:val="000000"/>
          <w:sz w:val="28"/>
          <w:szCs w:val="28"/>
          <w:highlight w:val="white"/>
        </w:rPr>
        <w:t xml:space="preserve">1.3 СОВРЕМЕННЫЕ ПРЕДСТАВЛЕНИЯ О ДИСФУНКЦИИ ТАЗОВОГО ДНА, СПОСОБАХ ПРОФИЛАКТИКИ И РЕАБИЛИТАЦИИ </w:t>
      </w:r>
      <w:r>
        <w:rPr>
          <w:rFonts w:ascii="Times New Roman" w:eastAsia="Times New Roman" w:hAnsi="Times New Roman" w:cs="Times New Roman"/>
          <w:smallCaps/>
          <w:color w:val="000000"/>
          <w:sz w:val="28"/>
          <w:szCs w:val="28"/>
        </w:rPr>
        <w:t>31</w:t>
      </w:r>
    </w:p>
    <w:p w:rsidR="000A3797" w:rsidRDefault="00A660E7">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smallCaps/>
          <w:color w:val="000000"/>
          <w:sz w:val="28"/>
          <w:szCs w:val="28"/>
        </w:rPr>
      </w:pPr>
      <w:r>
        <w:rPr>
          <w:rFonts w:ascii="Times New Roman" w:eastAsia="Times New Roman" w:hAnsi="Times New Roman" w:cs="Times New Roman"/>
          <w:smallCaps/>
          <w:color w:val="000000"/>
          <w:sz w:val="28"/>
          <w:szCs w:val="28"/>
        </w:rPr>
        <w:t>1.4 МЕТОДЫ ОЦЕНКИ СИЛЫ МЫШЦ ТАЗОВОГО ДНА НА АМБУЛАТОРНОМ УРОВНЕ38</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mallCaps/>
          <w:sz w:val="28"/>
          <w:szCs w:val="28"/>
        </w:rPr>
        <w:t>1.5 ОБЗОР ЭФФЕКТИВНЫХ ХИРУРГИЧЕСКИХ МЕТОДОВ ЛЕЧЕНИЯ ГЕНИТАЛЬНОГО ПРОЛАПСА</w:t>
      </w:r>
      <w:r>
        <w:rPr>
          <w:rFonts w:ascii="Times New Roman" w:eastAsia="Times New Roman" w:hAnsi="Times New Roman" w:cs="Times New Roman"/>
          <w:sz w:val="28"/>
          <w:szCs w:val="28"/>
        </w:rPr>
        <w:t xml:space="preserve"> 41</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mallCaps/>
          <w:sz w:val="28"/>
          <w:szCs w:val="28"/>
        </w:rPr>
        <w:t>1.6 ФАКТОРЫ РЕЦИДИВА ГЕНИТАЛЬНОГО ПРОЛАПСА</w:t>
      </w:r>
      <w:r>
        <w:rPr>
          <w:rFonts w:ascii="Times New Roman" w:eastAsia="Times New Roman" w:hAnsi="Times New Roman" w:cs="Times New Roman"/>
          <w:sz w:val="28"/>
          <w:szCs w:val="28"/>
        </w:rPr>
        <w:t>45</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mallCaps/>
          <w:sz w:val="28"/>
          <w:szCs w:val="28"/>
          <w:highlight w:val="white"/>
        </w:rPr>
        <w:t>1.7 ПРОФИЛАКТИКА РЕЦИДИВОВ ГЕНИТАЛЬНОГО ПРОЛАПСА</w:t>
      </w:r>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47</w:t>
      </w:r>
    </w:p>
    <w:p w:rsidR="000A3797" w:rsidRDefault="00A660E7">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 МАТЕРИАЛЫ И МЕТОДЫ51</w:t>
      </w:r>
    </w:p>
    <w:p w:rsidR="000A3797" w:rsidRDefault="00A660E7">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2.1 Второй этап исследования. Материалы и методы оценки динамики пролеченных случаев генитального пролапса 51</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2.2 Третий этап исследования. Разработка валидных и надежных инструментов мониторинга51</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2.2.1</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Этапы оценки надёжности и валидности опросника МВПИ.51</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2.2.2 Этапы оценки надежности и валидности Казахстанской версии опросника P-QOL 55</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2.3 Четвертый этап исследования. Этапы оценки влияния динамического мониторинга59</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2.4 Пятый этап исследования. Этапы социологического опроса врачей акушеров –гинекологов гинекологов 61</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2.5 Шестой этап исследования. Методы оценки влияния комплексного подход</w:t>
      </w:r>
      <w:r>
        <w:rPr>
          <w:rFonts w:ascii="Times New Roman" w:eastAsia="Times New Roman" w:hAnsi="Times New Roman" w:cs="Times New Roman"/>
          <w:sz w:val="28"/>
          <w:szCs w:val="28"/>
        </w:rPr>
        <w:t>а хирургического лечения генитального пролапса на качество жизни пациентов.63</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2.6 Седьмой этап исследования. РКИ, влияния непрерывного курса упражнений для тазового дна с онлайн-мониторингом после операции на предотвращения рецидива ГП 65</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2.7 Восьмой этап </w:t>
      </w:r>
      <w:r>
        <w:rPr>
          <w:rFonts w:ascii="Times New Roman" w:eastAsia="Times New Roman" w:hAnsi="Times New Roman" w:cs="Times New Roman"/>
          <w:sz w:val="28"/>
          <w:szCs w:val="28"/>
        </w:rPr>
        <w:t>исследования. Методика оценки знаний пациентов с ГП до и после ознакомления с материалами электронного ресурса: Prolaps-monitoring..69</w:t>
      </w:r>
    </w:p>
    <w:p w:rsidR="000A3797" w:rsidRDefault="00A660E7">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3 РЕЗУЛЬТАТЫ ИССЛЕДОВАНИЯ71</w:t>
      </w:r>
    </w:p>
    <w:p w:rsidR="000A3797" w:rsidRDefault="00A660E7">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3.1 Динамика пролеченных случаев генитального пролапса с 2012-2021гг71</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3.2 Оценка надежности </w:t>
      </w:r>
      <w:r>
        <w:rPr>
          <w:rFonts w:ascii="Times New Roman" w:eastAsia="Times New Roman" w:hAnsi="Times New Roman" w:cs="Times New Roman"/>
          <w:sz w:val="28"/>
          <w:szCs w:val="28"/>
        </w:rPr>
        <w:t>и валидности опросников 75</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3.2.1 Оценка надежности и валидности авторского опросника «МВПИ» для пациентов с генитальным пролапсом 75</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3.2.2 Оценка надежности и валидности адаптированного для населения Казахстана специализированного опросника качества жизни </w:t>
      </w:r>
      <w:r>
        <w:rPr>
          <w:rFonts w:ascii="Times New Roman" w:eastAsia="Times New Roman" w:hAnsi="Times New Roman" w:cs="Times New Roman"/>
          <w:sz w:val="28"/>
          <w:szCs w:val="28"/>
        </w:rPr>
        <w:t>P –QOL 77</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3.3 Результаты динамического мониторинга пациентов с генитальным пролапсом после операции 81</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3.3.1 Влияние динамического мониторинга после операции в условиях ПМСП на формирование рецидива и качество жизни пациентов с генитальным пролапсом 81</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3.3</w:t>
      </w:r>
      <w:r>
        <w:rPr>
          <w:rFonts w:ascii="Times New Roman" w:eastAsia="Times New Roman" w:hAnsi="Times New Roman" w:cs="Times New Roman"/>
          <w:sz w:val="28"/>
          <w:szCs w:val="28"/>
        </w:rPr>
        <w:t>.2 Предикторы рецидива генитального пролапса после операции, прогностические модели89</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3.4 Результаты социологического опроса акушеров –гинекологов о качестве гинекологической помощи в послеоперационном периоде и уровне знаний врачей 96</w:t>
      </w:r>
    </w:p>
    <w:p w:rsidR="000A3797" w:rsidRDefault="00A660E7">
      <w:pPr>
        <w:spacing w:after="0" w:line="240" w:lineRule="auto"/>
        <w:jc w:val="both"/>
        <w:rPr>
          <w:rFonts w:ascii="Times New Roman" w:eastAsia="Times New Roman" w:hAnsi="Times New Roman" w:cs="Times New Roman"/>
        </w:rPr>
      </w:pPr>
      <w:r>
        <w:rPr>
          <w:rFonts w:ascii="Times New Roman" w:eastAsia="Times New Roman" w:hAnsi="Times New Roman" w:cs="Times New Roman"/>
          <w:sz w:val="28"/>
          <w:szCs w:val="28"/>
        </w:rPr>
        <w:t>3.5 Влияние одномоме</w:t>
      </w:r>
      <w:r>
        <w:rPr>
          <w:rFonts w:ascii="Times New Roman" w:eastAsia="Times New Roman" w:hAnsi="Times New Roman" w:cs="Times New Roman"/>
          <w:sz w:val="28"/>
          <w:szCs w:val="28"/>
        </w:rPr>
        <w:t>нтного устранения (комплексного подхода)  всех выпадающих структур таза и функциональных нарушений за одно оперативное вмешательство на качество жизни пациентов102</w:t>
      </w:r>
    </w:p>
    <w:p w:rsidR="000A3797" w:rsidRDefault="00A660E7">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sz w:val="28"/>
          <w:szCs w:val="28"/>
        </w:rPr>
        <w:t>3.6 Результаты РКИ о влиянии схемы упражнений укрепления мышц тазового дна  при амбулаторном</w:t>
      </w:r>
      <w:r>
        <w:rPr>
          <w:rFonts w:ascii="Times New Roman" w:eastAsia="Times New Roman" w:hAnsi="Times New Roman" w:cs="Times New Roman"/>
          <w:sz w:val="28"/>
          <w:szCs w:val="28"/>
        </w:rPr>
        <w:t xml:space="preserve"> ведении женщин с генитальным пролапсом после операции на качество жизни и профилактику рецидива106</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3.6.1 Сила мышц тазового дна, как предиктор рецидива генитального пролапса после хирургического лечения112</w:t>
      </w:r>
    </w:p>
    <w:p w:rsidR="000A3797" w:rsidRDefault="00A660E7">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3.6.2 Алгоритм послеоперационного наблюдения женщин с генитальным пролапсом113</w:t>
      </w:r>
    </w:p>
    <w:p w:rsidR="000A3797" w:rsidRDefault="00A660E7">
      <w:pP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sz w:val="28"/>
          <w:szCs w:val="28"/>
        </w:rPr>
        <w:t>3.7 Уровень грамотности пациентов о генитальном пролапсе  до и после ознакомления с электронным ресурсом для эффективного мониторинга и ведения пациентов после операции: Prolaps-monitoring116</w:t>
      </w:r>
    </w:p>
    <w:p w:rsidR="000A3797" w:rsidRDefault="00A660E7">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ЗАКЛЮЧЕНИЕ120</w:t>
      </w:r>
    </w:p>
    <w:p w:rsidR="000A3797" w:rsidRDefault="00A660E7">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ВЫВОДЫ129</w:t>
      </w:r>
    </w:p>
    <w:p w:rsidR="000A3797" w:rsidRDefault="00A660E7">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ПРАКТИЧЕСКИЕ РЕКОМЕНДАЦИИ130</w:t>
      </w:r>
    </w:p>
    <w:p w:rsidR="000A3797" w:rsidRDefault="00A660E7">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СПИСОК ИСПО</w:t>
      </w:r>
      <w:r>
        <w:rPr>
          <w:rFonts w:ascii="Times New Roman" w:eastAsia="Times New Roman" w:hAnsi="Times New Roman" w:cs="Times New Roman"/>
          <w:b/>
          <w:color w:val="000000"/>
          <w:sz w:val="28"/>
          <w:szCs w:val="28"/>
        </w:rPr>
        <w:t>ЛЬЗОВАННОЙ ЛИТЕРАТУРЫ132</w:t>
      </w:r>
    </w:p>
    <w:p w:rsidR="000A3797" w:rsidRDefault="00A660E7">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ПРИЛОЖЕНИЕ А150</w:t>
      </w:r>
    </w:p>
    <w:p w:rsidR="000A3797" w:rsidRDefault="00A660E7">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ПРИЛОЖЕНИЕ Б157</w:t>
      </w:r>
    </w:p>
    <w:p w:rsidR="000A3797" w:rsidRDefault="00A660E7">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ПРИЛОЖЕНИЕ В167</w:t>
      </w:r>
    </w:p>
    <w:p w:rsidR="000A3797" w:rsidRDefault="00A660E7">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ПРИЛОЖЕНИЕ Г172</w:t>
      </w:r>
    </w:p>
    <w:p w:rsidR="000A3797" w:rsidRDefault="00A660E7">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ПРИЛОЖЕНИЕ Д176</w:t>
      </w:r>
    </w:p>
    <w:p w:rsidR="000A3797" w:rsidRDefault="00A660E7">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ПРИЛОЖЕНИЕ Е177</w:t>
      </w:r>
    </w:p>
    <w:p w:rsidR="000A3797" w:rsidRDefault="00A660E7">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ПРИЛОЖЕНИЕ Ж179</w:t>
      </w:r>
    </w:p>
    <w:p w:rsidR="000A3797" w:rsidRDefault="00A660E7">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ПРИЛОЖЕНИЕ И181</w:t>
      </w:r>
    </w:p>
    <w:p w:rsidR="000A3797" w:rsidRDefault="00A660E7">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ПРИЛОЖЕНИЕ К183</w:t>
      </w:r>
    </w:p>
    <w:p w:rsidR="000A3797" w:rsidRDefault="00A660E7">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ПРИЛОЖЕНИЕ Л185</w:t>
      </w:r>
    </w:p>
    <w:p w:rsidR="000A3797" w:rsidRDefault="00A660E7">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ПРИЛОЖЕНИЕ М192</w:t>
      </w:r>
    </w:p>
    <w:p w:rsidR="000A3797" w:rsidRDefault="00A660E7">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ПРИЛОЖЕНИЕ Н195</w:t>
      </w:r>
    </w:p>
    <w:p w:rsidR="000A3797" w:rsidRDefault="000A3797">
      <w:pPr>
        <w:spacing w:after="0" w:line="240" w:lineRule="auto"/>
        <w:jc w:val="center"/>
        <w:rPr>
          <w:rFonts w:ascii="Times New Roman" w:eastAsia="Times New Roman" w:hAnsi="Times New Roman" w:cs="Times New Roman"/>
          <w:b/>
          <w:sz w:val="28"/>
          <w:szCs w:val="28"/>
        </w:rPr>
      </w:pPr>
    </w:p>
    <w:p w:rsidR="000A3797" w:rsidRDefault="00A660E7">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НОРМАТИВНЫЕ ССЫЛКИ</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настоящей диссерт</w:t>
      </w:r>
      <w:r>
        <w:rPr>
          <w:rFonts w:ascii="Times New Roman" w:eastAsia="Times New Roman" w:hAnsi="Times New Roman" w:cs="Times New Roman"/>
          <w:sz w:val="28"/>
          <w:szCs w:val="28"/>
        </w:rPr>
        <w:t xml:space="preserve">ации использованы ссылки на следующие стандарты: </w:t>
      </w:r>
    </w:p>
    <w:p w:rsidR="000A3797" w:rsidRDefault="00A660E7">
      <w:pPr>
        <w:numPr>
          <w:ilvl w:val="0"/>
          <w:numId w:val="1"/>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Закон Республики Казахстан «О науке» от 18.02.2011 г. № 407-IVЗРК </w:t>
      </w:r>
    </w:p>
    <w:p w:rsidR="000A3797" w:rsidRDefault="00A660E7">
      <w:pPr>
        <w:numPr>
          <w:ilvl w:val="0"/>
          <w:numId w:val="1"/>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ГОСО РК 5.04.034-2011: Государственный общеобязательный стандарт образования Республики Казахстан. Послевузовское образование. Докторантура;</w:t>
      </w:r>
    </w:p>
    <w:p w:rsidR="000A3797" w:rsidRDefault="00A660E7">
      <w:pPr>
        <w:numPr>
          <w:ilvl w:val="0"/>
          <w:numId w:val="1"/>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Основные положения (изменения от 23 августа 2012 г. № 1080); Правила присуждения ученых степеней от 31 марта 2011 г</w:t>
      </w:r>
      <w:r>
        <w:rPr>
          <w:rFonts w:ascii="Times New Roman" w:eastAsia="Times New Roman" w:hAnsi="Times New Roman" w:cs="Times New Roman"/>
          <w:color w:val="000000"/>
          <w:sz w:val="28"/>
          <w:szCs w:val="28"/>
        </w:rPr>
        <w:t xml:space="preserve">ода № 127; Межгосударственные стандарты: ГОСТ 7.32-2001 (изменения от 2006 г.) Отчет о научно-исследовательской работе. Структура и правила оформления; </w:t>
      </w:r>
    </w:p>
    <w:p w:rsidR="000A3797" w:rsidRDefault="00A660E7">
      <w:pPr>
        <w:numPr>
          <w:ilvl w:val="0"/>
          <w:numId w:val="1"/>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Кодекс Республики Казахстан. О здоровье народа и системы здравоохранения: принят 18 сентября 2009 года,</w:t>
      </w:r>
      <w:r>
        <w:rPr>
          <w:rFonts w:ascii="Times New Roman" w:eastAsia="Times New Roman" w:hAnsi="Times New Roman" w:cs="Times New Roman"/>
          <w:color w:val="000000"/>
          <w:sz w:val="28"/>
          <w:szCs w:val="28"/>
        </w:rPr>
        <w:t xml:space="preserve"> No193-IV (с изменениями на 19 января 2011 года);</w:t>
      </w:r>
    </w:p>
    <w:p w:rsidR="000A3797" w:rsidRDefault="00A660E7">
      <w:pPr>
        <w:numPr>
          <w:ilvl w:val="0"/>
          <w:numId w:val="1"/>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Государственный стандарт Республики Казахстан «Надлежащая клиническая практика» (Good Clinical Practice, GCP): СТ РК 1616-2006</w:t>
      </w:r>
    </w:p>
    <w:p w:rsidR="000A3797" w:rsidRDefault="00A660E7">
      <w:pPr>
        <w:numPr>
          <w:ilvl w:val="0"/>
          <w:numId w:val="1"/>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Хельсинкская декларация всемирной медицинской ассоциации. Этические принципы п</w:t>
      </w:r>
      <w:r>
        <w:rPr>
          <w:rFonts w:ascii="Times New Roman" w:eastAsia="Times New Roman" w:hAnsi="Times New Roman" w:cs="Times New Roman"/>
          <w:color w:val="000000"/>
          <w:sz w:val="28"/>
          <w:szCs w:val="28"/>
        </w:rPr>
        <w:t>роведения медицинских исследований с участием человека в качестве субъекта, принята на 18-ой генеральной ассамблее ВМА, Хельсинки, Финляндия, июнь 1964 г.;</w:t>
      </w:r>
    </w:p>
    <w:p w:rsidR="000A3797" w:rsidRDefault="00A660E7">
      <w:pPr>
        <w:numPr>
          <w:ilvl w:val="0"/>
          <w:numId w:val="1"/>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Клинический протокол МЗ РК № 16 от 20 ноября 2015 года «Выпадение женских половых органов»;</w:t>
      </w:r>
    </w:p>
    <w:p w:rsidR="000A3797" w:rsidRDefault="00A660E7">
      <w:pPr>
        <w:numPr>
          <w:ilvl w:val="0"/>
          <w:numId w:val="1"/>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Приказ М</w:t>
      </w:r>
      <w:r>
        <w:rPr>
          <w:rFonts w:ascii="Times New Roman" w:eastAsia="Times New Roman" w:hAnsi="Times New Roman" w:cs="Times New Roman"/>
          <w:color w:val="000000"/>
          <w:sz w:val="28"/>
          <w:szCs w:val="28"/>
        </w:rPr>
        <w:t>инистра здравоохранения Республики Казахстан от 23 октября 2020 года № ҚР ДСМ-149/2020. Зарегистрирован в Министерстве юстиции Республики Казахстан 26 октября 2020 года № 21513 «Об утверждении правил организации оказания медицинской помощи лицам с хроничес</w:t>
      </w:r>
      <w:r>
        <w:rPr>
          <w:rFonts w:ascii="Times New Roman" w:eastAsia="Times New Roman" w:hAnsi="Times New Roman" w:cs="Times New Roman"/>
          <w:color w:val="000000"/>
          <w:sz w:val="28"/>
          <w:szCs w:val="28"/>
        </w:rPr>
        <w:t>кими заболеваниями, периодичности и сроков наблюдения, обязательного минимума и кратности диагностических исследований»;</w:t>
      </w:r>
    </w:p>
    <w:p w:rsidR="000A3797" w:rsidRDefault="00A660E7">
      <w:pPr>
        <w:numPr>
          <w:ilvl w:val="0"/>
          <w:numId w:val="1"/>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Приказ Министра здравоохранения Республики Казахстан от от 30 октября 2020 года № ҚР ДСМ-170/2020. Зарегистрирован в Министерстве юстиц</w:t>
      </w:r>
      <w:r>
        <w:rPr>
          <w:rFonts w:ascii="Times New Roman" w:eastAsia="Times New Roman" w:hAnsi="Times New Roman" w:cs="Times New Roman"/>
          <w:color w:val="000000"/>
          <w:sz w:val="28"/>
          <w:szCs w:val="28"/>
        </w:rPr>
        <w:t>ии Республики Казахстан 30 октября 2020 года № 21550 «Об утверждении тарифов на медицинские услуги, предоставляемые в рамках гарантированного объема бесплатной медицинской помощи и в системе обязательного социального медицинского страхования;</w:t>
      </w:r>
    </w:p>
    <w:p w:rsidR="000A3797" w:rsidRDefault="00A660E7">
      <w:pPr>
        <w:numPr>
          <w:ilvl w:val="0"/>
          <w:numId w:val="1"/>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Приказ и.о. М</w:t>
      </w:r>
      <w:r>
        <w:rPr>
          <w:rFonts w:ascii="Times New Roman" w:eastAsia="Times New Roman" w:hAnsi="Times New Roman" w:cs="Times New Roman"/>
          <w:color w:val="000000"/>
          <w:sz w:val="28"/>
          <w:szCs w:val="28"/>
        </w:rPr>
        <w:t>инистра здравоохранения Республики Казахстан от 30 октября 2020 года № ҚР ДСМ-175/2020 «Об утверждении форм учетной документации в области здравоохранения, а также инструкций по их заполнению (зарегистрирован в Министерстве юстиции Республики Казахстан 4 н</w:t>
      </w:r>
      <w:r>
        <w:rPr>
          <w:rFonts w:ascii="Times New Roman" w:eastAsia="Times New Roman" w:hAnsi="Times New Roman" w:cs="Times New Roman"/>
          <w:color w:val="000000"/>
          <w:sz w:val="28"/>
          <w:szCs w:val="28"/>
        </w:rPr>
        <w:t>оября 2020 года № 21579);</w:t>
      </w:r>
    </w:p>
    <w:p w:rsidR="000A3797" w:rsidRDefault="00A660E7">
      <w:pPr>
        <w:numPr>
          <w:ilvl w:val="0"/>
          <w:numId w:val="1"/>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Приказ Министра здравоохранения Республики Казахстан от 29 октября 2020 года № ҚР ДСМ-170/2020. Зарегистрирован в Министерстве юстиции Республики Казахстан 30 октября 2020 года № 21559 Об утверждении правил оказания платных услуг </w:t>
      </w:r>
      <w:r>
        <w:rPr>
          <w:rFonts w:ascii="Times New Roman" w:eastAsia="Times New Roman" w:hAnsi="Times New Roman" w:cs="Times New Roman"/>
          <w:color w:val="000000"/>
          <w:sz w:val="28"/>
          <w:szCs w:val="28"/>
        </w:rPr>
        <w:t>субъектами здравоохранения и типовой формы договора по предоставлению платных медицинских услуг (помощи);</w:t>
      </w:r>
    </w:p>
    <w:p w:rsidR="000A3797" w:rsidRDefault="00A660E7">
      <w:pPr>
        <w:numPr>
          <w:ilvl w:val="0"/>
          <w:numId w:val="1"/>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Приказ Министра здравоохранения Республики Казахстан от 21 декабря 2020 года № ҚР ДСМ-303/2020 "Об утверждении правил дополнительного и неформального </w:t>
      </w:r>
      <w:r>
        <w:rPr>
          <w:rFonts w:ascii="Times New Roman" w:eastAsia="Times New Roman" w:hAnsi="Times New Roman" w:cs="Times New Roman"/>
          <w:color w:val="000000"/>
          <w:sz w:val="28"/>
          <w:szCs w:val="28"/>
        </w:rPr>
        <w:t>образования специалистов в области здравоохранения, квалификационных требований к организациям, реализующим образовательные программы дополнительного и неформального образования в области здравоохранения, а также правил признания результатов обучения, полу</w:t>
      </w:r>
      <w:r>
        <w:rPr>
          <w:rFonts w:ascii="Times New Roman" w:eastAsia="Times New Roman" w:hAnsi="Times New Roman" w:cs="Times New Roman"/>
          <w:color w:val="000000"/>
          <w:sz w:val="28"/>
          <w:szCs w:val="28"/>
        </w:rPr>
        <w:t>ченных специалистами в области здравоохранения через дополнительное и неформальное образование (зарегистрирован в Министерстве юстиции Республики Казахстан 22 декабря 2020 года № 21847);</w:t>
      </w:r>
    </w:p>
    <w:p w:rsidR="000A3797" w:rsidRDefault="00A660E7">
      <w:pPr>
        <w:numPr>
          <w:ilvl w:val="0"/>
          <w:numId w:val="1"/>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Приказ Министра здравоохранения Республики Казахстан от 26 августа 20</w:t>
      </w:r>
      <w:r>
        <w:rPr>
          <w:rFonts w:ascii="Times New Roman" w:eastAsia="Times New Roman" w:hAnsi="Times New Roman" w:cs="Times New Roman"/>
          <w:color w:val="000000"/>
          <w:sz w:val="28"/>
          <w:szCs w:val="28"/>
        </w:rPr>
        <w:t>21 года № ҚР ДСМ-92 "Об утверждении стандарта организации оказания акушерско-гинекологической помощи в Республике Казахстан" (зарегистрирован в Министерстве юстиции Республики Казахстан 28 августа 2021 года № 24131);</w:t>
      </w:r>
    </w:p>
    <w:p w:rsidR="000A3797" w:rsidRDefault="00A660E7">
      <w:pPr>
        <w:numPr>
          <w:ilvl w:val="0"/>
          <w:numId w:val="1"/>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Приказ Министра здравоохранения Республ</w:t>
      </w:r>
      <w:r>
        <w:rPr>
          <w:rFonts w:ascii="Times New Roman" w:eastAsia="Times New Roman" w:hAnsi="Times New Roman" w:cs="Times New Roman"/>
          <w:color w:val="000000"/>
          <w:sz w:val="28"/>
          <w:szCs w:val="28"/>
        </w:rPr>
        <w:t>ики Казахстан от 7 апреля 2023 года № 65 "Об утверждении стандарта организации оказания медицинской реабилитации" (зарегистрирован в Министерстве юстиции Республики Казахстан 10 апреля 2023 года № 32263);</w:t>
      </w:r>
    </w:p>
    <w:p w:rsidR="000A3797" w:rsidRDefault="00A660E7">
      <w:pPr>
        <w:numPr>
          <w:ilvl w:val="0"/>
          <w:numId w:val="1"/>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Приказ Министра здравоохранения Республики Казахста</w:t>
      </w:r>
      <w:r>
        <w:rPr>
          <w:rFonts w:ascii="Times New Roman" w:eastAsia="Times New Roman" w:hAnsi="Times New Roman" w:cs="Times New Roman"/>
          <w:color w:val="000000"/>
          <w:sz w:val="28"/>
          <w:szCs w:val="28"/>
        </w:rPr>
        <w:t>н от 25 марта 2024 года № ҚР- ДСМ-46 "Об утверждении профессиональных стандартов в области здравоохранения".</w:t>
      </w:r>
    </w:p>
    <w:p w:rsidR="000A3797" w:rsidRDefault="000A3797">
      <w:pPr>
        <w:spacing w:after="0" w:line="240" w:lineRule="auto"/>
        <w:jc w:val="both"/>
        <w:rPr>
          <w:rFonts w:ascii="Times New Roman" w:eastAsia="Times New Roman" w:hAnsi="Times New Roman" w:cs="Times New Roman"/>
          <w:sz w:val="28"/>
          <w:szCs w:val="28"/>
        </w:rPr>
      </w:pPr>
    </w:p>
    <w:p w:rsidR="000A3797" w:rsidRDefault="000A3797">
      <w:pPr>
        <w:spacing w:after="0" w:line="240" w:lineRule="auto"/>
        <w:jc w:val="both"/>
        <w:rPr>
          <w:rFonts w:ascii="Times New Roman" w:eastAsia="Times New Roman" w:hAnsi="Times New Roman" w:cs="Times New Roman"/>
          <w:sz w:val="28"/>
          <w:szCs w:val="28"/>
        </w:rPr>
      </w:pPr>
    </w:p>
    <w:p w:rsidR="000A3797" w:rsidRDefault="000A3797">
      <w:pPr>
        <w:spacing w:after="0" w:line="240" w:lineRule="auto"/>
        <w:jc w:val="both"/>
        <w:rPr>
          <w:rFonts w:ascii="Times New Roman" w:eastAsia="Times New Roman" w:hAnsi="Times New Roman" w:cs="Times New Roman"/>
          <w:sz w:val="28"/>
          <w:szCs w:val="28"/>
        </w:rPr>
      </w:pPr>
    </w:p>
    <w:p w:rsidR="000A3797" w:rsidRDefault="000A3797">
      <w:pPr>
        <w:spacing w:after="0" w:line="240" w:lineRule="auto"/>
        <w:jc w:val="both"/>
        <w:rPr>
          <w:rFonts w:ascii="Times New Roman" w:eastAsia="Times New Roman" w:hAnsi="Times New Roman" w:cs="Times New Roman"/>
          <w:sz w:val="28"/>
          <w:szCs w:val="28"/>
        </w:rPr>
      </w:pPr>
    </w:p>
    <w:p w:rsidR="000A3797" w:rsidRDefault="000A3797">
      <w:pPr>
        <w:spacing w:after="0" w:line="240" w:lineRule="auto"/>
        <w:jc w:val="both"/>
        <w:rPr>
          <w:rFonts w:ascii="Times New Roman" w:eastAsia="Times New Roman" w:hAnsi="Times New Roman" w:cs="Times New Roman"/>
          <w:sz w:val="28"/>
          <w:szCs w:val="28"/>
        </w:rPr>
      </w:pPr>
    </w:p>
    <w:p w:rsidR="000A3797" w:rsidRDefault="000A3797">
      <w:pPr>
        <w:spacing w:after="0" w:line="240" w:lineRule="auto"/>
        <w:jc w:val="both"/>
        <w:rPr>
          <w:rFonts w:ascii="Times New Roman" w:eastAsia="Times New Roman" w:hAnsi="Times New Roman" w:cs="Times New Roman"/>
          <w:sz w:val="28"/>
          <w:szCs w:val="28"/>
        </w:rPr>
      </w:pPr>
    </w:p>
    <w:p w:rsidR="000A3797" w:rsidRDefault="000A3797">
      <w:pPr>
        <w:spacing w:after="0" w:line="240" w:lineRule="auto"/>
        <w:jc w:val="both"/>
        <w:rPr>
          <w:rFonts w:ascii="Times New Roman" w:eastAsia="Times New Roman" w:hAnsi="Times New Roman" w:cs="Times New Roman"/>
          <w:sz w:val="28"/>
          <w:szCs w:val="28"/>
        </w:rPr>
      </w:pPr>
    </w:p>
    <w:p w:rsidR="000A3797" w:rsidRDefault="000A3797">
      <w:pPr>
        <w:spacing w:after="0" w:line="240" w:lineRule="auto"/>
        <w:jc w:val="both"/>
        <w:rPr>
          <w:rFonts w:ascii="Times New Roman" w:eastAsia="Times New Roman" w:hAnsi="Times New Roman" w:cs="Times New Roman"/>
          <w:sz w:val="28"/>
          <w:szCs w:val="28"/>
        </w:rPr>
      </w:pPr>
    </w:p>
    <w:p w:rsidR="000A3797" w:rsidRDefault="000A3797">
      <w:pPr>
        <w:spacing w:after="0" w:line="240" w:lineRule="auto"/>
        <w:jc w:val="both"/>
        <w:rPr>
          <w:rFonts w:ascii="Times New Roman" w:eastAsia="Times New Roman" w:hAnsi="Times New Roman" w:cs="Times New Roman"/>
          <w:sz w:val="28"/>
          <w:szCs w:val="28"/>
        </w:rPr>
      </w:pPr>
    </w:p>
    <w:p w:rsidR="000A3797" w:rsidRDefault="000A3797">
      <w:pPr>
        <w:spacing w:after="0" w:line="240" w:lineRule="auto"/>
        <w:jc w:val="both"/>
        <w:rPr>
          <w:rFonts w:ascii="Times New Roman" w:eastAsia="Times New Roman" w:hAnsi="Times New Roman" w:cs="Times New Roman"/>
          <w:sz w:val="28"/>
          <w:szCs w:val="28"/>
        </w:rPr>
      </w:pPr>
    </w:p>
    <w:p w:rsidR="000A3797" w:rsidRDefault="000A3797">
      <w:pPr>
        <w:spacing w:after="0" w:line="240" w:lineRule="auto"/>
        <w:jc w:val="both"/>
        <w:rPr>
          <w:rFonts w:ascii="Times New Roman" w:eastAsia="Times New Roman" w:hAnsi="Times New Roman" w:cs="Times New Roman"/>
          <w:sz w:val="28"/>
          <w:szCs w:val="28"/>
        </w:rPr>
      </w:pPr>
    </w:p>
    <w:p w:rsidR="000A3797" w:rsidRDefault="000A3797">
      <w:pPr>
        <w:spacing w:after="0" w:line="240" w:lineRule="auto"/>
        <w:jc w:val="both"/>
        <w:rPr>
          <w:rFonts w:ascii="Times New Roman" w:eastAsia="Times New Roman" w:hAnsi="Times New Roman" w:cs="Times New Roman"/>
          <w:sz w:val="28"/>
          <w:szCs w:val="28"/>
        </w:rPr>
      </w:pPr>
    </w:p>
    <w:p w:rsidR="000A3797" w:rsidRDefault="000A3797">
      <w:pPr>
        <w:spacing w:after="0" w:line="240" w:lineRule="auto"/>
        <w:jc w:val="both"/>
        <w:rPr>
          <w:rFonts w:ascii="Times New Roman" w:eastAsia="Times New Roman" w:hAnsi="Times New Roman" w:cs="Times New Roman"/>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A660E7">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ОПРЕДЕЛЕНИЯ</w:t>
      </w:r>
    </w:p>
    <w:p w:rsidR="000A3797" w:rsidRDefault="000A3797">
      <w:pPr>
        <w:spacing w:after="0" w:line="240" w:lineRule="auto"/>
        <w:jc w:val="both"/>
        <w:rPr>
          <w:rFonts w:ascii="Times New Roman" w:eastAsia="Times New Roman" w:hAnsi="Times New Roman" w:cs="Times New Roman"/>
          <w:sz w:val="28"/>
          <w:szCs w:val="28"/>
        </w:rPr>
      </w:pP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настоящей диссертационной работе использованы следующие термины с соответствующими определениями:</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Апикальный пролапс</w:t>
      </w:r>
      <w:r>
        <w:rPr>
          <w:rFonts w:ascii="Times New Roman" w:eastAsia="Times New Roman" w:hAnsi="Times New Roman" w:cs="Times New Roman"/>
          <w:sz w:val="28"/>
          <w:szCs w:val="28"/>
        </w:rPr>
        <w:t xml:space="preserve"> – опущение и выпадение матки</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Вентерофиксация</w:t>
      </w:r>
      <w:r>
        <w:rPr>
          <w:rFonts w:ascii="Times New Roman" w:eastAsia="Times New Roman" w:hAnsi="Times New Roman" w:cs="Times New Roman"/>
          <w:sz w:val="28"/>
          <w:szCs w:val="28"/>
        </w:rPr>
        <w:t xml:space="preserve"> – фиксация матки (культи шейки матки) к апоневрозу (сухожильная пластинка) передней брюшной стенке. Этот вид операции проводится, когда к промонториуму невозможно прикрепить матку. </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Опущение и</w:t>
      </w:r>
      <w:r>
        <w:rPr>
          <w:rFonts w:ascii="Times New Roman" w:eastAsia="Times New Roman" w:hAnsi="Times New Roman" w:cs="Times New Roman"/>
          <w:b/>
          <w:sz w:val="28"/>
          <w:szCs w:val="28"/>
        </w:rPr>
        <w:t xml:space="preserve"> выпадение половых органов у женщин</w:t>
      </w:r>
      <w:r>
        <w:rPr>
          <w:rFonts w:ascii="Times New Roman" w:eastAsia="Times New Roman" w:hAnsi="Times New Roman" w:cs="Times New Roman"/>
          <w:sz w:val="28"/>
          <w:szCs w:val="28"/>
        </w:rPr>
        <w:t xml:space="preserve"> (генитальный пролапс) -это изменение правильного (анатомического) положения органов малого таза с выпячиванием их во влагалище или за пределы входа во влагалище. Что происходит в результате нарушения целостности соединит</w:t>
      </w:r>
      <w:r>
        <w:rPr>
          <w:rFonts w:ascii="Times New Roman" w:eastAsia="Times New Roman" w:hAnsi="Times New Roman" w:cs="Times New Roman"/>
          <w:sz w:val="28"/>
          <w:szCs w:val="28"/>
        </w:rPr>
        <w:t>ельно -тканных структур малого таза (фасций, связок, мышц)</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Передняя и задняя пластика влагалища – </w:t>
      </w:r>
      <w:r>
        <w:rPr>
          <w:rFonts w:ascii="Times New Roman" w:eastAsia="Times New Roman" w:hAnsi="Times New Roman" w:cs="Times New Roman"/>
          <w:sz w:val="28"/>
          <w:szCs w:val="28"/>
        </w:rPr>
        <w:t>устранение опущения передней и задней стенок влагалища путем иссечения растянутых тканей слизистой влагалища соответствующей стенки, укрепления фасций швами и</w:t>
      </w:r>
      <w:r>
        <w:rPr>
          <w:rFonts w:ascii="Times New Roman" w:eastAsia="Times New Roman" w:hAnsi="Times New Roman" w:cs="Times New Roman"/>
          <w:sz w:val="28"/>
          <w:szCs w:val="28"/>
        </w:rPr>
        <w:t xml:space="preserve"> сопоставления краев слизистой рассасывающимися нитями.</w:t>
      </w:r>
      <w:r>
        <w:rPr>
          <w:rFonts w:ascii="Times New Roman" w:eastAsia="Times New Roman" w:hAnsi="Times New Roman" w:cs="Times New Roman"/>
          <w:b/>
          <w:sz w:val="28"/>
          <w:szCs w:val="28"/>
        </w:rPr>
        <w:t xml:space="preserve"> </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Промонтофиксация</w:t>
      </w:r>
      <w:r>
        <w:rPr>
          <w:rFonts w:ascii="Times New Roman" w:eastAsia="Times New Roman" w:hAnsi="Times New Roman" w:cs="Times New Roman"/>
          <w:sz w:val="28"/>
          <w:szCs w:val="28"/>
        </w:rPr>
        <w:t xml:space="preserve">- операция для устранения апикального пролапса с использованием синтетического сетчатого протеза для фиксации к промонториуму (изгиб позвоночника между последним поясничным позвонком </w:t>
      </w:r>
      <w:r>
        <w:rPr>
          <w:rFonts w:ascii="Times New Roman" w:eastAsia="Times New Roman" w:hAnsi="Times New Roman" w:cs="Times New Roman"/>
          <w:sz w:val="28"/>
          <w:szCs w:val="28"/>
        </w:rPr>
        <w:t>и крестцом).</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Процедура Берч</w:t>
      </w:r>
      <w:r>
        <w:rPr>
          <w:rFonts w:ascii="Times New Roman" w:eastAsia="Times New Roman" w:hAnsi="Times New Roman" w:cs="Times New Roman"/>
          <w:sz w:val="28"/>
          <w:szCs w:val="28"/>
        </w:rPr>
        <w:t xml:space="preserve"> – метод устранения опущения передней стенки влагалища путем фиксации ее к связке Купера</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Пубопексия</w:t>
      </w:r>
      <w:r>
        <w:rPr>
          <w:rFonts w:ascii="Times New Roman" w:eastAsia="Times New Roman" w:hAnsi="Times New Roman" w:cs="Times New Roman"/>
          <w:sz w:val="28"/>
          <w:szCs w:val="28"/>
        </w:rPr>
        <w:t xml:space="preserve"> – метод устранения апикального пролапса путем фиксации к связке Купера лонной (лобковой) кости</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Ректоцеле</w:t>
      </w:r>
      <w:r>
        <w:rPr>
          <w:rFonts w:ascii="Times New Roman" w:eastAsia="Times New Roman" w:hAnsi="Times New Roman" w:cs="Times New Roman"/>
          <w:sz w:val="28"/>
          <w:szCs w:val="28"/>
        </w:rPr>
        <w:t xml:space="preserve"> - опущение и выпадение прямой кишки</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Репозиция пубо-цервикальной фасции –</w:t>
      </w:r>
      <w:r>
        <w:rPr>
          <w:rFonts w:ascii="Times New Roman" w:eastAsia="Times New Roman" w:hAnsi="Times New Roman" w:cs="Times New Roman"/>
          <w:sz w:val="28"/>
          <w:szCs w:val="28"/>
        </w:rPr>
        <w:t>установка сетчатого протеза между стенкой влагалища и мочевым пузырём.</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Смешанное недержание мочи</w:t>
      </w:r>
      <w:r>
        <w:rPr>
          <w:rFonts w:ascii="Times New Roman" w:eastAsia="Times New Roman" w:hAnsi="Times New Roman" w:cs="Times New Roman"/>
          <w:sz w:val="28"/>
          <w:szCs w:val="28"/>
        </w:rPr>
        <w:t xml:space="preserve"> – сочетает в себе симптомы ургентного и стрессового недержания мочи</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Стрессовое недержа</w:t>
      </w:r>
      <w:r>
        <w:rPr>
          <w:rFonts w:ascii="Times New Roman" w:eastAsia="Times New Roman" w:hAnsi="Times New Roman" w:cs="Times New Roman"/>
          <w:b/>
          <w:sz w:val="28"/>
          <w:szCs w:val="28"/>
        </w:rPr>
        <w:t>ние мочи</w:t>
      </w:r>
      <w:r>
        <w:rPr>
          <w:rFonts w:ascii="Times New Roman" w:eastAsia="Times New Roman" w:hAnsi="Times New Roman" w:cs="Times New Roman"/>
          <w:sz w:val="28"/>
          <w:szCs w:val="28"/>
        </w:rPr>
        <w:t xml:space="preserve"> – непроизвольная потеря мочи вследствие повышения внутрибрюшного давления (кашля, чихания, физической нагрузки)</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Ургентное недержание мочи</w:t>
      </w:r>
      <w:r>
        <w:rPr>
          <w:rFonts w:ascii="Times New Roman" w:eastAsia="Times New Roman" w:hAnsi="Times New Roman" w:cs="Times New Roman"/>
          <w:sz w:val="28"/>
          <w:szCs w:val="28"/>
        </w:rPr>
        <w:t xml:space="preserve"> - когда есть частые, возможно болезненные позывы к мочеиспусканию с потерей мочи или без нее</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Уретроцеле </w:t>
      </w:r>
      <w:r>
        <w:rPr>
          <w:rFonts w:ascii="Times New Roman" w:eastAsia="Times New Roman" w:hAnsi="Times New Roman" w:cs="Times New Roman"/>
          <w:sz w:val="28"/>
          <w:szCs w:val="28"/>
        </w:rPr>
        <w:t>- опущение и выпадение уретры</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Урослинга</w:t>
      </w:r>
      <w:r>
        <w:rPr>
          <w:rFonts w:ascii="Times New Roman" w:eastAsia="Times New Roman" w:hAnsi="Times New Roman" w:cs="Times New Roman"/>
          <w:sz w:val="28"/>
          <w:szCs w:val="28"/>
        </w:rPr>
        <w:t>, тонкая петля (1,1 см на 30 см) из сетчатого протеза устанавливается под нижнюю треть мочеиспускательного канала. Петля может выводится через запирательные пространства таза в паховые области и над лоном.</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Цистоцеле</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опущение и выпадение мочевого пузыря</w:t>
      </w:r>
    </w:p>
    <w:p w:rsidR="000A3797" w:rsidRDefault="000A3797">
      <w:pPr>
        <w:spacing w:after="0" w:line="240" w:lineRule="auto"/>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A660E7">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ОБОЗНАЧЕНИЯ И СОКРАЩЕНИЯ</w:t>
      </w:r>
    </w:p>
    <w:p w:rsidR="000A3797" w:rsidRDefault="00A660E7">
      <w:pPr>
        <w:spacing w:after="0" w:line="24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В настоящей диссертационной работе использованы следующие обозначения и сокращения:</w:t>
      </w:r>
    </w:p>
    <w:p w:rsidR="000A3797" w:rsidRPr="00DE33E4" w:rsidRDefault="00A660E7">
      <w:pPr>
        <w:spacing w:after="0" w:line="240" w:lineRule="auto"/>
        <w:jc w:val="both"/>
        <w:rPr>
          <w:rFonts w:ascii="Times New Roman" w:eastAsia="Times New Roman" w:hAnsi="Times New Roman" w:cs="Times New Roman"/>
          <w:sz w:val="28"/>
          <w:szCs w:val="28"/>
          <w:lang w:val="en-US"/>
        </w:rPr>
      </w:pPr>
      <w:r w:rsidRPr="00DE33E4">
        <w:rPr>
          <w:rFonts w:ascii="Times New Roman" w:eastAsia="Times New Roman" w:hAnsi="Times New Roman" w:cs="Times New Roman"/>
          <w:sz w:val="28"/>
          <w:szCs w:val="28"/>
          <w:lang w:val="en-US"/>
        </w:rPr>
        <w:t xml:space="preserve">POP-Q – Pelvic Organ Prolapse Quantification </w:t>
      </w:r>
    </w:p>
    <w:p w:rsidR="000A3797" w:rsidRPr="00DE33E4" w:rsidRDefault="00A660E7">
      <w:pPr>
        <w:spacing w:after="0" w:line="240" w:lineRule="auto"/>
        <w:jc w:val="both"/>
        <w:rPr>
          <w:rFonts w:ascii="Times New Roman" w:eastAsia="Times New Roman" w:hAnsi="Times New Roman" w:cs="Times New Roman"/>
          <w:sz w:val="28"/>
          <w:szCs w:val="28"/>
          <w:lang w:val="en-US"/>
        </w:rPr>
      </w:pPr>
      <w:r w:rsidRPr="00DE33E4">
        <w:rPr>
          <w:rFonts w:ascii="Times New Roman" w:eastAsia="Times New Roman" w:hAnsi="Times New Roman" w:cs="Times New Roman"/>
          <w:sz w:val="28"/>
          <w:szCs w:val="28"/>
          <w:lang w:val="en-US"/>
        </w:rPr>
        <w:t>P-QoL – Prolapse Quality of Life</w:t>
      </w:r>
    </w:p>
    <w:p w:rsidR="000A3797" w:rsidRPr="00DE33E4" w:rsidRDefault="00A660E7">
      <w:pPr>
        <w:spacing w:after="0" w:line="240" w:lineRule="auto"/>
        <w:jc w:val="both"/>
        <w:rPr>
          <w:rFonts w:ascii="Times New Roman" w:eastAsia="Times New Roman" w:hAnsi="Times New Roman" w:cs="Times New Roman"/>
          <w:sz w:val="28"/>
          <w:szCs w:val="28"/>
          <w:lang w:val="en-US"/>
        </w:rPr>
      </w:pPr>
      <w:r w:rsidRPr="00DE33E4">
        <w:rPr>
          <w:rFonts w:ascii="Times New Roman" w:eastAsia="Times New Roman" w:hAnsi="Times New Roman" w:cs="Times New Roman"/>
          <w:sz w:val="28"/>
          <w:szCs w:val="28"/>
          <w:lang w:val="en-US"/>
        </w:rPr>
        <w:t>TVT-O – tension free vagi</w:t>
      </w:r>
      <w:r w:rsidRPr="00DE33E4">
        <w:rPr>
          <w:rFonts w:ascii="Times New Roman" w:eastAsia="Times New Roman" w:hAnsi="Times New Roman" w:cs="Times New Roman"/>
          <w:sz w:val="28"/>
          <w:szCs w:val="28"/>
          <w:lang w:val="en-US"/>
        </w:rPr>
        <w:t>nal tape obturator</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ВФ –вентерофиксация</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ВШОЗ – Высшая Школа Общественного Здравоохранения</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ГКП на ПХВ – государственное коммунальное предприятие на праве хозяйственного ведения</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ГП – генитальный пролапс</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ГЭ-гистерэктомия</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ДИ – доверительный интервал</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ДТД – дисфу</w:t>
      </w:r>
      <w:r>
        <w:rPr>
          <w:rFonts w:ascii="Times New Roman" w:eastAsia="Times New Roman" w:hAnsi="Times New Roman" w:cs="Times New Roman"/>
          <w:sz w:val="28"/>
          <w:szCs w:val="28"/>
        </w:rPr>
        <w:t>нкция  тазового дна</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ЗПФ –задняя пластика влагалища</w:t>
      </w:r>
    </w:p>
    <w:p w:rsidR="000A3797" w:rsidRDefault="00A660E7">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ИДТД – индекс дисфункции тазового дна</w:t>
      </w:r>
    </w:p>
    <w:p w:rsidR="000A3797" w:rsidRDefault="00A660E7">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ИКР – интерквартильный размах</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ИМТ –индекс массы тела</w:t>
      </w:r>
    </w:p>
    <w:p w:rsidR="000A3797" w:rsidRDefault="00A660E7">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ИОКЖ – индекс оценки качества жизни</w:t>
      </w:r>
    </w:p>
    <w:p w:rsidR="000A3797" w:rsidRDefault="00A660E7">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КС -курение сигарет </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ЛС – лапароскопия</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МВПИ – мониторинг выявления послеоперационных исходов </w:t>
      </w:r>
    </w:p>
    <w:p w:rsidR="000A3797" w:rsidRDefault="00A660E7">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Мен - менопауза </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МЗ РК – Министерство Здравоохранения Республики Казахстан </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МРТ- магнитно -резонансная томография</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МТД – мышцы тазового дна</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МЮ РК - Министерство Юстиции Республики Казахстан </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ОР – относительный риск</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ОШ – отношение шансов</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ПМСП – первичная медико-санитарная помощь</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ППВ – передняя пластика влагалищ</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ПС – передняя сетка</w:t>
      </w:r>
    </w:p>
    <w:p w:rsidR="000A3797" w:rsidRDefault="00A660E7">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ПТ - поднятие тяжести </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ПТО – пролапс тазовых органов</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ПФ- промонтофиксация</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РКИ – рандомизированное контролируемое ис</w:t>
      </w:r>
      <w:r>
        <w:rPr>
          <w:rFonts w:ascii="Times New Roman" w:eastAsia="Times New Roman" w:hAnsi="Times New Roman" w:cs="Times New Roman"/>
          <w:sz w:val="28"/>
          <w:szCs w:val="28"/>
        </w:rPr>
        <w:t>следование</w:t>
      </w:r>
    </w:p>
    <w:p w:rsidR="000A3797" w:rsidRDefault="00A660E7">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СМК – система менеджмента качества</w:t>
      </w:r>
    </w:p>
    <w:p w:rsidR="000A3797" w:rsidRDefault="00A660E7">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СМТ - снижение массы тела</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СМТД - сокращения мышц тазового дна</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СНМ – стрессовое недержание мочи</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СОШ –скорректированное отношение шансов</w:t>
      </w:r>
    </w:p>
    <w:p w:rsidR="000A3797" w:rsidRDefault="00A660E7">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УБКУ - употребление большого количества углеводов</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УЗИ – ультразвуковое иссл</w:t>
      </w:r>
      <w:r>
        <w:rPr>
          <w:rFonts w:ascii="Times New Roman" w:eastAsia="Times New Roman" w:hAnsi="Times New Roman" w:cs="Times New Roman"/>
          <w:sz w:val="28"/>
          <w:szCs w:val="28"/>
        </w:rPr>
        <w:t>едование</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ЭМГ - электромиография</w:t>
      </w:r>
    </w:p>
    <w:p w:rsidR="000A3797" w:rsidRDefault="00A660E7">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ВВЕДЕНИЕ</w:t>
      </w:r>
    </w:p>
    <w:p w:rsidR="000A3797" w:rsidRDefault="00A660E7">
      <w:pPr>
        <w:widowControl w:val="0"/>
        <w:spacing w:after="0" w:line="240" w:lineRule="auto"/>
        <w:ind w:firstLine="708"/>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Актуальность исследования. Нынешний научно-технический прогресс способствовал улучшению оказания медицинской помощи, в том числе акушерско-гинекологической помощи, позволил женщинам во многих странах не заниматься тяжелым физическим трудом облегчил бытовые</w:t>
      </w:r>
      <w:r>
        <w:rPr>
          <w:rFonts w:ascii="Times New Roman" w:eastAsia="Times New Roman" w:hAnsi="Times New Roman" w:cs="Times New Roman"/>
          <w:sz w:val="28"/>
          <w:szCs w:val="28"/>
          <w:highlight w:val="white"/>
        </w:rPr>
        <w:t xml:space="preserve"> условия, </w:t>
      </w:r>
      <w:r>
        <w:rPr>
          <w:rFonts w:ascii="Times New Roman" w:eastAsia="Times New Roman" w:hAnsi="Times New Roman" w:cs="Times New Roman"/>
          <w:sz w:val="28"/>
          <w:szCs w:val="28"/>
        </w:rPr>
        <w:t>не смотря на это, генитальный пролапс занимает ведущее положение среди гинекологических заболеваний. Нарушения функции тазового дна могут существенно ухудшать общее состояние здоровья, влиять на повседневную активность, снижать сексуальную удовле</w:t>
      </w:r>
      <w:r>
        <w:rPr>
          <w:rFonts w:ascii="Times New Roman" w:eastAsia="Times New Roman" w:hAnsi="Times New Roman" w:cs="Times New Roman"/>
          <w:sz w:val="28"/>
          <w:szCs w:val="28"/>
        </w:rPr>
        <w:t>творенность и трудоспособность, а также приводить к социальной изоляции. Примерно у половины женщин после 85 встречается генитальный пролапс и практически каждая вторая из них будет нуждаться в хирургическом лечении [1].</w:t>
      </w:r>
    </w:p>
    <w:p w:rsidR="000A3797" w:rsidRDefault="00A660E7">
      <w:pPr>
        <w:widowControl w:val="0"/>
        <w:spacing w:after="0" w:line="240" w:lineRule="auto"/>
        <w:ind w:firstLine="708"/>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О распространенности пролапса точн</w:t>
      </w:r>
      <w:r>
        <w:rPr>
          <w:rFonts w:ascii="Times New Roman" w:eastAsia="Times New Roman" w:hAnsi="Times New Roman" w:cs="Times New Roman"/>
          <w:sz w:val="28"/>
          <w:szCs w:val="28"/>
          <w:highlight w:val="white"/>
        </w:rPr>
        <w:t>ых сведений нет, в связи с тем, что проблема находится на стыке трех специальностей гинекологии, проктологии и урологии, а также часто в эпидемиологических исследованиях используются только данные опросов, без объективного осмотра [2]. Распространенность п</w:t>
      </w:r>
      <w:r>
        <w:rPr>
          <w:rFonts w:ascii="Times New Roman" w:eastAsia="Times New Roman" w:hAnsi="Times New Roman" w:cs="Times New Roman"/>
          <w:sz w:val="28"/>
          <w:szCs w:val="28"/>
          <w:highlight w:val="white"/>
        </w:rPr>
        <w:t>ролапса варьирует от 3-50% [2, стр.7], по последним данным (2013-2024гг) - это заболевание встречается примерно у 20-25% женщин [3]. Частота возникновения проблемы увеличивается с возрастом.</w:t>
      </w:r>
      <w:r>
        <w:rPr>
          <w:rFonts w:ascii="Times New Roman" w:eastAsia="Times New Roman" w:hAnsi="Times New Roman" w:cs="Times New Roman"/>
          <w:sz w:val="28"/>
          <w:szCs w:val="28"/>
        </w:rPr>
        <w:t xml:space="preserve"> Риск оперативного вмешательства для женщины оценивается в предела</w:t>
      </w:r>
      <w:r>
        <w:rPr>
          <w:rFonts w:ascii="Times New Roman" w:eastAsia="Times New Roman" w:hAnsi="Times New Roman" w:cs="Times New Roman"/>
          <w:sz w:val="28"/>
          <w:szCs w:val="28"/>
        </w:rPr>
        <w:t>х 10%, а рецидив, по оценкам исследований, случается в трети и более случаев после хирургического лечения [4].</w:t>
      </w:r>
    </w:p>
    <w:p w:rsidR="000A3797" w:rsidRDefault="00A660E7">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У женщин с выпадением тазовых органов значительно снижается качество жизни [6,7].  Поэтому на сегодняшний день проводится все больше исследований</w:t>
      </w:r>
      <w:r>
        <w:rPr>
          <w:rFonts w:ascii="Times New Roman" w:eastAsia="Times New Roman" w:hAnsi="Times New Roman" w:cs="Times New Roman"/>
          <w:color w:val="000000"/>
          <w:sz w:val="28"/>
          <w:szCs w:val="28"/>
          <w:highlight w:val="white"/>
        </w:rPr>
        <w:t>, посвященных качеству жизни пациентов, в том числе и для женщин с пролапсом [8-10]. Также в зарубежной литературе обозначена  необходимость реабилитационных мероприятий тазового дна после хирургии пролапса для профилактики и лечения рецидивов и осложнений</w:t>
      </w:r>
      <w:r>
        <w:rPr>
          <w:rFonts w:ascii="Times New Roman" w:eastAsia="Times New Roman" w:hAnsi="Times New Roman" w:cs="Times New Roman"/>
          <w:color w:val="000000"/>
          <w:sz w:val="28"/>
          <w:szCs w:val="28"/>
          <w:highlight w:val="white"/>
        </w:rPr>
        <w:t>, однако данных в доступной литературе не так много об организации послеоперационной помощи. Также в настоящих нормативно-правовых документах Республики Казахстан нет четких рекомендаций о ведении послеоперационного периода в отношении генитального пролапс</w:t>
      </w:r>
      <w:r>
        <w:rPr>
          <w:rFonts w:ascii="Times New Roman" w:eastAsia="Times New Roman" w:hAnsi="Times New Roman" w:cs="Times New Roman"/>
          <w:color w:val="000000"/>
          <w:sz w:val="28"/>
          <w:szCs w:val="28"/>
          <w:highlight w:val="white"/>
        </w:rPr>
        <w:t>а и организации преемственности между стационарной помощью и ПМСП, направленной на третий этап реабилитации. В 2017 году Всемирная организация здравоохранения (ВОЗ) представила инициативу "Реабилитация 2030" [11], в которой акцентировалось внимание на необ</w:t>
      </w:r>
      <w:r>
        <w:rPr>
          <w:rFonts w:ascii="Times New Roman" w:eastAsia="Times New Roman" w:hAnsi="Times New Roman" w:cs="Times New Roman"/>
          <w:color w:val="000000"/>
          <w:sz w:val="28"/>
          <w:szCs w:val="28"/>
          <w:highlight w:val="white"/>
        </w:rPr>
        <w:t xml:space="preserve">ходимости развития инноваций в области реабилитации, принятии управленческих решений на всех ее этапах, учитывая цифровизацию здравоохранения и образовательную среду медицинских работников. При этом, инициатива выделяла важность формирования компетентного </w:t>
      </w:r>
      <w:r>
        <w:rPr>
          <w:rFonts w:ascii="Times New Roman" w:eastAsia="Times New Roman" w:hAnsi="Times New Roman" w:cs="Times New Roman"/>
          <w:color w:val="000000"/>
          <w:sz w:val="28"/>
          <w:szCs w:val="28"/>
          <w:highlight w:val="white"/>
        </w:rPr>
        <w:t>и разностороннего персонала в области реабилитации, расширение финансирования данной сферы, а также улучшение сбора данных и проведения исследований в области реабилитации [11].</w:t>
      </w:r>
    </w:p>
    <w:p w:rsidR="000A3797" w:rsidRDefault="00A660E7">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условиях пандемии страны Европейского региона ВОЗ сделали приоритетом усиление и преобразование первичной медико-санитарной помощи, были введены и успешно применены элементы телемедицины, большое значение отведено ментальному здоровью [12,13].</w:t>
      </w:r>
    </w:p>
    <w:p w:rsidR="000A3797" w:rsidRDefault="00A660E7">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t>Республик</w:t>
      </w:r>
      <w:r>
        <w:rPr>
          <w:rFonts w:ascii="Times New Roman" w:eastAsia="Times New Roman" w:hAnsi="Times New Roman" w:cs="Times New Roman"/>
          <w:color w:val="000000"/>
          <w:sz w:val="28"/>
          <w:szCs w:val="28"/>
        </w:rPr>
        <w:t xml:space="preserve">а Казахстан, являясь членом Европейского региона ВОЗ, поддерживает и развивает ее стратегии и приоритетные направления. Охрана здоровья женщин является одним из этих направлений. </w:t>
      </w:r>
    </w:p>
    <w:p w:rsidR="000A3797" w:rsidRDefault="00A660E7">
      <w:pPr>
        <w:spacing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Для укрепления преемственности между ПМСП и хирургами стационаров в вопросах организации улучшения оказания качественной гинекологической помощи, считаем следует акцентировать внимание на важности вопросов: интеграции упражнений для тазового дна, профилак</w:t>
      </w:r>
      <w:r>
        <w:rPr>
          <w:rFonts w:ascii="Times New Roman" w:eastAsia="Times New Roman" w:hAnsi="Times New Roman" w:cs="Times New Roman"/>
          <w:sz w:val="28"/>
          <w:szCs w:val="28"/>
        </w:rPr>
        <w:t>тики факторов риска и использования новейших информационно-коммуникационных технологий (цифровизации) в реабилитации после хирургии пролапса [15,16]. Данные меры не только активно применяются и изучаются сегодня, но и способствуют повышению эффективности л</w:t>
      </w:r>
      <w:r>
        <w:rPr>
          <w:rFonts w:ascii="Times New Roman" w:eastAsia="Times New Roman" w:hAnsi="Times New Roman" w:cs="Times New Roman"/>
          <w:sz w:val="28"/>
          <w:szCs w:val="28"/>
        </w:rPr>
        <w:t xml:space="preserve">ечения и улучшению результатов для пациентов. </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Цель исследования:</w:t>
      </w:r>
      <w:r>
        <w:rPr>
          <w:rFonts w:ascii="Times New Roman" w:eastAsia="Times New Roman" w:hAnsi="Times New Roman" w:cs="Times New Roman"/>
          <w:sz w:val="28"/>
          <w:szCs w:val="28"/>
        </w:rPr>
        <w:t xml:space="preserve"> Комплексно оценить эффективность реабилитации пациенток с генитальным пролапсом после операции с разработкой интегрированного подхода к улучшению оказания гинекологической помощи в амбулатор</w:t>
      </w:r>
      <w:r>
        <w:rPr>
          <w:rFonts w:ascii="Times New Roman" w:eastAsia="Times New Roman" w:hAnsi="Times New Roman" w:cs="Times New Roman"/>
          <w:sz w:val="28"/>
          <w:szCs w:val="28"/>
        </w:rPr>
        <w:t>ных условиях.</w:t>
      </w:r>
    </w:p>
    <w:p w:rsidR="000A3797" w:rsidRDefault="00A660E7">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Задачи исследования:</w:t>
      </w:r>
    </w:p>
    <w:p w:rsidR="000A3797" w:rsidRDefault="00A660E7">
      <w:pPr>
        <w:numPr>
          <w:ilvl w:val="0"/>
          <w:numId w:val="5"/>
        </w:num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Проанализировать международный опыт о состоянии вопросов организации ведения пациентов с ГП после хирургического вмешательства, а также динамические изменения, согласно 10-ти летнего (2012-2021гг) отечественного статистич</w:t>
      </w:r>
      <w:r>
        <w:rPr>
          <w:rFonts w:ascii="Times New Roman" w:eastAsia="Times New Roman" w:hAnsi="Times New Roman" w:cs="Times New Roman"/>
          <w:sz w:val="28"/>
          <w:szCs w:val="28"/>
        </w:rPr>
        <w:t>еского материала о тенденциях роста хирургических вмешательств</w:t>
      </w:r>
    </w:p>
    <w:p w:rsidR="000A3797" w:rsidRDefault="00A660E7">
      <w:pPr>
        <w:numPr>
          <w:ilvl w:val="0"/>
          <w:numId w:val="5"/>
        </w:num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Определить влияние проведения непрерывного мониторинга после операции с воздействием на факторы риска в амбулаторных условиях на качество жизни пациентов с генитальным пролапсом и развитие реци</w:t>
      </w:r>
      <w:r>
        <w:rPr>
          <w:rFonts w:ascii="Times New Roman" w:eastAsia="Times New Roman" w:hAnsi="Times New Roman" w:cs="Times New Roman"/>
          <w:sz w:val="28"/>
          <w:szCs w:val="28"/>
        </w:rPr>
        <w:t xml:space="preserve">дива. </w:t>
      </w:r>
    </w:p>
    <w:p w:rsidR="000A3797" w:rsidRDefault="00A660E7">
      <w:pPr>
        <w:numPr>
          <w:ilvl w:val="0"/>
          <w:numId w:val="5"/>
        </w:num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Дать комплексную оценку основным факторам риска развития рецидива генитального пролапса с изучением: особенностей оказания гинекологической помощи в послеоперационном периоде и уровня знаний врачей. </w:t>
      </w:r>
    </w:p>
    <w:p w:rsidR="000A3797" w:rsidRDefault="00A660E7">
      <w:pPr>
        <w:numPr>
          <w:ilvl w:val="0"/>
          <w:numId w:val="5"/>
        </w:num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Изучить влияние метода непрерывного курса упражне</w:t>
      </w:r>
      <w:r>
        <w:rPr>
          <w:rFonts w:ascii="Times New Roman" w:eastAsia="Times New Roman" w:hAnsi="Times New Roman" w:cs="Times New Roman"/>
          <w:sz w:val="28"/>
          <w:szCs w:val="28"/>
        </w:rPr>
        <w:t xml:space="preserve">ний по упрощенной схеме и онлайн-мониторингом при амбулаторном ведении женщин на профилактику развития рецидива генитального пролапса. </w:t>
      </w:r>
    </w:p>
    <w:p w:rsidR="000A3797" w:rsidRDefault="00A660E7">
      <w:pPr>
        <w:numPr>
          <w:ilvl w:val="0"/>
          <w:numId w:val="5"/>
        </w:num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Разработать интерактивный электронный ресурс, включающий алгоритм послеоперационного наблюдения пациентов с ГП и внедрит</w:t>
      </w:r>
      <w:r>
        <w:rPr>
          <w:rFonts w:ascii="Times New Roman" w:eastAsia="Times New Roman" w:hAnsi="Times New Roman" w:cs="Times New Roman"/>
          <w:sz w:val="28"/>
          <w:szCs w:val="28"/>
        </w:rPr>
        <w:t>ь для врачей –гинекологов на республиканском и областном уровне с оценкой влияния на медицинскую грамотность населения в динамике.</w:t>
      </w:r>
    </w:p>
    <w:p w:rsidR="000A3797" w:rsidRDefault="000A3797">
      <w:pPr>
        <w:pBdr>
          <w:top w:val="nil"/>
          <w:left w:val="nil"/>
          <w:bottom w:val="nil"/>
          <w:right w:val="nil"/>
          <w:between w:val="nil"/>
        </w:pBdr>
        <w:spacing w:after="0" w:line="240" w:lineRule="auto"/>
        <w:ind w:left="714"/>
        <w:jc w:val="both"/>
        <w:rPr>
          <w:rFonts w:ascii="Times New Roman" w:eastAsia="Times New Roman" w:hAnsi="Times New Roman" w:cs="Times New Roman"/>
          <w:color w:val="000000"/>
          <w:sz w:val="28"/>
          <w:szCs w:val="28"/>
        </w:rPr>
      </w:pP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Гипотеза исследования:</w:t>
      </w:r>
      <w:r>
        <w:rPr>
          <w:rFonts w:ascii="Times New Roman" w:eastAsia="Times New Roman" w:hAnsi="Times New Roman" w:cs="Times New Roman"/>
          <w:sz w:val="28"/>
          <w:szCs w:val="28"/>
        </w:rPr>
        <w:t xml:space="preserve"> непрерывный мониторинг и реабилитация пациентов после операции на уровне ПМСП с использованием интера</w:t>
      </w:r>
      <w:r>
        <w:rPr>
          <w:rFonts w:ascii="Times New Roman" w:eastAsia="Times New Roman" w:hAnsi="Times New Roman" w:cs="Times New Roman"/>
          <w:sz w:val="28"/>
          <w:szCs w:val="28"/>
        </w:rPr>
        <w:t>ктивного электронного ресурса достоверно снижает количество рецидивов после операции и улучшает качество жизни женщин</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Объект исследования: </w:t>
      </w:r>
      <w:r>
        <w:rPr>
          <w:rFonts w:ascii="Times New Roman" w:eastAsia="Times New Roman" w:hAnsi="Times New Roman" w:cs="Times New Roman"/>
          <w:sz w:val="28"/>
          <w:szCs w:val="28"/>
        </w:rPr>
        <w:t>действующая система амбулаторной и стационарной помощи женщинам с генитальным пролапсом после операции</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Предмет исслед</w:t>
      </w:r>
      <w:r>
        <w:rPr>
          <w:rFonts w:ascii="Times New Roman" w:eastAsia="Times New Roman" w:hAnsi="Times New Roman" w:cs="Times New Roman"/>
          <w:b/>
          <w:sz w:val="28"/>
          <w:szCs w:val="28"/>
        </w:rPr>
        <w:t xml:space="preserve">ования: </w:t>
      </w:r>
      <w:r>
        <w:rPr>
          <w:rFonts w:ascii="Times New Roman" w:eastAsia="Times New Roman" w:hAnsi="Times New Roman" w:cs="Times New Roman"/>
          <w:sz w:val="28"/>
          <w:szCs w:val="28"/>
        </w:rPr>
        <w:t>процесс организации третьего этапа реабилитации пациентов с ГП, изучение влияния непрерывной схемы упражнений и длительного мониторинга на рецидив и качество жизни пациентов, оперированных по поводу генитального пролапса</w:t>
      </w:r>
    </w:p>
    <w:p w:rsidR="000A3797" w:rsidRDefault="00A660E7">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Научная новизна:</w:t>
      </w:r>
    </w:p>
    <w:p w:rsidR="000A3797" w:rsidRDefault="00A660E7">
      <w:pPr>
        <w:spacing w:after="0"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впервые </w:t>
      </w:r>
      <w:r>
        <w:rPr>
          <w:rFonts w:ascii="Times New Roman" w:eastAsia="Times New Roman" w:hAnsi="Times New Roman" w:cs="Times New Roman"/>
          <w:sz w:val="28"/>
          <w:szCs w:val="28"/>
        </w:rPr>
        <w:t>в Казахстане нами представлены результаты эффективности применения автоматизированной формы адаптированного опросника для оценки качества жизни у пациенток с генитальным пролапсом - P-QOL на русском и государственном языках (Приложение А) и авторского опро</w:t>
      </w:r>
      <w:r>
        <w:rPr>
          <w:rFonts w:ascii="Times New Roman" w:eastAsia="Times New Roman" w:hAnsi="Times New Roman" w:cs="Times New Roman"/>
          <w:sz w:val="28"/>
          <w:szCs w:val="28"/>
        </w:rPr>
        <w:t xml:space="preserve">сника: «Мониторинг выявления послеоперационных исходов у пациентов с генитальным пролапсом, МВПИ» (Приложение Б). Эти инструменты позволили выявить значимые факторы, влияющие на рецидив заболевания </w:t>
      </w:r>
    </w:p>
    <w:p w:rsidR="000A3797" w:rsidRDefault="00A660E7">
      <w:pPr>
        <w:spacing w:after="0"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обоснована эффективность использования разработанных пр</w:t>
      </w:r>
      <w:r>
        <w:rPr>
          <w:rFonts w:ascii="Times New Roman" w:eastAsia="Times New Roman" w:hAnsi="Times New Roman" w:cs="Times New Roman"/>
          <w:sz w:val="28"/>
          <w:szCs w:val="28"/>
        </w:rPr>
        <w:t>огностических моделей определения риска формирования рецидива ГП на основании установленных критериев оценки врачом, проводящим реабилитацию (многофакторная регрессионная модель, сила мышц тазового дна и поднятие тяжести, как предикторов развития рецидива)</w:t>
      </w:r>
      <w:r>
        <w:rPr>
          <w:rFonts w:ascii="Times New Roman" w:eastAsia="Times New Roman" w:hAnsi="Times New Roman" w:cs="Times New Roman"/>
          <w:sz w:val="28"/>
          <w:szCs w:val="28"/>
        </w:rPr>
        <w:t>;</w:t>
      </w:r>
    </w:p>
    <w:p w:rsidR="000A3797" w:rsidRDefault="00A660E7">
      <w:pPr>
        <w:spacing w:after="0"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проведена оценка третьего этапа реабилитации у пациенток, оперированным по поводу генитального пролапса, что дало возможность предложить рекомендации по улучшению лечебно-профилактических мероприятий;</w:t>
      </w:r>
    </w:p>
    <w:p w:rsidR="000A3797" w:rsidRDefault="00A660E7">
      <w:pPr>
        <w:spacing w:after="0"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созданы научно обоснованные рекомендации и алгори</w:t>
      </w:r>
      <w:r>
        <w:rPr>
          <w:rFonts w:ascii="Times New Roman" w:eastAsia="Times New Roman" w:hAnsi="Times New Roman" w:cs="Times New Roman"/>
          <w:sz w:val="28"/>
          <w:szCs w:val="28"/>
        </w:rPr>
        <w:t>тм ведения после операции, направленные на оптимизацию лечебно–профилактических мероприятий на третьем этапе реабилитации и маршрутизации пациентов с генитальным пролапсом в амбулаторных условиях, что позволило улучшить их качество жизни и способствовало с</w:t>
      </w:r>
      <w:r>
        <w:rPr>
          <w:rFonts w:ascii="Times New Roman" w:eastAsia="Times New Roman" w:hAnsi="Times New Roman" w:cs="Times New Roman"/>
          <w:sz w:val="28"/>
          <w:szCs w:val="28"/>
        </w:rPr>
        <w:t>нижению рецидивов заболевания;</w:t>
      </w:r>
    </w:p>
    <w:p w:rsidR="000A3797" w:rsidRDefault="00A660E7">
      <w:pPr>
        <w:spacing w:after="0"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продемонстрирована положительная динамика показателей медицинской грамотности у пациентов с генитальным после внедрения интерактивного электронного ресурса.</w:t>
      </w:r>
    </w:p>
    <w:p w:rsidR="000A3797" w:rsidRDefault="00A660E7">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Основные положения, выносимые на защиту:</w:t>
      </w:r>
    </w:p>
    <w:p w:rsidR="000A3797" w:rsidRDefault="00A660E7">
      <w:pPr>
        <w:numPr>
          <w:ilvl w:val="0"/>
          <w:numId w:val="6"/>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Рост распространенности генитального пролапса по данным литературы и увеличение числа оперативных вмешательств по его лечению в Республике Казахстан, в сочетании с низким охватом наблюдения пациентов после операции в организациях, оказывающих ПМСП, требует</w:t>
      </w:r>
      <w:r>
        <w:rPr>
          <w:rFonts w:ascii="Times New Roman" w:eastAsia="Times New Roman" w:hAnsi="Times New Roman" w:cs="Times New Roman"/>
          <w:color w:val="000000"/>
          <w:sz w:val="28"/>
          <w:szCs w:val="28"/>
        </w:rPr>
        <w:t xml:space="preserve"> разработки комплекса мероприятий для обеспечения преемственности третьего этапа реабилитации между стационарной помощью и ПМСП</w:t>
      </w:r>
    </w:p>
    <w:p w:rsidR="000A3797" w:rsidRDefault="00A660E7">
      <w:pPr>
        <w:numPr>
          <w:ilvl w:val="0"/>
          <w:numId w:val="6"/>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Метод непрерывного курса упражнений с использованием упрощенной схемы и онлайн-мониторинга (обеспечения 100% обратной связи межд</w:t>
      </w:r>
      <w:r>
        <w:rPr>
          <w:rFonts w:ascii="Times New Roman" w:eastAsia="Times New Roman" w:hAnsi="Times New Roman" w:cs="Times New Roman"/>
          <w:color w:val="000000"/>
          <w:sz w:val="28"/>
          <w:szCs w:val="28"/>
        </w:rPr>
        <w:t>у врачом и пациентом) на третьем этапе реабилитации в организациях первичной медико-санитарной помощи (ПМСП), непрерывный мониторинг с воздействием на факторы риска рецидива и обязательным повышением уровня медицинской грамотности населения улучшило качест</w:t>
      </w:r>
      <w:r>
        <w:rPr>
          <w:rFonts w:ascii="Times New Roman" w:eastAsia="Times New Roman" w:hAnsi="Times New Roman" w:cs="Times New Roman"/>
          <w:color w:val="000000"/>
          <w:sz w:val="28"/>
          <w:szCs w:val="28"/>
        </w:rPr>
        <w:t>во жизни и отдаленные исходы после операции пациентов с генитальным пролапсом.</w:t>
      </w:r>
    </w:p>
    <w:p w:rsidR="000A3797" w:rsidRDefault="00A660E7">
      <w:pPr>
        <w:numPr>
          <w:ilvl w:val="0"/>
          <w:numId w:val="6"/>
        </w:numPr>
        <w:pBdr>
          <w:top w:val="nil"/>
          <w:left w:val="nil"/>
          <w:bottom w:val="nil"/>
          <w:right w:val="nil"/>
          <w:between w:val="nil"/>
        </w:pBd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sz w:val="28"/>
          <w:szCs w:val="28"/>
        </w:rPr>
        <w:t>Установленные предикторы рецидива как: пороговое значение силы мышц тазового дна; пороговое значение физической нагрузки в весовом эквиваленте, а также многофакторная регрессион</w:t>
      </w:r>
      <w:r>
        <w:rPr>
          <w:rFonts w:ascii="Times New Roman" w:eastAsia="Times New Roman" w:hAnsi="Times New Roman" w:cs="Times New Roman"/>
          <w:color w:val="000000"/>
          <w:sz w:val="28"/>
          <w:szCs w:val="28"/>
        </w:rPr>
        <w:t>ная модель, позволяют прогнозировать риск развития рецидива генитального пролапса в послеоперационом периоде.</w:t>
      </w:r>
    </w:p>
    <w:p w:rsidR="000A3797" w:rsidRDefault="00A660E7">
      <w:pP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Теоретическая и методологическая база исследования </w:t>
      </w:r>
    </w:p>
    <w:p w:rsidR="000A3797" w:rsidRDefault="00A660E7">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Диссертационное исследование проводилось с использованием следующих количественных и качествен</w:t>
      </w:r>
      <w:r>
        <w:rPr>
          <w:rFonts w:ascii="Times New Roman" w:eastAsia="Times New Roman" w:hAnsi="Times New Roman" w:cs="Times New Roman"/>
          <w:color w:val="000000"/>
          <w:sz w:val="28"/>
          <w:szCs w:val="28"/>
        </w:rPr>
        <w:t>ных методов</w:t>
      </w:r>
      <w:r>
        <w:rPr>
          <w:rFonts w:ascii="Times New Roman" w:eastAsia="Times New Roman" w:hAnsi="Times New Roman" w:cs="Times New Roman"/>
          <w:smallCaps/>
          <w:color w:val="000000"/>
          <w:sz w:val="28"/>
          <w:szCs w:val="28"/>
        </w:rPr>
        <w:t>:</w:t>
      </w:r>
    </w:p>
    <w:p w:rsidR="000A3797" w:rsidRDefault="00A660E7">
      <w:pPr>
        <w:spacing w:after="0" w:line="240" w:lineRule="auto"/>
        <w:jc w:val="both"/>
        <w:rPr>
          <w:rFonts w:ascii="Times New Roman" w:eastAsia="Times New Roman" w:hAnsi="Times New Roman" w:cs="Times New Roman"/>
          <w:b/>
        </w:rPr>
      </w:pPr>
      <w:r>
        <w:rPr>
          <w:rFonts w:ascii="Times New Roman" w:eastAsia="Times New Roman" w:hAnsi="Times New Roman" w:cs="Times New Roman"/>
          <w:b/>
          <w:color w:val="000000"/>
          <w:sz w:val="28"/>
          <w:szCs w:val="28"/>
        </w:rPr>
        <w:t>Аналитический:</w:t>
      </w:r>
      <w:r>
        <w:rPr>
          <w:rFonts w:ascii="Times New Roman" w:eastAsia="Times New Roman" w:hAnsi="Times New Roman" w:cs="Times New Roman"/>
          <w:color w:val="000000"/>
          <w:sz w:val="28"/>
          <w:szCs w:val="28"/>
        </w:rPr>
        <w:t xml:space="preserve"> анализ отечественной и зарубежной литературы глубиной 10 лет в базах данных: Pubmed, Medline, Google Scholar, Mendeley,</w:t>
      </w:r>
      <w:r>
        <w:rPr>
          <w:rFonts w:ascii="Times New Roman" w:eastAsia="Times New Roman" w:hAnsi="Times New Roman" w:cs="Times New Roman"/>
          <w:color w:val="000000"/>
          <w:sz w:val="28"/>
          <w:szCs w:val="28"/>
          <w:u w:val="single"/>
        </w:rPr>
        <w:t xml:space="preserve"> </w:t>
      </w:r>
      <w:r>
        <w:rPr>
          <w:rFonts w:ascii="Times New Roman" w:eastAsia="Times New Roman" w:hAnsi="Times New Roman" w:cs="Times New Roman"/>
          <w:sz w:val="28"/>
          <w:szCs w:val="28"/>
        </w:rPr>
        <w:t>EMBASE, ClinicalTrial, Cochrane Central Register of Controlled Trials, Elibrary, CyberLeninka [15, стр. 89]</w:t>
      </w:r>
    </w:p>
    <w:p w:rsidR="000A3797" w:rsidRDefault="00A660E7">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Социологический: </w:t>
      </w:r>
    </w:p>
    <w:p w:rsidR="000A3797" w:rsidRDefault="00A660E7">
      <w:pPr>
        <w:spacing w:after="0" w:line="240" w:lineRule="auto"/>
        <w:jc w:val="both"/>
        <w:rPr>
          <w:rFonts w:ascii="Times New Roman" w:eastAsia="Times New Roman" w:hAnsi="Times New Roman" w:cs="Times New Roman"/>
          <w:color w:val="0563C1"/>
          <w:u w:val="single"/>
        </w:rPr>
      </w:pPr>
      <w:r>
        <w:rPr>
          <w:rFonts w:ascii="Times New Roman" w:eastAsia="Times New Roman" w:hAnsi="Times New Roman" w:cs="Times New Roman"/>
          <w:sz w:val="28"/>
          <w:szCs w:val="28"/>
        </w:rPr>
        <w:t>- оценка качества жизни пациентов с помощью автоматизированной формы адаптированного нами специализированного опросника качества жизни для генитального пролапса</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P-QoL на русском и казахском языках, авторское свидетельство № 23609 от 15.02</w:t>
      </w:r>
      <w:r>
        <w:rPr>
          <w:rFonts w:ascii="Times New Roman" w:eastAsia="Times New Roman" w:hAnsi="Times New Roman" w:cs="Times New Roman"/>
          <w:sz w:val="28"/>
          <w:szCs w:val="28"/>
        </w:rPr>
        <w:t>.22г (Приложение А);</w:t>
      </w:r>
    </w:p>
    <w:p w:rsidR="000A3797" w:rsidRDefault="00A660E7">
      <w:pPr>
        <w:spacing w:after="0" w:line="240" w:lineRule="auto"/>
        <w:jc w:val="both"/>
        <w:rPr>
          <w:rFonts w:ascii="Times New Roman" w:eastAsia="Times New Roman" w:hAnsi="Times New Roman" w:cs="Times New Roman"/>
        </w:rPr>
      </w:pPr>
      <w:r>
        <w:rPr>
          <w:rFonts w:ascii="Times New Roman" w:eastAsia="Times New Roman" w:hAnsi="Times New Roman" w:cs="Times New Roman"/>
          <w:smallCaps/>
          <w:sz w:val="28"/>
          <w:szCs w:val="28"/>
        </w:rPr>
        <w:t xml:space="preserve">- </w:t>
      </w:r>
      <w:r>
        <w:rPr>
          <w:rFonts w:ascii="Times New Roman" w:eastAsia="Times New Roman" w:hAnsi="Times New Roman" w:cs="Times New Roman"/>
          <w:sz w:val="28"/>
          <w:szCs w:val="28"/>
        </w:rPr>
        <w:t>оценка жалоб пациентов, наличия факторов риска рецидива генитального пролапса и приверженности к профилактике с помощью авторского опросника «Мониторинг выявления послеоперационных исходов у пациентов с генитальным пролапсом – МВПИ н</w:t>
      </w:r>
      <w:r>
        <w:rPr>
          <w:rFonts w:ascii="Times New Roman" w:eastAsia="Times New Roman" w:hAnsi="Times New Roman" w:cs="Times New Roman"/>
          <w:sz w:val="28"/>
          <w:szCs w:val="28"/>
        </w:rPr>
        <w:t>а русском и казахском языках, авторское свидетельство № 23610 от 15.02.22г (Приложение Б);</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мы оценили знания врачей о факторах риска генитального пролапса и методах профилактики с помощью авторского опросника на русском и казахском языках (Приложение В);</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знания пациентов о факторах риска генитального пролапса и методах профилактики оценены с помощью авторского опросника на русском и казахском языках (Приложение Г).</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Клинический: </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Анализ жалоб и дневников мочеиспускания [193, стр. 89] (Приложение Д);</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-Гинекологический осмотр с определением степени опущения и вида и степени функциональных нарушений органов малого таза с помощью проведения функциональных тестов;</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Оценка силы мышечных сокращений инструментальным методов и традиционным пальцевым методом.</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Математический</w:t>
      </w:r>
      <w:r>
        <w:rPr>
          <w:rFonts w:ascii="Times New Roman" w:eastAsia="Times New Roman" w:hAnsi="Times New Roman" w:cs="Times New Roman"/>
          <w:sz w:val="28"/>
          <w:szCs w:val="28"/>
        </w:rPr>
        <w:t xml:space="preserve"> – подсчёт средних значений пролеченных случаев хирургического лечения генитального пролапса по запросу в РЦЗЭ за последние 10 лет (2011-2021 г) в Республике Казахстан, городе Алматы, Алматинской области, городе Астана, городе Шымкент, расчет</w:t>
      </w:r>
      <w:r>
        <w:rPr>
          <w:rFonts w:ascii="Times New Roman" w:eastAsia="Times New Roman" w:hAnsi="Times New Roman" w:cs="Times New Roman"/>
          <w:sz w:val="28"/>
          <w:szCs w:val="28"/>
        </w:rPr>
        <w:t xml:space="preserve"> динамического ряда по формулам с построением точечной диаграммы в программе Exel 2010.</w:t>
      </w:r>
    </w:p>
    <w:p w:rsidR="000A3797" w:rsidRDefault="00A660E7">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Статистический: </w:t>
      </w:r>
    </w:p>
    <w:p w:rsidR="000A3797" w:rsidRDefault="00A660E7">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Расчет размера выборки определялся тремя способами:</w:t>
      </w:r>
    </w:p>
    <w:p w:rsidR="000A3797" w:rsidRDefault="00A660E7">
      <w:pPr>
        <w:numPr>
          <w:ilvl w:val="0"/>
          <w:numId w:val="7"/>
        </w:numPr>
        <w:pBdr>
          <w:top w:val="nil"/>
          <w:left w:val="nil"/>
          <w:bottom w:val="nil"/>
          <w:right w:val="nil"/>
          <w:between w:val="nil"/>
        </w:pBd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b/>
          <w:color w:val="000000"/>
          <w:sz w:val="28"/>
          <w:szCs w:val="28"/>
        </w:rPr>
        <w:t xml:space="preserve">По формуле </w:t>
      </w:r>
      <w:r>
        <w:rPr>
          <w:rFonts w:ascii="Times New Roman" w:eastAsia="Times New Roman" w:hAnsi="Times New Roman" w:cs="Times New Roman"/>
          <w:color w:val="000000"/>
          <w:sz w:val="28"/>
          <w:szCs w:val="28"/>
        </w:rPr>
        <w:t xml:space="preserve">расчета размера выборки: </w:t>
      </w:r>
      <m:oMath>
        <m:r>
          <w:rPr>
            <w:rFonts w:ascii="Cambria Math" w:eastAsia="Cambria Math" w:hAnsi="Cambria Math" w:cs="Cambria Math"/>
            <w:color w:val="000000"/>
            <w:sz w:val="28"/>
            <w:szCs w:val="28"/>
          </w:rPr>
          <m:t>n</m:t>
        </m:r>
        <m:r>
          <w:rPr>
            <w:rFonts w:ascii="Cambria Math" w:eastAsia="Cambria Math" w:hAnsi="Cambria Math" w:cs="Cambria Math"/>
            <w:color w:val="000000"/>
            <w:sz w:val="28"/>
            <w:szCs w:val="28"/>
          </w:rPr>
          <m:t>=</m:t>
        </m:r>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p</m:t>
            </m:r>
            <m:r>
              <w:rPr>
                <w:rFonts w:ascii="Cambria Math" w:eastAsia="Cambria Math" w:hAnsi="Cambria Math" w:cs="Cambria Math"/>
                <w:color w:val="000000"/>
                <w:sz w:val="28"/>
                <w:szCs w:val="28"/>
              </w:rPr>
              <m:t>×</m:t>
            </m:r>
            <m:r>
              <w:rPr>
                <w:rFonts w:ascii="Cambria Math" w:eastAsia="Cambria Math" w:hAnsi="Cambria Math" w:cs="Cambria Math"/>
                <w:color w:val="000000"/>
                <w:sz w:val="28"/>
                <w:szCs w:val="28"/>
              </w:rPr>
              <m:t>q</m:t>
            </m:r>
            <m:r>
              <w:rPr>
                <w:rFonts w:ascii="Cambria Math" w:eastAsia="Cambria Math" w:hAnsi="Cambria Math" w:cs="Cambria Math"/>
                <w:color w:val="000000"/>
                <w:sz w:val="28"/>
                <w:szCs w:val="28"/>
              </w:rPr>
              <m:t>×</m:t>
            </m:r>
            <m:r>
              <w:rPr>
                <w:rFonts w:ascii="Cambria Math" w:eastAsia="Cambria Math" w:hAnsi="Cambria Math" w:cs="Cambria Math"/>
                <w:color w:val="000000"/>
                <w:sz w:val="28"/>
                <w:szCs w:val="28"/>
              </w:rPr>
              <m:t>t</m:t>
            </m:r>
            <m:r>
              <w:rPr>
                <w:rFonts w:ascii="Cambria Math" w:eastAsia="Cambria Math" w:hAnsi="Cambria Math" w:cs="Cambria Math"/>
                <w:color w:val="000000"/>
                <w:sz w:val="28"/>
                <w:szCs w:val="28"/>
              </w:rPr>
              <m:t>²</m:t>
            </m:r>
          </m:num>
          <m:den>
            <m:r>
              <w:rPr>
                <w:rFonts w:ascii="Cambria Math" w:eastAsia="Cambria Math" w:hAnsi="Cambria Math" w:cs="Cambria Math"/>
                <w:color w:val="000000"/>
                <w:sz w:val="28"/>
                <w:szCs w:val="28"/>
              </w:rPr>
              <m:t>Δ</m:t>
            </m:r>
            <m:r>
              <w:rPr>
                <w:rFonts w:ascii="Cambria Math" w:eastAsia="Cambria Math" w:hAnsi="Cambria Math" w:cs="Cambria Math"/>
                <w:color w:val="000000"/>
                <w:sz w:val="28"/>
                <w:szCs w:val="28"/>
              </w:rPr>
              <m:t>²</m:t>
            </m:r>
          </m:den>
        </m:f>
        <m:r>
          <w:rPr>
            <w:rFonts w:ascii="Cambria Math" w:eastAsia="Cambria Math" w:hAnsi="Cambria Math" w:cs="Cambria Math"/>
            <w:color w:val="000000"/>
            <w:sz w:val="28"/>
            <w:szCs w:val="28"/>
          </w:rPr>
          <m:t xml:space="preserve">  </m:t>
        </m:r>
      </m:oMath>
      <w:r>
        <w:rPr>
          <w:rFonts w:ascii="Times New Roman" w:eastAsia="Times New Roman" w:hAnsi="Times New Roman" w:cs="Times New Roman"/>
          <w:color w:val="000000"/>
          <w:sz w:val="28"/>
          <w:szCs w:val="28"/>
        </w:rPr>
        <w:t xml:space="preserve">                                      (1)</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 объем выборки</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 – доля респондентов с наличием признака</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q= 1-р – доля респондентов с отсутствием признака</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 – выбранный доверительный уровень - 2</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Δ=±0,05 – ошибка выборки </w:t>
      </w:r>
    </w:p>
    <w:p w:rsidR="000A3797" w:rsidRDefault="00A660E7">
      <w:pPr>
        <w:numPr>
          <w:ilvl w:val="0"/>
          <w:numId w:val="7"/>
        </w:numPr>
        <w:pBdr>
          <w:top w:val="nil"/>
          <w:left w:val="nil"/>
          <w:bottom w:val="nil"/>
          <w:right w:val="nil"/>
          <w:between w:val="nil"/>
        </w:pBd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b/>
          <w:color w:val="000000"/>
          <w:sz w:val="28"/>
          <w:szCs w:val="28"/>
        </w:rPr>
        <w:t xml:space="preserve">На онлайн калькуляторе </w:t>
      </w:r>
      <w:r>
        <w:rPr>
          <w:rFonts w:ascii="Times New Roman" w:eastAsia="Times New Roman" w:hAnsi="Times New Roman" w:cs="Times New Roman"/>
          <w:color w:val="000000"/>
          <w:sz w:val="28"/>
          <w:szCs w:val="28"/>
        </w:rPr>
        <w:t xml:space="preserve">интернет –платформы: medstatistic.ru. </w:t>
      </w:r>
    </w:p>
    <w:p w:rsidR="000A3797" w:rsidRDefault="00A660E7">
      <w:pPr>
        <w:numPr>
          <w:ilvl w:val="0"/>
          <w:numId w:val="7"/>
        </w:numPr>
        <w:pBdr>
          <w:top w:val="nil"/>
          <w:left w:val="nil"/>
          <w:bottom w:val="nil"/>
          <w:right w:val="nil"/>
          <w:between w:val="nil"/>
        </w:pBd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b/>
          <w:color w:val="000000"/>
          <w:sz w:val="28"/>
          <w:szCs w:val="28"/>
        </w:rPr>
        <w:t xml:space="preserve">На онлайн калькуляторе </w:t>
      </w:r>
      <w:r>
        <w:rPr>
          <w:rFonts w:ascii="Times New Roman" w:eastAsia="Times New Roman" w:hAnsi="Times New Roman" w:cs="Times New Roman"/>
          <w:color w:val="000000"/>
          <w:sz w:val="28"/>
          <w:szCs w:val="28"/>
        </w:rPr>
        <w:t xml:space="preserve">интернет –платформы: </w:t>
      </w:r>
      <w:hyperlink r:id="rId7">
        <w:r>
          <w:rPr>
            <w:rFonts w:ascii="Times New Roman" w:eastAsia="Times New Roman" w:hAnsi="Times New Roman" w:cs="Times New Roman"/>
            <w:color w:val="0563C1"/>
            <w:sz w:val="28"/>
            <w:szCs w:val="28"/>
            <w:u w:val="single"/>
          </w:rPr>
          <w:t>https://sample-size.net/sample-size-survival-analysis/</w:t>
        </w:r>
      </w:hyperlink>
    </w:p>
    <w:p w:rsidR="000A3797" w:rsidRDefault="00A660E7">
      <w:pPr>
        <w:spacing w:after="0" w:line="240" w:lineRule="auto"/>
        <w:ind w:left="360" w:firstLine="34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Использованы материалы Статистического сборника «Здоровье населения Республики Каза</w:t>
      </w:r>
      <w:r>
        <w:rPr>
          <w:rFonts w:ascii="Times New Roman" w:eastAsia="Times New Roman" w:hAnsi="Times New Roman" w:cs="Times New Roman"/>
          <w:sz w:val="28"/>
          <w:szCs w:val="28"/>
        </w:rPr>
        <w:t>хстан и деятельность организаций здравоохранения» с 2011 по 2022 годы.</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Статистический анализ выполнен в программе SPSS-statistic 26.0. Для проверки нормальности распределения были использованы следующие методы:</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Критерий Шапиро-Уилка (применяется при </w:t>
      </w:r>
      <w:r>
        <w:rPr>
          <w:rFonts w:ascii="Cambria Math" w:eastAsia="Cambria Math" w:hAnsi="Cambria Math" w:cs="Cambria Math"/>
          <w:sz w:val="28"/>
          <w:szCs w:val="28"/>
        </w:rPr>
        <w:t>𝑛</w:t>
      </w:r>
      <w:r>
        <w:rPr>
          <w:rFonts w:ascii="Times New Roman" w:eastAsia="Times New Roman" w:hAnsi="Times New Roman" w:cs="Times New Roman"/>
          <w:sz w:val="28"/>
          <w:szCs w:val="28"/>
        </w:rPr>
        <w:t>&lt;50)</w:t>
      </w:r>
      <w:r>
        <w:rPr>
          <w:rFonts w:ascii="Times New Roman" w:eastAsia="Times New Roman" w:hAnsi="Times New Roman" w:cs="Times New Roman"/>
          <w:sz w:val="28"/>
          <w:szCs w:val="28"/>
        </w:rPr>
        <w:t xml:space="preserve"> и критерий Колмогорова-Смирнова с поправкой Лиллиефорса (при </w:t>
      </w:r>
      <w:r>
        <w:rPr>
          <w:rFonts w:ascii="Cambria Math" w:eastAsia="Cambria Math" w:hAnsi="Cambria Math" w:cs="Cambria Math"/>
          <w:sz w:val="28"/>
          <w:szCs w:val="28"/>
        </w:rPr>
        <w:t>𝑛</w:t>
      </w:r>
      <w:r>
        <w:rPr>
          <w:rFonts w:ascii="Times New Roman" w:eastAsia="Times New Roman" w:hAnsi="Times New Roman" w:cs="Times New Roman"/>
          <w:sz w:val="28"/>
          <w:szCs w:val="28"/>
        </w:rPr>
        <w:t xml:space="preserve"> &gt; 50 ) [14].</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Показатель эксцесса и коэффициент асимметрии для количественной оценки распределения[14, стр.10].</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Визуальная оценка гистограммы [14, стр.10].</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Количественные данные, не подчиняющи</w:t>
      </w:r>
      <w:r>
        <w:rPr>
          <w:rFonts w:ascii="Times New Roman" w:eastAsia="Times New Roman" w:hAnsi="Times New Roman" w:cs="Times New Roman"/>
          <w:sz w:val="28"/>
          <w:szCs w:val="28"/>
        </w:rPr>
        <w:t>еся закону нормального распределения  анализированы с помощью У-критерия Манна – Уитни и критерий Краскела-Уоллиса  при сравнении более двух групп с поправкой на множественность сравнений Бонферрони [14, стр.10].</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анализа количественных данных, распреде</w:t>
      </w:r>
      <w:r>
        <w:rPr>
          <w:rFonts w:ascii="Times New Roman" w:eastAsia="Times New Roman" w:hAnsi="Times New Roman" w:cs="Times New Roman"/>
          <w:sz w:val="28"/>
          <w:szCs w:val="28"/>
        </w:rPr>
        <w:t>лённых по нормальному закону, применены парный t-критерий Стьюдента (при равенстве дисперсий) и t-критерий Уэлча (при различии дисперсий) [14, стр.10].</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анализа категориальных переменных применены точный критерий Фишера, хи –квадрат Пирсона, значения V </w:t>
      </w:r>
      <w:r>
        <w:rPr>
          <w:rFonts w:ascii="Times New Roman" w:eastAsia="Times New Roman" w:hAnsi="Times New Roman" w:cs="Times New Roman"/>
          <w:sz w:val="28"/>
          <w:szCs w:val="28"/>
        </w:rPr>
        <w:t xml:space="preserve">Крамера использованы для оценки силы связи между признаками (effect size). </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Корреляционная связь между признаками установлена посредством использования коэффициента корелляции Спиремана, с оценкой тесноты связи по шкале Чеддока [14, стр.10]. </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Результаты в </w:t>
      </w:r>
      <w:r>
        <w:rPr>
          <w:rFonts w:ascii="Times New Roman" w:eastAsia="Times New Roman" w:hAnsi="Times New Roman" w:cs="Times New Roman"/>
          <w:sz w:val="28"/>
          <w:szCs w:val="28"/>
        </w:rPr>
        <w:t>динамике до и после лечения и определения уровня грамотности оценивали в обеих группах для количественных данных c помощью критериев Уилкоксона для распределения отличного от нормального и парного t-критерий Стьюдента для данных, подчиняющихся закону норма</w:t>
      </w:r>
      <w:r>
        <w:rPr>
          <w:rFonts w:ascii="Times New Roman" w:eastAsia="Times New Roman" w:hAnsi="Times New Roman" w:cs="Times New Roman"/>
          <w:sz w:val="28"/>
          <w:szCs w:val="28"/>
        </w:rPr>
        <w:t xml:space="preserve">льного распределения, для номинальных данных - критерий Макнемара. </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прогнозирование риска формирования пролапса тазовых органов  относительно силы мышц тазового был проведен Roc-анализ, установлено порогового значения в точке cut-off  с определением чувствительности и специфичности. </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Тестирование внутренней согласованн</w:t>
      </w:r>
      <w:r>
        <w:rPr>
          <w:rFonts w:ascii="Times New Roman" w:eastAsia="Times New Roman" w:hAnsi="Times New Roman" w:cs="Times New Roman"/>
          <w:sz w:val="28"/>
          <w:szCs w:val="28"/>
        </w:rPr>
        <w:t xml:space="preserve">ости с использованной Альфа Кронбаха, определенной нами как выше 0,6 для допустимого результата, использована для определения надежности опросников. Надежность опросников также оценена с помощью повторного тестирования через 14 дней, респондентами оценена </w:t>
      </w:r>
      <w:r>
        <w:rPr>
          <w:rFonts w:ascii="Times New Roman" w:eastAsia="Times New Roman" w:hAnsi="Times New Roman" w:cs="Times New Roman"/>
          <w:sz w:val="28"/>
          <w:szCs w:val="28"/>
        </w:rPr>
        <w:t>содержательная валидность, внешняя валидность определена врачами-эксперами в области гинекологии, конструктивная валидность оценена путем корреляционной связи между объективным осмотром и ответами респондентов для определения выявляемости симптомов, при их</w:t>
      </w:r>
      <w:r>
        <w:rPr>
          <w:rFonts w:ascii="Times New Roman" w:eastAsia="Times New Roman" w:hAnsi="Times New Roman" w:cs="Times New Roman"/>
          <w:sz w:val="28"/>
          <w:szCs w:val="28"/>
        </w:rPr>
        <w:t xml:space="preserve"> наличии, воспроизводимость оценена путем подсчета среднего времени заполнения электронной версии опросников  респондентами и интерпретацией врачами акушерами-гинекологами.</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Вероятность развития рецидива определена влиянием факторов риска с применением ана</w:t>
      </w:r>
      <w:r>
        <w:rPr>
          <w:rFonts w:ascii="Times New Roman" w:eastAsia="Times New Roman" w:hAnsi="Times New Roman" w:cs="Times New Roman"/>
          <w:sz w:val="28"/>
          <w:szCs w:val="28"/>
        </w:rPr>
        <w:t>лиза бинарной логистической регрессии, метод Найджелкерка использован для определения значения коэффициента детерминации. Уровень статистической значимости определяли как р</w:t>
      </w:r>
      <m:oMath>
        <m:r>
          <w:rPr>
            <w:rFonts w:ascii="Cambria Math" w:eastAsia="Cambria Math" w:hAnsi="Cambria Math" w:cs="Cambria Math"/>
            <w:sz w:val="28"/>
            <w:szCs w:val="28"/>
          </w:rPr>
          <m:t>&lt;</m:t>
        </m:r>
      </m:oMath>
      <w:r>
        <w:rPr>
          <w:rFonts w:ascii="Times New Roman" w:eastAsia="Times New Roman" w:hAnsi="Times New Roman" w:cs="Times New Roman"/>
          <w:sz w:val="28"/>
          <w:szCs w:val="28"/>
        </w:rPr>
        <w:t>0,05.</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Электронный ресурс prolaps-monitoring разработан с помощью конструктора сайто</w:t>
      </w:r>
      <w:r>
        <w:rPr>
          <w:rFonts w:ascii="Times New Roman" w:eastAsia="Times New Roman" w:hAnsi="Times New Roman" w:cs="Times New Roman"/>
          <w:sz w:val="28"/>
          <w:szCs w:val="28"/>
        </w:rPr>
        <w:t>в Wix.com.</w:t>
      </w:r>
    </w:p>
    <w:p w:rsidR="000A3797" w:rsidRDefault="00A660E7">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Теоретическая и практическая  значимость:</w:t>
      </w:r>
    </w:p>
    <w:p w:rsidR="000A3797" w:rsidRDefault="00A660E7">
      <w:pPr>
        <w:spacing w:after="0"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Проанализированные нами международный опыт и практика  могут быть использованы гинекологами ПМСП,  как элемент улучшения реабилитационных мероприятий женщинам после оперативного вмешательства на этапе ре</w:t>
      </w:r>
      <w:r>
        <w:rPr>
          <w:rFonts w:ascii="Times New Roman" w:eastAsia="Times New Roman" w:hAnsi="Times New Roman" w:cs="Times New Roman"/>
          <w:sz w:val="28"/>
          <w:szCs w:val="28"/>
        </w:rPr>
        <w:t>абилитации.</w:t>
      </w:r>
    </w:p>
    <w:p w:rsidR="000A3797" w:rsidRDefault="00A660E7">
      <w:pPr>
        <w:spacing w:after="0"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Данные опроса врачей позволил выявить отсутствие преемственности между стационарной службой и ПМСП в вопросах мониторинга и проведения третьего этапа реабилитации пациентам с генитальным пролапсом после операции.</w:t>
      </w:r>
    </w:p>
    <w:p w:rsidR="000A3797" w:rsidRDefault="00A660E7">
      <w:pPr>
        <w:spacing w:after="0" w:line="240" w:lineRule="auto"/>
        <w:ind w:firstLine="360"/>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Апробированы в частных и госуда</w:t>
      </w:r>
      <w:r>
        <w:rPr>
          <w:rFonts w:ascii="Times New Roman" w:eastAsia="Times New Roman" w:hAnsi="Times New Roman" w:cs="Times New Roman"/>
          <w:sz w:val="28"/>
          <w:szCs w:val="28"/>
        </w:rPr>
        <w:t>ртсвенных медицинских центрах, разработанные и утвержденные в Казахстанском Медицинском Университете «ВШОЗ», две образовательные программы «Основы профилактических мероприятий рецидивов генитального пролапса в организациях, оказывающих ПМСП» (Приложение К)</w:t>
      </w:r>
      <w:r>
        <w:rPr>
          <w:rFonts w:ascii="Times New Roman" w:eastAsia="Times New Roman" w:hAnsi="Times New Roman" w:cs="Times New Roman"/>
          <w:sz w:val="28"/>
          <w:szCs w:val="28"/>
        </w:rPr>
        <w:t>, «Междисциплинарный подход профилактики рецидивов генитального пролапса в организациях, оказывающих ПМСП» (Приложение И), способны обеспечить качественную непрерывнуюп одготовку  медицинского персонала  в вопросах оптимизации оказния реабилитационной помо</w:t>
      </w:r>
      <w:r>
        <w:rPr>
          <w:rFonts w:ascii="Times New Roman" w:eastAsia="Times New Roman" w:hAnsi="Times New Roman" w:cs="Times New Roman"/>
          <w:sz w:val="28"/>
          <w:szCs w:val="28"/>
        </w:rPr>
        <w:t>щи пациентам с ГП.</w:t>
      </w:r>
    </w:p>
    <w:p w:rsidR="000A3797" w:rsidRDefault="00A660E7">
      <w:pPr>
        <w:spacing w:after="0" w:line="240" w:lineRule="auto"/>
        <w:ind w:firstLine="360"/>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sz w:val="28"/>
          <w:szCs w:val="28"/>
        </w:rPr>
        <w:t xml:space="preserve">Для повышения доступности населению реабилитационных услуг врача-гинеколога ПМСП и гинекологических стационаров предложен электронный ресурс с целью </w:t>
      </w:r>
      <w:r>
        <w:rPr>
          <w:rFonts w:ascii="Times New Roman" w:eastAsia="Times New Roman" w:hAnsi="Times New Roman" w:cs="Times New Roman"/>
          <w:color w:val="000000"/>
          <w:sz w:val="28"/>
          <w:szCs w:val="28"/>
          <w:highlight w:val="white"/>
        </w:rPr>
        <w:t>развития общественных знаний о ГП, практики укрепления здоровья и профилактики рецидивов</w:t>
      </w:r>
      <w:r>
        <w:rPr>
          <w:rFonts w:ascii="Times New Roman" w:eastAsia="Times New Roman" w:hAnsi="Times New Roman" w:cs="Times New Roman"/>
          <w:color w:val="000000"/>
          <w:sz w:val="28"/>
          <w:szCs w:val="28"/>
          <w:highlight w:val="white"/>
        </w:rPr>
        <w:t xml:space="preserve">, </w:t>
      </w:r>
      <w:r>
        <w:rPr>
          <w:rFonts w:ascii="Times New Roman" w:eastAsia="Times New Roman" w:hAnsi="Times New Roman" w:cs="Times New Roman"/>
          <w:sz w:val="28"/>
          <w:szCs w:val="28"/>
        </w:rPr>
        <w:t>а также осуществлении ранней диагностики и мониторинга осложнений после операции. (Приложение Е).</w:t>
      </w:r>
    </w:p>
    <w:p w:rsidR="000A3797" w:rsidRDefault="00A660E7">
      <w:pPr>
        <w:spacing w:after="0"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Руководителям здравоохранения (различных уровней), полученные результаты исследования мониторинга, согласно автоматизированных анкет P-QOL (Приложение А) и </w:t>
      </w:r>
      <w:r>
        <w:rPr>
          <w:rFonts w:ascii="Times New Roman" w:eastAsia="Times New Roman" w:hAnsi="Times New Roman" w:cs="Times New Roman"/>
          <w:sz w:val="28"/>
          <w:szCs w:val="28"/>
        </w:rPr>
        <w:t>МВПИ (Приложение Б), о качестве жизни и послеоперационных исходов</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рекомендовано включать в планы работы организационных вопросов, посвященных усилению преемственности работы стационаров и ПМСП по ведению реабилитационного периода пациенток с ГП, а также о</w:t>
      </w:r>
      <w:r>
        <w:rPr>
          <w:rFonts w:ascii="Times New Roman" w:eastAsia="Times New Roman" w:hAnsi="Times New Roman" w:cs="Times New Roman"/>
          <w:sz w:val="28"/>
          <w:szCs w:val="28"/>
        </w:rPr>
        <w:t>беспечения мониторинга лиц, перенёсших хирургическое вмешательство.</w:t>
      </w:r>
    </w:p>
    <w:p w:rsidR="000A3797" w:rsidRDefault="00A660E7">
      <w:pPr>
        <w:spacing w:after="0"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Результаты - улучшение качества жизни пациентов и снижение рецидивов, достигнутые воздействием на факторы риска рецидива путем длительного регулярного мониторинга с помощью разработанного </w:t>
      </w:r>
      <w:r>
        <w:rPr>
          <w:rFonts w:ascii="Times New Roman" w:eastAsia="Times New Roman" w:hAnsi="Times New Roman" w:cs="Times New Roman"/>
          <w:sz w:val="28"/>
          <w:szCs w:val="28"/>
        </w:rPr>
        <w:t>алгоритма послеоперационного наблюдения женщин с генитальным пролапсом (межсекторальный подход, Приложение Ж)» и интерактивного ресурса реализуют стратегию ВОЗ о борьбе с неинфекционными заболеваниями путем воздействия на факторы риска и вносят вклад в общ</w:t>
      </w:r>
      <w:r>
        <w:rPr>
          <w:rFonts w:ascii="Times New Roman" w:eastAsia="Times New Roman" w:hAnsi="Times New Roman" w:cs="Times New Roman"/>
          <w:sz w:val="28"/>
          <w:szCs w:val="28"/>
        </w:rPr>
        <w:t>ественное здравоохранение.</w:t>
      </w:r>
    </w:p>
    <w:p w:rsidR="000A3797" w:rsidRDefault="00A660E7">
      <w:pPr>
        <w:spacing w:after="0"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Разработанные прикладные инструменты для организации ведения реабилитационного периода для работы ПМСП и широкого внедрения на Республиканском уровне, как элемент цифровизации, способны автоматизировать мониторинг, сократить врем</w:t>
      </w:r>
      <w:r>
        <w:rPr>
          <w:rFonts w:ascii="Times New Roman" w:eastAsia="Times New Roman" w:hAnsi="Times New Roman" w:cs="Times New Roman"/>
          <w:sz w:val="28"/>
          <w:szCs w:val="28"/>
        </w:rPr>
        <w:t>енные затраты медицинского персонала и улучшить третий этап реабилитации.</w:t>
      </w:r>
    </w:p>
    <w:p w:rsidR="000A3797" w:rsidRDefault="00A660E7">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Личный вклад автора</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Представленная работа является авторским трудом Лактионовой Марии Владимировны, где ею самостоятельно проведен обзор современной литературы по теме диссертации, с</w:t>
      </w:r>
      <w:r>
        <w:rPr>
          <w:rFonts w:ascii="Times New Roman" w:eastAsia="Times New Roman" w:hAnsi="Times New Roman" w:cs="Times New Roman"/>
          <w:sz w:val="28"/>
          <w:szCs w:val="28"/>
        </w:rPr>
        <w:t>планированы и проведены все этапы исследования.</w:t>
      </w:r>
    </w:p>
    <w:p w:rsidR="000A3797" w:rsidRDefault="00A660E7">
      <w:pPr>
        <w:spacing w:after="0" w:line="240" w:lineRule="auto"/>
        <w:ind w:firstLine="708"/>
        <w:jc w:val="both"/>
        <w:rPr>
          <w:rFonts w:ascii="Times New Roman" w:eastAsia="Times New Roman" w:hAnsi="Times New Roman" w:cs="Times New Roman"/>
          <w:color w:val="000000"/>
        </w:rPr>
      </w:pPr>
      <w:r>
        <w:rPr>
          <w:rFonts w:ascii="Times New Roman" w:eastAsia="Times New Roman" w:hAnsi="Times New Roman" w:cs="Times New Roman"/>
          <w:sz w:val="28"/>
          <w:szCs w:val="28"/>
        </w:rPr>
        <w:t>В результате работы автором адаптирован, валидирован и атоматизирован для населения Казахстана специализированный опросник качества жизни P-QoL на руссом и казахском языках: авторское свидетельство № 23609 от</w:t>
      </w:r>
      <w:r>
        <w:rPr>
          <w:rFonts w:ascii="Times New Roman" w:eastAsia="Times New Roman" w:hAnsi="Times New Roman" w:cs="Times New Roman"/>
          <w:sz w:val="28"/>
          <w:szCs w:val="28"/>
        </w:rPr>
        <w:t xml:space="preserve"> 15.02.22г «Адаптированный специализированный опросник P-QoL на русском и казахском языках для женщин с генитальным пролапсом Казахстана» (Приложение А). Разработан и валидирован авторский опросник на русском и казахском для выявления факторов риска генита</w:t>
      </w:r>
      <w:r>
        <w:rPr>
          <w:rFonts w:ascii="Times New Roman" w:eastAsia="Times New Roman" w:hAnsi="Times New Roman" w:cs="Times New Roman"/>
          <w:sz w:val="28"/>
          <w:szCs w:val="28"/>
        </w:rPr>
        <w:t>льного пролапса: авторское свидетельство № 23610 от 15.02.22г «Мониторинг выявления послеоперационных исходов у пациентов с генитальным пролапсом – МВПИ на русском и казахском языках» (Приложение Б). Разработан алгоритм межсекторального подхода послеоперац</w:t>
      </w:r>
      <w:r>
        <w:rPr>
          <w:rFonts w:ascii="Times New Roman" w:eastAsia="Times New Roman" w:hAnsi="Times New Roman" w:cs="Times New Roman"/>
          <w:sz w:val="28"/>
          <w:szCs w:val="28"/>
        </w:rPr>
        <w:t>ионного наблюдения женщин с генитальным пролапсом на уровне ПМСП на русском и казахском языках: авторское свидетельство № 28674 от 08.09.22г «Алгоритм послеоперационного наблюдения женщин с генитальным пролапсом (межсекторальный подход)», (Приложение Ж). Р</w:t>
      </w:r>
      <w:r>
        <w:rPr>
          <w:rFonts w:ascii="Times New Roman" w:eastAsia="Times New Roman" w:hAnsi="Times New Roman" w:cs="Times New Roman"/>
          <w:sz w:val="28"/>
          <w:szCs w:val="28"/>
        </w:rPr>
        <w:t>азработано «Руководство по генитальному пролапсу для женщин. Әйелдерге арналған жыныстық пролапс бойынша нұсқаулық»  с целью повышения уровня общественных знаний населения о факторах риска и профилактических мероприятиях ГП: авторское свидетельство № 31497</w:t>
      </w:r>
      <w:r>
        <w:rPr>
          <w:rFonts w:ascii="Times New Roman" w:eastAsia="Times New Roman" w:hAnsi="Times New Roman" w:cs="Times New Roman"/>
          <w:sz w:val="28"/>
          <w:szCs w:val="28"/>
        </w:rPr>
        <w:t xml:space="preserve"> от 30.12.22г: (Приложение Е). На основании всех вышеуказанных инструментов разработан электронный ресурс с компьютерной и мобильной версией: </w:t>
      </w:r>
      <w:hyperlink r:id="rId8">
        <w:r>
          <w:rPr>
            <w:rFonts w:ascii="Times New Roman" w:eastAsia="Times New Roman" w:hAnsi="Times New Roman" w:cs="Times New Roman"/>
            <w:color w:val="0563C1"/>
            <w:sz w:val="28"/>
            <w:szCs w:val="28"/>
            <w:u w:val="single"/>
          </w:rPr>
          <w:t>https://www.prolaps-monitoring.com</w:t>
        </w:r>
      </w:hyperlink>
      <w:r>
        <w:rPr>
          <w:rFonts w:ascii="Times New Roman" w:eastAsia="Times New Roman" w:hAnsi="Times New Roman" w:cs="Times New Roman"/>
          <w:color w:val="0563C1"/>
          <w:sz w:val="28"/>
          <w:szCs w:val="28"/>
          <w:u w:val="single"/>
        </w:rPr>
        <w:t>,</w:t>
      </w:r>
      <w:r>
        <w:rPr>
          <w:rFonts w:ascii="Times New Roman" w:eastAsia="Times New Roman" w:hAnsi="Times New Roman" w:cs="Times New Roman"/>
          <w:sz w:val="28"/>
          <w:szCs w:val="28"/>
        </w:rPr>
        <w:t xml:space="preserve"> (Приложение Н), </w:t>
      </w:r>
      <w:r>
        <w:rPr>
          <w:rFonts w:ascii="Times New Roman" w:eastAsia="Times New Roman" w:hAnsi="Times New Roman" w:cs="Times New Roman"/>
          <w:color w:val="000000"/>
          <w:sz w:val="28"/>
          <w:szCs w:val="28"/>
        </w:rPr>
        <w:t xml:space="preserve">который внедрен в работу следующий медицинских учреждений: </w:t>
      </w:r>
    </w:p>
    <w:p w:rsidR="000A3797" w:rsidRDefault="00A660E7">
      <w:pPr>
        <w:numPr>
          <w:ilvl w:val="0"/>
          <w:numId w:val="8"/>
        </w:numPr>
        <w:pBdr>
          <w:top w:val="nil"/>
          <w:left w:val="nil"/>
          <w:bottom w:val="nil"/>
          <w:right w:val="nil"/>
          <w:between w:val="nil"/>
        </w:pBdr>
        <w:spacing w:after="0" w:line="240" w:lineRule="auto"/>
        <w:jc w:val="both"/>
        <w:rPr>
          <w:rFonts w:ascii="Times New Roman" w:eastAsia="Times New Roman" w:hAnsi="Times New Roman" w:cs="Times New Roman"/>
        </w:rPr>
      </w:pPr>
      <w:r>
        <w:rPr>
          <w:rFonts w:ascii="Times New Roman" w:eastAsia="Times New Roman" w:hAnsi="Times New Roman" w:cs="Times New Roman"/>
          <w:color w:val="000000"/>
          <w:sz w:val="28"/>
          <w:szCs w:val="28"/>
        </w:rPr>
        <w:t xml:space="preserve">ГКП на ПХВ поликлиника №2, город Алматы (акт внедрения от 22.12.2022, Приложение Л); </w:t>
      </w:r>
    </w:p>
    <w:p w:rsidR="000A3797" w:rsidRDefault="00A660E7">
      <w:pPr>
        <w:numPr>
          <w:ilvl w:val="0"/>
          <w:numId w:val="8"/>
        </w:num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ГКП на ПХВ «Областной перинатальный центр №3», город Туркестан (акт внедрения от 14.11.2022, Приложение Л);</w:t>
      </w:r>
    </w:p>
    <w:p w:rsidR="000A3797" w:rsidRDefault="00A660E7">
      <w:pPr>
        <w:numPr>
          <w:ilvl w:val="0"/>
          <w:numId w:val="8"/>
        </w:num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ТО</w:t>
      </w:r>
      <w:r>
        <w:rPr>
          <w:rFonts w:ascii="Times New Roman" w:eastAsia="Times New Roman" w:hAnsi="Times New Roman" w:cs="Times New Roman"/>
          <w:color w:val="000000"/>
          <w:sz w:val="28"/>
          <w:szCs w:val="28"/>
        </w:rPr>
        <w:t xml:space="preserve">О Lsclinic, город Алматы (акт внедрения от 01.12.2022, Приложение Л); </w:t>
      </w:r>
    </w:p>
    <w:p w:rsidR="000A3797" w:rsidRDefault="00A660E7">
      <w:pPr>
        <w:numPr>
          <w:ilvl w:val="0"/>
          <w:numId w:val="8"/>
        </w:num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ГКП на ПХВ «Областной перинатальный центр №3», город Талдыкорган (акт внедрения от 22.11.2022, Приложение Л);</w:t>
      </w:r>
    </w:p>
    <w:p w:rsidR="000A3797" w:rsidRDefault="00A660E7">
      <w:pPr>
        <w:numPr>
          <w:ilvl w:val="0"/>
          <w:numId w:val="8"/>
        </w:num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ГКП на ПХВ поликлиника №17, город Алматы (акт внедрения от 04.01.2023, Приложение Л); </w:t>
      </w:r>
    </w:p>
    <w:p w:rsidR="000A3797" w:rsidRDefault="00A660E7">
      <w:pPr>
        <w:numPr>
          <w:ilvl w:val="0"/>
          <w:numId w:val="8"/>
        </w:num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ГКП на ПХВ поликлиника №7, город Алматы (акт внедрения от 10.03.2023, Приложение Л); </w:t>
      </w:r>
    </w:p>
    <w:p w:rsidR="000A3797" w:rsidRDefault="00A660E7">
      <w:pPr>
        <w:numPr>
          <w:ilvl w:val="0"/>
          <w:numId w:val="8"/>
        </w:num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ТОО «Qamqor Clinic Almaty», город Алматы (акт внедрения от 07.12.2023, Приложение</w:t>
      </w:r>
      <w:r>
        <w:rPr>
          <w:rFonts w:ascii="Times New Roman" w:eastAsia="Times New Roman" w:hAnsi="Times New Roman" w:cs="Times New Roman"/>
          <w:color w:val="000000"/>
          <w:sz w:val="28"/>
          <w:szCs w:val="28"/>
        </w:rPr>
        <w:t xml:space="preserve"> Л).</w:t>
      </w:r>
    </w:p>
    <w:p w:rsidR="000A3797" w:rsidRDefault="00A660E7">
      <w:pPr>
        <w:spacing w:after="0"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Разработаны и утверждены в Казахстанском Медицинском Университете «ВШОЗ» образовательная программа для врачей: авторское свидетельство № «30496 от 22.11.22г: «Междисциплинарный подход профилактики рецидивов генитального пролапса в организациях, оказыв</w:t>
      </w:r>
      <w:r>
        <w:rPr>
          <w:rFonts w:ascii="Times New Roman" w:eastAsia="Times New Roman" w:hAnsi="Times New Roman" w:cs="Times New Roman"/>
          <w:sz w:val="28"/>
          <w:szCs w:val="28"/>
        </w:rPr>
        <w:t xml:space="preserve">ающих ПМСП» (на 4 кредита/120 академических часов, Приложение Л) и среднего медицинского персонала: авторское свидетельство № «30500 от 22.11.22г: «Основы профилактических мероприятий рецидивов генитального пролапса в организациях, оказывающих ПМСП» (на 4 </w:t>
      </w:r>
      <w:r>
        <w:rPr>
          <w:rFonts w:ascii="Times New Roman" w:eastAsia="Times New Roman" w:hAnsi="Times New Roman" w:cs="Times New Roman"/>
          <w:sz w:val="28"/>
          <w:szCs w:val="28"/>
        </w:rPr>
        <w:t>кредита/120 академических часов, Приложение К). Согласно данным образовательным программ обучены: 13 врачей акушеров –гинекологов и 19 медицинских сестер в организациях ТОО Lsclinic, ТОО «Qamqor Clinic Almaty», ГКП на ПХВ поликлиника №14 получены справки (</w:t>
      </w:r>
      <w:r>
        <w:rPr>
          <w:rFonts w:ascii="Times New Roman" w:eastAsia="Times New Roman" w:hAnsi="Times New Roman" w:cs="Times New Roman"/>
          <w:sz w:val="28"/>
          <w:szCs w:val="28"/>
        </w:rPr>
        <w:t>Приложение М).</w:t>
      </w:r>
    </w:p>
    <w:p w:rsidR="000A3797" w:rsidRDefault="00A660E7">
      <w:pPr>
        <w:spacing w:after="0" w:line="240" w:lineRule="auto"/>
        <w:ind w:left="36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Апробация диссертации</w:t>
      </w:r>
    </w:p>
    <w:p w:rsidR="000A3797" w:rsidRDefault="00A660E7">
      <w:pPr>
        <w:spacing w:after="0"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Основные положения диссертации обсуждались на научно-практических семинарах и собраниях кафедры общественного здравоохранения и социальных наук, Казахстанского Медицинского Университета «ВШОЗ»</w:t>
      </w:r>
    </w:p>
    <w:p w:rsidR="000A3797" w:rsidRDefault="00A660E7">
      <w:pPr>
        <w:spacing w:after="0"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Результаты и выводы диссер</w:t>
      </w:r>
      <w:r>
        <w:rPr>
          <w:rFonts w:ascii="Times New Roman" w:eastAsia="Times New Roman" w:hAnsi="Times New Roman" w:cs="Times New Roman"/>
          <w:sz w:val="28"/>
          <w:szCs w:val="28"/>
        </w:rPr>
        <w:t xml:space="preserve">тационного исследования были доложены и представлены на следующих отечественных и международных конференциях: </w:t>
      </w:r>
    </w:p>
    <w:p w:rsidR="000A3797" w:rsidRDefault="00A660E7">
      <w:pPr>
        <w:spacing w:after="0"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Международный научный форум «Наука и Инновации- Современные концепции» (5 ноября 2021 г, Москва, Россия);</w:t>
      </w:r>
    </w:p>
    <w:p w:rsidR="000A3797" w:rsidRDefault="00A660E7">
      <w:pPr>
        <w:spacing w:after="0"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Международная научно-практическая конфе</w:t>
      </w:r>
      <w:r>
        <w:rPr>
          <w:rFonts w:ascii="Times New Roman" w:eastAsia="Times New Roman" w:hAnsi="Times New Roman" w:cs="Times New Roman"/>
          <w:sz w:val="28"/>
          <w:szCs w:val="28"/>
        </w:rPr>
        <w:t>ренции молодых ученых и студентов, приуроченной к 30-летию Независимости Республики Казахстан (9-10 декабря 2021 г, Астаны, Казахстан);</w:t>
      </w:r>
    </w:p>
    <w:p w:rsidR="000A3797" w:rsidRDefault="00A660E7">
      <w:pPr>
        <w:spacing w:after="0"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VIII международная научная конференция молодых ученых и студентов «Перспективы развития биологии, медицины и фармации» (</w:t>
      </w:r>
      <w:r>
        <w:rPr>
          <w:rFonts w:ascii="Times New Roman" w:eastAsia="Times New Roman" w:hAnsi="Times New Roman" w:cs="Times New Roman"/>
          <w:sz w:val="28"/>
          <w:szCs w:val="28"/>
        </w:rPr>
        <w:t>9-10 декабря 2021 г, Шымкент, Казахстан);</w:t>
      </w:r>
    </w:p>
    <w:p w:rsidR="000A3797" w:rsidRDefault="00A660E7">
      <w:pPr>
        <w:spacing w:after="0"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Международная научно-практическая конференция «Наука и молодежь</w:t>
      </w:r>
      <w:r>
        <w:rPr>
          <w:rFonts w:ascii="Times New Roman" w:eastAsia="Times New Roman" w:hAnsi="Times New Roman" w:cs="Times New Roman"/>
          <w:smallCaps/>
          <w:sz w:val="28"/>
          <w:szCs w:val="28"/>
        </w:rPr>
        <w:t>: новые вызовы и пути решения</w:t>
      </w:r>
      <w:r>
        <w:rPr>
          <w:rFonts w:ascii="Times New Roman" w:eastAsia="Times New Roman" w:hAnsi="Times New Roman" w:cs="Times New Roman"/>
          <w:sz w:val="28"/>
          <w:szCs w:val="28"/>
        </w:rPr>
        <w:t>» (22 апреля 2022 г, Алматы, Казахстан);</w:t>
      </w:r>
    </w:p>
    <w:p w:rsidR="000A3797" w:rsidRDefault="00A660E7">
      <w:pPr>
        <w:spacing w:after="0"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Межвузовский международный конгресс «Наука и Инновации- Современные концепции» (16 декабря, 2022г, Москва, Россия); </w:t>
      </w:r>
    </w:p>
    <w:p w:rsidR="000A3797" w:rsidRDefault="00A660E7">
      <w:pPr>
        <w:spacing w:after="0"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Международный научный форум «Наука и Инновации- Современные концепции» (11 февраля 2022 г, Москва, Россия);</w:t>
      </w:r>
    </w:p>
    <w:p w:rsidR="000A3797" w:rsidRDefault="00A660E7">
      <w:pPr>
        <w:spacing w:after="0"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Межвузовский международный конг</w:t>
      </w:r>
      <w:r>
        <w:rPr>
          <w:rFonts w:ascii="Times New Roman" w:eastAsia="Times New Roman" w:hAnsi="Times New Roman" w:cs="Times New Roman"/>
          <w:sz w:val="28"/>
          <w:szCs w:val="28"/>
        </w:rPr>
        <w:t>ресс. Высшая школа: научные исследования (24 ноября, 2022г, Москва, Россия);</w:t>
      </w:r>
    </w:p>
    <w:p w:rsidR="000A3797" w:rsidRPr="00DE33E4" w:rsidRDefault="00A660E7">
      <w:pPr>
        <w:spacing w:after="0" w:line="240" w:lineRule="auto"/>
        <w:ind w:firstLine="360"/>
        <w:jc w:val="both"/>
        <w:rPr>
          <w:rFonts w:ascii="Times New Roman" w:eastAsia="Times New Roman" w:hAnsi="Times New Roman" w:cs="Times New Roman"/>
          <w:sz w:val="28"/>
          <w:szCs w:val="28"/>
          <w:lang w:val="en-US"/>
        </w:rPr>
      </w:pPr>
      <w:r w:rsidRPr="00DE33E4">
        <w:rPr>
          <w:rFonts w:ascii="Times New Roman" w:eastAsia="Times New Roman" w:hAnsi="Times New Roman" w:cs="Times New Roman"/>
          <w:sz w:val="28"/>
          <w:szCs w:val="28"/>
          <w:lang w:val="en-US"/>
        </w:rPr>
        <w:t xml:space="preserve">International Gevher Nesibe health sciences conference-X (3-5 </w:t>
      </w:r>
      <w:r>
        <w:rPr>
          <w:rFonts w:ascii="Times New Roman" w:eastAsia="Times New Roman" w:hAnsi="Times New Roman" w:cs="Times New Roman"/>
          <w:sz w:val="28"/>
          <w:szCs w:val="28"/>
        </w:rPr>
        <w:t>февраля</w:t>
      </w:r>
      <w:r w:rsidRPr="00DE33E4">
        <w:rPr>
          <w:rFonts w:ascii="Times New Roman" w:eastAsia="Times New Roman" w:hAnsi="Times New Roman" w:cs="Times New Roman"/>
          <w:sz w:val="28"/>
          <w:szCs w:val="28"/>
          <w:lang w:val="en-US"/>
        </w:rPr>
        <w:t xml:space="preserve">, 2023 / </w:t>
      </w:r>
      <w:r>
        <w:rPr>
          <w:rFonts w:ascii="Times New Roman" w:eastAsia="Times New Roman" w:hAnsi="Times New Roman" w:cs="Times New Roman"/>
          <w:sz w:val="28"/>
          <w:szCs w:val="28"/>
        </w:rPr>
        <w:t>Анкара</w:t>
      </w:r>
      <w:r w:rsidRPr="00DE33E4">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Турция</w:t>
      </w:r>
      <w:r w:rsidRPr="00DE33E4">
        <w:rPr>
          <w:rFonts w:ascii="Times New Roman" w:eastAsia="Times New Roman" w:hAnsi="Times New Roman" w:cs="Times New Roman"/>
          <w:sz w:val="28"/>
          <w:szCs w:val="28"/>
          <w:lang w:val="en-US"/>
        </w:rPr>
        <w:t>);</w:t>
      </w:r>
    </w:p>
    <w:p w:rsidR="000A3797" w:rsidRDefault="00A660E7">
      <w:pPr>
        <w:spacing w:after="0"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II Международный форум «Asfen.Forum,новое поколение-2025» (июнь 2024 года, город Алм</w:t>
      </w:r>
      <w:r>
        <w:rPr>
          <w:rFonts w:ascii="Times New Roman" w:eastAsia="Times New Roman" w:hAnsi="Times New Roman" w:cs="Times New Roman"/>
          <w:sz w:val="28"/>
          <w:szCs w:val="28"/>
        </w:rPr>
        <w:t>аты, Казахстан)</w:t>
      </w:r>
    </w:p>
    <w:p w:rsidR="000A3797" w:rsidRDefault="00A660E7">
      <w:pPr>
        <w:spacing w:after="0" w:line="240" w:lineRule="auto"/>
        <w:ind w:firstLine="36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Публикации по теме диссертации</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 материалам диссертации опубликовано 15 печатных работ, из них: Научные публикации в журнале, индексируемого базой данных Scopus (2 статьи):</w:t>
      </w:r>
    </w:p>
    <w:p w:rsidR="000A3797" w:rsidRPr="00DE33E4" w:rsidRDefault="00A660E7">
      <w:pPr>
        <w:spacing w:after="0" w:line="240" w:lineRule="auto"/>
        <w:ind w:firstLine="360"/>
        <w:jc w:val="both"/>
        <w:rPr>
          <w:rFonts w:ascii="Times New Roman" w:eastAsia="Times New Roman" w:hAnsi="Times New Roman" w:cs="Times New Roman"/>
          <w:sz w:val="28"/>
          <w:szCs w:val="28"/>
          <w:lang w:val="en-US"/>
        </w:rPr>
      </w:pPr>
      <w:r w:rsidRPr="00DE33E4">
        <w:rPr>
          <w:rFonts w:ascii="Times New Roman" w:eastAsia="Times New Roman" w:hAnsi="Times New Roman" w:cs="Times New Roman"/>
          <w:sz w:val="28"/>
          <w:szCs w:val="28"/>
          <w:lang w:val="en-US"/>
        </w:rPr>
        <w:t>1. «Universal journal of public health», ISSN: 2331-8880 (</w:t>
      </w:r>
      <w:r>
        <w:rPr>
          <w:rFonts w:ascii="Times New Roman" w:eastAsia="Times New Roman" w:hAnsi="Times New Roman" w:cs="Times New Roman"/>
          <w:sz w:val="28"/>
          <w:szCs w:val="28"/>
        </w:rPr>
        <w:t>Печать</w:t>
      </w:r>
      <w:r w:rsidRPr="00DE33E4">
        <w:rPr>
          <w:rFonts w:ascii="Times New Roman" w:eastAsia="Times New Roman" w:hAnsi="Times New Roman" w:cs="Times New Roman"/>
          <w:sz w:val="28"/>
          <w:szCs w:val="28"/>
          <w:lang w:val="en-US"/>
        </w:rPr>
        <w:t>), ISSN: 2331-8945 (</w:t>
      </w:r>
      <w:r>
        <w:rPr>
          <w:rFonts w:ascii="Times New Roman" w:eastAsia="Times New Roman" w:hAnsi="Times New Roman" w:cs="Times New Roman"/>
          <w:sz w:val="28"/>
          <w:szCs w:val="28"/>
        </w:rPr>
        <w:t>онлайн</w:t>
      </w:r>
      <w:r w:rsidRPr="00DE33E4">
        <w:rPr>
          <w:rFonts w:ascii="Times New Roman" w:eastAsia="Times New Roman" w:hAnsi="Times New Roman" w:cs="Times New Roman"/>
          <w:sz w:val="28"/>
          <w:szCs w:val="28"/>
          <w:lang w:val="en-US"/>
        </w:rPr>
        <w:t xml:space="preserve">), cite score -0,7, </w:t>
      </w:r>
      <w:r>
        <w:rPr>
          <w:rFonts w:ascii="Times New Roman" w:eastAsia="Times New Roman" w:hAnsi="Times New Roman" w:cs="Times New Roman"/>
          <w:sz w:val="28"/>
          <w:szCs w:val="28"/>
        </w:rPr>
        <w:t>процентиль</w:t>
      </w:r>
      <w:r w:rsidRPr="00DE33E4">
        <w:rPr>
          <w:rFonts w:ascii="Times New Roman" w:eastAsia="Times New Roman" w:hAnsi="Times New Roman" w:cs="Times New Roman"/>
          <w:sz w:val="28"/>
          <w:szCs w:val="28"/>
          <w:lang w:val="en-US"/>
        </w:rPr>
        <w:t xml:space="preserve"> 44, Relapse Prophylaxis and Early Recognition of Pelvic Organ Prolapse in Primary Medical Care Organizations -Randomized Controlled Tri</w:t>
      </w:r>
      <w:r w:rsidRPr="00DE33E4">
        <w:rPr>
          <w:rFonts w:ascii="Times New Roman" w:eastAsia="Times New Roman" w:hAnsi="Times New Roman" w:cs="Times New Roman"/>
          <w:sz w:val="28"/>
          <w:szCs w:val="28"/>
          <w:lang w:val="en-US"/>
        </w:rPr>
        <w:t>al;</w:t>
      </w:r>
    </w:p>
    <w:p w:rsidR="000A3797" w:rsidRPr="00DE33E4" w:rsidRDefault="00A660E7">
      <w:pPr>
        <w:spacing w:after="0" w:line="240" w:lineRule="auto"/>
        <w:ind w:firstLine="360"/>
        <w:jc w:val="both"/>
        <w:rPr>
          <w:rFonts w:ascii="Times New Roman" w:eastAsia="Times New Roman" w:hAnsi="Times New Roman" w:cs="Times New Roman"/>
          <w:sz w:val="28"/>
          <w:szCs w:val="28"/>
          <w:lang w:val="en-US"/>
        </w:rPr>
      </w:pPr>
      <w:r w:rsidRPr="00DE33E4">
        <w:rPr>
          <w:rFonts w:ascii="Times New Roman" w:eastAsia="Times New Roman" w:hAnsi="Times New Roman" w:cs="Times New Roman"/>
          <w:sz w:val="28"/>
          <w:szCs w:val="28"/>
          <w:lang w:val="en-US"/>
        </w:rPr>
        <w:t>2. «International journal of public health science», ISSN: 2352-8806 (</w:t>
      </w:r>
      <w:r>
        <w:rPr>
          <w:rFonts w:ascii="Times New Roman" w:eastAsia="Times New Roman" w:hAnsi="Times New Roman" w:cs="Times New Roman"/>
          <w:sz w:val="28"/>
          <w:szCs w:val="28"/>
        </w:rPr>
        <w:t>Печать</w:t>
      </w:r>
      <w:r w:rsidRPr="00DE33E4">
        <w:rPr>
          <w:rFonts w:ascii="Times New Roman" w:eastAsia="Times New Roman" w:hAnsi="Times New Roman" w:cs="Times New Roman"/>
          <w:sz w:val="28"/>
          <w:szCs w:val="28"/>
          <w:lang w:val="en-US"/>
        </w:rPr>
        <w:t>), ISSN: 2620-4126 (</w:t>
      </w:r>
      <w:r>
        <w:rPr>
          <w:rFonts w:ascii="Times New Roman" w:eastAsia="Times New Roman" w:hAnsi="Times New Roman" w:cs="Times New Roman"/>
          <w:sz w:val="28"/>
          <w:szCs w:val="28"/>
        </w:rPr>
        <w:t>онлайн</w:t>
      </w:r>
      <w:r w:rsidRPr="00DE33E4">
        <w:rPr>
          <w:rFonts w:ascii="Times New Roman" w:eastAsia="Times New Roman" w:hAnsi="Times New Roman" w:cs="Times New Roman"/>
          <w:sz w:val="28"/>
          <w:szCs w:val="28"/>
          <w:lang w:val="en-US"/>
        </w:rPr>
        <w:t xml:space="preserve">), cite score -1,1, </w:t>
      </w:r>
      <w:r>
        <w:rPr>
          <w:rFonts w:ascii="Times New Roman" w:eastAsia="Times New Roman" w:hAnsi="Times New Roman" w:cs="Times New Roman"/>
          <w:sz w:val="28"/>
          <w:szCs w:val="28"/>
        </w:rPr>
        <w:t>процентиль</w:t>
      </w:r>
      <w:r w:rsidRPr="00DE33E4">
        <w:rPr>
          <w:rFonts w:ascii="Times New Roman" w:eastAsia="Times New Roman" w:hAnsi="Times New Roman" w:cs="Times New Roman"/>
          <w:sz w:val="28"/>
          <w:szCs w:val="28"/>
          <w:lang w:val="en-US"/>
        </w:rPr>
        <w:t xml:space="preserve"> 34, Effect of diet, vitamin D3 and other factors on genital prolapse recurrence</w:t>
      </w:r>
    </w:p>
    <w:p w:rsidR="000A3797" w:rsidRDefault="00A660E7">
      <w:pPr>
        <w:spacing w:after="0"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В журналах, рекомендованных комитетом</w:t>
      </w:r>
      <w:r>
        <w:rPr>
          <w:rFonts w:ascii="Times New Roman" w:eastAsia="Times New Roman" w:hAnsi="Times New Roman" w:cs="Times New Roman"/>
          <w:sz w:val="28"/>
          <w:szCs w:val="28"/>
        </w:rPr>
        <w:t xml:space="preserve"> по обеспечению качества в сфере образования и науки Министерства образования и науки Республики Казахстан (5 статей).</w:t>
      </w:r>
    </w:p>
    <w:p w:rsidR="000A3797" w:rsidRDefault="00A660E7">
      <w:pPr>
        <w:pStyle w:val="1"/>
        <w:shd w:val="clear" w:color="auto" w:fill="FFFFFF"/>
        <w:spacing w:before="0" w:line="240" w:lineRule="auto"/>
        <w:ind w:firstLine="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Опубликовано 3 статьи и 5 тезисов в материалах 8 международных и республиканских научно-практических конференций;</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Авторских свидетельств </w:t>
      </w:r>
      <w:r>
        <w:rPr>
          <w:rFonts w:ascii="Times New Roman" w:eastAsia="Times New Roman" w:hAnsi="Times New Roman" w:cs="Times New Roman"/>
          <w:sz w:val="28"/>
          <w:szCs w:val="28"/>
        </w:rPr>
        <w:t xml:space="preserve">– 6 (1 - № 23609 от 15.02.22 г.; 2 - № 23610 от 15.02.22 г.; 3 - № 28674 от 08.09.22 г.; 4 - № 31497 от 30.12.22 г.; 5 - № «30496 от 22.11.22 г.; 6 - № «30500 от 22.11.22 г.); </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Акты внедрения – 7 (ГКП на ПХВ поликлиника №2., ГКП на ПХВ «Областной перинатал</w:t>
      </w:r>
      <w:r>
        <w:rPr>
          <w:rFonts w:ascii="Times New Roman" w:eastAsia="Times New Roman" w:hAnsi="Times New Roman" w:cs="Times New Roman"/>
          <w:sz w:val="28"/>
          <w:szCs w:val="28"/>
        </w:rPr>
        <w:t xml:space="preserve">ьный центр №3»город Туркестан, ТОО Lsclinic, ГКП на ПХВ «Областной перинатальный центр №3»город Талдыкорган, ГКП на ПХВ поликлиника №17, ГКП на ПХВ поликлиника №7, ТОО «Qamqor Clinic Almaty». </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0A3797" w:rsidRDefault="00A660E7">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Объем и структура диссертации</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Диссертация изложена на 14</w:t>
      </w:r>
      <w:r>
        <w:rPr>
          <w:rFonts w:ascii="Times New Roman" w:eastAsia="Times New Roman" w:hAnsi="Times New Roman" w:cs="Times New Roman"/>
          <w:sz w:val="28"/>
          <w:szCs w:val="28"/>
        </w:rPr>
        <w:t>9 страницах машинописного текста и состоит из нормативных ссылок, определений, списка сокращений и обозначений, введения, обзора литературы, описания материалов и методов, результатов собственных исследований, заключения, включающего выводы, практические р</w:t>
      </w:r>
      <w:r>
        <w:rPr>
          <w:rFonts w:ascii="Times New Roman" w:eastAsia="Times New Roman" w:hAnsi="Times New Roman" w:cs="Times New Roman"/>
          <w:sz w:val="28"/>
          <w:szCs w:val="28"/>
        </w:rPr>
        <w:t xml:space="preserve">екомендации и списка литературы. Работа иллюстрирована 15 рисунками и 34 таблицами. Библиографические указатели включают 219 источников. </w:t>
      </w:r>
    </w:p>
    <w:p w:rsidR="000A3797" w:rsidRDefault="000A3797">
      <w:pPr>
        <w:spacing w:after="0" w:line="240" w:lineRule="auto"/>
        <w:jc w:val="both"/>
        <w:rPr>
          <w:rFonts w:ascii="Times New Roman" w:eastAsia="Times New Roman" w:hAnsi="Times New Roman" w:cs="Times New Roman"/>
          <w:sz w:val="28"/>
          <w:szCs w:val="28"/>
        </w:rPr>
      </w:pPr>
    </w:p>
    <w:p w:rsidR="000A3797" w:rsidRDefault="000A3797">
      <w:pPr>
        <w:spacing w:after="0" w:line="240" w:lineRule="auto"/>
        <w:jc w:val="both"/>
        <w:rPr>
          <w:rFonts w:ascii="Times New Roman" w:eastAsia="Times New Roman" w:hAnsi="Times New Roman" w:cs="Times New Roman"/>
        </w:rPr>
      </w:pPr>
    </w:p>
    <w:p w:rsidR="000A3797" w:rsidRDefault="000A3797">
      <w:pPr>
        <w:spacing w:after="0" w:line="240" w:lineRule="auto"/>
        <w:jc w:val="both"/>
        <w:rPr>
          <w:rFonts w:ascii="Times New Roman" w:eastAsia="Times New Roman" w:hAnsi="Times New Roman" w:cs="Times New Roman"/>
        </w:rPr>
      </w:pPr>
    </w:p>
    <w:p w:rsidR="000A3797" w:rsidRDefault="000A3797">
      <w:pPr>
        <w:spacing w:after="0" w:line="240" w:lineRule="auto"/>
        <w:jc w:val="both"/>
        <w:rPr>
          <w:rFonts w:ascii="Times New Roman" w:eastAsia="Times New Roman" w:hAnsi="Times New Roman" w:cs="Times New Roman"/>
        </w:rPr>
      </w:pPr>
    </w:p>
    <w:p w:rsidR="000A3797" w:rsidRDefault="000A3797">
      <w:pPr>
        <w:spacing w:after="0" w:line="240" w:lineRule="auto"/>
        <w:jc w:val="both"/>
        <w:rPr>
          <w:rFonts w:ascii="Times New Roman" w:eastAsia="Times New Roman" w:hAnsi="Times New Roman" w:cs="Times New Roman"/>
        </w:rPr>
      </w:pPr>
    </w:p>
    <w:p w:rsidR="000A3797" w:rsidRDefault="000A3797">
      <w:pPr>
        <w:spacing w:after="0" w:line="240" w:lineRule="auto"/>
        <w:jc w:val="both"/>
        <w:rPr>
          <w:rFonts w:ascii="Times New Roman" w:eastAsia="Times New Roman" w:hAnsi="Times New Roman" w:cs="Times New Roman"/>
        </w:rPr>
      </w:pPr>
    </w:p>
    <w:p w:rsidR="000A3797" w:rsidRDefault="000A3797">
      <w:pPr>
        <w:spacing w:after="0" w:line="240" w:lineRule="auto"/>
        <w:jc w:val="both"/>
        <w:rPr>
          <w:rFonts w:ascii="Times New Roman" w:eastAsia="Times New Roman" w:hAnsi="Times New Roman" w:cs="Times New Roman"/>
        </w:rPr>
      </w:pPr>
    </w:p>
    <w:p w:rsidR="000A3797" w:rsidRDefault="000A3797">
      <w:pPr>
        <w:spacing w:after="0" w:line="240" w:lineRule="auto"/>
        <w:jc w:val="both"/>
        <w:rPr>
          <w:rFonts w:ascii="Times New Roman" w:eastAsia="Times New Roman" w:hAnsi="Times New Roman" w:cs="Times New Roman"/>
        </w:rPr>
      </w:pPr>
    </w:p>
    <w:p w:rsidR="000A3797" w:rsidRDefault="000A3797">
      <w:pPr>
        <w:spacing w:after="0" w:line="240" w:lineRule="auto"/>
        <w:jc w:val="both"/>
        <w:rPr>
          <w:rFonts w:ascii="Times New Roman" w:eastAsia="Times New Roman" w:hAnsi="Times New Roman" w:cs="Times New Roman"/>
        </w:rPr>
      </w:pPr>
    </w:p>
    <w:p w:rsidR="000A3797" w:rsidRDefault="000A3797">
      <w:pPr>
        <w:spacing w:after="0" w:line="240" w:lineRule="auto"/>
        <w:jc w:val="both"/>
        <w:rPr>
          <w:rFonts w:ascii="Times New Roman" w:eastAsia="Times New Roman" w:hAnsi="Times New Roman" w:cs="Times New Roman"/>
        </w:rPr>
      </w:pPr>
    </w:p>
    <w:p w:rsidR="000A3797" w:rsidRDefault="000A3797">
      <w:pPr>
        <w:spacing w:after="0" w:line="240" w:lineRule="auto"/>
        <w:jc w:val="both"/>
        <w:rPr>
          <w:rFonts w:ascii="Times New Roman" w:eastAsia="Times New Roman" w:hAnsi="Times New Roman" w:cs="Times New Roman"/>
        </w:rPr>
      </w:pPr>
    </w:p>
    <w:p w:rsidR="000A3797" w:rsidRDefault="000A3797">
      <w:pPr>
        <w:spacing w:after="0" w:line="240" w:lineRule="auto"/>
        <w:jc w:val="both"/>
        <w:rPr>
          <w:rFonts w:ascii="Times New Roman" w:eastAsia="Times New Roman" w:hAnsi="Times New Roman" w:cs="Times New Roman"/>
        </w:rPr>
      </w:pPr>
    </w:p>
    <w:p w:rsidR="000A3797" w:rsidRDefault="000A3797">
      <w:pPr>
        <w:spacing w:after="0" w:line="240" w:lineRule="auto"/>
        <w:jc w:val="both"/>
        <w:rPr>
          <w:rFonts w:ascii="Times New Roman" w:eastAsia="Times New Roman" w:hAnsi="Times New Roman" w:cs="Times New Roman"/>
        </w:rPr>
      </w:pPr>
    </w:p>
    <w:p w:rsidR="000A3797" w:rsidRDefault="000A3797">
      <w:pPr>
        <w:spacing w:after="0" w:line="240" w:lineRule="auto"/>
        <w:jc w:val="both"/>
        <w:rPr>
          <w:rFonts w:ascii="Times New Roman" w:eastAsia="Times New Roman" w:hAnsi="Times New Roman" w:cs="Times New Roman"/>
        </w:rPr>
      </w:pPr>
    </w:p>
    <w:p w:rsidR="000A3797" w:rsidRDefault="000A3797">
      <w:pPr>
        <w:spacing w:after="0" w:line="240" w:lineRule="auto"/>
        <w:jc w:val="both"/>
        <w:rPr>
          <w:rFonts w:ascii="Times New Roman" w:eastAsia="Times New Roman" w:hAnsi="Times New Roman" w:cs="Times New Roman"/>
        </w:rPr>
      </w:pPr>
    </w:p>
    <w:p w:rsidR="000A3797" w:rsidRDefault="000A3797">
      <w:pPr>
        <w:spacing w:after="0" w:line="240" w:lineRule="auto"/>
        <w:jc w:val="both"/>
        <w:rPr>
          <w:rFonts w:ascii="Times New Roman" w:eastAsia="Times New Roman" w:hAnsi="Times New Roman" w:cs="Times New Roman"/>
        </w:rPr>
      </w:pPr>
    </w:p>
    <w:p w:rsidR="000A3797" w:rsidRDefault="000A3797">
      <w:pPr>
        <w:spacing w:after="0" w:line="240" w:lineRule="auto"/>
        <w:jc w:val="both"/>
        <w:rPr>
          <w:rFonts w:ascii="Times New Roman" w:eastAsia="Times New Roman" w:hAnsi="Times New Roman" w:cs="Times New Roman"/>
        </w:rPr>
      </w:pPr>
    </w:p>
    <w:p w:rsidR="000A3797" w:rsidRDefault="000A3797">
      <w:pPr>
        <w:spacing w:after="0" w:line="240" w:lineRule="auto"/>
        <w:jc w:val="both"/>
        <w:rPr>
          <w:rFonts w:ascii="Times New Roman" w:eastAsia="Times New Roman" w:hAnsi="Times New Roman" w:cs="Times New Roman"/>
        </w:rPr>
      </w:pPr>
    </w:p>
    <w:p w:rsidR="000A3797" w:rsidRDefault="000A3797">
      <w:pPr>
        <w:spacing w:after="0" w:line="240" w:lineRule="auto"/>
        <w:jc w:val="both"/>
        <w:rPr>
          <w:rFonts w:ascii="Times New Roman" w:eastAsia="Times New Roman" w:hAnsi="Times New Roman" w:cs="Times New Roman"/>
        </w:rPr>
      </w:pPr>
    </w:p>
    <w:p w:rsidR="000A3797" w:rsidRDefault="000A3797">
      <w:pPr>
        <w:spacing w:after="0" w:line="240" w:lineRule="auto"/>
        <w:jc w:val="both"/>
        <w:rPr>
          <w:rFonts w:ascii="Times New Roman" w:eastAsia="Times New Roman" w:hAnsi="Times New Roman" w:cs="Times New Roman"/>
        </w:rPr>
      </w:pPr>
    </w:p>
    <w:p w:rsidR="000A3797" w:rsidRDefault="000A3797">
      <w:pPr>
        <w:spacing w:after="0" w:line="240" w:lineRule="auto"/>
        <w:jc w:val="both"/>
        <w:rPr>
          <w:rFonts w:ascii="Times New Roman" w:eastAsia="Times New Roman" w:hAnsi="Times New Roman" w:cs="Times New Roman"/>
          <w:b/>
          <w:sz w:val="28"/>
          <w:szCs w:val="28"/>
        </w:rPr>
      </w:pPr>
    </w:p>
    <w:p w:rsidR="000A3797" w:rsidRDefault="00A660E7">
      <w:pPr>
        <w:numPr>
          <w:ilvl w:val="0"/>
          <w:numId w:val="9"/>
        </w:numPr>
        <w:pBdr>
          <w:top w:val="nil"/>
          <w:left w:val="nil"/>
          <w:bottom w:val="nil"/>
          <w:right w:val="nil"/>
          <w:between w:val="nil"/>
        </w:pBdr>
        <w:spacing w:after="0" w:line="240" w:lineRule="auto"/>
        <w:jc w:val="both"/>
        <w:rPr>
          <w:b/>
          <w:color w:val="000000"/>
          <w:sz w:val="28"/>
          <w:szCs w:val="28"/>
        </w:rPr>
      </w:pPr>
      <w:r>
        <w:rPr>
          <w:rFonts w:ascii="Times New Roman" w:eastAsia="Times New Roman" w:hAnsi="Times New Roman" w:cs="Times New Roman"/>
          <w:b/>
          <w:color w:val="000000"/>
          <w:sz w:val="28"/>
          <w:szCs w:val="28"/>
        </w:rPr>
        <w:t>ЛИТЕРАТУРНЫЙ ОБЗОР</w:t>
      </w:r>
    </w:p>
    <w:p w:rsidR="000A3797" w:rsidRDefault="00A660E7">
      <w:pPr>
        <w:widowControl w:val="0"/>
        <w:numPr>
          <w:ilvl w:val="1"/>
          <w:numId w:val="9"/>
        </w:num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Эпидемиология, этиология и патогенез генитального пролапса </w:t>
      </w:r>
    </w:p>
    <w:p w:rsidR="000A3797" w:rsidRDefault="00A660E7">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Генитальный пролапс – одно из наиболее часто встречающихся заболеваний у женщин и на сегодняшний день сохраняет позицию в тройке лидирующих в структуре гинекологических патологий [2,стр.7-8]. Продолжительность жизни растет и вместе с тем и отмечается тенде</w:t>
      </w:r>
      <w:r>
        <w:rPr>
          <w:rFonts w:ascii="Times New Roman" w:eastAsia="Times New Roman" w:hAnsi="Times New Roman" w:cs="Times New Roman"/>
          <w:sz w:val="28"/>
          <w:szCs w:val="28"/>
        </w:rPr>
        <w:t>нция роста распространенности тазового пролапса, так как известными предрасполагающими факторами является  возраст и период менопаузы [3,стр.142]. Одной из распространенных проблем снижения качества жизни у женщин с наступлением менопаузы является неконтро</w:t>
      </w:r>
      <w:r>
        <w:rPr>
          <w:rFonts w:ascii="Times New Roman" w:eastAsia="Times New Roman" w:hAnsi="Times New Roman" w:cs="Times New Roman"/>
          <w:sz w:val="28"/>
          <w:szCs w:val="28"/>
        </w:rPr>
        <w:t>лируемая потеря мочи, что приводит к самоизоляции, снижению работоспособности и социальной активности [15, стр.247;16].  Опущение тазовых органов, осложненных функциональными нарушениями, как потеря мочи и кала при повышении внутрибрюшного давления в целом</w:t>
      </w:r>
      <w:r>
        <w:rPr>
          <w:rFonts w:ascii="Times New Roman" w:eastAsia="Times New Roman" w:hAnsi="Times New Roman" w:cs="Times New Roman"/>
          <w:sz w:val="28"/>
          <w:szCs w:val="28"/>
        </w:rPr>
        <w:t xml:space="preserve"> определены термином - дисфункция тазового дна и распространены в широких масштабах особенно у женщин в пожилом и старческом возрасте [1,стр.42].  В глобальном смысле на сегодняшний день, по данным ряда источников, затраты системы здравоохранения на пробле</w:t>
      </w:r>
      <w:r>
        <w:rPr>
          <w:rFonts w:ascii="Times New Roman" w:eastAsia="Times New Roman" w:hAnsi="Times New Roman" w:cs="Times New Roman"/>
          <w:sz w:val="28"/>
          <w:szCs w:val="28"/>
        </w:rPr>
        <w:t>мы дисфункции тазового дна остаются большими, риск перенести одно оперативное вмешательство составляет от 11- 20%, также и в отношении  рецидивов заболевания показатели неутешительные и примерно на треть операций приходится рецидив [1,стр 43, 17,18].</w:t>
      </w:r>
    </w:p>
    <w:p w:rsidR="000A3797" w:rsidRDefault="00A660E7">
      <w:pPr>
        <w:widowControl w:val="0"/>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 распространенности генитального пролапса на сегодняшний день сложно судить  по причине того, что фактический пролапс не всегда сопровождается симптомами, особенно на начальных стадиях,  а в некоторых  исследованиях используются только данные анкетировани</w:t>
      </w:r>
      <w:r>
        <w:rPr>
          <w:rFonts w:ascii="Times New Roman" w:eastAsia="Times New Roman" w:hAnsi="Times New Roman" w:cs="Times New Roman"/>
          <w:sz w:val="28"/>
          <w:szCs w:val="28"/>
        </w:rPr>
        <w:t>я, без объективного осмотра специалиста [15, стр. 249].</w:t>
      </w:r>
    </w:p>
    <w:p w:rsidR="000A3797" w:rsidRDefault="00A660E7">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 анатомической точки зрения пролапс делится на пролапс переднего отдела, заднего и апикальный пролапс. Об анатомической распространенности пролапса также можно судить с осторожностью, так как одна и </w:t>
      </w:r>
      <w:r>
        <w:rPr>
          <w:rFonts w:ascii="Times New Roman" w:eastAsia="Times New Roman" w:hAnsi="Times New Roman" w:cs="Times New Roman"/>
          <w:color w:val="000000"/>
          <w:sz w:val="28"/>
          <w:szCs w:val="28"/>
        </w:rPr>
        <w:t>та же клиническая ситуация может быть зашифрована разными кодами по мкб-10, например гинекологи чаще пользуются следующими кодами [15, стр. 249]: N81.2. Неполное выпадение матки и влагалища, N81.3 Полное выпадение матки и влагалища. Данный диагноз может об</w:t>
      </w:r>
      <w:r>
        <w:rPr>
          <w:rFonts w:ascii="Times New Roman" w:eastAsia="Times New Roman" w:hAnsi="Times New Roman" w:cs="Times New Roman"/>
          <w:color w:val="000000"/>
          <w:sz w:val="28"/>
          <w:szCs w:val="28"/>
        </w:rPr>
        <w:t>ъединять выпадение только матки, или имеет сочетание с цистоцеле и/или ректоцеле с функциональными нарушениями ОМТ, подразумевающимися под «опущение и выпадение влагалища» [15, стр. 249]. Также цистоцеле и ректоцеле  или выпадение матки включены в другие н</w:t>
      </w:r>
      <w:r>
        <w:rPr>
          <w:rFonts w:ascii="Times New Roman" w:eastAsia="Times New Roman" w:hAnsi="Times New Roman" w:cs="Times New Roman"/>
          <w:color w:val="000000"/>
          <w:sz w:val="28"/>
          <w:szCs w:val="28"/>
        </w:rPr>
        <w:t>еуточненные диагнозы по мкб 10 (N81.4, N81.9), и  что именно определяет этот диагноз: цистоцеле или опущение матки сложно оценить, не считая данных вагинального осмотра [15, стр. 249]. Еще один фактор, который может создать путаницу в диагнозах, это мульти</w:t>
      </w:r>
      <w:r>
        <w:rPr>
          <w:rFonts w:ascii="Times New Roman" w:eastAsia="Times New Roman" w:hAnsi="Times New Roman" w:cs="Times New Roman"/>
          <w:color w:val="000000"/>
          <w:sz w:val="28"/>
          <w:szCs w:val="28"/>
        </w:rPr>
        <w:t>дисциплинарность проблемы [15, стр. 249]. Тазовым пролапсом могут заниматься: гинекологи, проктологи и урологи и часто специалисты могут использовать свои коды и диагнозы, упуская детали осмотров смежных специалистов[15, стр. 249]. Однако на сегодняшний де</w:t>
      </w:r>
      <w:r>
        <w:rPr>
          <w:rFonts w:ascii="Times New Roman" w:eastAsia="Times New Roman" w:hAnsi="Times New Roman" w:cs="Times New Roman"/>
          <w:color w:val="000000"/>
          <w:sz w:val="28"/>
          <w:szCs w:val="28"/>
        </w:rPr>
        <w:t>нь существуют попытки стандартизировать диагностику и лечение, что вероятно поможет более точно оценивать эпидемиологию ГП[15, стр. 249].</w:t>
      </w:r>
    </w:p>
    <w:p w:rsidR="000A3797" w:rsidRDefault="00A660E7">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С точки зрения общественного здравоохранения, генитальный пролапс становится тяжелым экономическим бременем для  сист</w:t>
      </w:r>
      <w:r>
        <w:rPr>
          <w:rFonts w:ascii="Times New Roman" w:eastAsia="Times New Roman" w:hAnsi="Times New Roman" w:cs="Times New Roman"/>
          <w:color w:val="000000"/>
          <w:sz w:val="28"/>
          <w:szCs w:val="28"/>
        </w:rPr>
        <w:t>емы здравоохранения даже в развитых странах,например в США [3,стр142]. Продолжительность жизни растет, соответственно и учеличивается количество пожилых женщин. В современном мире ожирение становится глобальным вызовом для здравоохранения многих стран, а к</w:t>
      </w:r>
      <w:r>
        <w:rPr>
          <w:rFonts w:ascii="Times New Roman" w:eastAsia="Times New Roman" w:hAnsi="Times New Roman" w:cs="Times New Roman"/>
          <w:color w:val="000000"/>
          <w:sz w:val="28"/>
          <w:szCs w:val="28"/>
        </w:rPr>
        <w:t>ак известно у женщин с избыточным  индексом массы тела и ожирением распространенность опущения ОМТ увеличивается [3, стр.142]. Из этого справедливо предположить, что с увеличением продолжительности жизни и нарастающей «эпидемией» ожирения, будет увеличиват</w:t>
      </w:r>
      <w:r>
        <w:rPr>
          <w:rFonts w:ascii="Times New Roman" w:eastAsia="Times New Roman" w:hAnsi="Times New Roman" w:cs="Times New Roman"/>
          <w:color w:val="000000"/>
          <w:sz w:val="28"/>
          <w:szCs w:val="28"/>
        </w:rPr>
        <w:t xml:space="preserve">ься и распространенность тазового пролапса во всем мире [15, стр. 250]. С улучшением качества жизни, к чему стремиться Всемирная Организация Здравоохранения и все работники здравоохранения, все больше женщин будет обращаться за хирургическим лечением [15, </w:t>
      </w:r>
      <w:r>
        <w:rPr>
          <w:rFonts w:ascii="Times New Roman" w:eastAsia="Times New Roman" w:hAnsi="Times New Roman" w:cs="Times New Roman"/>
          <w:color w:val="000000"/>
          <w:sz w:val="28"/>
          <w:szCs w:val="28"/>
        </w:rPr>
        <w:t>стр. 250].</w:t>
      </w:r>
    </w:p>
    <w:p w:rsidR="000A3797" w:rsidRDefault="00A660E7">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Поскольку на сегодняшний день очень большое количество исследований и обзоров посвящено эпидемиологии, этиологии и профилактике генитального пролапса, нашей целью было изучить эти вопросы в источниках, соответствующих высокому уровню доказательн</w:t>
      </w:r>
      <w:r>
        <w:rPr>
          <w:rFonts w:ascii="Times New Roman" w:eastAsia="Times New Roman" w:hAnsi="Times New Roman" w:cs="Times New Roman"/>
          <w:color w:val="000000"/>
          <w:sz w:val="28"/>
          <w:szCs w:val="28"/>
        </w:rPr>
        <w:t>ости.</w:t>
      </w:r>
    </w:p>
    <w:p w:rsidR="000A3797" w:rsidRDefault="00A660E7">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Сообщаемая распространенность генитального пролапса сильно отличается по данным целого ряда исследований и составляет от 3% до 50% [2, стр.7; 15, стр. 250]. Данные относительно распространенности типа пролапса (передний, задний или центральный) досту</w:t>
      </w:r>
      <w:r>
        <w:rPr>
          <w:rFonts w:ascii="Times New Roman" w:eastAsia="Times New Roman" w:hAnsi="Times New Roman" w:cs="Times New Roman"/>
          <w:color w:val="000000"/>
          <w:sz w:val="28"/>
          <w:szCs w:val="28"/>
        </w:rPr>
        <w:t>пны из эпидемиологических исследований [2,стр.10; 15, стр. 250], а также из исследований, посвященных оперативному лечению генитального пролапса, показали, что пролапс переднего отдела встречается наиболее часто среди трех типов пролапса [2,стр.10; 15, стр</w:t>
      </w:r>
      <w:r>
        <w:rPr>
          <w:rFonts w:ascii="Times New Roman" w:eastAsia="Times New Roman" w:hAnsi="Times New Roman" w:cs="Times New Roman"/>
          <w:color w:val="000000"/>
          <w:sz w:val="28"/>
          <w:szCs w:val="28"/>
        </w:rPr>
        <w:t xml:space="preserve">. 250;19,20]. Однако, эти данные мы склонны оценивать критически, в связи с несовершенством стандартизации диагностики и лечения генитального пролапса [15, стр. 250]. </w:t>
      </w:r>
    </w:p>
    <w:p w:rsidR="000A3797" w:rsidRDefault="00A660E7">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У женщин до 30 лет распространенность опущения, как правило не достигает 10%, тогда ка</w:t>
      </w:r>
      <w:r>
        <w:rPr>
          <w:rFonts w:ascii="Times New Roman" w:eastAsia="Times New Roman" w:hAnsi="Times New Roman" w:cs="Times New Roman"/>
          <w:color w:val="000000"/>
          <w:sz w:val="28"/>
          <w:szCs w:val="28"/>
        </w:rPr>
        <w:t>к у трети женщин старше и до 60 лет встречается ГП %, и практически каждая вторая женщина старше 70 вероятно имеет такой диагноз [2,стр.7; 15, стр. 250]. Допустимо предположить, что   с увеличением продолжительности жизни в ближайшем будущем генитальный пр</w:t>
      </w:r>
      <w:r>
        <w:rPr>
          <w:rFonts w:ascii="Times New Roman" w:eastAsia="Times New Roman" w:hAnsi="Times New Roman" w:cs="Times New Roman"/>
          <w:color w:val="000000"/>
          <w:sz w:val="28"/>
          <w:szCs w:val="28"/>
        </w:rPr>
        <w:t xml:space="preserve">олапс станет серьезной проблемой для здоровья [15, стр. 250]. Неутешительны прогнозы ученых США, которые предсказывают к 2050 году увеличение примерно на 46% количества женщин с пролапсом  в Америке [3,стр.143; 15, стр. 250]. </w:t>
      </w:r>
    </w:p>
    <w:p w:rsidR="000A3797" w:rsidRDefault="00A660E7">
      <w:pPr>
        <w:pBdr>
          <w:top w:val="nil"/>
          <w:left w:val="nil"/>
          <w:bottom w:val="nil"/>
          <w:right w:val="nil"/>
          <w:between w:val="nil"/>
        </w:pBdr>
        <w:shd w:val="clear" w:color="auto" w:fill="FFFFFF"/>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Как сообщалось в более ранни</w:t>
      </w:r>
      <w:r>
        <w:rPr>
          <w:rFonts w:ascii="Times New Roman" w:eastAsia="Times New Roman" w:hAnsi="Times New Roman" w:cs="Times New Roman"/>
          <w:color w:val="000000"/>
          <w:sz w:val="28"/>
          <w:szCs w:val="28"/>
        </w:rPr>
        <w:t>х публикациях, так и по последним данным  распространенность заболеваний тазового дна в США составляет 25%,  вместе с тем отмечено, что данное состояние является значительным  финансовым бремененем для системы здравоохранения [3,стр.142; 15, стр. 250]. </w:t>
      </w:r>
    </w:p>
    <w:p w:rsidR="000A3797" w:rsidRDefault="00A660E7">
      <w:pPr>
        <w:pBdr>
          <w:top w:val="nil"/>
          <w:left w:val="nil"/>
          <w:bottom w:val="nil"/>
          <w:right w:val="nil"/>
          <w:between w:val="nil"/>
        </w:pBdr>
        <w:shd w:val="clear" w:color="auto" w:fill="FFFFFF"/>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Согласно последних зарубежных исследований при участии 14 424 участников в рамках Программы обследования некоторых этнических группбыли получены однозначно фактические результаты [15, стр. 250]. В частности, по результатам исследования 25,0% (95% ДИ: 23,6;</w:t>
      </w:r>
      <w:r>
        <w:rPr>
          <w:rFonts w:ascii="Times New Roman" w:eastAsia="Times New Roman" w:hAnsi="Times New Roman" w:cs="Times New Roman"/>
          <w:color w:val="000000"/>
          <w:sz w:val="28"/>
          <w:szCs w:val="28"/>
        </w:rPr>
        <w:t xml:space="preserve"> 26,3) женщин в США, имели изолированную или сочетанную ДТД [3,стр.145; 15, стр. 250], при этом установлено, что недержание мочи оказалось наиболее частым расстройством с распространенностью 17,1% в сочетании с пролапсом,  у 9,4% было  недержания кала в со</w:t>
      </w:r>
      <w:r>
        <w:rPr>
          <w:rFonts w:ascii="Times New Roman" w:eastAsia="Times New Roman" w:hAnsi="Times New Roman" w:cs="Times New Roman"/>
          <w:color w:val="000000"/>
          <w:sz w:val="28"/>
          <w:szCs w:val="28"/>
        </w:rPr>
        <w:t>четании с пролапсом и у  2,9% женщин был только тазовый пролапс без функциональных нарушений[3,стр.145; 15, стр. 250].  Анализ в разных этнических группах о распространенности пролапса также выявил различия: у мексиканской этнической группы регистрировалис</w:t>
      </w:r>
      <w:r>
        <w:rPr>
          <w:rFonts w:ascii="Times New Roman" w:eastAsia="Times New Roman" w:hAnsi="Times New Roman" w:cs="Times New Roman"/>
          <w:color w:val="000000"/>
          <w:sz w:val="28"/>
          <w:szCs w:val="28"/>
        </w:rPr>
        <w:t>ь более высокие показатели пролапса, чем в других расовых / этнических группах[3; 15, стр. 250]; значения оказались ниже у афроамериканских женщин на 1,9% по сравнению с белыми женщинами - 2,8% и латиноамериканскими женщинами - 5,1%[3,стр.145; 15, стр. 250</w:t>
      </w:r>
      <w:r>
        <w:rPr>
          <w:rFonts w:ascii="Times New Roman" w:eastAsia="Times New Roman" w:hAnsi="Times New Roman" w:cs="Times New Roman"/>
          <w:color w:val="000000"/>
          <w:sz w:val="28"/>
          <w:szCs w:val="28"/>
        </w:rPr>
        <w:t>].  В отношении частоты встречаемости генитального пролапса зарубежными исследователями установлена разница между африканцами, проживающими в США, и африканцами, живущими в Африке, что можно объяснить сравнительно большим количеством родов, трудным доступо</w:t>
      </w:r>
      <w:r>
        <w:rPr>
          <w:rFonts w:ascii="Times New Roman" w:eastAsia="Times New Roman" w:hAnsi="Times New Roman" w:cs="Times New Roman"/>
          <w:color w:val="000000"/>
          <w:sz w:val="28"/>
          <w:szCs w:val="28"/>
        </w:rPr>
        <w:t>м к квалифицированным медицинским учреждениям и большего количества женщин, занятых тяжелым физическим трудом среди африканцев, живущих в странах Африки к югу от Сахары[3,стр.144; 15, стр. 250]. Свидетельством такого умозаключения является выявленная четве</w:t>
      </w:r>
      <w:r>
        <w:rPr>
          <w:rFonts w:ascii="Times New Roman" w:eastAsia="Times New Roman" w:hAnsi="Times New Roman" w:cs="Times New Roman"/>
          <w:color w:val="000000"/>
          <w:sz w:val="28"/>
          <w:szCs w:val="28"/>
        </w:rPr>
        <w:t>рть женщин США, которые страдают изолированным или сочетанным пролапсом, причем старше 80 лет диагноз наблюдается более,чем у половины женщин [3,стр.145; 15, стр. 250]. Но чаще всего оперативное вмешательство по этому поводу получают женщины в возрасте 60–</w:t>
      </w:r>
      <w:r>
        <w:rPr>
          <w:rFonts w:ascii="Times New Roman" w:eastAsia="Times New Roman" w:hAnsi="Times New Roman" w:cs="Times New Roman"/>
          <w:color w:val="000000"/>
          <w:sz w:val="28"/>
          <w:szCs w:val="28"/>
        </w:rPr>
        <w:t>69 лет[3,стр.145; 15, стр. 250]. </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 итогам проведенного мета-анализ в 2019г распространенность нарушений тазового дна среди женщин оценивалась по принципу проживания в странах с низким и средним уровнем дохода, в метаанализ было включено 49 исследований. </w:t>
      </w:r>
      <w:r>
        <w:rPr>
          <w:rFonts w:ascii="Times New Roman" w:eastAsia="Times New Roman" w:hAnsi="Times New Roman" w:cs="Times New Roman"/>
          <w:sz w:val="28"/>
          <w:szCs w:val="28"/>
        </w:rPr>
        <w:t>Общая объединенная распространенность пролапса тазовых органов в изучаемых странах составила 25% (95% ДИ: 22–29%) [15, стр. 250; 21]. Распространенность недержания мочи составила 30% (95% ДИ: 25–35%) , недержания кала 8% (95% ДИ: 4–11%)  и генитального про</w:t>
      </w:r>
      <w:r>
        <w:rPr>
          <w:rFonts w:ascii="Times New Roman" w:eastAsia="Times New Roman" w:hAnsi="Times New Roman" w:cs="Times New Roman"/>
          <w:sz w:val="28"/>
          <w:szCs w:val="28"/>
        </w:rPr>
        <w:t xml:space="preserve">лапса 15% (95% ДИ: 10–20%)[15, стр. 250; 21,стр.2008] . </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Исследование в Непале были интересны оценкой влияния пролапса на повседневную, социальную и семейную жизнь [15, стр.250; 22]. Важно отметить, выявленное разнообразие и в симптомокомплексе: более 85% </w:t>
      </w:r>
      <w:r>
        <w:rPr>
          <w:rFonts w:ascii="Times New Roman" w:eastAsia="Times New Roman" w:hAnsi="Times New Roman" w:cs="Times New Roman"/>
          <w:sz w:val="28"/>
          <w:szCs w:val="28"/>
        </w:rPr>
        <w:t>пациенток с пролапсом отмечали значительное ограничение в выполнении повседневной работы, при ходьбе, необходимости сесть, 68 % имели дисфункцию мочевого пузыря, 42% кишечную дисфункцию и 73,8% жаловались на проблемы в интимной жизни [15,стр.250; 22,стр.3]</w:t>
      </w:r>
      <w:r>
        <w:rPr>
          <w:rFonts w:ascii="Times New Roman" w:eastAsia="Times New Roman" w:hAnsi="Times New Roman" w:cs="Times New Roman"/>
          <w:sz w:val="28"/>
          <w:szCs w:val="28"/>
        </w:rPr>
        <w:t>.  Между тем, выявлены и факты не обращения за медицинской помощью (то есть – никогда не обращались), что составило 48% [15, стр.250; 22,стр.5], что может указывать об отсутствии знаний, желания или возможности предпринимать какие-либо действия при начальн</w:t>
      </w:r>
      <w:r>
        <w:rPr>
          <w:rFonts w:ascii="Times New Roman" w:eastAsia="Times New Roman" w:hAnsi="Times New Roman" w:cs="Times New Roman"/>
          <w:sz w:val="28"/>
          <w:szCs w:val="28"/>
        </w:rPr>
        <w:t>ых стадиях пролапса [15, стр.250] У многих участников наблюдались следующие состояния: они испытывали эмоциональный стресс по причине пролапса, отмечалась депрессия, уныние, чувство неполноценности, тревогу и даже агрессию по причине непонимания и унижений</w:t>
      </w:r>
      <w:r>
        <w:rPr>
          <w:rFonts w:ascii="Times New Roman" w:eastAsia="Times New Roman" w:hAnsi="Times New Roman" w:cs="Times New Roman"/>
          <w:sz w:val="28"/>
          <w:szCs w:val="28"/>
        </w:rPr>
        <w:t xml:space="preserve"> со стороны родственников [15, стр.250; 22,стр5].  Более того, отмечено до 6 % разводов и до 24% повторных браков, в связи со снижением трудоспособности и проблемах интимной жизни [15, стр.250; 22,стр.5].  В Танзании в 2015 г проведено масштабное исследова</w:t>
      </w:r>
      <w:r>
        <w:rPr>
          <w:rFonts w:ascii="Times New Roman" w:eastAsia="Times New Roman" w:hAnsi="Times New Roman" w:cs="Times New Roman"/>
          <w:sz w:val="28"/>
          <w:szCs w:val="28"/>
        </w:rPr>
        <w:t xml:space="preserve">ние на большой репрезентативной выборке небеременных женщин в возрасте от 18 лет и старше[6,стр.2;15,стр.250]. Изучение распространённости пролапса показало достаточно высокий процент -  у 64,6% женщин, когда обнаружена была анатомическая стадия пролапса  </w:t>
      </w:r>
      <w:r>
        <w:rPr>
          <w:rFonts w:ascii="Times New Roman" w:eastAsia="Times New Roman" w:hAnsi="Times New Roman" w:cs="Times New Roman"/>
          <w:sz w:val="28"/>
          <w:szCs w:val="28"/>
        </w:rPr>
        <w:t>II – IV степени, причем наиболее преобладающим был передний пролапс (цистоцеле - 62,7%), за которым следуют задний пролапс (ректоцеле -8,5%) и апикальный пролапс (опущение матки- 1,8%)[6,стр.4;15,стр.250]. Учеными установлено, что распространенность пролап</w:t>
      </w:r>
      <w:r>
        <w:rPr>
          <w:rFonts w:ascii="Times New Roman" w:eastAsia="Times New Roman" w:hAnsi="Times New Roman" w:cs="Times New Roman"/>
          <w:sz w:val="28"/>
          <w:szCs w:val="28"/>
        </w:rPr>
        <w:t>са  стадии II – IV увеличивалась с увеличением возраста, чем страше женщина, тем более продвинутые и осложненными стадии генитального пролапса встречаются [6,стр.5;15, стр.250]. Наиболее частыми симптомами были тяжесть и ощущение давления внизу живота  и в</w:t>
      </w:r>
      <w:r>
        <w:rPr>
          <w:rFonts w:ascii="Times New Roman" w:eastAsia="Times New Roman" w:hAnsi="Times New Roman" w:cs="Times New Roman"/>
          <w:sz w:val="28"/>
          <w:szCs w:val="28"/>
        </w:rPr>
        <w:t xml:space="preserve"> нижней части живота, за которыми следовали проблемы с опорожнением мочевого пузыря [6,стр.5; 15, стр.250]. В Демократической Республике Конго тазовый пролапс также чаще отмечается у женщин в пре и постменопаузе [7,стр.2; 15, стр.250].</w:t>
      </w:r>
      <w:r>
        <w:rPr>
          <w:rFonts w:ascii="Times New Roman" w:eastAsia="Times New Roman" w:hAnsi="Times New Roman" w:cs="Times New Roman"/>
          <w:sz w:val="28"/>
          <w:szCs w:val="28"/>
          <w:highlight w:val="white"/>
        </w:rPr>
        <w:t>В Нигерии распростран</w:t>
      </w:r>
      <w:r>
        <w:rPr>
          <w:rFonts w:ascii="Times New Roman" w:eastAsia="Times New Roman" w:hAnsi="Times New Roman" w:cs="Times New Roman"/>
          <w:sz w:val="28"/>
          <w:szCs w:val="28"/>
          <w:highlight w:val="white"/>
        </w:rPr>
        <w:t xml:space="preserve">енность тазового пролапса составила 39,1 на 1000 госпитализаций, что составляло 3,9% от общего числа госпитализаций [23; </w:t>
      </w:r>
      <w:r>
        <w:rPr>
          <w:rFonts w:ascii="Times New Roman" w:eastAsia="Times New Roman" w:hAnsi="Times New Roman" w:cs="Times New Roman"/>
          <w:sz w:val="28"/>
          <w:szCs w:val="28"/>
        </w:rPr>
        <w:t>15, стр.250</w:t>
      </w:r>
      <w:r>
        <w:rPr>
          <w:rFonts w:ascii="Times New Roman" w:eastAsia="Times New Roman" w:hAnsi="Times New Roman" w:cs="Times New Roman"/>
          <w:sz w:val="28"/>
          <w:szCs w:val="28"/>
          <w:highlight w:val="white"/>
        </w:rPr>
        <w:t>].   И вновь, средний возраст женщин с пролапсом составлял 51,4 ± 3,3 года с акцентом на пожилой возраст  - 81% случаев[23,с</w:t>
      </w:r>
      <w:r>
        <w:rPr>
          <w:rFonts w:ascii="Times New Roman" w:eastAsia="Times New Roman" w:hAnsi="Times New Roman" w:cs="Times New Roman"/>
          <w:sz w:val="28"/>
          <w:szCs w:val="28"/>
          <w:highlight w:val="white"/>
        </w:rPr>
        <w:t>тр.287;</w:t>
      </w:r>
      <w:r>
        <w:rPr>
          <w:rFonts w:ascii="Times New Roman" w:eastAsia="Times New Roman" w:hAnsi="Times New Roman" w:cs="Times New Roman"/>
          <w:sz w:val="28"/>
          <w:szCs w:val="28"/>
        </w:rPr>
        <w:t xml:space="preserve"> 15, стр.250</w:t>
      </w:r>
      <w:r>
        <w:rPr>
          <w:rFonts w:ascii="Times New Roman" w:eastAsia="Times New Roman" w:hAnsi="Times New Roman" w:cs="Times New Roman"/>
          <w:sz w:val="28"/>
          <w:szCs w:val="28"/>
          <w:highlight w:val="white"/>
        </w:rPr>
        <w:t>].  В сельской местности Ганы 81% женщин имели симптомы пролапса и только 35,3% обращались за медицинской помощью по причине финансовых ограничений [</w:t>
      </w:r>
      <w:r>
        <w:rPr>
          <w:rFonts w:ascii="Times New Roman" w:eastAsia="Times New Roman" w:hAnsi="Times New Roman" w:cs="Times New Roman"/>
          <w:sz w:val="28"/>
          <w:szCs w:val="28"/>
        </w:rPr>
        <w:t>15, стр.250;</w:t>
      </w:r>
      <w:r>
        <w:rPr>
          <w:rFonts w:ascii="Times New Roman" w:eastAsia="Times New Roman" w:hAnsi="Times New Roman" w:cs="Times New Roman"/>
          <w:sz w:val="28"/>
          <w:szCs w:val="28"/>
          <w:highlight w:val="white"/>
        </w:rPr>
        <w:t>24]. В сельских  районах Пакистана распространенность пролапса составила все</w:t>
      </w:r>
      <w:r>
        <w:rPr>
          <w:rFonts w:ascii="Times New Roman" w:eastAsia="Times New Roman" w:hAnsi="Times New Roman" w:cs="Times New Roman"/>
          <w:sz w:val="28"/>
          <w:szCs w:val="28"/>
          <w:highlight w:val="white"/>
        </w:rPr>
        <w:t>го 10,3%, из которых 37,8% имели тяжелую стадию, 78,7% из них никогда не обращались к врачу[</w:t>
      </w:r>
      <w:r>
        <w:rPr>
          <w:rFonts w:ascii="Times New Roman" w:eastAsia="Times New Roman" w:hAnsi="Times New Roman" w:cs="Times New Roman"/>
          <w:sz w:val="28"/>
          <w:szCs w:val="28"/>
        </w:rPr>
        <w:t xml:space="preserve">15,стр.250; </w:t>
      </w:r>
      <w:r>
        <w:rPr>
          <w:rFonts w:ascii="Times New Roman" w:eastAsia="Times New Roman" w:hAnsi="Times New Roman" w:cs="Times New Roman"/>
          <w:sz w:val="28"/>
          <w:szCs w:val="28"/>
          <w:highlight w:val="white"/>
        </w:rPr>
        <w:t xml:space="preserve">19,стр.5]. </w:t>
      </w:r>
      <w:r>
        <w:rPr>
          <w:rFonts w:ascii="Times New Roman" w:eastAsia="Times New Roman" w:hAnsi="Times New Roman" w:cs="Times New Roman"/>
          <w:sz w:val="28"/>
          <w:szCs w:val="28"/>
        </w:rPr>
        <w:t>В Австралии 47,2% (95% ДИ, 44,7-49,7%) имели одно или несколько нарушений тазового дна, при этом 36,2 имели недержание мочи, 19,8% – недержан</w:t>
      </w:r>
      <w:r>
        <w:rPr>
          <w:rFonts w:ascii="Times New Roman" w:eastAsia="Times New Roman" w:hAnsi="Times New Roman" w:cs="Times New Roman"/>
          <w:sz w:val="28"/>
          <w:szCs w:val="28"/>
        </w:rPr>
        <w:t>ие кала и 6,8%– тазовый  пролапс</w:t>
      </w:r>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15, стр.250;</w:t>
      </w:r>
      <w:r>
        <w:rPr>
          <w:rFonts w:ascii="Times New Roman" w:eastAsia="Times New Roman" w:hAnsi="Times New Roman" w:cs="Times New Roman"/>
          <w:sz w:val="28"/>
          <w:szCs w:val="28"/>
          <w:highlight w:val="white"/>
        </w:rPr>
        <w:t>25]</w:t>
      </w:r>
      <w:r>
        <w:rPr>
          <w:rFonts w:ascii="Times New Roman" w:eastAsia="Times New Roman" w:hAnsi="Times New Roman" w:cs="Times New Roman"/>
          <w:sz w:val="28"/>
          <w:szCs w:val="28"/>
        </w:rPr>
        <w:t xml:space="preserve">. Среди женщин с пролапсом у 53,4% было недержание мочи, у 33% - недержание кала и у 26,2% - оба расстройства </w:t>
      </w:r>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 xml:space="preserve">15, стр.250; </w:t>
      </w:r>
      <w:r>
        <w:rPr>
          <w:rFonts w:ascii="Times New Roman" w:eastAsia="Times New Roman" w:hAnsi="Times New Roman" w:cs="Times New Roman"/>
          <w:sz w:val="28"/>
          <w:szCs w:val="28"/>
          <w:highlight w:val="white"/>
        </w:rPr>
        <w:t>25,стр.37]</w:t>
      </w:r>
      <w:r>
        <w:rPr>
          <w:rFonts w:ascii="Times New Roman" w:eastAsia="Times New Roman" w:hAnsi="Times New Roman" w:cs="Times New Roman"/>
          <w:sz w:val="28"/>
          <w:szCs w:val="28"/>
        </w:rPr>
        <w:t xml:space="preserve">. Убедительные данные получены  при кросс-секционном исследовании в Китае  2962 из 20 008 женщин и выявлен симптомный генитальный пролапс (14,8) [15, стр.250;26]. При этом, согласно многомерного анализа, женщины с большей вероятностью будут иметь симптомы </w:t>
      </w:r>
      <w:r>
        <w:rPr>
          <w:rFonts w:ascii="Times New Roman" w:eastAsia="Times New Roman" w:hAnsi="Times New Roman" w:cs="Times New Roman"/>
          <w:sz w:val="28"/>
          <w:szCs w:val="28"/>
        </w:rPr>
        <w:t xml:space="preserve">пролапса  в возрасте 50–59 лет (скорректированное отношение шансов (СОШ) - 1,322, 95% ДИ 1,123–1,560), 60–69 лет (СОШ - 1,603, 95% ДИ 1,352–1,907 ) или старше 70 лет (СОШ 1,824, 95% ДИ 1,158–2,197) по сравнению с женщинами в возрасте 40–49 лет, установили </w:t>
      </w:r>
      <w:r>
        <w:rPr>
          <w:rFonts w:ascii="Times New Roman" w:eastAsia="Times New Roman" w:hAnsi="Times New Roman" w:cs="Times New Roman"/>
          <w:sz w:val="28"/>
          <w:szCs w:val="28"/>
        </w:rPr>
        <w:t>авторы публикации [15,стр.250;26,стр.81]</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Эпидемиологическое исследование, проведенное в Корее по данным от 4 476 495 женщин[15, стр.250</w:t>
      </w:r>
      <w:r>
        <w:rPr>
          <w:rFonts w:ascii="Times New Roman" w:eastAsia="Times New Roman" w:hAnsi="Times New Roman" w:cs="Times New Roman"/>
          <w:b/>
          <w:sz w:val="28"/>
          <w:szCs w:val="28"/>
        </w:rPr>
        <w:t>;</w:t>
      </w:r>
      <w:r>
        <w:rPr>
          <w:rFonts w:ascii="Times New Roman" w:eastAsia="Times New Roman" w:hAnsi="Times New Roman" w:cs="Times New Roman"/>
          <w:sz w:val="28"/>
          <w:szCs w:val="28"/>
        </w:rPr>
        <w:t>27]. Из них выявлено 10 305 женщин с пролапсом, 8708 были старше 50 лет, а средний возраст составлял 67,5 ± 0,2 года [1</w:t>
      </w:r>
      <w:r>
        <w:rPr>
          <w:rFonts w:ascii="Times New Roman" w:eastAsia="Times New Roman" w:hAnsi="Times New Roman" w:cs="Times New Roman"/>
          <w:sz w:val="28"/>
          <w:szCs w:val="28"/>
        </w:rPr>
        <w:t>5,стр.250;26,стр.2]. Распространенность пролапса составляла 71 ± 1 на 100 000 населения во всех возрастных группах и 180 ± 4 на 100 000 населения среди женщин старше 50 лет [15, стр.250; 26,стр.2].Эти показатели намного ниже, чем распространенность, о кото</w:t>
      </w:r>
      <w:r>
        <w:rPr>
          <w:rFonts w:ascii="Times New Roman" w:eastAsia="Times New Roman" w:hAnsi="Times New Roman" w:cs="Times New Roman"/>
          <w:sz w:val="28"/>
          <w:szCs w:val="28"/>
        </w:rPr>
        <w:t>рой сообщалось в предыдущих исследованиях (2,9–41,1%), связано с тем, что в этом исследовании использовались только данные объективного осмотра, тогда как в предшествующих использованы данные опросников[15, стр.250]</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 Выпадение матки и цистоцеле чаще всего</w:t>
      </w:r>
      <w:r>
        <w:rPr>
          <w:rFonts w:ascii="Times New Roman" w:eastAsia="Times New Roman" w:hAnsi="Times New Roman" w:cs="Times New Roman"/>
          <w:sz w:val="28"/>
          <w:szCs w:val="28"/>
        </w:rPr>
        <w:t xml:space="preserve"> наблюдались у женщин в возрасте 70 и старше, ректоцеле - у женщин старше 60 лет [15, стр.250; 26,стр.2]. Среди всех случаев пролапса наиболее распространенным было выпадение матки (49,9%), за которым следовали цистоцеле (26,1%), ректоцеле (23,0%), энтероц</w:t>
      </w:r>
      <w:r>
        <w:rPr>
          <w:rFonts w:ascii="Times New Roman" w:eastAsia="Times New Roman" w:hAnsi="Times New Roman" w:cs="Times New Roman"/>
          <w:sz w:val="28"/>
          <w:szCs w:val="28"/>
        </w:rPr>
        <w:t>еле (0,5%) и уретроцеле (0,4%) [15, стр.250; 26,стр.2]. Хотя, как отмечают авторы, данные об анатомическом распределении пролапса могут быть неточными из-за особенностей кодировки [15, стр.250]. Чаще всего хирургическое вмешательство выполнялись женщинам в</w:t>
      </w:r>
      <w:r>
        <w:rPr>
          <w:rFonts w:ascii="Times New Roman" w:eastAsia="Times New Roman" w:hAnsi="Times New Roman" w:cs="Times New Roman"/>
          <w:sz w:val="28"/>
          <w:szCs w:val="28"/>
        </w:rPr>
        <w:t xml:space="preserve"> возрасте от 60 до 70 лет и старше [15, стр.250; 26,стр.2]. После 75 лет в основном использовался пессарий [15,стр.252; 27].  Из общего числа пациентов с генитальном пролапсом  46% не получали никакого специального лечения, 44% подвергались хирургическому </w:t>
      </w:r>
      <w:r>
        <w:rPr>
          <w:rFonts w:ascii="Times New Roman" w:eastAsia="Times New Roman" w:hAnsi="Times New Roman" w:cs="Times New Roman"/>
          <w:sz w:val="28"/>
          <w:szCs w:val="28"/>
        </w:rPr>
        <w:t>вмешательству, 9% использовали пессарий и 1% лечили хирургическим вмешательством и пессарием [15, стр.250; 26,стр.2]. В заключении авторы отметили, упражнений для мышц тазового дна было достаточно при легких симптомах,даже если генитальный пролапс диагност</w:t>
      </w:r>
      <w:r>
        <w:rPr>
          <w:rFonts w:ascii="Times New Roman" w:eastAsia="Times New Roman" w:hAnsi="Times New Roman" w:cs="Times New Roman"/>
          <w:sz w:val="28"/>
          <w:szCs w:val="28"/>
        </w:rPr>
        <w:t>ирован при физикальном обследовании, лечение может не потребоваться при отсутствии симптомов [15, стр.250; 26,стр.4].</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 позиции выбора методов диагностики женщин с пролапсом, интерес представили результаты социологического опроса[15, стр.250]</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 Авторами оц</w:t>
      </w:r>
      <w:r>
        <w:rPr>
          <w:rFonts w:ascii="Times New Roman" w:eastAsia="Times New Roman" w:hAnsi="Times New Roman" w:cs="Times New Roman"/>
          <w:sz w:val="28"/>
          <w:szCs w:val="28"/>
        </w:rPr>
        <w:t>енивалась специфичность (т.е. насколько применяемые вопросы отражали проблему пролапса с позиции оценки симптомокомплекса) и чувствительность (т.е. мы ожидали выявить факторы риска в случаях, где симптомы не выражены в полном, ожидаемом объеме) анкетирован</w:t>
      </w:r>
      <w:r>
        <w:rPr>
          <w:rFonts w:ascii="Times New Roman" w:eastAsia="Times New Roman" w:hAnsi="Times New Roman" w:cs="Times New Roman"/>
          <w:sz w:val="28"/>
          <w:szCs w:val="28"/>
        </w:rPr>
        <w:t>ия при пролапсе, поскольку проводить масштабные исследования при пролапсе, на наш взгляд, удобнее с помощью анкетирования [15, стр.250]. Однако выявлены и существенные различия о распространенности при проведении анкетирования, относительно объективного ос</w:t>
      </w:r>
      <w:r>
        <w:rPr>
          <w:rFonts w:ascii="Times New Roman" w:eastAsia="Times New Roman" w:hAnsi="Times New Roman" w:cs="Times New Roman"/>
          <w:sz w:val="28"/>
          <w:szCs w:val="28"/>
        </w:rPr>
        <w:t>мотра [15, стр.250].  Если ориентироваться на то, что пролапс может быть бессимптомным, велика вероятность пропустить начальные стадии, когда возможно обойтись без хирургического вмешательства[15, стр.250]</w:t>
      </w:r>
      <w:r>
        <w:rPr>
          <w:rFonts w:ascii="Times New Roman" w:eastAsia="Times New Roman" w:hAnsi="Times New Roman" w:cs="Times New Roman"/>
          <w:b/>
          <w:sz w:val="28"/>
          <w:szCs w:val="28"/>
        </w:rPr>
        <w:t>.</w:t>
      </w:r>
      <w:r>
        <w:rPr>
          <w:rFonts w:ascii="Times New Roman" w:eastAsia="Times New Roman" w:hAnsi="Times New Roman" w:cs="Times New Roman"/>
          <w:sz w:val="28"/>
          <w:szCs w:val="28"/>
        </w:rPr>
        <w:t xml:space="preserve">  Исследователями </w:t>
      </w:r>
      <w:r>
        <w:rPr>
          <w:rFonts w:ascii="Times New Roman" w:eastAsia="Times New Roman" w:hAnsi="Times New Roman" w:cs="Times New Roman"/>
          <w:sz w:val="28"/>
          <w:szCs w:val="28"/>
          <w:highlight w:val="white"/>
        </w:rPr>
        <w:t>Barber MD, Neubauer NL и Klein-O</w:t>
      </w:r>
      <w:r>
        <w:rPr>
          <w:rFonts w:ascii="Times New Roman" w:eastAsia="Times New Roman" w:hAnsi="Times New Roman" w:cs="Times New Roman"/>
          <w:sz w:val="28"/>
          <w:szCs w:val="28"/>
          <w:highlight w:val="white"/>
        </w:rPr>
        <w:t>larte V</w:t>
      </w:r>
      <w:r>
        <w:rPr>
          <w:rFonts w:ascii="Times New Roman" w:eastAsia="Times New Roman" w:hAnsi="Times New Roman" w:cs="Times New Roman"/>
          <w:sz w:val="28"/>
          <w:szCs w:val="28"/>
        </w:rPr>
        <w:t xml:space="preserve"> еще в 2006 году был разработан скрининговый опросник, с целью возможности социологического опроса, как самостоятельного метода в диагностике пролапса [15, стр.250]</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В группе, где пациенты имели опущение за пределы гименального кольца обозначены сле</w:t>
      </w:r>
      <w:r>
        <w:rPr>
          <w:rFonts w:ascii="Times New Roman" w:eastAsia="Times New Roman" w:hAnsi="Times New Roman" w:cs="Times New Roman"/>
          <w:sz w:val="28"/>
          <w:szCs w:val="28"/>
        </w:rPr>
        <w:t>дующие характеристики теста: чувствительность 85% (95% ДИ 71–93), специфичность 86% (95% ДИ 75–92) [15, стр.250; 28]. Вместе с тем, при оценке в группе с низкой вероятностью пролапса (распространенность пролапса 3,8%) специфичность улучшилась до 99% (95% Д</w:t>
      </w:r>
      <w:r>
        <w:rPr>
          <w:rFonts w:ascii="Times New Roman" w:eastAsia="Times New Roman" w:hAnsi="Times New Roman" w:cs="Times New Roman"/>
          <w:sz w:val="28"/>
          <w:szCs w:val="28"/>
        </w:rPr>
        <w:t>И 98–99), в то время как чувствительность резко снизилась до 35% (95% ДИ 15–61) [15, стр.250;28,стр.946]. Допустимо предположить, что скрининг на наличие пролапса без физического обследования подвержен искажению[15, стр.250]</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Следует отметить, что если для</w:t>
      </w:r>
      <w:r>
        <w:rPr>
          <w:rFonts w:ascii="Times New Roman" w:eastAsia="Times New Roman" w:hAnsi="Times New Roman" w:cs="Times New Roman"/>
          <w:sz w:val="28"/>
          <w:szCs w:val="28"/>
        </w:rPr>
        <w:t xml:space="preserve"> женщин с высокой вероятностью наличия пролапса скрининговый опросник может точно выявить продвинутую стадию пролапса без физического осмотра, то в группах с низкой априорной вероятностью пролапса, этот опросник имеет низкую чувствительность [15, стр.250; </w:t>
      </w:r>
      <w:r>
        <w:rPr>
          <w:rFonts w:ascii="Times New Roman" w:eastAsia="Times New Roman" w:hAnsi="Times New Roman" w:cs="Times New Roman"/>
          <w:sz w:val="28"/>
          <w:szCs w:val="28"/>
        </w:rPr>
        <w:t>29]</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highlight w:val="white"/>
        </w:rPr>
        <w:t xml:space="preserve"> </w:t>
      </w:r>
    </w:p>
    <w:p w:rsidR="000A3797" w:rsidRDefault="00A660E7">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Факторы риска тазового пролапса условно принято делить на предрасполагающие, такие как пол, этническая принадлежность и генетика, на которые мы не можем влиять и формирующие факторы, куда включают род деятельности, ожирение, паритет, способ родоразр</w:t>
      </w:r>
      <w:r>
        <w:rPr>
          <w:rFonts w:ascii="Times New Roman" w:eastAsia="Times New Roman" w:hAnsi="Times New Roman" w:cs="Times New Roman"/>
          <w:color w:val="000000"/>
          <w:sz w:val="28"/>
          <w:szCs w:val="28"/>
        </w:rPr>
        <w:t>ешения и другие, которые способствуют повреждению мышц и фасций таза и ослаблению соединительной ткани [15, стр. 252; 30-32]. Согласно представлениям Д.Деланси о тазовом дне, ключевую роль играют скорее фасции, чем мышцы тазового дна [15,стр.252]. Фасции с</w:t>
      </w:r>
      <w:r>
        <w:rPr>
          <w:rFonts w:ascii="Times New Roman" w:eastAsia="Times New Roman" w:hAnsi="Times New Roman" w:cs="Times New Roman"/>
          <w:color w:val="000000"/>
          <w:sz w:val="28"/>
          <w:szCs w:val="28"/>
        </w:rPr>
        <w:t xml:space="preserve">остоят из плотной соединительной ткани и покрывают мышцы, сосуды, нервы и другие структуры, создавая поддержку и разделяя их на отдельные группы[15,стр.252].  Фасция, можно сказать своеобразный футляр вокруг органов и мышц, что способствует их правильному </w:t>
      </w:r>
      <w:r>
        <w:rPr>
          <w:rFonts w:ascii="Times New Roman" w:eastAsia="Times New Roman" w:hAnsi="Times New Roman" w:cs="Times New Roman"/>
          <w:color w:val="000000"/>
          <w:sz w:val="28"/>
          <w:szCs w:val="28"/>
        </w:rPr>
        <w:t xml:space="preserve">функционированию, а также обеспечивает структурную целостность и выполняет протективную роль от повреждений[15,стр.252].  Фасция, согласно теориям Деланси играет ключевую роль в поддержке органов малого таза, ее повреждение или ослабление может быть одной </w:t>
      </w:r>
      <w:r>
        <w:rPr>
          <w:rFonts w:ascii="Times New Roman" w:eastAsia="Times New Roman" w:hAnsi="Times New Roman" w:cs="Times New Roman"/>
          <w:color w:val="000000"/>
          <w:sz w:val="28"/>
          <w:szCs w:val="28"/>
        </w:rPr>
        <w:t xml:space="preserve">из причин развития опущения органов малого таза, но это лишь предрасполагающий фактор, тогда как фоновым является генетически обусловленная слабость соединительно-тканных структур таза. Фасция играет в тандеме с мышцами и связками, чтобы удерживать матку, </w:t>
      </w:r>
      <w:r>
        <w:rPr>
          <w:rFonts w:ascii="Times New Roman" w:eastAsia="Times New Roman" w:hAnsi="Times New Roman" w:cs="Times New Roman"/>
          <w:color w:val="000000"/>
          <w:sz w:val="28"/>
          <w:szCs w:val="28"/>
        </w:rPr>
        <w:t>влагалище, мочевой пузырь и прямую кишку в правильном анатомичном положении [15,стр.252].  Сущестуют следующие дефекты фасции:</w:t>
      </w:r>
    </w:p>
    <w:p w:rsidR="000A3797" w:rsidRDefault="00A660E7">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1. Медиальный дефект: возникает в средней линии, когда ослабление или повреждение фасциальных структур приводит к провисанию орг</w:t>
      </w:r>
      <w:r>
        <w:rPr>
          <w:rFonts w:ascii="Times New Roman" w:eastAsia="Times New Roman" w:hAnsi="Times New Roman" w:cs="Times New Roman"/>
          <w:color w:val="000000"/>
          <w:sz w:val="28"/>
          <w:szCs w:val="28"/>
        </w:rPr>
        <w:t>анов, таких как влагалище или матка. Это может вызвать центральный пролапс, когда органы опускаются к середине влагалищного канала.</w:t>
      </w:r>
    </w:p>
    <w:p w:rsidR="000A3797" w:rsidRDefault="00A660E7">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 Латеральный дефект: характеризуется нарушением крепления фасции к боковым стенкам таза. Этот тип дефекта часто приводит к</w:t>
      </w:r>
      <w:r>
        <w:rPr>
          <w:rFonts w:ascii="Times New Roman" w:eastAsia="Times New Roman" w:hAnsi="Times New Roman" w:cs="Times New Roman"/>
          <w:color w:val="000000"/>
          <w:sz w:val="28"/>
          <w:szCs w:val="28"/>
        </w:rPr>
        <w:t xml:space="preserve"> опущению стенок влагалища, что может затронуть как переднюю, так и заднюю стенки влагалища. Латеральный дефект особенно часто связан с пролапсом передней стенки влагалища, где мочевой пузырь смещается к боковым сторонам.</w:t>
      </w:r>
    </w:p>
    <w:p w:rsidR="000A3797" w:rsidRDefault="00A660E7">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 Центральный дефект: это поврежд</w:t>
      </w:r>
      <w:r>
        <w:rPr>
          <w:rFonts w:ascii="Times New Roman" w:eastAsia="Times New Roman" w:hAnsi="Times New Roman" w:cs="Times New Roman"/>
          <w:color w:val="000000"/>
          <w:sz w:val="28"/>
          <w:szCs w:val="28"/>
        </w:rPr>
        <w:t>ение или ослабление фасции непосредственно в центральной области стенки влагалища, что способствует формированию к цистоцеле или ректоцеле и/или нарушению их функции.</w:t>
      </w:r>
    </w:p>
    <w:p w:rsidR="000A3797" w:rsidRDefault="00A660E7">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Адекватная диагностика и оценка дефектов фасции помогают выбрать оптимальные методы корре</w:t>
      </w:r>
      <w:r>
        <w:rPr>
          <w:rFonts w:ascii="Times New Roman" w:eastAsia="Times New Roman" w:hAnsi="Times New Roman" w:cs="Times New Roman"/>
          <w:color w:val="000000"/>
          <w:sz w:val="28"/>
          <w:szCs w:val="28"/>
        </w:rPr>
        <w:t>кции пролапса тазового дна, включая различные хирургические и консервативные подходы. что можно реализовать с помощью магнитно –резонансной томографии в покое, так и с пробой Вальсавы, о чем также говорил Деланси [2,стр.7]. Из нашего практического наблюден</w:t>
      </w:r>
      <w:r>
        <w:rPr>
          <w:rFonts w:ascii="Times New Roman" w:eastAsia="Times New Roman" w:hAnsi="Times New Roman" w:cs="Times New Roman"/>
          <w:color w:val="000000"/>
          <w:sz w:val="28"/>
          <w:szCs w:val="28"/>
        </w:rPr>
        <w:t>ия отметим, что в случаях, если симптомы пролапса проявляются значительно, это может не коррелировать с фактической продвинутой стадией пролапса, даже небольшой пролапс может вызывать существенный дискомфорт [15,стр.252].</w:t>
      </w:r>
      <w:bookmarkStart w:id="2" w:name="30j0zll" w:colFirst="0" w:colLast="0"/>
      <w:bookmarkEnd w:id="2"/>
      <w:r>
        <w:rPr>
          <w:rFonts w:ascii="Times New Roman" w:eastAsia="Times New Roman" w:hAnsi="Times New Roman" w:cs="Times New Roman"/>
          <w:color w:val="000000"/>
          <w:sz w:val="28"/>
          <w:szCs w:val="28"/>
        </w:rPr>
        <w:t xml:space="preserve"> Не исключены эпизоды, когда у мног</w:t>
      </w:r>
      <w:r>
        <w:rPr>
          <w:rFonts w:ascii="Times New Roman" w:eastAsia="Times New Roman" w:hAnsi="Times New Roman" w:cs="Times New Roman"/>
          <w:color w:val="000000"/>
          <w:sz w:val="28"/>
          <w:szCs w:val="28"/>
        </w:rPr>
        <w:t>орожавших женщин  нет симптомов пролапса, тогда как у молодых женщин только после первых родов уже развивается продвинутая стадия, что конечно зависит от свойства самой соединительной ткани и других факторов, которые пристально исследуются последние десяти</w:t>
      </w:r>
      <w:r>
        <w:rPr>
          <w:rFonts w:ascii="Times New Roman" w:eastAsia="Times New Roman" w:hAnsi="Times New Roman" w:cs="Times New Roman"/>
          <w:color w:val="000000"/>
          <w:sz w:val="28"/>
          <w:szCs w:val="28"/>
        </w:rPr>
        <w:t>летия [15,стр.252].</w:t>
      </w:r>
    </w:p>
    <w:p w:rsidR="000A3797" w:rsidRDefault="00A660E7">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 Генетический фактор. Сегодня известно, тазовый пролапс является генетически обусловленным заболеваниям [15,стр.252]. Собственные ткани врождённо слабы, а формирующие факторы усугубляют и так слабую структуру соединительной ткани[15,стр.252].  У женщин с</w:t>
      </w:r>
      <w:r>
        <w:rPr>
          <w:rFonts w:ascii="Times New Roman" w:eastAsia="Times New Roman" w:hAnsi="Times New Roman" w:cs="Times New Roman"/>
          <w:color w:val="000000"/>
          <w:sz w:val="28"/>
          <w:szCs w:val="28"/>
        </w:rPr>
        <w:t xml:space="preserve"> семейным анамнезом заболеваемость пролапсом в 2,5 раза выше, чем в общей популяции[2,стр.8; 15,стр.252]. Многие женщины отмечают, что имеют родственников, в анамнезе у которых был генитальный пролапс, либо грыжи [15,стр.252]. Генетическая структура коллаг</w:t>
      </w:r>
      <w:r>
        <w:rPr>
          <w:rFonts w:ascii="Times New Roman" w:eastAsia="Times New Roman" w:hAnsi="Times New Roman" w:cs="Times New Roman"/>
          <w:color w:val="000000"/>
          <w:sz w:val="28"/>
          <w:szCs w:val="28"/>
        </w:rPr>
        <w:t xml:space="preserve">ена играет ключевую роль в поддержании прочности и эластичности соединительной ткани, что особенно важно для органов малого таза и сосудов [15,стр.252].  Коллагеновые волокна формируют основу соединительной ткани, и различные мутации или особенности в его </w:t>
      </w:r>
      <w:r>
        <w:rPr>
          <w:rFonts w:ascii="Times New Roman" w:eastAsia="Times New Roman" w:hAnsi="Times New Roman" w:cs="Times New Roman"/>
          <w:color w:val="000000"/>
          <w:sz w:val="28"/>
          <w:szCs w:val="28"/>
        </w:rPr>
        <w:t>генах могут приводить к ослаблению тканей, повышая риск их деформации и снижения функциональной устойчивости[15,стр.252].  При генитальном пролапсе происходит ослабление тканей тазового дна, и это состояние связывают с нарушениями синтеза коллагена, особен</w:t>
      </w:r>
      <w:r>
        <w:rPr>
          <w:rFonts w:ascii="Times New Roman" w:eastAsia="Times New Roman" w:hAnsi="Times New Roman" w:cs="Times New Roman"/>
          <w:color w:val="000000"/>
          <w:sz w:val="28"/>
          <w:szCs w:val="28"/>
        </w:rPr>
        <w:t>но типов I и III[15,стр.252].  Эти формы коллагена обеспечивают прочность и гибкость тканей, и при их недостатке или структурной дефектности ткани становятся более подверженными растяжению и повреждению[15,стр.252].  Генетически обусловленные изменения в к</w:t>
      </w:r>
      <w:r>
        <w:rPr>
          <w:rFonts w:ascii="Times New Roman" w:eastAsia="Times New Roman" w:hAnsi="Times New Roman" w:cs="Times New Roman"/>
          <w:color w:val="000000"/>
          <w:sz w:val="28"/>
          <w:szCs w:val="28"/>
        </w:rPr>
        <w:t>оллагене также влияют на склонность к другим заболеваниям, связанным с ослаблением соединительной ткани, таким как геморрой и варикозное расширение вен [15,стр.252].  Недостаток коллагена снижает прочность сосудов, делая их более подверженными растяжению и</w:t>
      </w:r>
      <w:r>
        <w:rPr>
          <w:rFonts w:ascii="Times New Roman" w:eastAsia="Times New Roman" w:hAnsi="Times New Roman" w:cs="Times New Roman"/>
          <w:color w:val="000000"/>
          <w:sz w:val="28"/>
          <w:szCs w:val="28"/>
        </w:rPr>
        <w:t xml:space="preserve"> образованию узлов[15,стр.252].  В таких случаях генетическая предрасположенность усиливает негативное влияние внешних факторов, таких как физическая нагрузка, беременность, возрастные изменения и гормональные колебания, что повышает вероятность развития э</w:t>
      </w:r>
      <w:r>
        <w:rPr>
          <w:rFonts w:ascii="Times New Roman" w:eastAsia="Times New Roman" w:hAnsi="Times New Roman" w:cs="Times New Roman"/>
          <w:color w:val="000000"/>
          <w:sz w:val="28"/>
          <w:szCs w:val="28"/>
        </w:rPr>
        <w:t>тих заболеваний[15,стр.252]. Влияние генетики коллагена на предрасположенность к этим заболеваниям активно исследуется, и понимание этой связи может помочь в разработке превентивных мер и более эффективных подходов к лечению[15,стр.252].  [2,стр.8; 15,стр.</w:t>
      </w:r>
      <w:r>
        <w:rPr>
          <w:rFonts w:ascii="Times New Roman" w:eastAsia="Times New Roman" w:hAnsi="Times New Roman" w:cs="Times New Roman"/>
          <w:color w:val="000000"/>
          <w:sz w:val="28"/>
          <w:szCs w:val="28"/>
        </w:rPr>
        <w:t>252].</w:t>
      </w:r>
    </w:p>
    <w:p w:rsidR="000A3797" w:rsidRDefault="00A660E7">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 Ожирение . В ряде исследований, указано, что избыточный вес может влиять на симптомы пролапса, связывая такие выводы с постоянно повышенным внутрибрюшным давлением [15,стр.252]. Дискутабельным является утверждение, что ожирение способствует повреж</w:t>
      </w:r>
      <w:r>
        <w:rPr>
          <w:rFonts w:ascii="Times New Roman" w:eastAsia="Times New Roman" w:hAnsi="Times New Roman" w:cs="Times New Roman"/>
          <w:color w:val="000000"/>
          <w:sz w:val="28"/>
          <w:szCs w:val="28"/>
        </w:rPr>
        <w:t>дению соединительно-тканных структур таза и нервов, а также предрасполагает формированию других сопутствующих заболеваний, которые способны оказывать негативное влияние на соединительно-тканные структуры, такие как сахарный диабет, метаболический синдром и</w:t>
      </w:r>
      <w:r>
        <w:rPr>
          <w:rFonts w:ascii="Times New Roman" w:eastAsia="Times New Roman" w:hAnsi="Times New Roman" w:cs="Times New Roman"/>
          <w:color w:val="000000"/>
          <w:sz w:val="28"/>
          <w:szCs w:val="28"/>
        </w:rPr>
        <w:t xml:space="preserve"> другие заболевания [15,стр.252]. Данная позиция разделяется и другими публикациями, метанализ 2017 года, объединяющий данные 22 РКИ, указывает на наличие связи между ожирением и пролапсом тазовых органов [15,стр.252; 32]. По сравнению с женщинами с нормал</w:t>
      </w:r>
      <w:r>
        <w:rPr>
          <w:rFonts w:ascii="Times New Roman" w:eastAsia="Times New Roman" w:hAnsi="Times New Roman" w:cs="Times New Roman"/>
          <w:color w:val="000000"/>
          <w:sz w:val="28"/>
          <w:szCs w:val="28"/>
        </w:rPr>
        <w:t xml:space="preserve">ьной массой тела, женщины с избыточной массой тела и ожирением имели относительный риск согласно метаанализу не менее 1,36 (95% ДИ: 1,20–1,53) и не менее 1,47 (ДИ: 95%, 1,35–1,59), соответственно [15,стр.252]. Это означает, что у женщин с массой тела выше </w:t>
      </w:r>
      <w:r>
        <w:rPr>
          <w:rFonts w:ascii="Times New Roman" w:eastAsia="Times New Roman" w:hAnsi="Times New Roman" w:cs="Times New Roman"/>
          <w:color w:val="000000"/>
          <w:sz w:val="28"/>
          <w:szCs w:val="28"/>
        </w:rPr>
        <w:t>нормы риск ГП выше, чем у женщин с индексом массы тела в пределах нормы [15,стр.252]. Правда других проспективных исследований, посвященных оценке ожирения и пролапса тазовых органов на сегодняшний день маловато, несмотря на факты эпидемий ожирения в США в</w:t>
      </w:r>
      <w:r>
        <w:rPr>
          <w:rFonts w:ascii="Times New Roman" w:eastAsia="Times New Roman" w:hAnsi="Times New Roman" w:cs="Times New Roman"/>
          <w:color w:val="000000"/>
          <w:sz w:val="28"/>
          <w:szCs w:val="28"/>
        </w:rPr>
        <w:t xml:space="preserve">ызывающих опасения в увеличении и распространенности пролапса [15,стр.252].  В последних исследованиях как в Америке, так и в Европе было также отмечено о связи более высокого ИМТ и клинически значимого пролапса[3,стр.142; 15,стр.252], а также в Австралии </w:t>
      </w:r>
      <w:r>
        <w:rPr>
          <w:rFonts w:ascii="Times New Roman" w:eastAsia="Times New Roman" w:hAnsi="Times New Roman" w:cs="Times New Roman"/>
          <w:color w:val="000000"/>
          <w:sz w:val="28"/>
          <w:szCs w:val="28"/>
        </w:rPr>
        <w:t>выявлены женщины с ожирением чаще имеющие хотя бы одно заболевание тазового дна (ОШ: 1,77; 95% ДИ 1,36–2,31, p &lt;0,01) [15,стр.252;28,стр.37]. Коррелируют результаты опубликованные учеными Китая в отношении женщин с нормальным весом, женщины с избыточной ма</w:t>
      </w:r>
      <w:r>
        <w:rPr>
          <w:rFonts w:ascii="Times New Roman" w:eastAsia="Times New Roman" w:hAnsi="Times New Roman" w:cs="Times New Roman"/>
          <w:color w:val="000000"/>
          <w:sz w:val="28"/>
          <w:szCs w:val="28"/>
        </w:rPr>
        <w:t>ссой тела (СОШ: 1,365, 95% ДИ: 1,247–1,494) и женщины с ожирением (СОШ: 1,548, 95% ДИ: 1,344–1,780) были больше подвержены генитальному пролапсу [15,стр.252;33]. Напротив, опровергают связь генитального пролапса с индексом массы тела исследователи Танзании</w:t>
      </w:r>
      <w:r>
        <w:rPr>
          <w:rFonts w:ascii="Times New Roman" w:eastAsia="Times New Roman" w:hAnsi="Times New Roman" w:cs="Times New Roman"/>
          <w:color w:val="000000"/>
          <w:sz w:val="28"/>
          <w:szCs w:val="28"/>
        </w:rPr>
        <w:t xml:space="preserve"> [15,стр.252].   Женщины с ожирением часто более состоятельны и менее склонны выполнять тяжелую работу, предполагая, что влияние ожирения могло быть замаскировано отсутствием необходимости выполнять тяжелую физическую работу [6,стр.11; 15,стр.252].</w:t>
      </w:r>
    </w:p>
    <w:p w:rsidR="000A3797" w:rsidRDefault="00A660E7">
      <w:pPr>
        <w:pStyle w:val="2"/>
        <w:spacing w:before="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3. Акуш</w:t>
      </w:r>
      <w:r>
        <w:rPr>
          <w:rFonts w:ascii="Times New Roman" w:eastAsia="Times New Roman" w:hAnsi="Times New Roman" w:cs="Times New Roman"/>
          <w:color w:val="000000"/>
          <w:sz w:val="28"/>
          <w:szCs w:val="28"/>
        </w:rPr>
        <w:t>ерско-гинекологический анамнез</w:t>
      </w:r>
    </w:p>
    <w:p w:rsidR="000A3797" w:rsidRDefault="00A660E7">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Паритет родов является установленным фактором риска пролапса, однако не влияет на рецидив, считает отдельная группа исследователей, причем увеличение связывали с увеличением распространенности разных видов дисфункций ОМТ и их сочетаний [15,стр.253]. Вагина</w:t>
      </w:r>
      <w:r>
        <w:rPr>
          <w:rFonts w:ascii="Times New Roman" w:eastAsia="Times New Roman" w:hAnsi="Times New Roman" w:cs="Times New Roman"/>
          <w:color w:val="000000"/>
          <w:sz w:val="28"/>
          <w:szCs w:val="28"/>
        </w:rPr>
        <w:t>льные роды были связаны с более высокими показателями заболеваний тазового дна по сравнению  с кесаревым сечением и отсутствием беременности [15,стр.252; 34]. Установлено, что акушерская травма имеет связь с риском ГП, так и вагинальные роды в целом, у 10%</w:t>
      </w:r>
      <w:r>
        <w:rPr>
          <w:rFonts w:ascii="Times New Roman" w:eastAsia="Times New Roman" w:hAnsi="Times New Roman" w:cs="Times New Roman"/>
          <w:color w:val="000000"/>
          <w:sz w:val="28"/>
          <w:szCs w:val="28"/>
        </w:rPr>
        <w:t xml:space="preserve"> женщин, по некоторым данным, разовьется дисфункция тазового дна, это еще одна причина в пользу выбора оперативных родов, в ситуациях, когда вагинальные роды могут привести к вероятным осложнениям [2,стр.9; 15,стр.252]. Во исследованиях, посвященных фактор</w:t>
      </w:r>
      <w:r>
        <w:rPr>
          <w:rFonts w:ascii="Times New Roman" w:eastAsia="Times New Roman" w:hAnsi="Times New Roman" w:cs="Times New Roman"/>
          <w:color w:val="000000"/>
          <w:sz w:val="28"/>
          <w:szCs w:val="28"/>
        </w:rPr>
        <w:t xml:space="preserve">ам риска, родовая травма при пролапсе отмечается в 33–40% [2,стр.9; 15,стр.252]. И все же инструментальные родоразрешения с применением акушерских щипцов отчасти способствуют увеличению риск пролапса [15,стр.253].  </w:t>
      </w:r>
    </w:p>
    <w:p w:rsidR="000A3797" w:rsidRDefault="00A660E7">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Элонгирование шейки матки как дополнител</w:t>
      </w:r>
      <w:r>
        <w:rPr>
          <w:rFonts w:ascii="Times New Roman" w:eastAsia="Times New Roman" w:hAnsi="Times New Roman" w:cs="Times New Roman"/>
          <w:color w:val="000000"/>
          <w:sz w:val="28"/>
          <w:szCs w:val="28"/>
        </w:rPr>
        <w:t>ьный акушерский фактор риска встречается примерно у 40% женщин с выпадением матки [15,стр.253].  Длина шейки матки у женщин с выпадением матки была примерно на 36% длиннее, чем у женщин без выпадения матки [2,стр.9; 15,стр.252].</w:t>
      </w:r>
    </w:p>
    <w:p w:rsidR="000A3797" w:rsidRDefault="00A660E7">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highlight w:val="white"/>
        </w:rPr>
        <w:t>Hage‐Fransen M. A. и соавто</w:t>
      </w:r>
      <w:r>
        <w:rPr>
          <w:rFonts w:ascii="Times New Roman" w:eastAsia="Times New Roman" w:hAnsi="Times New Roman" w:cs="Times New Roman"/>
          <w:color w:val="000000"/>
          <w:sz w:val="28"/>
          <w:szCs w:val="28"/>
          <w:highlight w:val="white"/>
        </w:rPr>
        <w:t>ры и позже в с</w:t>
      </w:r>
      <w:r>
        <w:rPr>
          <w:rFonts w:ascii="Times New Roman" w:eastAsia="Times New Roman" w:hAnsi="Times New Roman" w:cs="Times New Roman"/>
          <w:color w:val="000000"/>
          <w:sz w:val="28"/>
          <w:szCs w:val="28"/>
        </w:rPr>
        <w:t xml:space="preserve">истематическом обзоре установили связь с беременностью риски недержания мочи и кала, а именно факторы риска заболеваний тазового дна часто связаны с беременностью и родами на основании данных 19 исследований [15,стр.253;35-36]. По данным </w:t>
      </w:r>
      <w:r>
        <w:rPr>
          <w:rFonts w:ascii="Times New Roman" w:eastAsia="Times New Roman" w:hAnsi="Times New Roman" w:cs="Times New Roman"/>
          <w:color w:val="000000"/>
          <w:sz w:val="28"/>
          <w:szCs w:val="28"/>
          <w:highlight w:val="white"/>
        </w:rPr>
        <w:t xml:space="preserve">Nur </w:t>
      </w:r>
      <w:r>
        <w:rPr>
          <w:rFonts w:ascii="Times New Roman" w:eastAsia="Times New Roman" w:hAnsi="Times New Roman" w:cs="Times New Roman"/>
          <w:color w:val="000000"/>
          <w:sz w:val="28"/>
          <w:szCs w:val="28"/>
          <w:highlight w:val="white"/>
        </w:rPr>
        <w:t>Farihan M.  и соавторов</w:t>
      </w:r>
      <w:r>
        <w:rPr>
          <w:rFonts w:ascii="Times New Roman" w:eastAsia="Times New Roman" w:hAnsi="Times New Roman" w:cs="Times New Roman"/>
          <w:color w:val="000000"/>
          <w:sz w:val="28"/>
          <w:szCs w:val="28"/>
        </w:rPr>
        <w:t xml:space="preserve"> во время беременности может встречаться хотя бы один симптом, связанный с дисфункцией тазового дна [15,стр.253;37].  Выявлены следующие факторы риска недержания мочи: возраст матери старше 35 лет, пренатальный индекс массы тела боле</w:t>
      </w:r>
      <w:r>
        <w:rPr>
          <w:rFonts w:ascii="Times New Roman" w:eastAsia="Times New Roman" w:hAnsi="Times New Roman" w:cs="Times New Roman"/>
          <w:color w:val="000000"/>
          <w:sz w:val="28"/>
          <w:szCs w:val="28"/>
        </w:rPr>
        <w:t>е 30 кг / м </w:t>
      </w:r>
      <w:r>
        <w:rPr>
          <w:rFonts w:ascii="Times New Roman" w:eastAsia="Times New Roman" w:hAnsi="Times New Roman" w:cs="Times New Roman"/>
          <w:color w:val="000000"/>
          <w:sz w:val="28"/>
          <w:szCs w:val="28"/>
          <w:vertAlign w:val="superscript"/>
        </w:rPr>
        <w:t>2.</w:t>
      </w:r>
      <w:r>
        <w:rPr>
          <w:rFonts w:ascii="Times New Roman" w:eastAsia="Times New Roman" w:hAnsi="Times New Roman" w:cs="Times New Roman"/>
          <w:color w:val="000000"/>
          <w:sz w:val="28"/>
          <w:szCs w:val="28"/>
        </w:rPr>
        <w:t xml:space="preserve">, самопроизвольные и инструментальные роды через естественные родовые пути, использование высоких доз окситоцина во время родов, а также вес  новорожденного более 4000 гр  [15,стр.253; 35,стр.376]. В исследовании </w:t>
      </w:r>
      <w:r>
        <w:rPr>
          <w:rFonts w:ascii="Times New Roman" w:eastAsia="Times New Roman" w:hAnsi="Times New Roman" w:cs="Times New Roman"/>
          <w:color w:val="000000"/>
          <w:sz w:val="28"/>
          <w:szCs w:val="28"/>
          <w:highlight w:val="white"/>
        </w:rPr>
        <w:t xml:space="preserve">Nur Farihan M.  и соавторов </w:t>
      </w:r>
      <w:r>
        <w:rPr>
          <w:rFonts w:ascii="Times New Roman" w:eastAsia="Times New Roman" w:hAnsi="Times New Roman" w:cs="Times New Roman"/>
          <w:color w:val="000000"/>
          <w:sz w:val="28"/>
          <w:szCs w:val="28"/>
        </w:rPr>
        <w:t>н</w:t>
      </w:r>
      <w:r>
        <w:rPr>
          <w:rFonts w:ascii="Times New Roman" w:eastAsia="Times New Roman" w:hAnsi="Times New Roman" w:cs="Times New Roman"/>
          <w:color w:val="000000"/>
          <w:sz w:val="28"/>
          <w:szCs w:val="28"/>
        </w:rPr>
        <w:t xml:space="preserve">изкая осведомленность беременных женщин о пролапсе имела связь с наличием симптомов, тогда как высшее образование и более высокий уровень грамотности в это вопросе наоборот способствовал снижению наличия симптомов [15,стр.253; 37,стр.8].  </w:t>
      </w:r>
    </w:p>
    <w:p w:rsidR="000A3797" w:rsidRDefault="00A660E7">
      <w:pPr>
        <w:spacing w:after="0" w:line="240" w:lineRule="auto"/>
        <w:ind w:firstLine="48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другом система</w:t>
      </w:r>
      <w:r>
        <w:rPr>
          <w:rFonts w:ascii="Times New Roman" w:eastAsia="Times New Roman" w:hAnsi="Times New Roman" w:cs="Times New Roman"/>
          <w:sz w:val="28"/>
          <w:szCs w:val="28"/>
        </w:rPr>
        <w:t>тическом обзоре и метаанализе учеными изучалось различие влияния способов родоразрешения, вагинальные роды по сравнению с кесаревым сечением, на распространенность генитального пролапса[15,стр.253; 22; 38]. Распространенность недержания мочи при вагинальны</w:t>
      </w:r>
      <w:r>
        <w:rPr>
          <w:rFonts w:ascii="Times New Roman" w:eastAsia="Times New Roman" w:hAnsi="Times New Roman" w:cs="Times New Roman"/>
          <w:sz w:val="28"/>
          <w:szCs w:val="28"/>
        </w:rPr>
        <w:t>х родах была самой высокой из всех видов дисфункции тазового дна (27,9%, 95% ДИ: 26,7–29,2), за которым следовал генитальный пролапс в два раза меньше (14,2%, 95% ДИ 13,4–2). 15.5), и, наконец, и недержание кала  с очень низкой распространенностью (0,4%, Д</w:t>
      </w:r>
      <w:r>
        <w:rPr>
          <w:rFonts w:ascii="Times New Roman" w:eastAsia="Times New Roman" w:hAnsi="Times New Roman" w:cs="Times New Roman"/>
          <w:sz w:val="28"/>
          <w:szCs w:val="28"/>
        </w:rPr>
        <w:t>И 95% 0,4–0,4) [15,стр.253;36,стр.8].   Авторы делали вывод, что тип родоразрешения имеет прямое влияние на заболеваемость дисфункцией тазового дна [15,стр.253; 36,стр.10]. Вагинальные роды имеют значительно более серьезные осложнения , чем кесарево сечени</w:t>
      </w:r>
      <w:r>
        <w:rPr>
          <w:rFonts w:ascii="Times New Roman" w:eastAsia="Times New Roman" w:hAnsi="Times New Roman" w:cs="Times New Roman"/>
          <w:sz w:val="28"/>
          <w:szCs w:val="28"/>
        </w:rPr>
        <w:t>е[15,стр.253; 36,стр.10]. Вместе с тем, не исключена вероятность, что данные в исследованиях недостаточно развернуты, ведь для объективной оценки необходимы исследования с более тщательным сбором анамнестических данных и деталей событий в родах[15,стр.253]</w:t>
      </w:r>
      <w:r>
        <w:rPr>
          <w:rFonts w:ascii="Times New Roman" w:eastAsia="Times New Roman" w:hAnsi="Times New Roman" w:cs="Times New Roman"/>
          <w:sz w:val="28"/>
          <w:szCs w:val="28"/>
        </w:rPr>
        <w:t>.   К сожалению, не было достаточно сведений об оперативном родоразрешении, в плановом или в экстренном порядке проведены, а ведь выявление причин представляет интерес[15,стр.253].Признаться, если учитывать, что сама беременность вызывает изменения в соеди</w:t>
      </w:r>
      <w:r>
        <w:rPr>
          <w:rFonts w:ascii="Times New Roman" w:eastAsia="Times New Roman" w:hAnsi="Times New Roman" w:cs="Times New Roman"/>
          <w:sz w:val="28"/>
          <w:szCs w:val="28"/>
        </w:rPr>
        <w:t>нительной ткани, в результате повышения уровня гормонов, а также давление, оказываемое на тазовое дно на всех этапах выхаживания, мы считаем возможным обратить внимание как на оперативное родоразрешение, так и профилактику возникновения пролапса [15,стр.25</w:t>
      </w:r>
      <w:r>
        <w:rPr>
          <w:rFonts w:ascii="Times New Roman" w:eastAsia="Times New Roman" w:hAnsi="Times New Roman" w:cs="Times New Roman"/>
          <w:sz w:val="28"/>
          <w:szCs w:val="28"/>
        </w:rPr>
        <w:t>3].  Нельзя исключить, как фактор риска, кратность родов женщин с генитальным пролапсом[15,стр.253].   В этой связи опубликованные  результаты исследования учеными Китая, приводят сведения, что  двукратные роды (СОШ 1,145, 95% ДИ 1,105–1,292) или трое и бо</w:t>
      </w:r>
      <w:r>
        <w:rPr>
          <w:rFonts w:ascii="Times New Roman" w:eastAsia="Times New Roman" w:hAnsi="Times New Roman" w:cs="Times New Roman"/>
          <w:sz w:val="28"/>
          <w:szCs w:val="28"/>
        </w:rPr>
        <w:t>лее родов (СОШ 1,384, 95% ДИ 1,214–1,578) были значимо связаны с симптомами пролапса [15,стр.253; 26,стр.82]. В Танзании роды в медицинском учреждениях ограничены, и только 50% женщин рожают в больнице, что также  можно отнести к фактором риска пролапса, п</w:t>
      </w:r>
      <w:r>
        <w:rPr>
          <w:rFonts w:ascii="Times New Roman" w:eastAsia="Times New Roman" w:hAnsi="Times New Roman" w:cs="Times New Roman"/>
          <w:sz w:val="28"/>
          <w:szCs w:val="28"/>
        </w:rPr>
        <w:t>овышая родовой травматизм[6,стр.5; 15,стр.253]. В Австралии доля женщин с одним или несколькими нарушениями тазового дна увеличивалась с паритетом с 34,6% (95% ДИ, 7,8-11,7%) для первородящих женщин до 45,3% (95% ДИ, 40,3-59,1%), имеющих одни или двое родо</w:t>
      </w:r>
      <w:r>
        <w:rPr>
          <w:rFonts w:ascii="Times New Roman" w:eastAsia="Times New Roman" w:hAnsi="Times New Roman" w:cs="Times New Roman"/>
          <w:sz w:val="28"/>
          <w:szCs w:val="28"/>
        </w:rPr>
        <w:t>в в анамнезе и 52,1% (95% ДИ, 48,3–55,8%) для ≥ трех родов [15,стр.253].   </w:t>
      </w:r>
      <w:r>
        <w:rPr>
          <w:rFonts w:ascii="Times New Roman" w:eastAsia="Times New Roman" w:hAnsi="Times New Roman" w:cs="Times New Roman"/>
          <w:sz w:val="28"/>
          <w:szCs w:val="28"/>
          <w:highlight w:val="white"/>
        </w:rPr>
        <w:t xml:space="preserve">В Нигерии </w:t>
      </w:r>
      <w:r>
        <w:rPr>
          <w:rFonts w:ascii="Times New Roman" w:eastAsia="Times New Roman" w:hAnsi="Times New Roman" w:cs="Times New Roman"/>
          <w:sz w:val="28"/>
          <w:szCs w:val="28"/>
        </w:rPr>
        <w:t>[15,стр.253;23,стр.288]</w:t>
      </w:r>
      <w:r>
        <w:rPr>
          <w:rFonts w:ascii="Times New Roman" w:eastAsia="Times New Roman" w:hAnsi="Times New Roman" w:cs="Times New Roman"/>
          <w:sz w:val="28"/>
          <w:szCs w:val="28"/>
          <w:highlight w:val="white"/>
        </w:rPr>
        <w:t xml:space="preserve">, Гане </w:t>
      </w:r>
      <w:r>
        <w:rPr>
          <w:rFonts w:ascii="Times New Roman" w:eastAsia="Times New Roman" w:hAnsi="Times New Roman" w:cs="Times New Roman"/>
          <w:sz w:val="28"/>
          <w:szCs w:val="28"/>
        </w:rPr>
        <w:t>[15,стр.253;24,стр.122]</w:t>
      </w:r>
      <w:r>
        <w:rPr>
          <w:rFonts w:ascii="Times New Roman" w:eastAsia="Times New Roman" w:hAnsi="Times New Roman" w:cs="Times New Roman"/>
          <w:sz w:val="28"/>
          <w:szCs w:val="28"/>
          <w:highlight w:val="white"/>
        </w:rPr>
        <w:t xml:space="preserve">, Пакистане </w:t>
      </w:r>
      <w:r>
        <w:rPr>
          <w:rFonts w:ascii="Times New Roman" w:eastAsia="Times New Roman" w:hAnsi="Times New Roman" w:cs="Times New Roman"/>
          <w:sz w:val="28"/>
          <w:szCs w:val="28"/>
        </w:rPr>
        <w:t>[15,стр.253;19,стр.12]</w:t>
      </w:r>
      <w:r>
        <w:rPr>
          <w:rFonts w:ascii="Times New Roman" w:eastAsia="Times New Roman" w:hAnsi="Times New Roman" w:cs="Times New Roman"/>
          <w:sz w:val="28"/>
          <w:szCs w:val="28"/>
          <w:highlight w:val="white"/>
        </w:rPr>
        <w:t xml:space="preserve">  было обнаружено, что тяжелые роды были наиболее частым формирующим фактором генита</w:t>
      </w:r>
      <w:r>
        <w:rPr>
          <w:rFonts w:ascii="Times New Roman" w:eastAsia="Times New Roman" w:hAnsi="Times New Roman" w:cs="Times New Roman"/>
          <w:sz w:val="28"/>
          <w:szCs w:val="28"/>
          <w:highlight w:val="white"/>
        </w:rPr>
        <w:t xml:space="preserve">льного пролапса. </w:t>
      </w:r>
    </w:p>
    <w:p w:rsidR="000A3797" w:rsidRDefault="00A660E7">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 Гистерэктомия: у женщин, перенесших гистерэктомию, отмечается повышенный риск апикального пролапса по сравнению с женщинами с маткой [15,стр.253].  Это можно объяснить интраоперационным повреждением соединительной ткани таза, нарушением инервации и кров</w:t>
      </w:r>
      <w:r>
        <w:rPr>
          <w:rFonts w:ascii="Times New Roman" w:eastAsia="Times New Roman" w:hAnsi="Times New Roman" w:cs="Times New Roman"/>
          <w:color w:val="000000"/>
          <w:sz w:val="28"/>
          <w:szCs w:val="28"/>
        </w:rPr>
        <w:t>оснабжения [2,стр.10; 15,стр.253]. Кроме того, хирурги могут пренебрегать такой профилактической процедурой, как  надежная фиксация или подвешивание верхушки влагалища во время операции[2,стр.10; 15,стр.253]. По сведениям опубликованных результатов когортн</w:t>
      </w:r>
      <w:r>
        <w:rPr>
          <w:rFonts w:ascii="Times New Roman" w:eastAsia="Times New Roman" w:hAnsi="Times New Roman" w:cs="Times New Roman"/>
          <w:color w:val="000000"/>
          <w:sz w:val="28"/>
          <w:szCs w:val="28"/>
        </w:rPr>
        <w:t>ого исследования, с участием 160 000 женщин, перенесших гистерэктомию, риск развития пролапса составил 3,2% по сравнению с 2% в контрольной групп [2,стр.10; 15,стр.253]. Общий коэффициент риска (ОР) для формирования пролапса после гистерэктомии составлял 1</w:t>
      </w:r>
      <w:r>
        <w:rPr>
          <w:rFonts w:ascii="Times New Roman" w:eastAsia="Times New Roman" w:hAnsi="Times New Roman" w:cs="Times New Roman"/>
          <w:color w:val="000000"/>
          <w:sz w:val="28"/>
          <w:szCs w:val="28"/>
        </w:rPr>
        <w:t>,7 (95% ДИ, 1,6–1,7), причем у женщин после вагинальной  гистерэктомии риск пролапса был самый высокий (ОР: 3,8; 95% ДИ, 3,1–1,7). 4.8) [2,стр.10; 15,стр.253]. </w:t>
      </w:r>
    </w:p>
    <w:p w:rsidR="000A3797" w:rsidRDefault="00A660E7">
      <w:pPr>
        <w:pStyle w:val="2"/>
        <w:spacing w:before="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5. Менопауза и возраст.</w:t>
      </w:r>
    </w:p>
    <w:p w:rsidR="000A3797" w:rsidRDefault="00A660E7">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Существует прямая связь между менопаузой и повышенным риском пролапса, которая не зависит от паритета [15,стр.253]. Снижение половых гормонов, а именно эстрогена, который играет важную роль синтезе коллагена, способствует изменениям в составе и силе коллаг</w:t>
      </w:r>
      <w:r>
        <w:rPr>
          <w:rFonts w:ascii="Times New Roman" w:eastAsia="Times New Roman" w:hAnsi="Times New Roman" w:cs="Times New Roman"/>
          <w:color w:val="000000"/>
          <w:sz w:val="28"/>
          <w:szCs w:val="28"/>
        </w:rPr>
        <w:t>ена[15,стр.253].  Мы придерживаемся настоящей позиции, понимая увеличение рисков у такого контингента [15,стр.253]. Рецепторы эстрогена можно найти во всех соединительно-тканных структурах, в ядре клеток соединительной ткани, гладкомышечных клетках[15,стр.</w:t>
      </w:r>
      <w:r>
        <w:rPr>
          <w:rFonts w:ascii="Times New Roman" w:eastAsia="Times New Roman" w:hAnsi="Times New Roman" w:cs="Times New Roman"/>
          <w:color w:val="000000"/>
          <w:sz w:val="28"/>
          <w:szCs w:val="28"/>
        </w:rPr>
        <w:t>253], в том числе и малого таза, таких как, треугольник Льето, в слизистой оболочке влагалища, в мышцах, поднимающих задний проход, в крестцово-маточных и кардинальных связках, которые  удерживают органы малого таза в правильном положении [2,стр.10; 15,стр</w:t>
      </w:r>
      <w:r>
        <w:rPr>
          <w:rFonts w:ascii="Times New Roman" w:eastAsia="Times New Roman" w:hAnsi="Times New Roman" w:cs="Times New Roman"/>
          <w:color w:val="000000"/>
          <w:sz w:val="28"/>
          <w:szCs w:val="28"/>
        </w:rPr>
        <w:t>.253]. Рецепторы эстрогена модифицируют гены, которые кодируют факторы роста во внеклеточном матриксе [15,стр.253].  У женщин в постменопаузе с пролапсом отмечается более низкое содержание эстрогена в сыворотке и связках тазового дна, чем у женщин без прол</w:t>
      </w:r>
      <w:r>
        <w:rPr>
          <w:rFonts w:ascii="Times New Roman" w:eastAsia="Times New Roman" w:hAnsi="Times New Roman" w:cs="Times New Roman"/>
          <w:color w:val="000000"/>
          <w:sz w:val="28"/>
          <w:szCs w:val="28"/>
        </w:rPr>
        <w:t>апса [2,стр.10; 15,стр.253]. Воздействие эстрогена на соединительную ткань зависит не только от содержания эстрогена, но и от соотношения типа рецепторов эстрогена (альфа и бета) [15,стр.253]. Например, у женщин в постменопаузе с пролапсом в 1,5-2 раза ниж</w:t>
      </w:r>
      <w:r>
        <w:rPr>
          <w:rFonts w:ascii="Times New Roman" w:eastAsia="Times New Roman" w:hAnsi="Times New Roman" w:cs="Times New Roman"/>
          <w:color w:val="000000"/>
          <w:sz w:val="28"/>
          <w:szCs w:val="28"/>
        </w:rPr>
        <w:t>е содержания альфа-рецепторов, чем у женщин без пролапса, а соотношение бета-рецепторов больше как раз у женщин без пролапса[2,стр.10; 15,стр.253]. Концентрация коллагена во влагалище определяется равновесием между метаболизмом и катаболизмом коллагена, од</w:t>
      </w:r>
      <w:r>
        <w:rPr>
          <w:rFonts w:ascii="Times New Roman" w:eastAsia="Times New Roman" w:hAnsi="Times New Roman" w:cs="Times New Roman"/>
          <w:color w:val="000000"/>
          <w:sz w:val="28"/>
          <w:szCs w:val="28"/>
        </w:rPr>
        <w:t xml:space="preserve">нако в некоторых исследованиях при применении заместительной гормональной терапии у женщин с пролапсом, отмечался обратный эффект ожидаемому, образованный благодаря терапии коллаген, разрушался быстрее[2,стр.10].О роли менопаузы на развитие пролапса можно </w:t>
      </w:r>
      <w:r>
        <w:rPr>
          <w:rFonts w:ascii="Times New Roman" w:eastAsia="Times New Roman" w:hAnsi="Times New Roman" w:cs="Times New Roman"/>
          <w:color w:val="000000"/>
          <w:sz w:val="28"/>
          <w:szCs w:val="28"/>
        </w:rPr>
        <w:t>судить об увеличении его распространенности с возрастом, что продемонстрировано во многих последних исследованияз, посвященных распространенности пролапса [2,стр.10; 3,.стр.143;].</w:t>
      </w:r>
    </w:p>
    <w:p w:rsidR="000A3797" w:rsidRDefault="00A660E7">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Риск перенести оперативное вмешательство по поводу пролапса также возрастал </w:t>
      </w:r>
      <w:r>
        <w:rPr>
          <w:rFonts w:ascii="Times New Roman" w:eastAsia="Times New Roman" w:hAnsi="Times New Roman" w:cs="Times New Roman"/>
          <w:color w:val="000000"/>
          <w:sz w:val="28"/>
          <w:szCs w:val="28"/>
        </w:rPr>
        <w:t>относительно возраста [3,стр.143; 15,стр.253]. Состояния, вызывающие повышение внутрибрюшного давления, такие как хронический кашель и запор, образа жизни, требующие подъема тяжелых грузов, проживание в сельской местности, что обусловлено доступом к медици</w:t>
      </w:r>
      <w:r>
        <w:rPr>
          <w:rFonts w:ascii="Times New Roman" w:eastAsia="Times New Roman" w:hAnsi="Times New Roman" w:cs="Times New Roman"/>
          <w:color w:val="000000"/>
          <w:sz w:val="28"/>
          <w:szCs w:val="28"/>
        </w:rPr>
        <w:t xml:space="preserve">нской помощи также влияют на формирование пролапса [15,стр.253].  </w:t>
      </w:r>
    </w:p>
    <w:p w:rsidR="000A3797" w:rsidRDefault="00A660E7">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ab/>
        <w:t>В Китае проживание в городской местности, курение, употребление алкоголя также имели связь с генитальным пролапсом [15,стр.253; 26,стр82], то есть неблагоприятные факторы, которые нам изв</w:t>
      </w:r>
      <w:r>
        <w:rPr>
          <w:rFonts w:ascii="Times New Roman" w:eastAsia="Times New Roman" w:hAnsi="Times New Roman" w:cs="Times New Roman"/>
          <w:color w:val="000000"/>
          <w:sz w:val="28"/>
          <w:szCs w:val="28"/>
        </w:rPr>
        <w:t xml:space="preserve">естны в рамках укрепления здоровья населения. В Корее запор увеличил распространенность ректоцеле в 16,7 раза (женщины всех возрастов; отношение шансов (ОШ 16,66; 95% (ДИ):13,76–20,17; P &lt;0,01) (женщины старше 50 лет; ОШ - 16,67; ДИ: 13,04–21,33; P &lt;0,01) </w:t>
      </w:r>
      <w:r>
        <w:rPr>
          <w:rFonts w:ascii="Times New Roman" w:eastAsia="Times New Roman" w:hAnsi="Times New Roman" w:cs="Times New Roman"/>
          <w:color w:val="000000"/>
          <w:sz w:val="28"/>
          <w:szCs w:val="28"/>
        </w:rPr>
        <w:t>[15,стр.253; 27,стр.4]. В Непале гендерная дискриминация и тяжелая физическая работа подчеркивались как основные причины пролапса[5,стр.7]. Уровень бедности, связанные с тяжелым физическим трудом также подчеркнут в странах с низким уровнем дохода [; 15,стр</w:t>
      </w:r>
      <w:r>
        <w:rPr>
          <w:rFonts w:ascii="Times New Roman" w:eastAsia="Times New Roman" w:hAnsi="Times New Roman" w:cs="Times New Roman"/>
          <w:color w:val="000000"/>
          <w:sz w:val="28"/>
          <w:szCs w:val="28"/>
        </w:rPr>
        <w:t>.253; 20,стр.122;</w:t>
      </w:r>
      <w:r>
        <w:rPr>
          <w:rFonts w:ascii="Times New Roman" w:eastAsia="Times New Roman" w:hAnsi="Times New Roman" w:cs="Times New Roman"/>
          <w:color w:val="000000"/>
          <w:sz w:val="28"/>
          <w:szCs w:val="28"/>
          <w:highlight w:val="white"/>
        </w:rPr>
        <w:t xml:space="preserve"> </w:t>
      </w:r>
      <w:r>
        <w:rPr>
          <w:rFonts w:ascii="Times New Roman" w:eastAsia="Times New Roman" w:hAnsi="Times New Roman" w:cs="Times New Roman"/>
          <w:color w:val="000000"/>
          <w:sz w:val="28"/>
          <w:szCs w:val="28"/>
        </w:rPr>
        <w:t xml:space="preserve">19,стр.12; 23,стр.288]. </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Выводы.</w:t>
      </w:r>
    </w:p>
    <w:p w:rsidR="000A3797" w:rsidRDefault="00A660E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1. Данные о распространенности тазового пролапса в популяции сильно варьируются, с оценками от 3% до 50% [15,стр.254].   Такая широкая вариабельность объясняется отсутствием единого подхода к определению и</w:t>
      </w:r>
      <w:r>
        <w:rPr>
          <w:rFonts w:ascii="Times New Roman" w:eastAsia="Times New Roman" w:hAnsi="Times New Roman" w:cs="Times New Roman"/>
          <w:color w:val="000000"/>
          <w:sz w:val="28"/>
          <w:szCs w:val="28"/>
        </w:rPr>
        <w:t xml:space="preserve"> диагностике этого состояния[15,стр.254].   Различные исследования используют разные критерии, что влияет на интерпретацию результатов и затрудняет сопоставимость данных[15,стр.254].   Например, одни исследования учитывают только тяжелые случаи, требующие </w:t>
      </w:r>
      <w:r>
        <w:rPr>
          <w:rFonts w:ascii="Times New Roman" w:eastAsia="Times New Roman" w:hAnsi="Times New Roman" w:cs="Times New Roman"/>
          <w:color w:val="000000"/>
          <w:sz w:val="28"/>
          <w:szCs w:val="28"/>
        </w:rPr>
        <w:t>хирургического вмешательства, в то время как другие включают более легкие формы пролапса, которые могут быть бессимптомными или не требовать активного лечения [15,стр.254].  Кроме того, отсутствует стандартизация в терминологии и методах оценки, что еще бо</w:t>
      </w:r>
      <w:r>
        <w:rPr>
          <w:rFonts w:ascii="Times New Roman" w:eastAsia="Times New Roman" w:hAnsi="Times New Roman" w:cs="Times New Roman"/>
          <w:color w:val="000000"/>
          <w:sz w:val="28"/>
          <w:szCs w:val="28"/>
        </w:rPr>
        <w:t>льше усложняет понимание реальной распространенности[15,стр.254].  Некоторые специалисты классифицируют генитальный пролапс по анатомическим признакам, тогда как другие ориентируются на наличие симптомов и степень их выраженности [15,стр.254].  Также вариа</w:t>
      </w:r>
      <w:r>
        <w:rPr>
          <w:rFonts w:ascii="Times New Roman" w:eastAsia="Times New Roman" w:hAnsi="Times New Roman" w:cs="Times New Roman"/>
          <w:color w:val="000000"/>
          <w:sz w:val="28"/>
          <w:szCs w:val="28"/>
        </w:rPr>
        <w:t>бельность может быть связана с культурными факторами и уровнем доступа к медицинской помощи, из-за чего случаи могут оставаться невыявленными, особенно у пожилых пациентов [15,стр.254].  Унификация подходов к терминологии и диагностике необходима для более</w:t>
      </w:r>
      <w:r>
        <w:rPr>
          <w:rFonts w:ascii="Times New Roman" w:eastAsia="Times New Roman" w:hAnsi="Times New Roman" w:cs="Times New Roman"/>
          <w:color w:val="000000"/>
          <w:sz w:val="28"/>
          <w:szCs w:val="28"/>
        </w:rPr>
        <w:t xml:space="preserve"> точной оценки распространенности и разработки эффективных стратегий лечения и профилактики [15,стр.254].  На основании проанализированных работ можно утверждать, что намечается четкая тенденция распространенности пролапса во взаимосвязи с возрастом, с пик</w:t>
      </w:r>
      <w:r>
        <w:rPr>
          <w:rFonts w:ascii="Times New Roman" w:eastAsia="Times New Roman" w:hAnsi="Times New Roman" w:cs="Times New Roman"/>
          <w:color w:val="000000"/>
          <w:sz w:val="28"/>
          <w:szCs w:val="28"/>
        </w:rPr>
        <w:t>ом роста от 50 лет и старше [15,стр.254].  Во многих исследовательских работах, одним из часто применяемых методов при исследовании генитального пролапса является анкетирование, тогда как генитальный пролапс, который не всегда сопровождается симптомами и б</w:t>
      </w:r>
      <w:r>
        <w:rPr>
          <w:rFonts w:ascii="Times New Roman" w:eastAsia="Times New Roman" w:hAnsi="Times New Roman" w:cs="Times New Roman"/>
          <w:color w:val="000000"/>
          <w:sz w:val="28"/>
          <w:szCs w:val="28"/>
        </w:rPr>
        <w:t xml:space="preserve">ез объективного осмотра, допускает риск возникновения искажений данных [15,стр.254]. </w:t>
      </w:r>
    </w:p>
    <w:p w:rsidR="000A3797" w:rsidRDefault="00A660E7">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 «По сведениям литературы установлено, что наряду с неизменной ролью известного  предрасполагающего фактора риска возникновения пролапса, обусловленного генетической мутацией соединительной ткани, выявлена высокая роль и других факторов: ожирение, избыто</w:t>
      </w:r>
      <w:r>
        <w:rPr>
          <w:rFonts w:ascii="Times New Roman" w:eastAsia="Times New Roman" w:hAnsi="Times New Roman" w:cs="Times New Roman"/>
          <w:color w:val="000000"/>
          <w:sz w:val="28"/>
          <w:szCs w:val="28"/>
        </w:rPr>
        <w:t>чный вес, менопауза, паритет, способ родоразрешения, имеющие достоверную связь с развитием пролапса, а также доступность медицинской помощи, что зависит от уровня дохода и проживания в сельской местности, также уровень дохода был ассоциирован с более тяжел</w:t>
      </w:r>
      <w:r>
        <w:rPr>
          <w:rFonts w:ascii="Times New Roman" w:eastAsia="Times New Roman" w:hAnsi="Times New Roman" w:cs="Times New Roman"/>
          <w:color w:val="000000"/>
          <w:sz w:val="28"/>
          <w:szCs w:val="28"/>
        </w:rPr>
        <w:t>ым физическим трудом, что влияло на формирование пролапса» [15,стр.254].  Низкая грамотность пациентов о тазовом пролапсе также имела связь с симптомами пролапса, тогда как повышение грамотности влияло на снижение симптомов [15,стр.254].  Проведенные крупн</w:t>
      </w:r>
      <w:r>
        <w:rPr>
          <w:rFonts w:ascii="Times New Roman" w:eastAsia="Times New Roman" w:hAnsi="Times New Roman" w:cs="Times New Roman"/>
          <w:color w:val="000000"/>
          <w:sz w:val="28"/>
          <w:szCs w:val="28"/>
        </w:rPr>
        <w:t xml:space="preserve">о-масштабные исследования увеличение продолжительности жизни и возрастающим числом женщин с ожирением может увеличить распространенность пролапса в будущем [15,стр.255]. </w:t>
      </w:r>
    </w:p>
    <w:p w:rsidR="000A3797" w:rsidRDefault="000A3797">
      <w:pPr>
        <w:spacing w:after="0" w:line="240" w:lineRule="auto"/>
        <w:jc w:val="both"/>
        <w:rPr>
          <w:rFonts w:ascii="Times New Roman" w:eastAsia="Times New Roman" w:hAnsi="Times New Roman" w:cs="Times New Roman"/>
          <w:b/>
          <w:sz w:val="28"/>
          <w:szCs w:val="28"/>
        </w:rPr>
      </w:pPr>
    </w:p>
    <w:p w:rsidR="000A3797" w:rsidRDefault="00A660E7">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1.2 Оценка качества жизни при генитальном пролапсе как инструмент регулирования каче</w:t>
      </w:r>
      <w:r>
        <w:rPr>
          <w:rFonts w:ascii="Times New Roman" w:eastAsia="Times New Roman" w:hAnsi="Times New Roman" w:cs="Times New Roman"/>
          <w:b/>
          <w:sz w:val="28"/>
          <w:szCs w:val="28"/>
        </w:rPr>
        <w:t>ством оказания медицинской помощи</w:t>
      </w:r>
    </w:p>
    <w:p w:rsidR="000A3797" w:rsidRDefault="000A3797">
      <w:pPr>
        <w:spacing w:after="0" w:line="240" w:lineRule="auto"/>
        <w:jc w:val="both"/>
        <w:rPr>
          <w:rFonts w:ascii="Times New Roman" w:eastAsia="Times New Roman" w:hAnsi="Times New Roman" w:cs="Times New Roman"/>
          <w:b/>
          <w:sz w:val="28"/>
          <w:szCs w:val="28"/>
        </w:rPr>
      </w:pP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Генитальный пролапс не несёт угрозу для жизни, однако симптомы пролапса, связанные с дискомфортом и ощущением инородного тела в промежности, дисфункцией мочевого пузыря и прямой кишки приводит к значительным ограничениям </w:t>
      </w:r>
      <w:r>
        <w:rPr>
          <w:rFonts w:ascii="Times New Roman" w:eastAsia="Times New Roman" w:hAnsi="Times New Roman" w:cs="Times New Roman"/>
          <w:sz w:val="28"/>
          <w:szCs w:val="28"/>
        </w:rPr>
        <w:t>в повседневной жизни [8,стр.383]. В связи с чем, необходимость хирургического вмешательства основывается именно на уровне дискомфорта самой пациентки, даже если у нее есть видимые анатомические изменения, но при ее это не беспокоит и она отказывается от оп</w:t>
      </w:r>
      <w:r>
        <w:rPr>
          <w:rFonts w:ascii="Times New Roman" w:eastAsia="Times New Roman" w:hAnsi="Times New Roman" w:cs="Times New Roman"/>
          <w:sz w:val="28"/>
          <w:szCs w:val="28"/>
        </w:rPr>
        <w:t>ерации, в таком случае можно выбрать тактику наблюдения и консервативных методов. В клинической практике мы сталкиваемся с тем, что начальные стадии пролапса доставляет большой дискомфорт пациентке, и она настаивает на хирургическом лечении, в иных же ситу</w:t>
      </w:r>
      <w:r>
        <w:rPr>
          <w:rFonts w:ascii="Times New Roman" w:eastAsia="Times New Roman" w:hAnsi="Times New Roman" w:cs="Times New Roman"/>
          <w:sz w:val="28"/>
          <w:szCs w:val="28"/>
        </w:rPr>
        <w:t>ациях, имея продвинутую стадию пролапса, пациентка категорически отказывается от оперативного вмешательства. Существуют рекомендации на основе заключений международных сообществ, занимающихся дисфункцияей тазового дна, что конечной точкой излечения и эффек</w:t>
      </w:r>
      <w:r>
        <w:rPr>
          <w:rFonts w:ascii="Times New Roman" w:eastAsia="Times New Roman" w:hAnsi="Times New Roman" w:cs="Times New Roman"/>
          <w:sz w:val="28"/>
          <w:szCs w:val="28"/>
        </w:rPr>
        <w:t>тивности методов лечения следует основывать на измерении качества жизни. [9,стр.168; 16],что на наш взгляд совершенно справедливо для тазового пролапса. При данной патологии оценка качества жизни является обязательной для приятия решений о лечении и контро</w:t>
      </w:r>
      <w:r>
        <w:rPr>
          <w:rFonts w:ascii="Times New Roman" w:eastAsia="Times New Roman" w:hAnsi="Times New Roman" w:cs="Times New Roman"/>
          <w:sz w:val="28"/>
          <w:szCs w:val="28"/>
        </w:rPr>
        <w:t xml:space="preserve">ля результата лечения. Однако единого мнения о том, что является идеальным инструментом для оценки качества жизни у таких пациентов нет. Кроме того, важно учитывать, что дисфункция тазового часто не возникает изолированно (только опущение матки или только </w:t>
      </w:r>
      <w:r>
        <w:rPr>
          <w:rFonts w:ascii="Times New Roman" w:eastAsia="Times New Roman" w:hAnsi="Times New Roman" w:cs="Times New Roman"/>
          <w:sz w:val="28"/>
          <w:szCs w:val="28"/>
        </w:rPr>
        <w:t>опущение мочевого пузыря), как правило пролапс, сопровождается  функциональными нарушениями тазового дна - у 69% женщин [8,стр.383; 16,стр.74 ].</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Это обстоятельство объясняет разработку опросников, оценивающих всесторонне влияние на качество жизни симптомов пролапса, более эффективным считается использование специализированных опросников [16,стр.74 ]. Однако, по нашим оценкам, адаптированные для наш</w:t>
      </w:r>
      <w:r>
        <w:rPr>
          <w:rFonts w:ascii="Times New Roman" w:eastAsia="Times New Roman" w:hAnsi="Times New Roman" w:cs="Times New Roman"/>
          <w:sz w:val="28"/>
          <w:szCs w:val="28"/>
        </w:rPr>
        <w:t>его населения опсроники в Казахстане отсутствуют [16,стр.74 ].</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Результаты обзора о качестве жизни при пролапсе продемонстрировали негативное влияние дисфункции тазового дна на качество жизни, которая варьирует в зависимости от тяжести симптомов [16,стр.74]</w:t>
      </w:r>
      <w:r>
        <w:rPr>
          <w:rFonts w:ascii="Times New Roman" w:eastAsia="Times New Roman" w:hAnsi="Times New Roman" w:cs="Times New Roman"/>
          <w:sz w:val="28"/>
          <w:szCs w:val="28"/>
        </w:rPr>
        <w:t>. Женщины ограничены в физической активности,  повседневной жизни, ухудшении  сна и половой жизни, склонны к тоске и депрессии [8,стр.373; 16,стр.75]. «Измерение тяжести симптомы и изменения качества жизни пациентов с дисфункцией тазового дна является неот</w:t>
      </w:r>
      <w:r>
        <w:rPr>
          <w:rFonts w:ascii="Times New Roman" w:eastAsia="Times New Roman" w:hAnsi="Times New Roman" w:cs="Times New Roman"/>
          <w:sz w:val="28"/>
          <w:szCs w:val="28"/>
        </w:rPr>
        <w:t>ъемлемой частью оценки для диагностики и лечения заболевания» - сделали вывод авторы обзора [</w:t>
      </w:r>
      <w:r>
        <w:rPr>
          <w:rFonts w:ascii="Times New Roman" w:eastAsia="Times New Roman" w:hAnsi="Times New Roman" w:cs="Times New Roman"/>
          <w:sz w:val="28"/>
          <w:szCs w:val="28"/>
          <w:highlight w:val="white"/>
        </w:rPr>
        <w:t xml:space="preserve">8,стр.384; </w:t>
      </w:r>
      <w:r>
        <w:rPr>
          <w:rFonts w:ascii="Times New Roman" w:eastAsia="Times New Roman" w:hAnsi="Times New Roman" w:cs="Times New Roman"/>
          <w:sz w:val="28"/>
          <w:szCs w:val="28"/>
        </w:rPr>
        <w:t>16,стр.75]. Симптомы, связанные с недержанием мочи и кала особенно влияют на качество жизни [16,стр.75]. Некоторые исследования предполагают, что связан</w:t>
      </w:r>
      <w:r>
        <w:rPr>
          <w:rFonts w:ascii="Times New Roman" w:eastAsia="Times New Roman" w:hAnsi="Times New Roman" w:cs="Times New Roman"/>
          <w:sz w:val="28"/>
          <w:szCs w:val="28"/>
        </w:rPr>
        <w:t>ные непосредственно с пролапсом симптомы, не всегда специфичны  при  I и II степенях пролапса, и что в этих случаях данные, представленные в опросниках, не надёжны в сравнении с результатами физического осмотра, состояние, которое изменяется  при степени I</w:t>
      </w:r>
      <w:r>
        <w:rPr>
          <w:rFonts w:ascii="Times New Roman" w:eastAsia="Times New Roman" w:hAnsi="Times New Roman" w:cs="Times New Roman"/>
          <w:sz w:val="28"/>
          <w:szCs w:val="28"/>
        </w:rPr>
        <w:t>II и IV, особенно в сочетании с каким-либо типом недержания мочи[</w:t>
      </w:r>
      <w:r>
        <w:rPr>
          <w:rFonts w:ascii="Times New Roman" w:eastAsia="Times New Roman" w:hAnsi="Times New Roman" w:cs="Times New Roman"/>
          <w:sz w:val="28"/>
          <w:szCs w:val="28"/>
          <w:highlight w:val="white"/>
        </w:rPr>
        <w:t xml:space="preserve">8,стр.384; </w:t>
      </w:r>
      <w:r>
        <w:rPr>
          <w:rFonts w:ascii="Times New Roman" w:eastAsia="Times New Roman" w:hAnsi="Times New Roman" w:cs="Times New Roman"/>
          <w:sz w:val="28"/>
          <w:szCs w:val="28"/>
        </w:rPr>
        <w:t>16,стр.74; 39]. Как правило симптомы более выражены с возрастом, ожирением, а вот уровень качества жизни оценивается более низким у женщин моложе, а также был связан с более низкой</w:t>
      </w:r>
      <w:r>
        <w:rPr>
          <w:rFonts w:ascii="Times New Roman" w:eastAsia="Times New Roman" w:hAnsi="Times New Roman" w:cs="Times New Roman"/>
          <w:sz w:val="28"/>
          <w:szCs w:val="28"/>
        </w:rPr>
        <w:t xml:space="preserve"> грамотностью [16,стр.75 ;40-42</w:t>
      </w:r>
      <w:r>
        <w:rPr>
          <w:rFonts w:ascii="Times New Roman" w:eastAsia="Times New Roman" w:hAnsi="Times New Roman" w:cs="Times New Roman"/>
          <w:sz w:val="28"/>
          <w:szCs w:val="28"/>
          <w:highlight w:val="white"/>
        </w:rPr>
        <w:t xml:space="preserve">].  </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highlight w:val="white"/>
        </w:rPr>
        <w:t xml:space="preserve">Как сообщили Borsamo A и соавторы женщины в Эфиопии не обращаются за медицинской помощью при пролапсе именно опасаясь социальной стигматизации, что являлось основной причиной помимо финансовых затруднений </w:t>
      </w:r>
      <w:r>
        <w:rPr>
          <w:rFonts w:ascii="Times New Roman" w:eastAsia="Times New Roman" w:hAnsi="Times New Roman" w:cs="Times New Roman"/>
          <w:sz w:val="28"/>
          <w:szCs w:val="28"/>
        </w:rPr>
        <w:t>[16,стр.75 ;43</w:t>
      </w:r>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highlight w:val="white"/>
        </w:rPr>
        <w:t xml:space="preserve">.  </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Оценка качества жизни важная составляющая диагностики пролапса и определения показаний к лечению [16,стр.75;38,стр.182</w:t>
      </w:r>
      <w:r>
        <w:rPr>
          <w:rFonts w:ascii="Times New Roman" w:eastAsia="Times New Roman" w:hAnsi="Times New Roman" w:cs="Times New Roman"/>
          <w:sz w:val="28"/>
          <w:szCs w:val="28"/>
          <w:highlight w:val="white"/>
        </w:rPr>
        <w:t xml:space="preserve">]. </w:t>
      </w:r>
      <w:r>
        <w:rPr>
          <w:rFonts w:ascii="Times New Roman" w:eastAsia="Times New Roman" w:hAnsi="Times New Roman" w:cs="Times New Roman"/>
          <w:sz w:val="28"/>
          <w:szCs w:val="28"/>
        </w:rPr>
        <w:t xml:space="preserve"> В исследованиях используется используют качество жизни как критерий исхода, за последние годы большое количество исследований посв</w:t>
      </w:r>
      <w:r>
        <w:rPr>
          <w:rFonts w:ascii="Times New Roman" w:eastAsia="Times New Roman" w:hAnsi="Times New Roman" w:cs="Times New Roman"/>
          <w:sz w:val="28"/>
          <w:szCs w:val="28"/>
        </w:rPr>
        <w:t>ящено качеству жизни при генитальном пролапсе, а также включают оценку качества жизни как критерий эффективности лечения [16,стр.75 ;42-46].</w:t>
      </w:r>
    </w:p>
    <w:p w:rsidR="000A3797" w:rsidRDefault="00A660E7">
      <w:pPr>
        <w:pStyle w:val="2"/>
        <w:shd w:val="clear" w:color="auto" w:fill="FFFFFF"/>
        <w:spacing w:before="0" w:line="240" w:lineRule="auto"/>
        <w:ind w:firstLine="708"/>
        <w:jc w:val="both"/>
        <w:rPr>
          <w:rFonts w:ascii="Times New Roman" w:eastAsia="Times New Roman" w:hAnsi="Times New Roman" w:cs="Times New Roman"/>
          <w:b/>
          <w:color w:val="000000"/>
          <w:sz w:val="28"/>
          <w:szCs w:val="28"/>
          <w:highlight w:val="white"/>
        </w:rPr>
      </w:pPr>
      <w:r>
        <w:rPr>
          <w:rFonts w:ascii="Times New Roman" w:eastAsia="Times New Roman" w:hAnsi="Times New Roman" w:cs="Times New Roman"/>
          <w:color w:val="000000"/>
          <w:sz w:val="28"/>
          <w:szCs w:val="28"/>
          <w:highlight w:val="white"/>
        </w:rPr>
        <w:t>Установлено, что хирургическое лечение улучшает качество жизни, что также подтверждено в исследованиях последних ле</w:t>
      </w:r>
      <w:r>
        <w:rPr>
          <w:rFonts w:ascii="Times New Roman" w:eastAsia="Times New Roman" w:hAnsi="Times New Roman" w:cs="Times New Roman"/>
          <w:color w:val="000000"/>
          <w:sz w:val="28"/>
          <w:szCs w:val="28"/>
          <w:highlight w:val="white"/>
        </w:rPr>
        <w:t>т [</w:t>
      </w:r>
      <w:r>
        <w:rPr>
          <w:rFonts w:ascii="Times New Roman" w:eastAsia="Times New Roman" w:hAnsi="Times New Roman" w:cs="Times New Roman"/>
          <w:color w:val="000000"/>
          <w:sz w:val="28"/>
          <w:szCs w:val="28"/>
        </w:rPr>
        <w:t xml:space="preserve">16,стр.76 </w:t>
      </w:r>
      <w:r>
        <w:rPr>
          <w:rFonts w:ascii="Times New Roman" w:eastAsia="Times New Roman" w:hAnsi="Times New Roman" w:cs="Times New Roman"/>
          <w:sz w:val="28"/>
          <w:szCs w:val="28"/>
        </w:rPr>
        <w:t>;</w:t>
      </w:r>
      <w:r>
        <w:rPr>
          <w:rFonts w:ascii="Times New Roman" w:eastAsia="Times New Roman" w:hAnsi="Times New Roman" w:cs="Times New Roman"/>
          <w:color w:val="000000"/>
          <w:sz w:val="28"/>
          <w:szCs w:val="28"/>
          <w:highlight w:val="white"/>
        </w:rPr>
        <w:t>40,стр.6; 46,стр.6].</w:t>
      </w:r>
    </w:p>
    <w:p w:rsidR="000A3797" w:rsidRDefault="00A660E7">
      <w:pPr>
        <w:shd w:val="clear" w:color="auto" w:fill="FFFFFF"/>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ab/>
      </w:r>
      <w:r>
        <w:rPr>
          <w:rFonts w:ascii="Times New Roman" w:eastAsia="Times New Roman" w:hAnsi="Times New Roman" w:cs="Times New Roman"/>
          <w:sz w:val="28"/>
          <w:szCs w:val="28"/>
        </w:rPr>
        <w:t xml:space="preserve">Кроме того, улучшение психологического состояния является важной составляющей, так как устранение симптомов способствует повышению уверенности в себе и снижению уровня стресса. В сравнении с другими методами, такими как </w:t>
      </w:r>
      <w:r>
        <w:rPr>
          <w:rFonts w:ascii="Times New Roman" w:eastAsia="Times New Roman" w:hAnsi="Times New Roman" w:cs="Times New Roman"/>
          <w:sz w:val="28"/>
          <w:szCs w:val="28"/>
        </w:rPr>
        <w:t>использование пессариев, хирургическое вмешательство может давать более выраженные и стабильные результаты [47,48].</w:t>
      </w:r>
    </w:p>
    <w:p w:rsidR="000A3797" w:rsidRDefault="00A660E7">
      <w:pPr>
        <w:shd w:val="clear" w:color="auto" w:fill="FFFFFF"/>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Doaee M. и соавторы в мета-анализе 2014 г представили результаты, соответствующих критериям включения, 32 РКИ, где оценены влияние оперативн</w:t>
      </w:r>
      <w:r>
        <w:rPr>
          <w:rFonts w:ascii="Times New Roman" w:eastAsia="Times New Roman" w:hAnsi="Times New Roman" w:cs="Times New Roman"/>
          <w:sz w:val="28"/>
          <w:szCs w:val="28"/>
          <w:highlight w:val="white"/>
        </w:rPr>
        <w:t xml:space="preserve">ого вмешательства  и тренировок мышц тазового дна на качества жизни </w:t>
      </w:r>
      <w:r>
        <w:rPr>
          <w:rFonts w:ascii="Times New Roman" w:eastAsia="Times New Roman" w:hAnsi="Times New Roman" w:cs="Times New Roman"/>
          <w:sz w:val="28"/>
          <w:szCs w:val="28"/>
        </w:rPr>
        <w:t>[49]</w:t>
      </w:r>
      <w:r>
        <w:rPr>
          <w:rFonts w:ascii="Times New Roman" w:eastAsia="Times New Roman" w:hAnsi="Times New Roman" w:cs="Times New Roman"/>
          <w:sz w:val="28"/>
          <w:szCs w:val="28"/>
          <w:highlight w:val="white"/>
        </w:rPr>
        <w:t xml:space="preserve">.  </w:t>
      </w:r>
    </w:p>
    <w:p w:rsidR="000A3797" w:rsidRDefault="00A660E7">
      <w:pPr>
        <w:shd w:val="clear" w:color="auto" w:fill="FFFFFF"/>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ab/>
        <w:t xml:space="preserve">Оценка качества жизни, связанная со здоровьем, складывается из нескольких аспектов жизни, влияющих на здоровье: </w:t>
      </w:r>
      <w:r>
        <w:rPr>
          <w:rFonts w:ascii="Times New Roman" w:eastAsia="Times New Roman" w:hAnsi="Times New Roman" w:cs="Times New Roman"/>
          <w:sz w:val="28"/>
          <w:szCs w:val="28"/>
        </w:rPr>
        <w:t>физическое, психосоциальное состояние и сексуальная функция [16,стр</w:t>
      </w:r>
      <w:r>
        <w:rPr>
          <w:rFonts w:ascii="Times New Roman" w:eastAsia="Times New Roman" w:hAnsi="Times New Roman" w:cs="Times New Roman"/>
          <w:sz w:val="28"/>
          <w:szCs w:val="28"/>
        </w:rPr>
        <w:t>.77].</w:t>
      </w:r>
      <w:r>
        <w:rPr>
          <w:rFonts w:ascii="Times New Roman" w:eastAsia="Times New Roman" w:hAnsi="Times New Roman" w:cs="Times New Roman"/>
          <w:sz w:val="28"/>
          <w:szCs w:val="28"/>
          <w:highlight w:val="white"/>
        </w:rPr>
        <w:t xml:space="preserve"> В литературе мы встретили несколько инструментов оценки воздействия симптомов на жизнь при генитальном пролапсе: оп</w:t>
      </w:r>
      <w:r>
        <w:rPr>
          <w:rFonts w:ascii="Times New Roman" w:eastAsia="Times New Roman" w:hAnsi="Times New Roman" w:cs="Times New Roman"/>
          <w:sz w:val="28"/>
          <w:szCs w:val="28"/>
        </w:rPr>
        <w:t>росник дистресса тазового дна (PFDI), опросник воздействия на тазовое дно (PFIQ) [50,51], качество жизни при пролапсе (P-QoL) [43] и эл</w:t>
      </w:r>
      <w:r>
        <w:rPr>
          <w:rFonts w:ascii="Times New Roman" w:eastAsia="Times New Roman" w:hAnsi="Times New Roman" w:cs="Times New Roman"/>
          <w:sz w:val="28"/>
          <w:szCs w:val="28"/>
        </w:rPr>
        <w:t>ектронный опросник личной оценки тазового дна (ePAQ-PF) [16,стр.77].</w:t>
      </w:r>
    </w:p>
    <w:p w:rsidR="000A3797" w:rsidRDefault="00A660E7">
      <w:pPr>
        <w:widowControl w:val="0"/>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Особый интерес представляет опросник качества жизни при пролапсе (P-QoL) — это специализированный инструмент, предназначенный для измерения качества жизни, связанного со здоровьем, у женщ</w:t>
      </w:r>
      <w:r>
        <w:rPr>
          <w:rFonts w:ascii="Times New Roman" w:eastAsia="Times New Roman" w:hAnsi="Times New Roman" w:cs="Times New Roman"/>
          <w:sz w:val="28"/>
          <w:szCs w:val="28"/>
        </w:rPr>
        <w:t>ин с пролапсом [16,стр.77,52].  P-QoL был разработан в 2005 году Digesu и соавторами для англоговорящего населения [16,стр.77; 52,стр.176]. Опросник качества жизни при пролапсе (P-QoL) - это простой и надежный инструмент для оценки тяжести симптомов генита</w:t>
      </w:r>
      <w:r>
        <w:rPr>
          <w:rFonts w:ascii="Times New Roman" w:eastAsia="Times New Roman" w:hAnsi="Times New Roman" w:cs="Times New Roman"/>
          <w:sz w:val="28"/>
          <w:szCs w:val="28"/>
        </w:rPr>
        <w:t>льного пролапса и их влияния на качество жизни женщин [16,стр.77; 46,стр.147].  Отличительной особенностью этого опросника в том, при сравнении с другими в исследованиях, что с помощью него измеряются шкалы оценки областей жизни, которые сильно меняются пр</w:t>
      </w:r>
      <w:r>
        <w:rPr>
          <w:rFonts w:ascii="Times New Roman" w:eastAsia="Times New Roman" w:hAnsi="Times New Roman" w:cs="Times New Roman"/>
          <w:sz w:val="28"/>
          <w:szCs w:val="28"/>
        </w:rPr>
        <w:t xml:space="preserve">и дисфункции тазового дна, это 9 доменов, оценивающих и симптомы пролапса и ролевые, социальные и межличностные отношения, а также общее самочувствие, влияние на сон и бодрствование[16,стр.77]. </w:t>
      </w:r>
    </w:p>
    <w:p w:rsidR="000A3797" w:rsidRDefault="00A660E7">
      <w:pPr>
        <w:widowControl w:val="0"/>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Позже был адаптирован и применяется в различных странах (например, Испания, Италия, Турция, Словакия, Бразилия, Германия, Тайвань, Иран, Чили, Китай, Япония) [16,стр.77; 53-59], в России создан на его основе опросник ПД-КЖ [16,стр.77; 60]. Он состоит из  3</w:t>
      </w:r>
      <w:r>
        <w:rPr>
          <w:rFonts w:ascii="Times New Roman" w:eastAsia="Times New Roman" w:hAnsi="Times New Roman" w:cs="Times New Roman"/>
          <w:sz w:val="28"/>
          <w:szCs w:val="28"/>
        </w:rPr>
        <w:t>8  вопросов, 9 доменов, описывающие сферы жизнедеятельности, которые меняются под воздействием пролапса [16,стр.77].</w:t>
      </w:r>
    </w:p>
    <w:p w:rsidR="000A3797" w:rsidRDefault="00A660E7">
      <w:pPr>
        <w:shd w:val="clear" w:color="auto" w:fill="FFFFFF"/>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 мнению исследователей P-QoL — это инструмент оценки качества жизни, который может измерять влияние хирургических вмешательств на качеств</w:t>
      </w:r>
      <w:r>
        <w:rPr>
          <w:rFonts w:ascii="Times New Roman" w:eastAsia="Times New Roman" w:hAnsi="Times New Roman" w:cs="Times New Roman"/>
          <w:sz w:val="28"/>
          <w:szCs w:val="28"/>
        </w:rPr>
        <w:t>о жизни пациента [16,стр.77]. </w:t>
      </w:r>
    </w:p>
    <w:p w:rsidR="000A3797" w:rsidRDefault="00A660E7">
      <w:pPr>
        <w:shd w:val="clear" w:color="auto" w:fill="FFFFFF"/>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Выводы.</w:t>
      </w:r>
      <w:r>
        <w:rPr>
          <w:rFonts w:ascii="Times New Roman" w:eastAsia="Times New Roman" w:hAnsi="Times New Roman" w:cs="Times New Roman"/>
          <w:sz w:val="28"/>
          <w:szCs w:val="28"/>
        </w:rPr>
        <w:t xml:space="preserve"> Результаты этого обзора подтверждают необходимость оценки качества жизни при гентальном пролапсе как исхода лечения, как хирургического, так и консервативного [16,стр.78]. Также более эффекивно использование именно сп</w:t>
      </w:r>
      <w:r>
        <w:rPr>
          <w:rFonts w:ascii="Times New Roman" w:eastAsia="Times New Roman" w:hAnsi="Times New Roman" w:cs="Times New Roman"/>
          <w:sz w:val="28"/>
          <w:szCs w:val="28"/>
        </w:rPr>
        <w:t xml:space="preserve">ециализированных опросников для генитального пролапса по сранвению с другими шкалами оценки качества жизни [16,стр.78]. Также оценка качества жизни должна учитываться и при первичной диагностике перед планированием лечения [16,стр.78]. Так как генитальный </w:t>
      </w:r>
      <w:r>
        <w:rPr>
          <w:rFonts w:ascii="Times New Roman" w:eastAsia="Times New Roman" w:hAnsi="Times New Roman" w:cs="Times New Roman"/>
          <w:sz w:val="28"/>
          <w:szCs w:val="28"/>
        </w:rPr>
        <w:t>пролапс значительно влияет именно на качество жизни пациентов [16,стр.78]. Кроме того, оценка качества жизни может быть полезным инструментом оценки качества оказания медицинской помощи для здравоохранения и системы аудита [16,стр.78]. Исходя из вышесказан</w:t>
      </w:r>
      <w:r>
        <w:rPr>
          <w:rFonts w:ascii="Times New Roman" w:eastAsia="Times New Roman" w:hAnsi="Times New Roman" w:cs="Times New Roman"/>
          <w:sz w:val="28"/>
          <w:szCs w:val="28"/>
        </w:rPr>
        <w:t>ного оценка качества жизни при генитальном пролапсе является необходимым инструментом в диагностике пролапса, оценки исхода лечения и оказания качетсва медицинской помощи [16,стр.78]</w:t>
      </w:r>
    </w:p>
    <w:p w:rsidR="000A3797" w:rsidRDefault="000A3797">
      <w:pPr>
        <w:shd w:val="clear" w:color="auto" w:fill="FFFFFF"/>
        <w:spacing w:after="0" w:line="240" w:lineRule="auto"/>
        <w:ind w:firstLine="708"/>
        <w:jc w:val="both"/>
        <w:rPr>
          <w:rFonts w:ascii="Times New Roman" w:eastAsia="Times New Roman" w:hAnsi="Times New Roman" w:cs="Times New Roman"/>
          <w:sz w:val="28"/>
          <w:szCs w:val="28"/>
        </w:rPr>
      </w:pPr>
    </w:p>
    <w:p w:rsidR="000A3797" w:rsidRDefault="000A3797">
      <w:pPr>
        <w:shd w:val="clear" w:color="auto" w:fill="FFFFFF"/>
        <w:spacing w:after="0" w:line="240" w:lineRule="auto"/>
        <w:ind w:firstLine="708"/>
        <w:jc w:val="both"/>
        <w:rPr>
          <w:rFonts w:ascii="Times New Roman" w:eastAsia="Times New Roman" w:hAnsi="Times New Roman" w:cs="Times New Roman"/>
          <w:sz w:val="28"/>
          <w:szCs w:val="28"/>
        </w:rPr>
      </w:pPr>
    </w:p>
    <w:p w:rsidR="000A3797" w:rsidRDefault="00A660E7">
      <w:pPr>
        <w:shd w:val="clear" w:color="auto" w:fill="FFFFFF"/>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highlight w:val="white"/>
        </w:rPr>
        <w:t xml:space="preserve">1.3 Современные представления о тазовом дне, его дисфункции и способах </w:t>
      </w:r>
      <w:r>
        <w:rPr>
          <w:rFonts w:ascii="Times New Roman" w:eastAsia="Times New Roman" w:hAnsi="Times New Roman" w:cs="Times New Roman"/>
          <w:b/>
          <w:sz w:val="28"/>
          <w:szCs w:val="28"/>
          <w:highlight w:val="white"/>
        </w:rPr>
        <w:t>реабилитации</w:t>
      </w:r>
    </w:p>
    <w:p w:rsidR="000A3797" w:rsidRDefault="00A660E7">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Хотелось бы акцентировать внимание на том, что пролапс тазовых органов чаще возникает после менопаузы, молодые женщины могут придерживаться мер профилактики, во избежание развития пролапса в будущем. Не секрет, что каждой женщине необходимо знать о строени</w:t>
      </w:r>
      <w:r>
        <w:rPr>
          <w:rFonts w:ascii="Times New Roman" w:eastAsia="Times New Roman" w:hAnsi="Times New Roman" w:cs="Times New Roman"/>
          <w:color w:val="000000"/>
          <w:sz w:val="28"/>
          <w:szCs w:val="28"/>
        </w:rPr>
        <w:t>и и  функциях мышц тазового дна и профилактике пролапса, особенно беременным женщинам, поскольку паритет, роды, родовой травматизм являются факторами, которые имеют наибольшее влияние на формирование дисфункции тазового дна [60,61]. К тому же, по сравнению</w:t>
      </w:r>
      <w:r>
        <w:rPr>
          <w:rFonts w:ascii="Times New Roman" w:eastAsia="Times New Roman" w:hAnsi="Times New Roman" w:cs="Times New Roman"/>
          <w:color w:val="000000"/>
          <w:sz w:val="28"/>
          <w:szCs w:val="28"/>
        </w:rPr>
        <w:t xml:space="preserve"> с вагинальными родами, как показывает обзор литературных данных, кесарево сечение нельзя однозначно считать мерой профилактики [35,стр.740].    Тренировки для мышц тазового дна, такие как упражнения Кегеля, доказали свою эффективность в укреплении тазовых</w:t>
      </w:r>
      <w:r>
        <w:rPr>
          <w:rFonts w:ascii="Times New Roman" w:eastAsia="Times New Roman" w:hAnsi="Times New Roman" w:cs="Times New Roman"/>
          <w:color w:val="000000"/>
          <w:sz w:val="28"/>
          <w:szCs w:val="28"/>
        </w:rPr>
        <w:t xml:space="preserve"> мышц, что помогает снизить риск рецидива генитального пролапса </w:t>
      </w:r>
    </w:p>
    <w:p w:rsidR="000A3797" w:rsidRDefault="00A660E7">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Укрепление этих мышц поддерживает органы малого таза, снижая нагрузку на связки и улучшая общее состояние тканей. Согласно «Международному опроснику по реабилитации тазового дна после родов»</w:t>
      </w:r>
      <w:r>
        <w:rPr>
          <w:rFonts w:ascii="Times New Roman" w:eastAsia="Times New Roman" w:hAnsi="Times New Roman" w:cs="Times New Roman"/>
          <w:color w:val="000000"/>
          <w:sz w:val="28"/>
          <w:szCs w:val="28"/>
        </w:rPr>
        <w:t>, страны Европы гораздо чаще рекомендуют и финансируют программы реабилитации тазового дна после родов, чем страны США или Азии [61,стр.408]. Исследования показывают, что регулярные упражнения могут уменьшить вероятность повторного пролапса после хирургиче</w:t>
      </w:r>
      <w:r>
        <w:rPr>
          <w:rFonts w:ascii="Times New Roman" w:eastAsia="Times New Roman" w:hAnsi="Times New Roman" w:cs="Times New Roman"/>
          <w:color w:val="000000"/>
          <w:sz w:val="28"/>
          <w:szCs w:val="28"/>
        </w:rPr>
        <w:t>ского лечения и способствовать уменьшению симптомов  [15,стр.254; 62-65]. Однако, несмотря на положительные результаты, данные о долгосрочной эффективности этих упражнений пока ограничены. Недостаток долгосрочных исследований затрудняет определение их роли</w:t>
      </w:r>
      <w:r>
        <w:rPr>
          <w:rFonts w:ascii="Times New Roman" w:eastAsia="Times New Roman" w:hAnsi="Times New Roman" w:cs="Times New Roman"/>
          <w:color w:val="000000"/>
          <w:sz w:val="28"/>
          <w:szCs w:val="28"/>
        </w:rPr>
        <w:t xml:space="preserve"> в профилактике рецидивов на протяжении многих лет, и поэтому специалисты продолжают изучать длительные эффекты и разрабатывать оптимальные программы тренировок для пациентов с пролапсом. «По рекомендациям Международной урогинекологической ассоциации (IUGA</w:t>
      </w:r>
      <w:r>
        <w:rPr>
          <w:rFonts w:ascii="Times New Roman" w:eastAsia="Times New Roman" w:hAnsi="Times New Roman" w:cs="Times New Roman"/>
          <w:color w:val="000000"/>
          <w:sz w:val="28"/>
          <w:szCs w:val="28"/>
        </w:rPr>
        <w:t>) и Международного общества по недержанию мочи (ICS), которые сделали совместный отчет о терминологии дисфункции тазового дна у женщин, каждая беременная женщина должна тренировать мышцы тазового дна  после родов»  [15,стр.254; 66]. </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Тазовое дно состоит из</w:t>
      </w:r>
      <w:r>
        <w:rPr>
          <w:rFonts w:ascii="Times New Roman" w:eastAsia="Times New Roman" w:hAnsi="Times New Roman" w:cs="Times New Roman"/>
          <w:sz w:val="28"/>
          <w:szCs w:val="28"/>
        </w:rPr>
        <w:t xml:space="preserve"> двух слоев: поверхностный мышц промежности и глубокой тазовой диафрагмы [67]. Эти мышцы находится в постоянном тонусе, при повышении внутрибрюшного давления рефлекторно напрягаются и не дает сместиться органам малого таза, участвуют в регуляции мочеиспуск</w:t>
      </w:r>
      <w:r>
        <w:rPr>
          <w:rFonts w:ascii="Times New Roman" w:eastAsia="Times New Roman" w:hAnsi="Times New Roman" w:cs="Times New Roman"/>
          <w:sz w:val="28"/>
          <w:szCs w:val="28"/>
        </w:rPr>
        <w:t>ания и дефекации за счет сокращения, поддержки половой функции и обеспечивают физиологический тонус в родах, участвуют в поддержке внутрибрюшного давления, защищая другие органы от нагрузки [68.]. Функция тазового дна зависит от состояния мышц, тонуса связ</w:t>
      </w:r>
      <w:r>
        <w:rPr>
          <w:rFonts w:ascii="Times New Roman" w:eastAsia="Times New Roman" w:hAnsi="Times New Roman" w:cs="Times New Roman"/>
          <w:sz w:val="28"/>
          <w:szCs w:val="28"/>
        </w:rPr>
        <w:t>ок, гормонального фона и нервной регуляции, что делает его устойчивость уязвимой к изменениям в организме, например, в ходе беременности, при старении или при недостатке физической активности [68,стр.81]. Сила сокращения мышц тазового дна зависит от состоя</w:t>
      </w:r>
      <w:r>
        <w:rPr>
          <w:rFonts w:ascii="Times New Roman" w:eastAsia="Times New Roman" w:hAnsi="Times New Roman" w:cs="Times New Roman"/>
          <w:sz w:val="28"/>
          <w:szCs w:val="28"/>
        </w:rPr>
        <w:t>ния мышечной ткани, соединительных тканей, координации нервной системы, гормонального фона и регулярности тренировок [68,стр.81].</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Дисфункция тазового дна является следствием жизненного цикла, образа жизни и родов. В результате отчетов  серии исследований п</w:t>
      </w:r>
      <w:r>
        <w:rPr>
          <w:rFonts w:ascii="Times New Roman" w:eastAsia="Times New Roman" w:hAnsi="Times New Roman" w:cs="Times New Roman"/>
          <w:sz w:val="28"/>
          <w:szCs w:val="28"/>
        </w:rPr>
        <w:t xml:space="preserve">о недержанию мочи, увеличение силы мышц тазового дна были основной рекомендацией для стрессового недержания мочи [69 -73]. </w:t>
      </w:r>
    </w:p>
    <w:p w:rsidR="000A3797" w:rsidRDefault="00A660E7">
      <w:pPr>
        <w:widowControl w:val="0"/>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Растяжимые и спазмированные мышечные волокна, как было обнаружено, имеют пониженную способность генерировать мощность при дисфункции</w:t>
      </w:r>
      <w:r>
        <w:rPr>
          <w:rFonts w:ascii="Times New Roman" w:eastAsia="Times New Roman" w:hAnsi="Times New Roman" w:cs="Times New Roman"/>
          <w:sz w:val="28"/>
          <w:szCs w:val="28"/>
        </w:rPr>
        <w:t xml:space="preserve"> мышц тазового дна (МТД) [17,стр.108;].  Мышечное сокращение при данной патологии происходит короче мышечной длины в состоянии покоя, как при гиперактивных мышцах [17,стр.108; 74,стр.188].  Мышцы в таком состоянии испытывают слабость и быстрое утомление. М</w:t>
      </w:r>
      <w:r>
        <w:rPr>
          <w:rFonts w:ascii="Times New Roman" w:eastAsia="Times New Roman" w:hAnsi="Times New Roman" w:cs="Times New Roman"/>
          <w:sz w:val="28"/>
          <w:szCs w:val="28"/>
        </w:rPr>
        <w:t>ТД имеют более высокий процент медленных волокон для поддержания ее тонуса и сокращения, за исключением времени мочеиспускания и дефекации [17,стр.108; 75].  Лобково-копчиковая мышцы на 70% состоит из медленных волокон, поэтому задержка скорости сокращения</w:t>
      </w:r>
      <w:r>
        <w:rPr>
          <w:rFonts w:ascii="Times New Roman" w:eastAsia="Times New Roman" w:hAnsi="Times New Roman" w:cs="Times New Roman"/>
          <w:sz w:val="28"/>
          <w:szCs w:val="28"/>
        </w:rPr>
        <w:t xml:space="preserve"> в этой мышце объясняется тем, что сокращение инициируется небольшим количеством быстрых волокон [17,стр.108; 74,стр.189]. У женщин с недержанием мочи  задержка между стимулом и сокращением мышц тазового дна удлиняется, и была идентифицирована медленная не</w:t>
      </w:r>
      <w:r>
        <w:rPr>
          <w:rFonts w:ascii="Times New Roman" w:eastAsia="Times New Roman" w:hAnsi="Times New Roman" w:cs="Times New Roman"/>
          <w:sz w:val="28"/>
          <w:szCs w:val="28"/>
        </w:rPr>
        <w:t>рвная проводимость, что свидетельствует о повреждении полового нерва [17,стр.108; 74,стр.188].</w:t>
      </w:r>
    </w:p>
    <w:p w:rsidR="000A3797" w:rsidRDefault="00A660E7">
      <w:pPr>
        <w:shd w:val="clear" w:color="auto" w:fill="FFFFFF"/>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После повреждения нерва происходит атрофия денервированного волокна, однако близлежащие здоровые нервные волокна в мышцах могут стимулировать восстановление инер</w:t>
      </w:r>
      <w:r>
        <w:rPr>
          <w:rFonts w:ascii="Times New Roman" w:eastAsia="Times New Roman" w:hAnsi="Times New Roman" w:cs="Times New Roman"/>
          <w:sz w:val="28"/>
          <w:szCs w:val="28"/>
        </w:rPr>
        <w:t>вации, что может способствовать восстановлению тканей [17,стр.108; 74,стр.189].  Таким образом, после денервации исходное быстро сокращающееся волокно может стать медленным, что влияет на функциональную целостность тазового дна [17,стр.108; 74,стр.189].  В</w:t>
      </w:r>
      <w:r>
        <w:rPr>
          <w:rFonts w:ascii="Times New Roman" w:eastAsia="Times New Roman" w:hAnsi="Times New Roman" w:cs="Times New Roman"/>
          <w:sz w:val="28"/>
          <w:szCs w:val="28"/>
        </w:rPr>
        <w:t xml:space="preserve"> отличие от нервов, мышцы обладают значительной способностью к самовосстановлению, и при соответствующем стимуле может произойти значительная степень реабилитации [17,стр.108; 74,стр.190].  Упражнения для мышц тазового дна обоснованы для восстановления их </w:t>
      </w:r>
      <w:r>
        <w:rPr>
          <w:rFonts w:ascii="Times New Roman" w:eastAsia="Times New Roman" w:hAnsi="Times New Roman" w:cs="Times New Roman"/>
          <w:sz w:val="28"/>
          <w:szCs w:val="28"/>
        </w:rPr>
        <w:t>силы и выносливости, что помогает улучшить поддержку органов малого таза, снизить риск пролапса и улучшить контроль над функциями мочеиспускания и дефекации. [17,стр.108]. </w:t>
      </w:r>
    </w:p>
    <w:p w:rsidR="000A3797" w:rsidRDefault="00A660E7">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Однако, у женщин с генетически обусловленности слабостью соединительной ткани, отмечается денервация и слабость мышечного волокна [[17,стр.108; 74,стр.190 ; 77-78]. Такие пациенты достигают плохих  результатов при физических нагрузках и консервативном лече</w:t>
      </w:r>
      <w:r>
        <w:rPr>
          <w:rFonts w:ascii="Times New Roman" w:eastAsia="Times New Roman" w:hAnsi="Times New Roman" w:cs="Times New Roman"/>
          <w:color w:val="000000"/>
          <w:sz w:val="28"/>
          <w:szCs w:val="28"/>
        </w:rPr>
        <w:t>нии, ввиду того, что при тазовом пролапсе мышечные волокна чрезмерно растяжимы и препятствуют правильному перекрытию нитей при инициации мышечного сокращения [17,стр.108]. Взаимосвязь между тазовым пролапсом и силой мышц тазового дна была изучена DeLancey </w:t>
      </w:r>
      <w:r>
        <w:rPr>
          <w:rFonts w:ascii="Times New Roman" w:eastAsia="Times New Roman" w:hAnsi="Times New Roman" w:cs="Times New Roman"/>
          <w:color w:val="000000"/>
          <w:sz w:val="28"/>
          <w:szCs w:val="28"/>
        </w:rPr>
        <w:t>, он  обнаружил у  43%  пациентов с пролапсом отмечалось  снижения силы тазовых мышц  и наблюдалась атрофия мышц  по сравнению с контрольной группой [2,стр.10; 17,стр.108]. </w:t>
      </w:r>
    </w:p>
    <w:p w:rsidR="000A3797" w:rsidRDefault="00A660E7">
      <w:pPr>
        <w:shd w:val="clear" w:color="auto" w:fill="FFFFFF"/>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Гистологический состав эндотазовой фасции неоднороден (коллаген, эластин, гладкие </w:t>
      </w:r>
      <w:r>
        <w:rPr>
          <w:rFonts w:ascii="Times New Roman" w:eastAsia="Times New Roman" w:hAnsi="Times New Roman" w:cs="Times New Roman"/>
          <w:sz w:val="28"/>
          <w:szCs w:val="28"/>
        </w:rPr>
        <w:t>мышцы, кровеносные сосуды и нервы), и при его повреждении ,реабилитация только с помощью физических упражнений малоэффективна [17,стр.108; 75,стр.310]. На развитие и поддержание мышечной массы влияют шесть факторов: наследственность, активация нервной сист</w:t>
      </w:r>
      <w:r>
        <w:rPr>
          <w:rFonts w:ascii="Times New Roman" w:eastAsia="Times New Roman" w:hAnsi="Times New Roman" w:cs="Times New Roman"/>
          <w:sz w:val="28"/>
          <w:szCs w:val="28"/>
        </w:rPr>
        <w:t>емы,внешние факторы, влияние эндокринной системы, состояние питания и физическая активность [17,стр.109]. Все они имеют отношение к структуре и функции тазовых мышц, особенно в сильной взаимосвязи с возрастом [17,стр.109] .</w:t>
      </w:r>
    </w:p>
    <w:p w:rsidR="000A3797" w:rsidRDefault="000A3797">
      <w:pPr>
        <w:shd w:val="clear" w:color="auto" w:fill="FFFFFF"/>
        <w:spacing w:after="0" w:line="240" w:lineRule="auto"/>
        <w:ind w:firstLine="708"/>
        <w:jc w:val="both"/>
        <w:rPr>
          <w:rFonts w:ascii="Times New Roman" w:eastAsia="Times New Roman" w:hAnsi="Times New Roman" w:cs="Times New Roman"/>
          <w:sz w:val="28"/>
          <w:szCs w:val="28"/>
        </w:rPr>
      </w:pPr>
    </w:p>
    <w:p w:rsidR="000A3797" w:rsidRDefault="00A660E7">
      <w:pPr>
        <w:shd w:val="clear" w:color="auto" w:fill="FFFFFF"/>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Реабилитация тазового дна, осно</w:t>
      </w:r>
      <w:r>
        <w:rPr>
          <w:rFonts w:ascii="Times New Roman" w:eastAsia="Times New Roman" w:hAnsi="Times New Roman" w:cs="Times New Roman"/>
          <w:b/>
          <w:sz w:val="28"/>
          <w:szCs w:val="28"/>
        </w:rPr>
        <w:t xml:space="preserve">ванная на принципах эффективной тренировки </w:t>
      </w:r>
      <w:r>
        <w:rPr>
          <w:rFonts w:ascii="Times New Roman" w:eastAsia="Times New Roman" w:hAnsi="Times New Roman" w:cs="Times New Roman"/>
          <w:sz w:val="28"/>
          <w:szCs w:val="28"/>
        </w:rPr>
        <w:t>[17,стр.109] </w:t>
      </w:r>
      <w:r>
        <w:rPr>
          <w:rFonts w:ascii="Times New Roman" w:eastAsia="Times New Roman" w:hAnsi="Times New Roman" w:cs="Times New Roman"/>
          <w:b/>
          <w:sz w:val="28"/>
          <w:szCs w:val="28"/>
        </w:rPr>
        <w:t xml:space="preserve">. </w:t>
      </w:r>
    </w:p>
    <w:p w:rsidR="000A3797" w:rsidRDefault="000A3797">
      <w:pPr>
        <w:shd w:val="clear" w:color="auto" w:fill="FFFFFF"/>
        <w:spacing w:after="0" w:line="240" w:lineRule="auto"/>
        <w:jc w:val="both"/>
        <w:rPr>
          <w:rFonts w:ascii="Times New Roman" w:eastAsia="Times New Roman" w:hAnsi="Times New Roman" w:cs="Times New Roman"/>
          <w:b/>
          <w:sz w:val="28"/>
          <w:szCs w:val="28"/>
        </w:rPr>
      </w:pPr>
    </w:p>
    <w:p w:rsidR="000A3797" w:rsidRDefault="00A660E7">
      <w:pPr>
        <w:shd w:val="clear" w:color="auto" w:fill="FFFFFF"/>
        <w:spacing w:after="0" w:line="240" w:lineRule="auto"/>
        <w:ind w:firstLine="708"/>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Для улучшения общей мышечной силы и мощности лицам, ведущим малоподвижный образ жизни, больным или пожилым людям рекомендуется выполнять от 1 до 2 подходов по 8-12 повторений, по 8-10 упражнений з</w:t>
      </w:r>
      <w:r>
        <w:rPr>
          <w:rFonts w:ascii="Times New Roman" w:eastAsia="Times New Roman" w:hAnsi="Times New Roman" w:cs="Times New Roman"/>
          <w:sz w:val="28"/>
          <w:szCs w:val="28"/>
        </w:rPr>
        <w:t xml:space="preserve">а одну тренировку с частотой 2-3 раза в неделю [17,стр.109;78]. </w:t>
      </w:r>
    </w:p>
    <w:p w:rsidR="000A3797" w:rsidRDefault="00A660E7">
      <w:pPr>
        <w:shd w:val="clear" w:color="auto" w:fill="FFFFFF"/>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Как правило, программа тренировки мышц должна сочетать в себе 3 основных принципа: перегрузка, специфичность и обратимость [17,стр.109; 79-81].  </w:t>
      </w:r>
    </w:p>
    <w:p w:rsidR="000A3797" w:rsidRDefault="00A660E7">
      <w:pPr>
        <w:shd w:val="clear" w:color="auto" w:fill="FFFFFF"/>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Принцип перегрузки предполагает, что целевая </w:t>
      </w:r>
      <w:r>
        <w:rPr>
          <w:rFonts w:ascii="Times New Roman" w:eastAsia="Times New Roman" w:hAnsi="Times New Roman" w:cs="Times New Roman"/>
          <w:sz w:val="28"/>
          <w:szCs w:val="28"/>
        </w:rPr>
        <w:t xml:space="preserve">мышца должна выполнять больше работы, чем обычно, что приводит к увеличению числа и размера митохондрий, активности аэробных и анаэробных ферментов, содержания гликогена, количества и площади капилляров, а также к гипертрофии и увеличению массы мышцы [17, </w:t>
      </w:r>
      <w:r>
        <w:rPr>
          <w:rFonts w:ascii="Times New Roman" w:eastAsia="Times New Roman" w:hAnsi="Times New Roman" w:cs="Times New Roman"/>
          <w:sz w:val="28"/>
          <w:szCs w:val="28"/>
        </w:rPr>
        <w:t>стр. 109; 79, стр. 4]. Прогресс в тренировках прямо пропорционален выполненной физической работе до того момента, когда мышцы начинают утомляться [17, стр. 110; 80, стр. 8]. По известным данным, сила мышц начинает снижаться примерно на 10% до утомления при</w:t>
      </w:r>
      <w:r>
        <w:rPr>
          <w:rFonts w:ascii="Times New Roman" w:eastAsia="Times New Roman" w:hAnsi="Times New Roman" w:cs="Times New Roman"/>
          <w:sz w:val="28"/>
          <w:szCs w:val="28"/>
        </w:rPr>
        <w:t xml:space="preserve"> удержании напряжения через 10 секунд [17, стр. 110; 81,стр. 859]. Тренировки с мышечной перегрузкой эффективны, но в реабилитации важно избегать перегрузки: переутомление может привести к отказу мышцы, что недопустимо при лечении недержания [17, стр. 110;</w:t>
      </w:r>
      <w:r>
        <w:rPr>
          <w:rFonts w:ascii="Times New Roman" w:eastAsia="Times New Roman" w:hAnsi="Times New Roman" w:cs="Times New Roman"/>
          <w:sz w:val="28"/>
          <w:szCs w:val="28"/>
        </w:rPr>
        <w:t xml:space="preserve"> 81,стр. 859]. </w:t>
      </w:r>
    </w:p>
    <w:p w:rsidR="000A3797" w:rsidRDefault="00A660E7">
      <w:pPr>
        <w:shd w:val="clear" w:color="auto" w:fill="FFFFFF"/>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Принцип специфичности предполагает, что мышца должна тренироваться с нагрузкой, максимально имитирующей целевое движение и близкой к максимальной нагрузке (например, прыжки для прыгуна в высоту или бег для спринтера). Упражнения Кегеля соот</w:t>
      </w:r>
      <w:r>
        <w:rPr>
          <w:rFonts w:ascii="Times New Roman" w:eastAsia="Times New Roman" w:hAnsi="Times New Roman" w:cs="Times New Roman"/>
          <w:sz w:val="28"/>
          <w:szCs w:val="28"/>
        </w:rPr>
        <w:t>ветствуют этому принципу для мышц тазового дна и признаны единственными, которые эффективно улучшают их функцию [17, стр. 110].</w:t>
      </w:r>
    </w:p>
    <w:p w:rsidR="000A3797" w:rsidRDefault="00A660E7">
      <w:pPr>
        <w:shd w:val="clear" w:color="auto" w:fill="FFFFFF"/>
        <w:spacing w:after="0" w:line="240" w:lineRule="auto"/>
        <w:ind w:firstLine="708"/>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Принцип обратимости указывает на необходимость регулярных тренировок для поддержания достигнутого эффекта, поскольку польза от у</w:t>
      </w:r>
      <w:r>
        <w:rPr>
          <w:rFonts w:ascii="Times New Roman" w:eastAsia="Times New Roman" w:hAnsi="Times New Roman" w:cs="Times New Roman"/>
          <w:sz w:val="28"/>
          <w:szCs w:val="28"/>
        </w:rPr>
        <w:t xml:space="preserve">пражнений со временем уменьшается. Также, учитывая возрастное снижение мышечной массы, программы профилактики должны включать не только упражнения, но и питание, богатое белком, антиоксидантами и витаминами D, C, E, для предупреждения симптомов дисфункции </w:t>
      </w:r>
      <w:r>
        <w:rPr>
          <w:rFonts w:ascii="Times New Roman" w:eastAsia="Times New Roman" w:hAnsi="Times New Roman" w:cs="Times New Roman"/>
          <w:sz w:val="28"/>
          <w:szCs w:val="28"/>
        </w:rPr>
        <w:t>тазового дна [17, стр. 110; 82–88].</w:t>
      </w:r>
    </w:p>
    <w:p w:rsidR="000A3797" w:rsidRDefault="00A660E7">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Схемы тренировок, упражнений Кегеля </w:t>
      </w:r>
      <w:r>
        <w:rPr>
          <w:rFonts w:ascii="Times New Roman" w:eastAsia="Times New Roman" w:hAnsi="Times New Roman" w:cs="Times New Roman"/>
          <w:color w:val="000000"/>
          <w:sz w:val="28"/>
          <w:szCs w:val="28"/>
        </w:rPr>
        <w:t>[17,стр.111]</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Арнольд Кегель, гинеколог из Университета Южной Калифорнии, первым рекомендовал упражнения для коррекции дисфункции тазового дна в 1950 году [17, стр. 111; 89]. В 1963 году Джонс отметил, что анатомические особенности могут влиять на выполнение таких упраж</w:t>
      </w:r>
      <w:r>
        <w:rPr>
          <w:rFonts w:ascii="Times New Roman" w:eastAsia="Times New Roman" w:hAnsi="Times New Roman" w:cs="Times New Roman"/>
          <w:color w:val="000000"/>
          <w:sz w:val="28"/>
          <w:szCs w:val="28"/>
        </w:rPr>
        <w:t>нений. В 1984 году введение биологической обратной связи позволило более точно оценивать результаты тренировок тазового дна, что подтвердило эффективность упражнений Кегеля [17, стр. 111; 89, стр. 91 -94]. На данный момент отсутствует единая рекомендованна</w:t>
      </w:r>
      <w:r>
        <w:rPr>
          <w:rFonts w:ascii="Times New Roman" w:eastAsia="Times New Roman" w:hAnsi="Times New Roman" w:cs="Times New Roman"/>
          <w:color w:val="000000"/>
          <w:sz w:val="28"/>
          <w:szCs w:val="28"/>
        </w:rPr>
        <w:t>я схема тренировок, примеры которых приведены в таблице 1 [17, стр. 111]. Дополнительные методы, такие как пилатес и йога, показали укрепляющее действие, однако их применение при дисфункции тазового дна научно не обосновано [17, стр. 111; 95].</w:t>
      </w:r>
    </w:p>
    <w:p w:rsidR="000A3797" w:rsidRDefault="00A660E7">
      <w:pPr>
        <w:shd w:val="clear" w:color="auto" w:fill="FFFFFF"/>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1 - Протоколы упражнений для мышц тазового дна [17,стр.112]. </w:t>
      </w:r>
    </w:p>
    <w:p w:rsidR="000A3797" w:rsidRDefault="00A660E7">
      <w:pPr>
        <w:shd w:val="clear" w:color="auto" w:fill="FFFFFF"/>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tbl>
      <w:tblPr>
        <w:tblStyle w:val="a5"/>
        <w:tblW w:w="957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93"/>
        <w:gridCol w:w="7478"/>
      </w:tblGrid>
      <w:tr w:rsidR="000A3797">
        <w:tc>
          <w:tcPr>
            <w:tcW w:w="2093" w:type="dxa"/>
            <w:tcBorders>
              <w:top w:val="single" w:sz="4" w:space="0" w:color="000000"/>
              <w:left w:val="single" w:sz="4" w:space="0" w:color="000000"/>
              <w:bottom w:val="single" w:sz="4" w:space="0" w:color="000000"/>
              <w:right w:val="single" w:sz="4" w:space="0" w:color="000000"/>
            </w:tcBorders>
          </w:tcPr>
          <w:p w:rsidR="000A3797" w:rsidRDefault="00A660E7">
            <w:pPr>
              <w:jc w:val="center"/>
              <w:rPr>
                <w:rFonts w:ascii="Times New Roman" w:eastAsia="Times New Roman" w:hAnsi="Times New Roman" w:cs="Times New Roman"/>
              </w:rPr>
            </w:pPr>
            <w:r>
              <w:rPr>
                <w:rFonts w:ascii="Times New Roman" w:eastAsia="Times New Roman" w:hAnsi="Times New Roman" w:cs="Times New Roman"/>
              </w:rPr>
              <w:t>1</w:t>
            </w:r>
          </w:p>
        </w:tc>
        <w:tc>
          <w:tcPr>
            <w:tcW w:w="7478" w:type="dxa"/>
            <w:tcBorders>
              <w:top w:val="single" w:sz="4" w:space="0" w:color="000000"/>
              <w:left w:val="single" w:sz="4" w:space="0" w:color="000000"/>
              <w:bottom w:val="single" w:sz="4" w:space="0" w:color="000000"/>
              <w:right w:val="single" w:sz="4" w:space="0" w:color="000000"/>
            </w:tcBorders>
          </w:tcPr>
          <w:p w:rsidR="000A3797" w:rsidRDefault="00A660E7">
            <w:pPr>
              <w:jc w:val="center"/>
              <w:rPr>
                <w:rFonts w:ascii="Times New Roman" w:eastAsia="Times New Roman" w:hAnsi="Times New Roman" w:cs="Times New Roman"/>
              </w:rPr>
            </w:pPr>
            <w:r>
              <w:rPr>
                <w:rFonts w:ascii="Times New Roman" w:eastAsia="Times New Roman" w:hAnsi="Times New Roman" w:cs="Times New Roman"/>
              </w:rPr>
              <w:t>2</w:t>
            </w:r>
          </w:p>
        </w:tc>
      </w:tr>
      <w:tr w:rsidR="000A3797">
        <w:tc>
          <w:tcPr>
            <w:tcW w:w="2093" w:type="dxa"/>
            <w:tcBorders>
              <w:top w:val="single" w:sz="4" w:space="0" w:color="000000"/>
              <w:left w:val="single" w:sz="4" w:space="0" w:color="000000"/>
              <w:bottom w:val="single" w:sz="4" w:space="0" w:color="000000"/>
              <w:right w:val="single" w:sz="4" w:space="0" w:color="000000"/>
            </w:tcBorders>
          </w:tcPr>
          <w:p w:rsidR="000A3797" w:rsidRDefault="00A660E7">
            <w:pPr>
              <w:jc w:val="both"/>
              <w:rPr>
                <w:rFonts w:ascii="Times New Roman" w:eastAsia="Times New Roman" w:hAnsi="Times New Roman" w:cs="Times New Roman"/>
              </w:rPr>
            </w:pPr>
            <w:r>
              <w:rPr>
                <w:rFonts w:ascii="Times New Roman" w:eastAsia="Times New Roman" w:hAnsi="Times New Roman" w:cs="Times New Roman"/>
              </w:rPr>
              <w:t xml:space="preserve">Джонс, 1963 г.  </w:t>
            </w:r>
          </w:p>
        </w:tc>
        <w:tc>
          <w:tcPr>
            <w:tcW w:w="7478" w:type="dxa"/>
            <w:tcBorders>
              <w:top w:val="single" w:sz="4" w:space="0" w:color="000000"/>
              <w:left w:val="single" w:sz="4" w:space="0" w:color="000000"/>
              <w:bottom w:val="single" w:sz="4" w:space="0" w:color="000000"/>
              <w:right w:val="single" w:sz="4" w:space="0" w:color="000000"/>
            </w:tcBorders>
          </w:tcPr>
          <w:p w:rsidR="000A3797" w:rsidRDefault="00A660E7">
            <w:pPr>
              <w:jc w:val="both"/>
              <w:rPr>
                <w:rFonts w:ascii="Times New Roman" w:eastAsia="Times New Roman" w:hAnsi="Times New Roman" w:cs="Times New Roman"/>
              </w:rPr>
            </w:pPr>
            <w:r>
              <w:rPr>
                <w:rFonts w:ascii="Times New Roman" w:eastAsia="Times New Roman" w:hAnsi="Times New Roman" w:cs="Times New Roman"/>
              </w:rPr>
              <w:t>- СМТД 3 секунды удержание, 3 секунды отдых по 10 раз каждые полчаса [17,стр.112]. </w:t>
            </w:r>
          </w:p>
          <w:p w:rsidR="000A3797" w:rsidRDefault="00A660E7">
            <w:pPr>
              <w:jc w:val="both"/>
              <w:rPr>
                <w:rFonts w:ascii="Times New Roman" w:eastAsia="Times New Roman" w:hAnsi="Times New Roman" w:cs="Times New Roman"/>
              </w:rPr>
            </w:pPr>
            <w:r>
              <w:rPr>
                <w:rFonts w:ascii="Times New Roman" w:eastAsia="Times New Roman" w:hAnsi="Times New Roman" w:cs="Times New Roman"/>
              </w:rPr>
              <w:t>- СМТД 3 секунды задержка, 3 секунды отдых [17,стр.112]. </w:t>
            </w:r>
          </w:p>
          <w:p w:rsidR="000A3797" w:rsidRDefault="00A660E7">
            <w:pPr>
              <w:jc w:val="both"/>
              <w:rPr>
                <w:rFonts w:ascii="Times New Roman" w:eastAsia="Times New Roman" w:hAnsi="Times New Roman" w:cs="Times New Roman"/>
              </w:rPr>
            </w:pPr>
            <w:r>
              <w:rPr>
                <w:rFonts w:ascii="Times New Roman" w:eastAsia="Times New Roman" w:hAnsi="Times New Roman" w:cs="Times New Roman"/>
              </w:rPr>
              <w:t>Удержание потока моч</w:t>
            </w:r>
            <w:r>
              <w:rPr>
                <w:rFonts w:ascii="Times New Roman" w:eastAsia="Times New Roman" w:hAnsi="Times New Roman" w:cs="Times New Roman"/>
              </w:rPr>
              <w:t>и при каждом мочеиспускании[17,стр.112]. </w:t>
            </w:r>
          </w:p>
        </w:tc>
      </w:tr>
      <w:tr w:rsidR="000A3797">
        <w:tc>
          <w:tcPr>
            <w:tcW w:w="2093" w:type="dxa"/>
            <w:tcBorders>
              <w:top w:val="single" w:sz="4" w:space="0" w:color="000000"/>
              <w:left w:val="single" w:sz="4" w:space="0" w:color="000000"/>
              <w:bottom w:val="single" w:sz="4" w:space="0" w:color="000000"/>
              <w:right w:val="single" w:sz="4" w:space="0" w:color="000000"/>
            </w:tcBorders>
          </w:tcPr>
          <w:p w:rsidR="000A3797" w:rsidRDefault="00A660E7">
            <w:pPr>
              <w:jc w:val="both"/>
              <w:rPr>
                <w:rFonts w:ascii="Times New Roman" w:eastAsia="Times New Roman" w:hAnsi="Times New Roman" w:cs="Times New Roman"/>
              </w:rPr>
            </w:pPr>
            <w:r>
              <w:rPr>
                <w:rFonts w:ascii="Times New Roman" w:eastAsia="Times New Roman" w:hAnsi="Times New Roman" w:cs="Times New Roman"/>
              </w:rPr>
              <w:t>Каслден, 1984 </w:t>
            </w:r>
          </w:p>
        </w:tc>
        <w:tc>
          <w:tcPr>
            <w:tcW w:w="7478" w:type="dxa"/>
            <w:tcBorders>
              <w:top w:val="single" w:sz="4" w:space="0" w:color="000000"/>
              <w:left w:val="single" w:sz="4" w:space="0" w:color="000000"/>
              <w:bottom w:val="single" w:sz="4" w:space="0" w:color="000000"/>
              <w:right w:val="single" w:sz="4" w:space="0" w:color="000000"/>
            </w:tcBorders>
          </w:tcPr>
          <w:p w:rsidR="000A3797" w:rsidRDefault="00A660E7">
            <w:pPr>
              <w:jc w:val="both"/>
              <w:rPr>
                <w:rFonts w:ascii="Times New Roman" w:eastAsia="Times New Roman" w:hAnsi="Times New Roman" w:cs="Times New Roman"/>
              </w:rPr>
            </w:pPr>
            <w:r>
              <w:rPr>
                <w:rFonts w:ascii="Times New Roman" w:eastAsia="Times New Roman" w:hAnsi="Times New Roman" w:cs="Times New Roman"/>
              </w:rPr>
              <w:t>- СМТД по 5 раз каждый час[17,стр.112]. </w:t>
            </w:r>
          </w:p>
          <w:p w:rsidR="000A3797" w:rsidRDefault="00A660E7">
            <w:pPr>
              <w:jc w:val="both"/>
              <w:rPr>
                <w:rFonts w:ascii="Times New Roman" w:eastAsia="Times New Roman" w:hAnsi="Times New Roman" w:cs="Times New Roman"/>
              </w:rPr>
            </w:pPr>
            <w:r>
              <w:rPr>
                <w:rFonts w:ascii="Times New Roman" w:eastAsia="Times New Roman" w:hAnsi="Times New Roman" w:cs="Times New Roman"/>
              </w:rPr>
              <w:t>- 2 недели тренировки  с использованием перинеометра[17,стр.112]. </w:t>
            </w:r>
          </w:p>
          <w:p w:rsidR="000A3797" w:rsidRDefault="00A660E7">
            <w:pPr>
              <w:jc w:val="both"/>
              <w:rPr>
                <w:rFonts w:ascii="Times New Roman" w:eastAsia="Times New Roman" w:hAnsi="Times New Roman" w:cs="Times New Roman"/>
              </w:rPr>
            </w:pPr>
            <w:r>
              <w:rPr>
                <w:rFonts w:ascii="Times New Roman" w:eastAsia="Times New Roman" w:hAnsi="Times New Roman" w:cs="Times New Roman"/>
              </w:rPr>
              <w:t>Направленность на прерывание мочеиспускания каждый день [17,стр.112]. </w:t>
            </w:r>
          </w:p>
        </w:tc>
      </w:tr>
      <w:tr w:rsidR="000A3797">
        <w:tc>
          <w:tcPr>
            <w:tcW w:w="2093" w:type="dxa"/>
            <w:tcBorders>
              <w:top w:val="single" w:sz="4" w:space="0" w:color="000000"/>
              <w:left w:val="single" w:sz="4" w:space="0" w:color="000000"/>
              <w:bottom w:val="single" w:sz="4" w:space="0" w:color="000000"/>
              <w:right w:val="single" w:sz="4" w:space="0" w:color="000000"/>
            </w:tcBorders>
          </w:tcPr>
          <w:p w:rsidR="000A3797" w:rsidRDefault="00A660E7">
            <w:pPr>
              <w:jc w:val="both"/>
              <w:rPr>
                <w:rFonts w:ascii="Times New Roman" w:eastAsia="Times New Roman" w:hAnsi="Times New Roman" w:cs="Times New Roman"/>
              </w:rPr>
            </w:pPr>
            <w:r>
              <w:rPr>
                <w:rFonts w:ascii="Times New Roman" w:eastAsia="Times New Roman" w:hAnsi="Times New Roman" w:cs="Times New Roman"/>
              </w:rPr>
              <w:t>Уилсон, 1987 г. </w:t>
            </w:r>
          </w:p>
        </w:tc>
        <w:tc>
          <w:tcPr>
            <w:tcW w:w="7478" w:type="dxa"/>
            <w:tcBorders>
              <w:top w:val="single" w:sz="4" w:space="0" w:color="000000"/>
              <w:left w:val="single" w:sz="4" w:space="0" w:color="000000"/>
              <w:bottom w:val="single" w:sz="4" w:space="0" w:color="000000"/>
              <w:right w:val="single" w:sz="4" w:space="0" w:color="000000"/>
            </w:tcBorders>
          </w:tcPr>
          <w:p w:rsidR="000A3797" w:rsidRDefault="00A660E7">
            <w:pPr>
              <w:jc w:val="both"/>
              <w:rPr>
                <w:rFonts w:ascii="Times New Roman" w:eastAsia="Times New Roman" w:hAnsi="Times New Roman" w:cs="Times New Roman"/>
              </w:rPr>
            </w:pPr>
            <w:r>
              <w:rPr>
                <w:rFonts w:ascii="Times New Roman" w:eastAsia="Times New Roman" w:hAnsi="Times New Roman" w:cs="Times New Roman"/>
              </w:rPr>
              <w:t>- СМТД  5 секунд удержание, 15 секунд отдых [17,стр.112]. </w:t>
            </w:r>
          </w:p>
          <w:p w:rsidR="000A3797" w:rsidRDefault="00A660E7">
            <w:pPr>
              <w:jc w:val="both"/>
              <w:rPr>
                <w:rFonts w:ascii="Times New Roman" w:eastAsia="Times New Roman" w:hAnsi="Times New Roman" w:cs="Times New Roman"/>
              </w:rPr>
            </w:pPr>
            <w:r>
              <w:rPr>
                <w:rFonts w:ascii="Times New Roman" w:eastAsia="Times New Roman" w:hAnsi="Times New Roman" w:cs="Times New Roman"/>
              </w:rPr>
              <w:t>- Подходы: 3 раза в день в день [17,стр.112]. </w:t>
            </w:r>
          </w:p>
        </w:tc>
      </w:tr>
      <w:tr w:rsidR="000A3797">
        <w:tc>
          <w:tcPr>
            <w:tcW w:w="2093" w:type="dxa"/>
            <w:tcBorders>
              <w:top w:val="single" w:sz="4" w:space="0" w:color="000000"/>
              <w:left w:val="single" w:sz="4" w:space="0" w:color="000000"/>
              <w:bottom w:val="single" w:sz="4" w:space="0" w:color="000000"/>
              <w:right w:val="single" w:sz="4" w:space="0" w:color="000000"/>
            </w:tcBorders>
          </w:tcPr>
          <w:p w:rsidR="000A3797" w:rsidRDefault="00A660E7">
            <w:pPr>
              <w:jc w:val="both"/>
              <w:rPr>
                <w:rFonts w:ascii="Times New Roman" w:eastAsia="Times New Roman" w:hAnsi="Times New Roman" w:cs="Times New Roman"/>
              </w:rPr>
            </w:pPr>
            <w:r>
              <w:rPr>
                <w:rFonts w:ascii="Times New Roman" w:eastAsia="Times New Roman" w:hAnsi="Times New Roman" w:cs="Times New Roman"/>
              </w:rPr>
              <w:t>Хофбауэр и др., 1990 г</w:t>
            </w:r>
          </w:p>
        </w:tc>
        <w:tc>
          <w:tcPr>
            <w:tcW w:w="7478" w:type="dxa"/>
            <w:tcBorders>
              <w:top w:val="single" w:sz="4" w:space="0" w:color="000000"/>
              <w:left w:val="single" w:sz="4" w:space="0" w:color="000000"/>
              <w:bottom w:val="single" w:sz="4" w:space="0" w:color="000000"/>
              <w:right w:val="single" w:sz="4" w:space="0" w:color="000000"/>
            </w:tcBorders>
          </w:tcPr>
          <w:p w:rsidR="000A3797" w:rsidRDefault="00A660E7">
            <w:pPr>
              <w:jc w:val="both"/>
              <w:rPr>
                <w:rFonts w:ascii="Times New Roman" w:eastAsia="Times New Roman" w:hAnsi="Times New Roman" w:cs="Times New Roman"/>
              </w:rPr>
            </w:pPr>
            <w:r>
              <w:rPr>
                <w:rFonts w:ascii="Times New Roman" w:eastAsia="Times New Roman" w:hAnsi="Times New Roman" w:cs="Times New Roman"/>
              </w:rPr>
              <w:t>- Программа упражнений, включающая СМТД, упражнения для брюшного пресса и приводящих мышц бедра [17,стр.112]. </w:t>
            </w:r>
          </w:p>
          <w:p w:rsidR="000A3797" w:rsidRDefault="00A660E7">
            <w:pPr>
              <w:jc w:val="both"/>
              <w:rPr>
                <w:rFonts w:ascii="Times New Roman" w:eastAsia="Times New Roman" w:hAnsi="Times New Roman" w:cs="Times New Roman"/>
              </w:rPr>
            </w:pPr>
            <w:r>
              <w:rPr>
                <w:rFonts w:ascii="Times New Roman" w:eastAsia="Times New Roman" w:hAnsi="Times New Roman" w:cs="Times New Roman"/>
              </w:rPr>
              <w:t>- Два раза в не</w:t>
            </w:r>
            <w:r>
              <w:rPr>
                <w:rFonts w:ascii="Times New Roman" w:eastAsia="Times New Roman" w:hAnsi="Times New Roman" w:cs="Times New Roman"/>
              </w:rPr>
              <w:t>делю по 20 минут с физиотерапевтом и ежедневная домашняя программа [17,стр.112]. </w:t>
            </w:r>
          </w:p>
        </w:tc>
      </w:tr>
      <w:tr w:rsidR="000A3797">
        <w:tc>
          <w:tcPr>
            <w:tcW w:w="2093" w:type="dxa"/>
            <w:tcBorders>
              <w:top w:val="single" w:sz="4" w:space="0" w:color="000000"/>
              <w:left w:val="single" w:sz="4" w:space="0" w:color="000000"/>
              <w:bottom w:val="single" w:sz="4" w:space="0" w:color="000000"/>
              <w:right w:val="single" w:sz="4" w:space="0" w:color="000000"/>
            </w:tcBorders>
          </w:tcPr>
          <w:p w:rsidR="000A3797" w:rsidRDefault="00A660E7">
            <w:pPr>
              <w:jc w:val="both"/>
              <w:rPr>
                <w:rFonts w:ascii="Times New Roman" w:eastAsia="Times New Roman" w:hAnsi="Times New Roman" w:cs="Times New Roman"/>
              </w:rPr>
            </w:pPr>
            <w:r>
              <w:rPr>
                <w:rFonts w:ascii="Times New Roman" w:eastAsia="Times New Roman" w:hAnsi="Times New Roman" w:cs="Times New Roman"/>
              </w:rPr>
              <w:t>Бернс и др., 1993 г. </w:t>
            </w:r>
          </w:p>
        </w:tc>
        <w:tc>
          <w:tcPr>
            <w:tcW w:w="7478" w:type="dxa"/>
            <w:tcBorders>
              <w:top w:val="single" w:sz="4" w:space="0" w:color="000000"/>
              <w:left w:val="single" w:sz="4" w:space="0" w:color="000000"/>
              <w:bottom w:val="single" w:sz="4" w:space="0" w:color="000000"/>
              <w:right w:val="single" w:sz="4" w:space="0" w:color="000000"/>
            </w:tcBorders>
          </w:tcPr>
          <w:p w:rsidR="000A3797" w:rsidRDefault="00A660E7">
            <w:pPr>
              <w:jc w:val="both"/>
              <w:rPr>
                <w:rFonts w:ascii="Times New Roman" w:eastAsia="Times New Roman" w:hAnsi="Times New Roman" w:cs="Times New Roman"/>
              </w:rPr>
            </w:pPr>
            <w:r>
              <w:rPr>
                <w:rFonts w:ascii="Times New Roman" w:eastAsia="Times New Roman" w:hAnsi="Times New Roman" w:cs="Times New Roman"/>
              </w:rPr>
              <w:t>- 10 СМТД с удержанием 3 секунды и 10 СМТД с удержанием 10 секунд [17,стр.112]. </w:t>
            </w:r>
          </w:p>
          <w:p w:rsidR="000A3797" w:rsidRDefault="00A660E7">
            <w:pPr>
              <w:jc w:val="both"/>
              <w:rPr>
                <w:rFonts w:ascii="Times New Roman" w:eastAsia="Times New Roman" w:hAnsi="Times New Roman" w:cs="Times New Roman"/>
              </w:rPr>
            </w:pPr>
            <w:r>
              <w:rPr>
                <w:rFonts w:ascii="Times New Roman" w:eastAsia="Times New Roman" w:hAnsi="Times New Roman" w:cs="Times New Roman"/>
              </w:rPr>
              <w:t>- Увеличение подходов до 10 повторений  до дневного максимума 200</w:t>
            </w:r>
          </w:p>
          <w:p w:rsidR="000A3797" w:rsidRDefault="00A660E7">
            <w:pPr>
              <w:jc w:val="both"/>
              <w:rPr>
                <w:rFonts w:ascii="Times New Roman" w:eastAsia="Times New Roman" w:hAnsi="Times New Roman" w:cs="Times New Roman"/>
              </w:rPr>
            </w:pPr>
            <w:r>
              <w:rPr>
                <w:rFonts w:ascii="Times New Roman" w:eastAsia="Times New Roman" w:hAnsi="Times New Roman" w:cs="Times New Roman"/>
              </w:rPr>
              <w:t>- Подходы: 4 раза в день в день [17,стр.112]. </w:t>
            </w:r>
          </w:p>
          <w:p w:rsidR="000A3797" w:rsidRDefault="00A660E7">
            <w:pPr>
              <w:jc w:val="both"/>
              <w:rPr>
                <w:rFonts w:ascii="Times New Roman" w:eastAsia="Times New Roman" w:hAnsi="Times New Roman" w:cs="Times New Roman"/>
              </w:rPr>
            </w:pPr>
            <w:r>
              <w:rPr>
                <w:rFonts w:ascii="Times New Roman" w:eastAsia="Times New Roman" w:hAnsi="Times New Roman" w:cs="Times New Roman"/>
              </w:rPr>
              <w:t>- - Видеозапись с описанием протокола упражнений [17,стр.112]. </w:t>
            </w:r>
          </w:p>
        </w:tc>
      </w:tr>
      <w:tr w:rsidR="000A3797">
        <w:tc>
          <w:tcPr>
            <w:tcW w:w="2093" w:type="dxa"/>
            <w:tcBorders>
              <w:top w:val="single" w:sz="4" w:space="0" w:color="000000"/>
              <w:left w:val="single" w:sz="4" w:space="0" w:color="000000"/>
              <w:bottom w:val="single" w:sz="4" w:space="0" w:color="000000"/>
              <w:right w:val="single" w:sz="4" w:space="0" w:color="000000"/>
            </w:tcBorders>
          </w:tcPr>
          <w:p w:rsidR="000A3797" w:rsidRDefault="00A660E7">
            <w:pPr>
              <w:jc w:val="both"/>
              <w:rPr>
                <w:rFonts w:ascii="Times New Roman" w:eastAsia="Times New Roman" w:hAnsi="Times New Roman" w:cs="Times New Roman"/>
              </w:rPr>
            </w:pPr>
            <w:r>
              <w:rPr>
                <w:rFonts w:ascii="Times New Roman" w:eastAsia="Times New Roman" w:hAnsi="Times New Roman" w:cs="Times New Roman"/>
              </w:rPr>
              <w:t>Уилсон и др., 1995 г. </w:t>
            </w:r>
          </w:p>
        </w:tc>
        <w:tc>
          <w:tcPr>
            <w:tcW w:w="7478" w:type="dxa"/>
            <w:tcBorders>
              <w:top w:val="single" w:sz="4" w:space="0" w:color="000000"/>
              <w:left w:val="single" w:sz="4" w:space="0" w:color="000000"/>
              <w:bottom w:val="single" w:sz="4" w:space="0" w:color="000000"/>
              <w:right w:val="single" w:sz="4" w:space="0" w:color="000000"/>
            </w:tcBorders>
          </w:tcPr>
          <w:p w:rsidR="000A3797" w:rsidRDefault="00A660E7">
            <w:pPr>
              <w:jc w:val="both"/>
              <w:rPr>
                <w:rFonts w:ascii="Times New Roman" w:eastAsia="Times New Roman" w:hAnsi="Times New Roman" w:cs="Times New Roman"/>
              </w:rPr>
            </w:pPr>
            <w:r>
              <w:rPr>
                <w:rFonts w:ascii="Times New Roman" w:eastAsia="Times New Roman" w:hAnsi="Times New Roman" w:cs="Times New Roman"/>
              </w:rPr>
              <w:t>100 чередующихся быстрых (1 секунда) и медленных (5 секунд) сокращений ежедневно[17,стр.112]. </w:t>
            </w:r>
          </w:p>
        </w:tc>
      </w:tr>
      <w:tr w:rsidR="000A3797">
        <w:tc>
          <w:tcPr>
            <w:tcW w:w="2093" w:type="dxa"/>
            <w:tcBorders>
              <w:top w:val="single" w:sz="4" w:space="0" w:color="000000"/>
              <w:left w:val="single" w:sz="4" w:space="0" w:color="000000"/>
              <w:bottom w:val="single" w:sz="4" w:space="0" w:color="000000"/>
              <w:right w:val="single" w:sz="4" w:space="0" w:color="000000"/>
            </w:tcBorders>
          </w:tcPr>
          <w:p w:rsidR="000A3797" w:rsidRDefault="00A660E7">
            <w:pPr>
              <w:jc w:val="both"/>
              <w:rPr>
                <w:rFonts w:ascii="Times New Roman" w:eastAsia="Times New Roman" w:hAnsi="Times New Roman" w:cs="Times New Roman"/>
              </w:rPr>
            </w:pPr>
            <w:r>
              <w:rPr>
                <w:rFonts w:ascii="Times New Roman" w:eastAsia="Times New Roman" w:hAnsi="Times New Roman" w:cs="Times New Roman"/>
              </w:rPr>
              <w:t>Бо и др., 1999 г.</w:t>
            </w:r>
          </w:p>
        </w:tc>
        <w:tc>
          <w:tcPr>
            <w:tcW w:w="7478" w:type="dxa"/>
            <w:tcBorders>
              <w:top w:val="single" w:sz="4" w:space="0" w:color="000000"/>
              <w:left w:val="single" w:sz="4" w:space="0" w:color="000000"/>
              <w:bottom w:val="single" w:sz="4" w:space="0" w:color="000000"/>
              <w:right w:val="single" w:sz="4" w:space="0" w:color="000000"/>
            </w:tcBorders>
          </w:tcPr>
          <w:p w:rsidR="000A3797" w:rsidRDefault="00A660E7">
            <w:pPr>
              <w:jc w:val="both"/>
              <w:rPr>
                <w:rFonts w:ascii="Times New Roman" w:eastAsia="Times New Roman" w:hAnsi="Times New Roman" w:cs="Times New Roman"/>
              </w:rPr>
            </w:pPr>
            <w:r>
              <w:rPr>
                <w:rFonts w:ascii="Times New Roman" w:eastAsia="Times New Roman" w:hAnsi="Times New Roman" w:cs="Times New Roman"/>
              </w:rPr>
              <w:t xml:space="preserve">- От 8 </w:t>
            </w:r>
            <w:r>
              <w:rPr>
                <w:rFonts w:ascii="Times New Roman" w:eastAsia="Times New Roman" w:hAnsi="Times New Roman" w:cs="Times New Roman"/>
              </w:rPr>
              <w:t>до 12 высокоинтенсивных (близких к максимальным) СМТД с задержкой от 6 до 8 секунд и добавлением 3-4 быстрых сокращений в конце каждой задержки, 6-секундный отдых между сокращениями[17,стр.112]. </w:t>
            </w:r>
          </w:p>
          <w:p w:rsidR="000A3797" w:rsidRDefault="00A660E7">
            <w:pPr>
              <w:jc w:val="both"/>
              <w:rPr>
                <w:rFonts w:ascii="Times New Roman" w:eastAsia="Times New Roman" w:hAnsi="Times New Roman" w:cs="Times New Roman"/>
              </w:rPr>
            </w:pPr>
            <w:r>
              <w:rPr>
                <w:rFonts w:ascii="Times New Roman" w:eastAsia="Times New Roman" w:hAnsi="Times New Roman" w:cs="Times New Roman"/>
              </w:rPr>
              <w:t>- Подходы: 3 раза в день в день [17,стр.112]. </w:t>
            </w:r>
          </w:p>
          <w:p w:rsidR="000A3797" w:rsidRDefault="00A660E7">
            <w:pPr>
              <w:jc w:val="both"/>
              <w:rPr>
                <w:rFonts w:ascii="Times New Roman" w:eastAsia="Times New Roman" w:hAnsi="Times New Roman" w:cs="Times New Roman"/>
              </w:rPr>
            </w:pPr>
            <w:r>
              <w:rPr>
                <w:rFonts w:ascii="Times New Roman" w:eastAsia="Times New Roman" w:hAnsi="Times New Roman" w:cs="Times New Roman"/>
              </w:rPr>
              <w:t>- Положение т</w:t>
            </w:r>
            <w:r>
              <w:rPr>
                <w:rFonts w:ascii="Times New Roman" w:eastAsia="Times New Roman" w:hAnsi="Times New Roman" w:cs="Times New Roman"/>
              </w:rPr>
              <w:t>ела: лежа, на коленях, сидя, стоя; все с расставленными ногами; при условии использования предпочтительной позиции; [17,стр.112]. </w:t>
            </w:r>
          </w:p>
          <w:p w:rsidR="000A3797" w:rsidRDefault="00A660E7">
            <w:pPr>
              <w:jc w:val="both"/>
              <w:rPr>
                <w:rFonts w:ascii="Times New Roman" w:eastAsia="Times New Roman" w:hAnsi="Times New Roman" w:cs="Times New Roman"/>
              </w:rPr>
            </w:pPr>
            <w:r>
              <w:rPr>
                <w:rFonts w:ascii="Times New Roman" w:eastAsia="Times New Roman" w:hAnsi="Times New Roman" w:cs="Times New Roman"/>
              </w:rPr>
              <w:t>- Аудиозапись программы домашних тренировок; [17,стр.112]. </w:t>
            </w:r>
          </w:p>
          <w:p w:rsidR="000A3797" w:rsidRDefault="00A660E7">
            <w:pPr>
              <w:jc w:val="both"/>
              <w:rPr>
                <w:rFonts w:ascii="Times New Roman" w:eastAsia="Times New Roman" w:hAnsi="Times New Roman" w:cs="Times New Roman"/>
              </w:rPr>
            </w:pPr>
            <w:r>
              <w:rPr>
                <w:rFonts w:ascii="Times New Roman" w:eastAsia="Times New Roman" w:hAnsi="Times New Roman" w:cs="Times New Roman"/>
              </w:rPr>
              <w:t>- Еженедельные 45-минутные занятия под музыку с СМТД в различных положениях тела и упражнениями для мышц спины, живота, ягодиц и бедер [17,стр.112]. </w:t>
            </w:r>
          </w:p>
        </w:tc>
      </w:tr>
      <w:tr w:rsidR="000A3797">
        <w:tc>
          <w:tcPr>
            <w:tcW w:w="2093" w:type="dxa"/>
            <w:tcBorders>
              <w:top w:val="single" w:sz="4" w:space="0" w:color="000000"/>
              <w:left w:val="single" w:sz="4" w:space="0" w:color="000000"/>
              <w:bottom w:val="single" w:sz="4" w:space="0" w:color="000000"/>
              <w:right w:val="single" w:sz="4" w:space="0" w:color="000000"/>
            </w:tcBorders>
          </w:tcPr>
          <w:p w:rsidR="000A3797" w:rsidRDefault="00A660E7">
            <w:pPr>
              <w:jc w:val="both"/>
              <w:rPr>
                <w:rFonts w:ascii="Times New Roman" w:eastAsia="Times New Roman" w:hAnsi="Times New Roman" w:cs="Times New Roman"/>
              </w:rPr>
            </w:pPr>
            <w:r>
              <w:rPr>
                <w:rFonts w:ascii="Times New Roman" w:eastAsia="Times New Roman" w:hAnsi="Times New Roman" w:cs="Times New Roman"/>
              </w:rPr>
              <w:t>Аксач и др., 2003 г. </w:t>
            </w:r>
          </w:p>
        </w:tc>
        <w:tc>
          <w:tcPr>
            <w:tcW w:w="7478" w:type="dxa"/>
            <w:tcBorders>
              <w:top w:val="single" w:sz="4" w:space="0" w:color="000000"/>
              <w:left w:val="single" w:sz="4" w:space="0" w:color="000000"/>
              <w:bottom w:val="single" w:sz="4" w:space="0" w:color="000000"/>
              <w:right w:val="single" w:sz="4" w:space="0" w:color="000000"/>
            </w:tcBorders>
          </w:tcPr>
          <w:p w:rsidR="000A3797" w:rsidRDefault="00A660E7">
            <w:pPr>
              <w:jc w:val="both"/>
              <w:rPr>
                <w:rFonts w:ascii="Times New Roman" w:eastAsia="Times New Roman" w:hAnsi="Times New Roman" w:cs="Times New Roman"/>
              </w:rPr>
            </w:pPr>
            <w:r>
              <w:rPr>
                <w:rFonts w:ascii="Times New Roman" w:eastAsia="Times New Roman" w:hAnsi="Times New Roman" w:cs="Times New Roman"/>
              </w:rPr>
              <w:t>-10 СМТД с задержкой 5 секунд и отдыхом 10 секунд [17,стр.112]. </w:t>
            </w:r>
          </w:p>
          <w:p w:rsidR="000A3797" w:rsidRDefault="00A660E7">
            <w:pPr>
              <w:jc w:val="both"/>
              <w:rPr>
                <w:rFonts w:ascii="Times New Roman" w:eastAsia="Times New Roman" w:hAnsi="Times New Roman" w:cs="Times New Roman"/>
              </w:rPr>
            </w:pPr>
            <w:r>
              <w:rPr>
                <w:rFonts w:ascii="Times New Roman" w:eastAsia="Times New Roman" w:hAnsi="Times New Roman" w:cs="Times New Roman"/>
              </w:rPr>
              <w:t>- Через 2 недели д</w:t>
            </w:r>
            <w:r>
              <w:rPr>
                <w:rFonts w:ascii="Times New Roman" w:eastAsia="Times New Roman" w:hAnsi="Times New Roman" w:cs="Times New Roman"/>
              </w:rPr>
              <w:t>о 10 секунд задержки и 20 секунд отдыха [17,стр.112]. </w:t>
            </w:r>
          </w:p>
          <w:p w:rsidR="000A3797" w:rsidRDefault="00A660E7">
            <w:pPr>
              <w:jc w:val="both"/>
              <w:rPr>
                <w:rFonts w:ascii="Times New Roman" w:eastAsia="Times New Roman" w:hAnsi="Times New Roman" w:cs="Times New Roman"/>
              </w:rPr>
            </w:pPr>
            <w:r>
              <w:rPr>
                <w:rFonts w:ascii="Times New Roman" w:eastAsia="Times New Roman" w:hAnsi="Times New Roman" w:cs="Times New Roman"/>
              </w:rPr>
              <w:t>- Подходы: 3 раза в день в день  [17,стр.112]. </w:t>
            </w:r>
          </w:p>
        </w:tc>
      </w:tr>
      <w:tr w:rsidR="000A3797">
        <w:tc>
          <w:tcPr>
            <w:tcW w:w="2093" w:type="dxa"/>
            <w:tcBorders>
              <w:top w:val="single" w:sz="4" w:space="0" w:color="000000"/>
              <w:left w:val="single" w:sz="4" w:space="0" w:color="000000"/>
              <w:bottom w:val="single" w:sz="4" w:space="0" w:color="000000"/>
              <w:right w:val="single" w:sz="4" w:space="0" w:color="000000"/>
            </w:tcBorders>
          </w:tcPr>
          <w:p w:rsidR="000A3797" w:rsidRDefault="00A660E7">
            <w:pPr>
              <w:jc w:val="both"/>
              <w:rPr>
                <w:rFonts w:ascii="Times New Roman" w:eastAsia="Times New Roman" w:hAnsi="Times New Roman" w:cs="Times New Roman"/>
              </w:rPr>
            </w:pPr>
            <w:r>
              <w:rPr>
                <w:rFonts w:ascii="Times New Roman" w:eastAsia="Times New Roman" w:hAnsi="Times New Roman" w:cs="Times New Roman"/>
              </w:rPr>
              <w:t>Йонн и др., 2003</w:t>
            </w:r>
          </w:p>
        </w:tc>
        <w:tc>
          <w:tcPr>
            <w:tcW w:w="7478" w:type="dxa"/>
            <w:tcBorders>
              <w:top w:val="single" w:sz="4" w:space="0" w:color="000000"/>
              <w:left w:val="single" w:sz="4" w:space="0" w:color="000000"/>
              <w:bottom w:val="single" w:sz="4" w:space="0" w:color="000000"/>
              <w:right w:val="single" w:sz="4" w:space="0" w:color="000000"/>
            </w:tcBorders>
          </w:tcPr>
          <w:p w:rsidR="000A3797" w:rsidRDefault="00A660E7">
            <w:pPr>
              <w:jc w:val="both"/>
              <w:rPr>
                <w:rFonts w:ascii="Times New Roman" w:eastAsia="Times New Roman" w:hAnsi="Times New Roman" w:cs="Times New Roman"/>
              </w:rPr>
            </w:pPr>
            <w:r>
              <w:rPr>
                <w:rFonts w:ascii="Times New Roman" w:eastAsia="Times New Roman" w:hAnsi="Times New Roman" w:cs="Times New Roman"/>
              </w:rPr>
              <w:t>- СМТД для силы и выносливости, от 15 до 20 минут в день [17,стр.112].</w:t>
            </w:r>
          </w:p>
          <w:p w:rsidR="000A3797" w:rsidRDefault="00A660E7">
            <w:pPr>
              <w:jc w:val="both"/>
              <w:rPr>
                <w:rFonts w:ascii="Times New Roman" w:eastAsia="Times New Roman" w:hAnsi="Times New Roman" w:cs="Times New Roman"/>
              </w:rPr>
            </w:pPr>
            <w:r>
              <w:rPr>
                <w:rFonts w:ascii="Times New Roman" w:eastAsia="Times New Roman" w:hAnsi="Times New Roman" w:cs="Times New Roman"/>
              </w:rPr>
              <w:t xml:space="preserve">- Сила: интенсивные сокращения МТД продолжительностью несколько </w:t>
            </w:r>
            <w:r>
              <w:rPr>
                <w:rFonts w:ascii="Times New Roman" w:eastAsia="Times New Roman" w:hAnsi="Times New Roman" w:cs="Times New Roman"/>
              </w:rPr>
              <w:t>секунд [17,стр.112].</w:t>
            </w:r>
          </w:p>
          <w:p w:rsidR="000A3797" w:rsidRDefault="00A660E7">
            <w:pPr>
              <w:jc w:val="both"/>
              <w:rPr>
                <w:rFonts w:ascii="Times New Roman" w:eastAsia="Times New Roman" w:hAnsi="Times New Roman" w:cs="Times New Roman"/>
              </w:rPr>
            </w:pPr>
            <w:r>
              <w:rPr>
                <w:rFonts w:ascii="Times New Roman" w:eastAsia="Times New Roman" w:hAnsi="Times New Roman" w:cs="Times New Roman"/>
              </w:rPr>
              <w:t>- Выносливость: 6-секундные удержания с увеличением на 1 секунду в неделю до 12 секунд [17,стр.112]. </w:t>
            </w:r>
          </w:p>
          <w:p w:rsidR="000A3797" w:rsidRDefault="00A660E7">
            <w:pPr>
              <w:jc w:val="both"/>
              <w:rPr>
                <w:rFonts w:ascii="Times New Roman" w:eastAsia="Times New Roman" w:hAnsi="Times New Roman" w:cs="Times New Roman"/>
              </w:rPr>
            </w:pPr>
            <w:r>
              <w:rPr>
                <w:rFonts w:ascii="Times New Roman" w:eastAsia="Times New Roman" w:hAnsi="Times New Roman" w:cs="Times New Roman"/>
              </w:rPr>
              <w:t>- Подходы: не указано [17,стр.112]. </w:t>
            </w:r>
          </w:p>
        </w:tc>
      </w:tr>
    </w:tbl>
    <w:p w:rsidR="000A3797" w:rsidRDefault="00A660E7">
      <w:pPr>
        <w:rPr>
          <w:rFonts w:ascii="Times New Roman" w:eastAsia="Times New Roman" w:hAnsi="Times New Roman" w:cs="Times New Roman"/>
          <w:sz w:val="28"/>
          <w:szCs w:val="28"/>
        </w:rPr>
      </w:pPr>
      <w:r>
        <w:rPr>
          <w:rFonts w:ascii="Times New Roman" w:eastAsia="Times New Roman" w:hAnsi="Times New Roman" w:cs="Times New Roman"/>
          <w:sz w:val="28"/>
          <w:szCs w:val="28"/>
        </w:rPr>
        <w:t>Продолжение таблицы 1</w:t>
      </w:r>
    </w:p>
    <w:tbl>
      <w:tblPr>
        <w:tblStyle w:val="a6"/>
        <w:tblW w:w="957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93"/>
        <w:gridCol w:w="7478"/>
      </w:tblGrid>
      <w:tr w:rsidR="000A3797">
        <w:tc>
          <w:tcPr>
            <w:tcW w:w="2093" w:type="dxa"/>
            <w:tcBorders>
              <w:top w:val="single" w:sz="4" w:space="0" w:color="000000"/>
              <w:left w:val="single" w:sz="4" w:space="0" w:color="000000"/>
              <w:bottom w:val="single" w:sz="4" w:space="0" w:color="000000"/>
              <w:right w:val="single" w:sz="4" w:space="0" w:color="000000"/>
            </w:tcBorders>
          </w:tcPr>
          <w:p w:rsidR="000A3797" w:rsidRDefault="00A660E7">
            <w:pPr>
              <w:jc w:val="center"/>
              <w:rPr>
                <w:rFonts w:ascii="Times New Roman" w:eastAsia="Times New Roman" w:hAnsi="Times New Roman" w:cs="Times New Roman"/>
              </w:rPr>
            </w:pPr>
            <w:r>
              <w:rPr>
                <w:rFonts w:ascii="Times New Roman" w:eastAsia="Times New Roman" w:hAnsi="Times New Roman" w:cs="Times New Roman"/>
              </w:rPr>
              <w:t>1</w:t>
            </w:r>
          </w:p>
        </w:tc>
        <w:tc>
          <w:tcPr>
            <w:tcW w:w="7478" w:type="dxa"/>
            <w:tcBorders>
              <w:top w:val="single" w:sz="4" w:space="0" w:color="000000"/>
              <w:left w:val="single" w:sz="4" w:space="0" w:color="000000"/>
              <w:bottom w:val="single" w:sz="4" w:space="0" w:color="000000"/>
              <w:right w:val="single" w:sz="4" w:space="0" w:color="000000"/>
            </w:tcBorders>
          </w:tcPr>
          <w:p w:rsidR="000A3797" w:rsidRDefault="00A660E7">
            <w:pPr>
              <w:jc w:val="center"/>
              <w:rPr>
                <w:rFonts w:ascii="Times New Roman" w:eastAsia="Times New Roman" w:hAnsi="Times New Roman" w:cs="Times New Roman"/>
              </w:rPr>
            </w:pPr>
            <w:r>
              <w:rPr>
                <w:rFonts w:ascii="Times New Roman" w:eastAsia="Times New Roman" w:hAnsi="Times New Roman" w:cs="Times New Roman"/>
              </w:rPr>
              <w:t>2</w:t>
            </w:r>
          </w:p>
        </w:tc>
      </w:tr>
      <w:tr w:rsidR="000A3797">
        <w:tc>
          <w:tcPr>
            <w:tcW w:w="2093" w:type="dxa"/>
            <w:tcBorders>
              <w:top w:val="single" w:sz="4" w:space="0" w:color="000000"/>
              <w:left w:val="single" w:sz="4" w:space="0" w:color="000000"/>
              <w:bottom w:val="single" w:sz="4" w:space="0" w:color="000000"/>
              <w:right w:val="single" w:sz="4" w:space="0" w:color="000000"/>
            </w:tcBorders>
          </w:tcPr>
          <w:p w:rsidR="000A3797" w:rsidRDefault="00A660E7">
            <w:pPr>
              <w:jc w:val="both"/>
              <w:rPr>
                <w:rFonts w:ascii="Times New Roman" w:eastAsia="Times New Roman" w:hAnsi="Times New Roman" w:cs="Times New Roman"/>
              </w:rPr>
            </w:pPr>
            <w:r>
              <w:rPr>
                <w:rFonts w:ascii="Times New Roman" w:eastAsia="Times New Roman" w:hAnsi="Times New Roman" w:cs="Times New Roman"/>
              </w:rPr>
              <w:t>Борелло-Франс и др., 2008 г. </w:t>
            </w:r>
          </w:p>
        </w:tc>
        <w:tc>
          <w:tcPr>
            <w:tcW w:w="7478" w:type="dxa"/>
            <w:tcBorders>
              <w:top w:val="single" w:sz="4" w:space="0" w:color="000000"/>
              <w:left w:val="single" w:sz="4" w:space="0" w:color="000000"/>
              <w:bottom w:val="single" w:sz="4" w:space="0" w:color="000000"/>
              <w:right w:val="single" w:sz="4" w:space="0" w:color="000000"/>
            </w:tcBorders>
          </w:tcPr>
          <w:p w:rsidR="000A3797" w:rsidRDefault="00A660E7">
            <w:pPr>
              <w:jc w:val="both"/>
              <w:rPr>
                <w:rFonts w:ascii="Times New Roman" w:eastAsia="Times New Roman" w:hAnsi="Times New Roman" w:cs="Times New Roman"/>
              </w:rPr>
            </w:pPr>
            <w:r>
              <w:rPr>
                <w:rFonts w:ascii="Times New Roman" w:eastAsia="Times New Roman" w:hAnsi="Times New Roman" w:cs="Times New Roman"/>
              </w:rPr>
              <w:t>- СМТД: 3 подхода по 20 сокращений (задержка 3 секунды) и 3 подхода по 10 сокращений (задержка 12 секунд) за сеанс, два раза в день [17,стр.112]. </w:t>
            </w:r>
          </w:p>
        </w:tc>
      </w:tr>
      <w:tr w:rsidR="000A3797">
        <w:tc>
          <w:tcPr>
            <w:tcW w:w="9571" w:type="dxa"/>
            <w:gridSpan w:val="2"/>
            <w:tcBorders>
              <w:top w:val="single" w:sz="4" w:space="0" w:color="000000"/>
              <w:left w:val="single" w:sz="4" w:space="0" w:color="000000"/>
              <w:bottom w:val="single" w:sz="4" w:space="0" w:color="000000"/>
              <w:right w:val="single" w:sz="4" w:space="0" w:color="000000"/>
            </w:tcBorders>
          </w:tcPr>
          <w:p w:rsidR="000A3797" w:rsidRDefault="00A660E7">
            <w:pPr>
              <w:shd w:val="clear" w:color="auto" w:fill="FFFFFF"/>
              <w:jc w:val="both"/>
              <w:rPr>
                <w:rFonts w:ascii="Times New Roman" w:eastAsia="Times New Roman" w:hAnsi="Times New Roman" w:cs="Times New Roman"/>
              </w:rPr>
            </w:pPr>
            <w:r>
              <w:rPr>
                <w:rFonts w:ascii="Times New Roman" w:eastAsia="Times New Roman" w:hAnsi="Times New Roman" w:cs="Times New Roman"/>
              </w:rPr>
              <w:t>Примечание: СМТД - сокращения мышц тазового дна [17,стр.112]. </w:t>
            </w:r>
          </w:p>
          <w:p w:rsidR="000A3797" w:rsidRDefault="000A3797">
            <w:pPr>
              <w:jc w:val="both"/>
              <w:rPr>
                <w:rFonts w:ascii="Times New Roman" w:eastAsia="Times New Roman" w:hAnsi="Times New Roman" w:cs="Times New Roman"/>
              </w:rPr>
            </w:pPr>
          </w:p>
        </w:tc>
      </w:tr>
    </w:tbl>
    <w:p w:rsidR="000A3797" w:rsidRDefault="000A3797">
      <w:pPr>
        <w:shd w:val="clear" w:color="auto" w:fill="FFFFFF"/>
        <w:spacing w:after="0" w:line="240" w:lineRule="auto"/>
        <w:ind w:firstLine="709"/>
        <w:jc w:val="both"/>
        <w:rPr>
          <w:rFonts w:ascii="Times New Roman" w:eastAsia="Times New Roman" w:hAnsi="Times New Roman" w:cs="Times New Roman"/>
          <w:sz w:val="28"/>
          <w:szCs w:val="28"/>
        </w:rPr>
      </w:pPr>
    </w:p>
    <w:p w:rsidR="000A3797" w:rsidRDefault="00A660E7">
      <w:pPr>
        <w:shd w:val="clear" w:color="auto" w:fill="FFFFFF"/>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Пока на сегодняшний день не существует оптимальной схемы для тренировок МТД [17,стр.112]. Вероятно, более обоснованным подходом можно считать индивидуальный для каждого пациента подбор упражнений совместно с физиотерапевтом [17,стр.112]. Четкие инструкции,</w:t>
      </w:r>
      <w:r>
        <w:rPr>
          <w:rFonts w:ascii="Times New Roman" w:eastAsia="Times New Roman" w:hAnsi="Times New Roman" w:cs="Times New Roman"/>
          <w:sz w:val="28"/>
          <w:szCs w:val="28"/>
        </w:rPr>
        <w:t xml:space="preserve"> мотивация во время терапии и запланированные последующие наблюдения прогресса необходимы для высокой приверженности и определения дальнейшей тактики [17,стр.112].</w:t>
      </w:r>
    </w:p>
    <w:p w:rsidR="000A3797" w:rsidRDefault="00A660E7">
      <w:pPr>
        <w:shd w:val="clear" w:color="auto" w:fill="FFFFFF"/>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Практики должны учитывать соответствующие аспекты патофизиологии МТД и описанные принципы эф</w:t>
      </w:r>
      <w:r>
        <w:rPr>
          <w:rFonts w:ascii="Times New Roman" w:eastAsia="Times New Roman" w:hAnsi="Times New Roman" w:cs="Times New Roman"/>
          <w:sz w:val="28"/>
          <w:szCs w:val="28"/>
        </w:rPr>
        <w:t>фективной тренировки мышц. Они также должны быть готовы исследовать новые подходы и технологии при обследовании пациентов и оценке эффективности их обучения. [17,стр.112]. В частности, может быть применимо более глубокое знание физиологии упражнений, спорт</w:t>
      </w:r>
      <w:r>
        <w:rPr>
          <w:rFonts w:ascii="Times New Roman" w:eastAsia="Times New Roman" w:hAnsi="Times New Roman" w:cs="Times New Roman"/>
          <w:sz w:val="28"/>
          <w:szCs w:val="28"/>
        </w:rPr>
        <w:t>ивной науки и применения возможностей других физиопроцедур [17,стр.112]. </w:t>
      </w:r>
    </w:p>
    <w:p w:rsidR="000A3797" w:rsidRDefault="00A660E7">
      <w:pPr>
        <w:pBdr>
          <w:top w:val="nil"/>
          <w:left w:val="nil"/>
          <w:bottom w:val="nil"/>
          <w:right w:val="nil"/>
          <w:between w:val="nil"/>
        </w:pBdr>
        <w:shd w:val="clear" w:color="auto" w:fill="FFFFFF"/>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highlight w:val="white"/>
        </w:rPr>
        <w:t>В исследованиях, было отмечено положительное в</w:t>
      </w:r>
      <w:r>
        <w:rPr>
          <w:rFonts w:ascii="Times New Roman" w:eastAsia="Times New Roman" w:hAnsi="Times New Roman" w:cs="Times New Roman"/>
          <w:color w:val="000000"/>
          <w:sz w:val="28"/>
          <w:szCs w:val="28"/>
        </w:rPr>
        <w:t>лияние упражнений для тазового дна  на сексуальную жизнь женщин [17,стр.112; 96]. Наблюдалось повышение тонуса влагалища, увеличения либидо, снижение сухости во влагалище, улучшения о в отношении оргазма и снижения диспареунии. Наблюдалась тенденция к улуч</w:t>
      </w:r>
      <w:r>
        <w:rPr>
          <w:rFonts w:ascii="Times New Roman" w:eastAsia="Times New Roman" w:hAnsi="Times New Roman" w:cs="Times New Roman"/>
          <w:color w:val="000000"/>
          <w:sz w:val="28"/>
          <w:szCs w:val="28"/>
        </w:rPr>
        <w:t>шению состояния тазового дна в послеродовом периоде при проведении тренировок для МТД, в том числе и в другими физиопроцедурами [43,стр.96, стр.270]. Однако доказательства нельзя считать убедительными, так как РКИ, включенные в метаанализ проводились на ма</w:t>
      </w:r>
      <w:r>
        <w:rPr>
          <w:rFonts w:ascii="Times New Roman" w:eastAsia="Times New Roman" w:hAnsi="Times New Roman" w:cs="Times New Roman"/>
          <w:color w:val="000000"/>
          <w:sz w:val="28"/>
          <w:szCs w:val="28"/>
        </w:rPr>
        <w:t>лых выборках [43,стр.147, 96 стр. 270]. </w:t>
      </w:r>
    </w:p>
    <w:p w:rsidR="000A3797" w:rsidRDefault="00A660E7">
      <w:pPr>
        <w:pBdr>
          <w:top w:val="nil"/>
          <w:left w:val="nil"/>
          <w:bottom w:val="nil"/>
          <w:right w:val="nil"/>
          <w:between w:val="nil"/>
        </w:pBdr>
        <w:shd w:val="clear" w:color="auto" w:fill="FFFFFF"/>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Тренировка мышц тазового дна часто рекомендуется для лечения послеродового недержания мочи[15, стр. 252; 62,стр16; 96-103]. </w:t>
      </w:r>
      <w:r>
        <w:rPr>
          <w:rFonts w:ascii="Times New Roman" w:eastAsia="Times New Roman" w:hAnsi="Times New Roman" w:cs="Times New Roman"/>
          <w:color w:val="000000"/>
          <w:sz w:val="28"/>
          <w:szCs w:val="28"/>
          <w:highlight w:val="white"/>
        </w:rPr>
        <w:t>Yang X</w:t>
      </w:r>
      <w:r>
        <w:rPr>
          <w:rFonts w:ascii="Times New Roman" w:eastAsia="Times New Roman" w:hAnsi="Times New Roman" w:cs="Times New Roman"/>
          <w:color w:val="000000"/>
          <w:sz w:val="28"/>
          <w:szCs w:val="28"/>
        </w:rPr>
        <w:t xml:space="preserve">  и соавторы объединили данные 10 РКИ посвященных влиянию упражнений при недержании м</w:t>
      </w:r>
      <w:r>
        <w:rPr>
          <w:rFonts w:ascii="Times New Roman" w:eastAsia="Times New Roman" w:hAnsi="Times New Roman" w:cs="Times New Roman"/>
          <w:color w:val="000000"/>
          <w:sz w:val="28"/>
          <w:szCs w:val="28"/>
        </w:rPr>
        <w:t>очи, анальном недержании и тазовом пролапсе [15, стр. 252;; 64,стр.1415]. Большинство РКИ обучали женщин в послеродовый период [15, стр. 252]. Упражнения  шли в сочетании с реабилитационными устройствами, такими как: прямая низковольтная низкочастотная эле</w:t>
      </w:r>
      <w:r>
        <w:rPr>
          <w:rFonts w:ascii="Times New Roman" w:eastAsia="Times New Roman" w:hAnsi="Times New Roman" w:cs="Times New Roman"/>
          <w:color w:val="000000"/>
          <w:sz w:val="28"/>
          <w:szCs w:val="28"/>
        </w:rPr>
        <w:t>ктрическая стимуляция влагалища, трансвагинальная электрическая стимуляция,нервно-мышечная стимуляция, сакральная нейромодуляция, биполярные  вагинальные радиочастотные устройства  [15, стр. 252; 64,стр.1420]. Другие лечебные процедуры включали инъекции ко</w:t>
      </w:r>
      <w:r>
        <w:rPr>
          <w:rFonts w:ascii="Times New Roman" w:eastAsia="Times New Roman" w:hAnsi="Times New Roman" w:cs="Times New Roman"/>
          <w:color w:val="000000"/>
          <w:sz w:val="28"/>
          <w:szCs w:val="28"/>
        </w:rPr>
        <w:t>ллагена [15, стр. 252]. Кроме того, было проведено РКИ только изучающее упражнения для мышц тазового дна  по сравнению с контрольной группой без тренировок[15, стр. 252].  Чтобы оценить эффект, в 6 РКИ использовали специализированные анкеты: ICIQ-OAB, UDI,</w:t>
      </w:r>
      <w:r>
        <w:rPr>
          <w:rFonts w:ascii="Times New Roman" w:eastAsia="Times New Roman" w:hAnsi="Times New Roman" w:cs="Times New Roman"/>
          <w:color w:val="000000"/>
          <w:sz w:val="28"/>
          <w:szCs w:val="28"/>
        </w:rPr>
        <w:t>IIQ, ICIQ-UI SF,ICIQ-LUTSqol [15; 64 стр.1420].  Прямая низковольтная низкочастотная электрическая стимуляция влагалища показали многообещающие результаты в уменьшении симптомов дисфункции тазового дна, в особенности в исследованиях с обратной связью от па</w:t>
      </w:r>
      <w:r>
        <w:rPr>
          <w:rFonts w:ascii="Times New Roman" w:eastAsia="Times New Roman" w:hAnsi="Times New Roman" w:cs="Times New Roman"/>
          <w:color w:val="000000"/>
          <w:sz w:val="28"/>
          <w:szCs w:val="28"/>
        </w:rPr>
        <w:t>циентов при проведении процедуры [15, стр. 252; 64,стр.1420]. В одном исследовании группа пациентов, у которых симптомы пролапса и недержания мочи улучшились больше всего, начали упражнения очень рано, на второй день после родов[15, стр. 252].  Трансвагина</w:t>
      </w:r>
      <w:r>
        <w:rPr>
          <w:rFonts w:ascii="Times New Roman" w:eastAsia="Times New Roman" w:hAnsi="Times New Roman" w:cs="Times New Roman"/>
          <w:color w:val="000000"/>
          <w:sz w:val="28"/>
          <w:szCs w:val="28"/>
        </w:rPr>
        <w:t>льная электрическая стимуляция  продемонстрировала более высокий уровень правильного сокращения в группе с небольшой дисфункцией тазового дна, которые получали процедуру 5 раз в течение 7–14 недель после родов [15, стр. 252; 64,стр.1414].   Сакральная нейр</w:t>
      </w:r>
      <w:r>
        <w:rPr>
          <w:rFonts w:ascii="Times New Roman" w:eastAsia="Times New Roman" w:hAnsi="Times New Roman" w:cs="Times New Roman"/>
          <w:color w:val="000000"/>
          <w:sz w:val="28"/>
          <w:szCs w:val="28"/>
        </w:rPr>
        <w:t>омодуляция показала улучшение симптомов анального недержания, недержания мочи и улучшение качества жизни[15, стр. 252].  Вагинальные радиочастотные устройства не показали улучшения состояния при симптомах пролапса. Устройства EmbaGYN и Magic Kegel Master п</w:t>
      </w:r>
      <w:r>
        <w:rPr>
          <w:rFonts w:ascii="Times New Roman" w:eastAsia="Times New Roman" w:hAnsi="Times New Roman" w:cs="Times New Roman"/>
          <w:color w:val="000000"/>
          <w:sz w:val="28"/>
          <w:szCs w:val="28"/>
        </w:rPr>
        <w:t>оказали значительное улучшение у пациентов с симптомами пролапса [15, стр. 252; 64,стр.1414]. Три РКИ, изучавшие только упражнения, по сравнению с контрольной группой не показали значительного улучшения каких-либо симптомов, одно РКИ с большим размером выб</w:t>
      </w:r>
      <w:r>
        <w:rPr>
          <w:rFonts w:ascii="Times New Roman" w:eastAsia="Times New Roman" w:hAnsi="Times New Roman" w:cs="Times New Roman"/>
          <w:color w:val="000000"/>
          <w:sz w:val="28"/>
          <w:szCs w:val="28"/>
        </w:rPr>
        <w:t xml:space="preserve">орки и длительным периодом наблюдения показало многообещающие результаты в отношении симптомов недержания мочи, но эффект длился недолго[15, стр. 252].  Одно испытание показало, что письменные инструкции по выполнению упражнений дают тот же результат, что </w:t>
      </w:r>
      <w:r>
        <w:rPr>
          <w:rFonts w:ascii="Times New Roman" w:eastAsia="Times New Roman" w:hAnsi="Times New Roman" w:cs="Times New Roman"/>
          <w:color w:val="000000"/>
          <w:sz w:val="28"/>
          <w:szCs w:val="28"/>
        </w:rPr>
        <w:t>и совместные тренировки, с последующим наблюдением у специалиста [15, стр. 252; 64,стр.1414].Эти данные весьма полезны для снижения кратности посещения врача[15, стр. 252]. Три испытания показали большой эффект комбинированных методов реабилитации, наприме</w:t>
      </w:r>
      <w:r>
        <w:rPr>
          <w:rFonts w:ascii="Times New Roman" w:eastAsia="Times New Roman" w:hAnsi="Times New Roman" w:cs="Times New Roman"/>
          <w:color w:val="000000"/>
          <w:sz w:val="28"/>
          <w:szCs w:val="28"/>
        </w:rPr>
        <w:t>р, упражнения с электрической стимуляцией[15, стр. 252].  «Однако в долгосрочной перспективе результаты неоднозначные, всего несколько исследований оценивали результаты более года, одно пятилетнее, одна семилетнее, с хорошими результатами, однако некоторые</w:t>
      </w:r>
      <w:r>
        <w:rPr>
          <w:rFonts w:ascii="Times New Roman" w:eastAsia="Times New Roman" w:hAnsi="Times New Roman" w:cs="Times New Roman"/>
          <w:color w:val="000000"/>
          <w:sz w:val="28"/>
          <w:szCs w:val="28"/>
        </w:rPr>
        <w:t xml:space="preserve"> авторы отмечают, что в отношении развития недержания мочи в будущем, упражнения не дадут ожидаемого эффекта [15, стр. 252].  Однако длительные исследования могут подвергнуться критике с этической точки зрения» [15, стр. 252]. </w:t>
      </w:r>
    </w:p>
    <w:p w:rsidR="000A3797" w:rsidRDefault="00A660E7">
      <w:pPr>
        <w:pBdr>
          <w:top w:val="nil"/>
          <w:left w:val="nil"/>
          <w:bottom w:val="nil"/>
          <w:right w:val="nil"/>
          <w:between w:val="nil"/>
        </w:pBdr>
        <w:shd w:val="clear" w:color="auto" w:fill="FFFFFF"/>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трех РКИ были проанализиро</w:t>
      </w:r>
      <w:r>
        <w:rPr>
          <w:rFonts w:ascii="Times New Roman" w:eastAsia="Times New Roman" w:hAnsi="Times New Roman" w:cs="Times New Roman"/>
          <w:color w:val="000000"/>
          <w:sz w:val="28"/>
          <w:szCs w:val="28"/>
        </w:rPr>
        <w:t>ваны различные методы предотвращения акушерских травм и / или эпизиотомии [15, стр. 252; 64,стр.1409]. Два РКИ проанализировали дородовое использование устройства Epi No; ни у кого не было обнаружено значительно более низкой частоты возникновения травм в р</w:t>
      </w:r>
      <w:r>
        <w:rPr>
          <w:rFonts w:ascii="Times New Roman" w:eastAsia="Times New Roman" w:hAnsi="Times New Roman" w:cs="Times New Roman"/>
          <w:color w:val="000000"/>
          <w:sz w:val="28"/>
          <w:szCs w:val="28"/>
        </w:rPr>
        <w:t>одах [15, стр. 252; 64,стр.1415]. В одном РКИ сравнивали массаж промежности с упражнениями для тазового дна в дородовом периоде со стандартным лечением, было отмечено значительное снижение частоты эпизиотомии в группе вмешательства, также меньше разрывов т</w:t>
      </w:r>
      <w:r>
        <w:rPr>
          <w:rFonts w:ascii="Times New Roman" w:eastAsia="Times New Roman" w:hAnsi="Times New Roman" w:cs="Times New Roman"/>
          <w:color w:val="000000"/>
          <w:sz w:val="28"/>
          <w:szCs w:val="28"/>
        </w:rPr>
        <w:t>ретьей-четвертой степени и послеродовой боли в промежности [15, стр. 252; 64,стр.1415]. Два РКИ проанализировали занятие упражнениями для тазового дна после родов: одно - при акушерском повреждении анального сфинктера, второе - при разрывах третьей степени</w:t>
      </w:r>
      <w:r>
        <w:rPr>
          <w:rFonts w:ascii="Times New Roman" w:eastAsia="Times New Roman" w:hAnsi="Times New Roman" w:cs="Times New Roman"/>
          <w:color w:val="000000"/>
          <w:sz w:val="28"/>
          <w:szCs w:val="28"/>
        </w:rPr>
        <w:t xml:space="preserve"> [15, стр. 252]. Ни у одного из них не было обнаружено статистически значимого улучшения после вмешательства[15, стр. 252; 64, стр.1415]. </w:t>
      </w:r>
    </w:p>
    <w:p w:rsidR="000A3797" w:rsidRDefault="00A660E7">
      <w:pPr>
        <w:pBdr>
          <w:top w:val="nil"/>
          <w:left w:val="nil"/>
          <w:bottom w:val="nil"/>
          <w:right w:val="nil"/>
          <w:between w:val="nil"/>
        </w:pBdr>
        <w:shd w:val="clear" w:color="auto" w:fill="FFFFFF"/>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отношении анального недержания после родов упражнения для тазового дна могут быть полезными – доказательства низког</w:t>
      </w:r>
      <w:r>
        <w:rPr>
          <w:rFonts w:ascii="Times New Roman" w:eastAsia="Times New Roman" w:hAnsi="Times New Roman" w:cs="Times New Roman"/>
          <w:color w:val="000000"/>
          <w:sz w:val="28"/>
          <w:szCs w:val="28"/>
        </w:rPr>
        <w:t xml:space="preserve">о качества [15, стр. 252; 64,стр.1416].  </w:t>
      </w:r>
    </w:p>
    <w:p w:rsidR="000A3797" w:rsidRDefault="00A660E7">
      <w:pPr>
        <w:pBdr>
          <w:top w:val="nil"/>
          <w:left w:val="nil"/>
          <w:bottom w:val="nil"/>
          <w:right w:val="nil"/>
          <w:between w:val="nil"/>
        </w:pBdr>
        <w:shd w:val="clear" w:color="auto" w:fill="FFFFFF"/>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Результаты большинства  РКИ, объединенные в этом мета-анализе, указывают на эффективность упражнений для мышц тазового дна до родов и после родов, однако в заключении все же подчеркнута необходимость дополнительных</w:t>
      </w:r>
      <w:r>
        <w:rPr>
          <w:rFonts w:ascii="Times New Roman" w:eastAsia="Times New Roman" w:hAnsi="Times New Roman" w:cs="Times New Roman"/>
          <w:color w:val="000000"/>
          <w:sz w:val="28"/>
          <w:szCs w:val="28"/>
        </w:rPr>
        <w:t xml:space="preserve"> исследований  [15, стр. 252; 64,стр.1416].</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некоторых  исследованиях акцентировано что поддержание обратной связи с пациентами с помощью мониторинга посредством современных средств связи, повышение знаний пациентов о дисфункции тазового дна, получение де</w:t>
      </w:r>
      <w:r>
        <w:rPr>
          <w:rFonts w:ascii="Times New Roman" w:eastAsia="Times New Roman" w:hAnsi="Times New Roman" w:cs="Times New Roman"/>
          <w:sz w:val="28"/>
          <w:szCs w:val="28"/>
        </w:rPr>
        <w:t>тального отчета об увеличении времени и кратности повторений, имело достоверно значимый положительный эффект [15,стр.252; 62,стр.21]. В тех исследованиях, где выполнялся пристальный мониторинг медицинских работников, была выше приверженность и лучшие резул</w:t>
      </w:r>
      <w:r>
        <w:rPr>
          <w:rFonts w:ascii="Times New Roman" w:eastAsia="Times New Roman" w:hAnsi="Times New Roman" w:cs="Times New Roman"/>
          <w:sz w:val="28"/>
          <w:szCs w:val="28"/>
        </w:rPr>
        <w:t>ьтаты, однако это не может быть осуществимо в больших масштабах, так как будет занимать много времени и финансовых затрат [13,стр.12; 15, стр. 252;]</w:t>
      </w:r>
      <w:r>
        <w:rPr>
          <w:rFonts w:ascii="Times New Roman" w:eastAsia="Times New Roman" w:hAnsi="Times New Roman" w:cs="Times New Roman"/>
          <w:sz w:val="28"/>
          <w:szCs w:val="28"/>
          <w:highlight w:val="white"/>
        </w:rPr>
        <w:t xml:space="preserve">. В недавнем мета-анализе оценено использование мобильного приложения </w:t>
      </w:r>
      <w:r>
        <w:rPr>
          <w:rFonts w:ascii="Times New Roman" w:eastAsia="Times New Roman" w:hAnsi="Times New Roman" w:cs="Times New Roman"/>
          <w:sz w:val="28"/>
          <w:szCs w:val="28"/>
        </w:rPr>
        <w:t>mHealth в оценке эффекта влияния на ул</w:t>
      </w:r>
      <w:r>
        <w:rPr>
          <w:rFonts w:ascii="Times New Roman" w:eastAsia="Times New Roman" w:hAnsi="Times New Roman" w:cs="Times New Roman"/>
          <w:sz w:val="28"/>
          <w:szCs w:val="28"/>
        </w:rPr>
        <w:t>учшение самочувствия, снижения симптомов СНМ[13,стр.13; 15, стр. 252;]</w:t>
      </w:r>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 xml:space="preserve"> Данное исследование показало увеличение приверженности к лечению при использовании мобильного приложения, а также снижения как симптомов пролапса, так и повышения качества жизни [13,ст</w:t>
      </w:r>
      <w:r>
        <w:rPr>
          <w:rFonts w:ascii="Times New Roman" w:eastAsia="Times New Roman" w:hAnsi="Times New Roman" w:cs="Times New Roman"/>
          <w:sz w:val="28"/>
          <w:szCs w:val="28"/>
        </w:rPr>
        <w:t>р.13; 15, стр. 252;]</w:t>
      </w:r>
      <w:r>
        <w:rPr>
          <w:rFonts w:ascii="Times New Roman" w:eastAsia="Times New Roman" w:hAnsi="Times New Roman" w:cs="Times New Roman"/>
          <w:sz w:val="28"/>
          <w:szCs w:val="28"/>
          <w:highlight w:val="white"/>
        </w:rPr>
        <w:t xml:space="preserve">. </w:t>
      </w:r>
      <w:r>
        <w:rPr>
          <w:rFonts w:ascii="Times New Roman" w:eastAsia="Times New Roman" w:hAnsi="Times New Roman" w:cs="Times New Roman"/>
          <w:sz w:val="28"/>
          <w:szCs w:val="28"/>
        </w:rPr>
        <w:t xml:space="preserve"> </w:t>
      </w:r>
    </w:p>
    <w:p w:rsidR="000A3797" w:rsidRDefault="00A660E7">
      <w:pPr>
        <w:spacing w:after="0" w:line="240" w:lineRule="auto"/>
        <w:ind w:firstLine="708"/>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Упражнения для мышц тазового дна улучшает мышечную массу и тонус, помогают достичь намеченных результатов, если пациенты испытывают такие симптомы, как «ощущение слабости или дряблости во влагалище» [15, стр. 252; 97-104]. Если паци</w:t>
      </w:r>
      <w:r>
        <w:rPr>
          <w:rFonts w:ascii="Times New Roman" w:eastAsia="Times New Roman" w:hAnsi="Times New Roman" w:cs="Times New Roman"/>
          <w:sz w:val="28"/>
          <w:szCs w:val="28"/>
        </w:rPr>
        <w:t>енты испытывают симптомы диспареунии, дополнительные эффекты могут быть достигнуты путем добавления физиолечения. Из выводов нескольких метаанализов и РКИ сочетание упражнений и физиопроцедур могут быть эффективны для профилактики и лечения дисфункции тазо</w:t>
      </w:r>
      <w:r>
        <w:rPr>
          <w:rFonts w:ascii="Times New Roman" w:eastAsia="Times New Roman" w:hAnsi="Times New Roman" w:cs="Times New Roman"/>
          <w:sz w:val="28"/>
          <w:szCs w:val="28"/>
        </w:rPr>
        <w:t xml:space="preserve">вого дна [15, стр. 252]. </w:t>
      </w:r>
      <w:r>
        <w:rPr>
          <w:rFonts w:ascii="Times New Roman" w:eastAsia="Times New Roman" w:hAnsi="Times New Roman" w:cs="Times New Roman"/>
          <w:sz w:val="28"/>
          <w:szCs w:val="28"/>
          <w:highlight w:val="white"/>
        </w:rPr>
        <w:t xml:space="preserve">В другом обзоре оценивали использование пессариев по сравнению и в сочетании к тренировкам мышц тазового дна, не было убедительных доказательств преимуществ одного из методов в сравнительном аспекте [14, стр.45; </w:t>
      </w:r>
      <w:r>
        <w:rPr>
          <w:rFonts w:ascii="Times New Roman" w:eastAsia="Times New Roman" w:hAnsi="Times New Roman" w:cs="Times New Roman"/>
          <w:sz w:val="28"/>
          <w:szCs w:val="28"/>
        </w:rPr>
        <w:t>15, стр. 252</w:t>
      </w:r>
      <w:r>
        <w:rPr>
          <w:rFonts w:ascii="Times New Roman" w:eastAsia="Times New Roman" w:hAnsi="Times New Roman" w:cs="Times New Roman"/>
          <w:sz w:val="28"/>
          <w:szCs w:val="28"/>
          <w:highlight w:val="white"/>
        </w:rPr>
        <w:t>]. Очев</w:t>
      </w:r>
      <w:r>
        <w:rPr>
          <w:rFonts w:ascii="Times New Roman" w:eastAsia="Times New Roman" w:hAnsi="Times New Roman" w:cs="Times New Roman"/>
          <w:sz w:val="28"/>
          <w:szCs w:val="28"/>
          <w:highlight w:val="white"/>
        </w:rPr>
        <w:t xml:space="preserve">идно, что тренировки имели большее влияние на уменьшение симптомов пролапса, однако в сочетании эти два метода имели хороший эффект влияния [14,стр.45; </w:t>
      </w:r>
      <w:r>
        <w:rPr>
          <w:rFonts w:ascii="Times New Roman" w:eastAsia="Times New Roman" w:hAnsi="Times New Roman" w:cs="Times New Roman"/>
          <w:sz w:val="28"/>
          <w:szCs w:val="28"/>
        </w:rPr>
        <w:t>15, стр. 252</w:t>
      </w:r>
      <w:r>
        <w:rPr>
          <w:rFonts w:ascii="Times New Roman" w:eastAsia="Times New Roman" w:hAnsi="Times New Roman" w:cs="Times New Roman"/>
          <w:sz w:val="28"/>
          <w:szCs w:val="28"/>
          <w:highlight w:val="white"/>
        </w:rPr>
        <w:t>].</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Исследования, где подробно описана процедура обучения женщин упражнениям, проводились на</w:t>
      </w:r>
      <w:r>
        <w:rPr>
          <w:rFonts w:ascii="Times New Roman" w:eastAsia="Times New Roman" w:hAnsi="Times New Roman" w:cs="Times New Roman"/>
          <w:sz w:val="28"/>
          <w:szCs w:val="28"/>
        </w:rPr>
        <w:t xml:space="preserve"> уровне первичной медико-санитарной помощи, что важно в отношении дальнейших мероприятий  для усиления первичного звена в отношении генитального пролапса [15, стр. 252].</w:t>
      </w:r>
    </w:p>
    <w:p w:rsidR="000A3797" w:rsidRDefault="00A660E7">
      <w:pPr>
        <w:spacing w:after="0" w:line="240" w:lineRule="auto"/>
        <w:ind w:firstLine="708"/>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 xml:space="preserve">В Кокрановском обзоре от 2018г. тренировки мышц тазового дна рекомендованы как первая </w:t>
      </w:r>
      <w:r>
        <w:rPr>
          <w:rFonts w:ascii="Times New Roman" w:eastAsia="Times New Roman" w:hAnsi="Times New Roman" w:cs="Times New Roman"/>
          <w:sz w:val="28"/>
          <w:szCs w:val="28"/>
        </w:rPr>
        <w:t xml:space="preserve">линия лечения при недержании мочи, однако с необходимостью дальнейших исследований с долгосрочными прогнозами [15, стр. 252; </w:t>
      </w:r>
      <w:r>
        <w:rPr>
          <w:rFonts w:ascii="Times New Roman" w:eastAsia="Times New Roman" w:hAnsi="Times New Roman" w:cs="Times New Roman"/>
          <w:sz w:val="28"/>
          <w:szCs w:val="28"/>
          <w:highlight w:val="white"/>
        </w:rPr>
        <w:t>72,стр.122].</w:t>
      </w:r>
    </w:p>
    <w:p w:rsidR="000A3797" w:rsidRDefault="00A660E7">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Кокрановском обзоре от 2022 авторы года с уверенностью заключали, что упражнения могут вылечить или улучшить симптомы стрессового недержания мочи и для всех других типов недержания мочи [15, стр. 252].  «Утверждения, что упражнения для мышц тазового дна,</w:t>
      </w:r>
      <w:r>
        <w:rPr>
          <w:rFonts w:ascii="Times New Roman" w:eastAsia="Times New Roman" w:hAnsi="Times New Roman" w:cs="Times New Roman"/>
          <w:color w:val="000000"/>
          <w:sz w:val="28"/>
          <w:szCs w:val="28"/>
        </w:rPr>
        <w:t xml:space="preserve"> должны быть включены в программы консервативного лечения первой линии для женщин с недержанием мочи, вполне обоснованы, но вместе с тем, долгосрочная эффективность и рентабельность упражнений для недержания мочи все же требует дальнейшего пристального вни</w:t>
      </w:r>
      <w:r>
        <w:rPr>
          <w:rFonts w:ascii="Times New Roman" w:eastAsia="Times New Roman" w:hAnsi="Times New Roman" w:cs="Times New Roman"/>
          <w:color w:val="000000"/>
          <w:sz w:val="28"/>
          <w:szCs w:val="28"/>
        </w:rPr>
        <w:t xml:space="preserve">мания и  изучения» [15,стр.252; 72,стр.122]. </w:t>
      </w:r>
    </w:p>
    <w:p w:rsidR="000A3797" w:rsidRDefault="00A660E7">
      <w:pPr>
        <w:shd w:val="clear" w:color="auto" w:fill="FFFFFF"/>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Выводы. </w:t>
      </w:r>
      <w:r>
        <w:rPr>
          <w:rFonts w:ascii="Times New Roman" w:eastAsia="Times New Roman" w:hAnsi="Times New Roman" w:cs="Times New Roman"/>
          <w:sz w:val="28"/>
          <w:szCs w:val="28"/>
        </w:rPr>
        <w:t>На сегодняшний день нет четких рекомендация относительно реабилитации тазового дна при дисфункции.</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Мы разделяем позицию ДеЛанси  и Нортон, которые  утверждали, что когда мышцы тазового дна имеют нормальную силу и тонус, органы малого таза поддерживаются с ограниченным натяжением на связках и фасциях таза  [17,стр.12]. Мышцы могут чрезмерно растягиваться</w:t>
      </w:r>
      <w:r>
        <w:rPr>
          <w:rFonts w:ascii="Times New Roman" w:eastAsia="Times New Roman" w:hAnsi="Times New Roman" w:cs="Times New Roman"/>
          <w:sz w:val="28"/>
          <w:szCs w:val="28"/>
        </w:rPr>
        <w:t xml:space="preserve"> при беременности и особенно в родах, повреждаться, ослабевать при старении, или приходить в состояние гипертонуса, что в конечном итоге приводит к развитию дисфункции тазового дна. Упражнения для тазового дна направлены на восстановление нормальной силы м</w:t>
      </w:r>
      <w:r>
        <w:rPr>
          <w:rFonts w:ascii="Times New Roman" w:eastAsia="Times New Roman" w:hAnsi="Times New Roman" w:cs="Times New Roman"/>
          <w:sz w:val="28"/>
          <w:szCs w:val="28"/>
        </w:rPr>
        <w:t xml:space="preserve">ышц таза, выносливости, восстанавливают нормотонус, что снижает риск повреждения мышц и соединительной ткани [15, стр. 252; 17,стр.12]. Тренировки мышц тазового дна могут играть положительную роль в реабилитации мышечных волокон при их повреждении, однако </w:t>
      </w:r>
      <w:r>
        <w:rPr>
          <w:rFonts w:ascii="Times New Roman" w:eastAsia="Times New Roman" w:hAnsi="Times New Roman" w:cs="Times New Roman"/>
          <w:sz w:val="28"/>
          <w:szCs w:val="28"/>
        </w:rPr>
        <w:t>при генетической слабости тазового дна одних тренировок может быть не достаточно для достижения терапевтического эффекта, необходимо сочетать тренировки с другими методами лечения [17,стр.12]. Тренировки с контролируемой обратной связью могут быть более эф</w:t>
      </w:r>
      <w:r>
        <w:rPr>
          <w:rFonts w:ascii="Times New Roman" w:eastAsia="Times New Roman" w:hAnsi="Times New Roman" w:cs="Times New Roman"/>
          <w:sz w:val="28"/>
          <w:szCs w:val="28"/>
        </w:rPr>
        <w:t>фективными, что необходимо учитывать при рекомендациях пациентам [17,стр.12]. С экономической точки зрения это самый простой способ лчения, не требующий финансовых затрат для применения в реабилитации, доступный для пациентов с любым уровнем дохода [17,стр</w:t>
      </w:r>
      <w:r>
        <w:rPr>
          <w:rFonts w:ascii="Times New Roman" w:eastAsia="Times New Roman" w:hAnsi="Times New Roman" w:cs="Times New Roman"/>
          <w:sz w:val="28"/>
          <w:szCs w:val="28"/>
        </w:rPr>
        <w:t xml:space="preserve">.12]. </w:t>
      </w:r>
    </w:p>
    <w:p w:rsidR="000A3797" w:rsidRDefault="000A3797">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8"/>
          <w:szCs w:val="28"/>
        </w:rPr>
      </w:pPr>
    </w:p>
    <w:p w:rsidR="000A3797" w:rsidRDefault="00A660E7">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1.4 Методы оценки силы мышц тазового дна на амбулаторном уровне</w:t>
      </w:r>
    </w:p>
    <w:p w:rsidR="000A3797" w:rsidRDefault="000A3797">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b/>
          <w:color w:val="000000"/>
          <w:sz w:val="28"/>
          <w:szCs w:val="28"/>
        </w:rPr>
      </w:pPr>
    </w:p>
    <w:p w:rsidR="000A3797" w:rsidRDefault="00A660E7">
      <w:pPr>
        <w:pBdr>
          <w:top w:val="nil"/>
          <w:left w:val="nil"/>
          <w:bottom w:val="nil"/>
          <w:right w:val="nil"/>
          <w:between w:val="nil"/>
        </w:pBdr>
        <w:shd w:val="clear" w:color="auto" w:fill="FFFFFF"/>
        <w:spacing w:after="0" w:line="240" w:lineRule="auto"/>
        <w:ind w:firstLine="708"/>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Оценка тонуса и силы мышц МТД необходима для ранней диагностики и профилактики ДТД и выбора тактики лечения. Способы оценки делятся на функциональные и количественные [68, стр.16].</w:t>
      </w:r>
      <w:r>
        <w:rPr>
          <w:rFonts w:ascii="Times New Roman" w:eastAsia="Times New Roman" w:hAnsi="Times New Roman" w:cs="Times New Roman"/>
          <w:b/>
          <w:color w:val="000000"/>
          <w:sz w:val="28"/>
          <w:szCs w:val="28"/>
        </w:rPr>
        <w:t xml:space="preserve">    </w:t>
      </w:r>
    </w:p>
    <w:p w:rsidR="000A3797" w:rsidRDefault="00A660E7">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Функциональные методы </w:t>
      </w:r>
      <w:r>
        <w:rPr>
          <w:rFonts w:ascii="Times New Roman" w:eastAsia="Times New Roman" w:hAnsi="Times New Roman" w:cs="Times New Roman"/>
          <w:sz w:val="28"/>
          <w:szCs w:val="28"/>
        </w:rPr>
        <w:t>[68, стр.16]</w:t>
      </w:r>
      <w:r>
        <w:rPr>
          <w:rFonts w:ascii="Times New Roman" w:eastAsia="Times New Roman" w:hAnsi="Times New Roman" w:cs="Times New Roman"/>
          <w:b/>
          <w:sz w:val="28"/>
          <w:szCs w:val="28"/>
        </w:rPr>
        <w:t>:</w:t>
      </w:r>
    </w:p>
    <w:p w:rsidR="000A3797" w:rsidRDefault="00A660E7">
      <w:pPr>
        <w:pBdr>
          <w:top w:val="nil"/>
          <w:left w:val="nil"/>
          <w:bottom w:val="nil"/>
          <w:right w:val="nil"/>
          <w:between w:val="nil"/>
        </w:pBdr>
        <w:shd w:val="clear" w:color="auto" w:fill="FFFFFF"/>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Визуальное наблюдение.</w:t>
      </w:r>
      <w:r>
        <w:rPr>
          <w:rFonts w:ascii="Times New Roman" w:eastAsia="Times New Roman" w:hAnsi="Times New Roman" w:cs="Times New Roman"/>
          <w:color w:val="000000"/>
          <w:sz w:val="28"/>
          <w:szCs w:val="28"/>
        </w:rPr>
        <w:t xml:space="preserve"> Метод, предложенный Арнольдом Кегелем в  1948г, основанная на визуальной оценке мышечного сокращения вокруг уретры, гименального кольца и ануса с подъёмом промежности, в момент, когд</w:t>
      </w:r>
      <w:r>
        <w:rPr>
          <w:rFonts w:ascii="Times New Roman" w:eastAsia="Times New Roman" w:hAnsi="Times New Roman" w:cs="Times New Roman"/>
          <w:color w:val="000000"/>
          <w:sz w:val="28"/>
          <w:szCs w:val="28"/>
        </w:rPr>
        <w:t>а пациентка пытается сжать мышцы тазового дна [68,стр.16].</w:t>
      </w:r>
      <w:r>
        <w:rPr>
          <w:rFonts w:ascii="Times New Roman" w:eastAsia="Times New Roman" w:hAnsi="Times New Roman" w:cs="Times New Roman"/>
          <w:b/>
          <w:color w:val="000000"/>
          <w:sz w:val="28"/>
          <w:szCs w:val="28"/>
        </w:rPr>
        <w:t xml:space="preserve">        </w:t>
      </w:r>
    </w:p>
    <w:p w:rsidR="000A3797" w:rsidRDefault="00A660E7">
      <w:pPr>
        <w:pBdr>
          <w:top w:val="nil"/>
          <w:left w:val="nil"/>
          <w:bottom w:val="nil"/>
          <w:right w:val="nil"/>
          <w:between w:val="nil"/>
        </w:pBdr>
        <w:shd w:val="clear" w:color="auto" w:fill="FFFFFF"/>
        <w:spacing w:after="0" w:line="240" w:lineRule="auto"/>
        <w:ind w:firstLine="708"/>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Вагинальная пальпация.</w:t>
      </w:r>
      <w:r>
        <w:rPr>
          <w:rFonts w:ascii="Times New Roman" w:eastAsia="Times New Roman" w:hAnsi="Times New Roman" w:cs="Times New Roman"/>
          <w:color w:val="000000"/>
          <w:sz w:val="28"/>
          <w:szCs w:val="28"/>
        </w:rPr>
        <w:t xml:space="preserve"> Во влагалища на глубину уретро-везикального сегмента вводят один палец, пациентке в этот момент необходимо сжать мышцы промежности максимально, если сокращения не ощу</w:t>
      </w:r>
      <w:r>
        <w:rPr>
          <w:rFonts w:ascii="Times New Roman" w:eastAsia="Times New Roman" w:hAnsi="Times New Roman" w:cs="Times New Roman"/>
          <w:color w:val="000000"/>
          <w:sz w:val="28"/>
          <w:szCs w:val="28"/>
        </w:rPr>
        <w:t>щаются, то вводят еще один палец и т.д [68,  стр.17]. Необходимо попросить пациентку сократить мышцы и удержать в сокращенном состоянии 10 секунд с интервалом в 30 секунд трижды, оценить результаты [68,стр.17;104-106].</w:t>
      </w:r>
      <w:r>
        <w:rPr>
          <w:rFonts w:ascii="Times New Roman" w:eastAsia="Times New Roman" w:hAnsi="Times New Roman" w:cs="Times New Roman"/>
          <w:b/>
          <w:color w:val="000000"/>
          <w:sz w:val="28"/>
          <w:szCs w:val="28"/>
        </w:rPr>
        <w:t xml:space="preserve">          </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Ультразвуковое исследование</w:t>
      </w:r>
      <w:r>
        <w:rPr>
          <w:rFonts w:ascii="Times New Roman" w:eastAsia="Times New Roman" w:hAnsi="Times New Roman" w:cs="Times New Roman"/>
          <w:b/>
          <w:sz w:val="28"/>
          <w:szCs w:val="28"/>
        </w:rPr>
        <w:t xml:space="preserve"> (УЗИ).</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Возможности ультразвуковой диагностики на сегодняшний день позволяют диагностировать  изменения еще до клинических проявлений, что важно для проведения превентивных мероприятий: определить уровень повреждения эндотазовой фасции (центральный/латерал</w:t>
      </w:r>
      <w:r>
        <w:rPr>
          <w:rFonts w:ascii="Times New Roman" w:eastAsia="Times New Roman" w:hAnsi="Times New Roman" w:cs="Times New Roman"/>
          <w:sz w:val="28"/>
          <w:szCs w:val="28"/>
        </w:rPr>
        <w:t>ьный деффект), определить сфинктерную недостаточность по ширине просвета мочеиспускательного канала и сфинктеров, а также оценить гемодинамические изменения, наличия пролобирования задней стенки мочевого пузыря, гипермобильность уретры [68,стр.17;107-110].</w:t>
      </w:r>
      <w:r>
        <w:rPr>
          <w:rFonts w:ascii="Times New Roman" w:eastAsia="Times New Roman" w:hAnsi="Times New Roman" w:cs="Times New Roman"/>
          <w:b/>
          <w:sz w:val="28"/>
          <w:szCs w:val="28"/>
        </w:rPr>
        <w:t xml:space="preserve"> </w:t>
      </w:r>
    </w:p>
    <w:p w:rsidR="000A3797" w:rsidRDefault="00A660E7">
      <w:pPr>
        <w:pBdr>
          <w:top w:val="nil"/>
          <w:left w:val="nil"/>
          <w:bottom w:val="nil"/>
          <w:right w:val="nil"/>
          <w:between w:val="nil"/>
        </w:pBdr>
        <w:shd w:val="clear" w:color="auto" w:fill="FFFFFF"/>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Магнито-резонансная томография (МРТ). </w:t>
      </w:r>
      <w:r>
        <w:rPr>
          <w:rFonts w:ascii="Times New Roman" w:eastAsia="Times New Roman" w:hAnsi="Times New Roman" w:cs="Times New Roman"/>
          <w:color w:val="000000"/>
          <w:sz w:val="28"/>
          <w:szCs w:val="28"/>
        </w:rPr>
        <w:t>На сегодняшний день изучению роли МРТ в диагностике дисфункции тазового дна посвящено множество исследований [68, стр.17;111-113].</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 xml:space="preserve"> За счёт возможностей и функций современных МРТ- аппаратов  можно определить положение органов малого таза относительно жестких структур таза, а также определить уровень повреждения эндотазовой фасции [68,стр.17;114].</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 xml:space="preserve"> </w:t>
      </w:r>
    </w:p>
    <w:p w:rsidR="000A3797" w:rsidRDefault="00A660E7">
      <w:pPr>
        <w:pBdr>
          <w:top w:val="nil"/>
          <w:left w:val="nil"/>
          <w:bottom w:val="nil"/>
          <w:right w:val="nil"/>
          <w:between w:val="nil"/>
        </w:pBdr>
        <w:shd w:val="clear" w:color="auto" w:fill="FFFFFF"/>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Электромиография (ЭМГ).</w:t>
      </w: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color w:val="000000"/>
          <w:sz w:val="28"/>
          <w:szCs w:val="28"/>
        </w:rPr>
        <w:t>В основе мет</w:t>
      </w:r>
      <w:r>
        <w:rPr>
          <w:rFonts w:ascii="Times New Roman" w:eastAsia="Times New Roman" w:hAnsi="Times New Roman" w:cs="Times New Roman"/>
          <w:color w:val="000000"/>
          <w:sz w:val="28"/>
          <w:szCs w:val="28"/>
        </w:rPr>
        <w:t>ода лежит стимуляция иннервирующего мышцу нерва и регистрация ответов в виде электрических импульсов, либо потенциалов двигательных единиц при произвольном сокращении с помощью контактных электродов (анальные, влагалищные, встроенные в уретральные катетеры</w:t>
      </w:r>
      <w:r>
        <w:rPr>
          <w:rFonts w:ascii="Times New Roman" w:eastAsia="Times New Roman" w:hAnsi="Times New Roman" w:cs="Times New Roman"/>
          <w:color w:val="000000"/>
          <w:sz w:val="28"/>
          <w:szCs w:val="28"/>
        </w:rPr>
        <w:t>, самоклеящиеся поверхностные и игольчатые) [68, стр.17; 115,116] для  исследования мышцы, расположенные близко к коже и сфинктеры. Использование игольчатых электродов является наиболее достоверным методом в получении наиболее точных результатов, однако ин</w:t>
      </w:r>
      <w:r>
        <w:rPr>
          <w:rFonts w:ascii="Times New Roman" w:eastAsia="Times New Roman" w:hAnsi="Times New Roman" w:cs="Times New Roman"/>
          <w:color w:val="000000"/>
          <w:sz w:val="28"/>
          <w:szCs w:val="28"/>
        </w:rPr>
        <w:t>вазивность процедуры ограничивает ее применение [68, стр.17;117].</w:t>
      </w:r>
      <w:r>
        <w:rPr>
          <w:rFonts w:ascii="Times New Roman" w:eastAsia="Times New Roman" w:hAnsi="Times New Roman" w:cs="Times New Roman"/>
          <w:b/>
          <w:color w:val="000000"/>
          <w:sz w:val="28"/>
          <w:szCs w:val="28"/>
        </w:rPr>
        <w:t xml:space="preserve">    </w:t>
      </w:r>
    </w:p>
    <w:p w:rsidR="000A3797" w:rsidRDefault="00A660E7">
      <w:pPr>
        <w:spacing w:after="0" w:line="240" w:lineRule="auto"/>
        <w:ind w:left="708"/>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Количественные методы </w:t>
      </w:r>
      <w:r>
        <w:rPr>
          <w:rFonts w:ascii="Times New Roman" w:eastAsia="Times New Roman" w:hAnsi="Times New Roman" w:cs="Times New Roman"/>
          <w:sz w:val="28"/>
          <w:szCs w:val="28"/>
        </w:rPr>
        <w:t>[68, стр.17]</w:t>
      </w:r>
      <w:r>
        <w:rPr>
          <w:rFonts w:ascii="Times New Roman" w:eastAsia="Times New Roman" w:hAnsi="Times New Roman" w:cs="Times New Roman"/>
          <w:b/>
          <w:sz w:val="28"/>
          <w:szCs w:val="28"/>
        </w:rPr>
        <w:t>:</w:t>
      </w:r>
    </w:p>
    <w:p w:rsidR="000A3797" w:rsidRDefault="00A660E7">
      <w:pPr>
        <w:spacing w:after="0" w:line="240" w:lineRule="auto"/>
        <w:ind w:firstLine="708"/>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Вагинальная пальпация с оценкой по шкале Оксфорда</w:t>
      </w:r>
      <w:r>
        <w:rPr>
          <w:rFonts w:ascii="Times New Roman" w:eastAsia="Times New Roman" w:hAnsi="Times New Roman" w:cs="Times New Roman"/>
          <w:sz w:val="28"/>
          <w:szCs w:val="28"/>
        </w:rPr>
        <w:t>. Методика подробно описана выше. Результаты интерпретируются по шкале Оксфорда, таблица 2. Метод явл</w:t>
      </w:r>
      <w:r>
        <w:rPr>
          <w:rFonts w:ascii="Times New Roman" w:eastAsia="Times New Roman" w:hAnsi="Times New Roman" w:cs="Times New Roman"/>
          <w:sz w:val="28"/>
          <w:szCs w:val="28"/>
        </w:rPr>
        <w:t>яется экономически эффективным [68,стр.17].</w:t>
      </w:r>
      <w:r>
        <w:rPr>
          <w:rFonts w:ascii="Times New Roman" w:eastAsia="Times New Roman" w:hAnsi="Times New Roman" w:cs="Times New Roman"/>
          <w:b/>
          <w:sz w:val="28"/>
          <w:szCs w:val="28"/>
        </w:rPr>
        <w:t xml:space="preserve">           </w:t>
      </w:r>
    </w:p>
    <w:p w:rsidR="000A3797" w:rsidRDefault="000A3797">
      <w:pPr>
        <w:spacing w:after="0" w:line="240" w:lineRule="auto"/>
        <w:ind w:firstLine="708"/>
        <w:jc w:val="both"/>
        <w:rPr>
          <w:rFonts w:ascii="Times New Roman" w:eastAsia="Times New Roman" w:hAnsi="Times New Roman" w:cs="Times New Roman"/>
          <w:b/>
          <w:sz w:val="28"/>
          <w:szCs w:val="28"/>
        </w:rPr>
      </w:pP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Таблица 2 - Шкала Оксфорда </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68,стр.18]</w:t>
      </w:r>
    </w:p>
    <w:p w:rsidR="000A3797" w:rsidRDefault="000A3797">
      <w:pPr>
        <w:spacing w:after="0" w:line="240" w:lineRule="auto"/>
        <w:jc w:val="both"/>
        <w:rPr>
          <w:rFonts w:ascii="Times New Roman" w:eastAsia="Times New Roman" w:hAnsi="Times New Roman" w:cs="Times New Roman"/>
          <w:sz w:val="28"/>
          <w:szCs w:val="28"/>
        </w:rPr>
      </w:pPr>
    </w:p>
    <w:tbl>
      <w:tblPr>
        <w:tblStyle w:val="a7"/>
        <w:tblW w:w="833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4"/>
        <w:gridCol w:w="7796"/>
      </w:tblGrid>
      <w:tr w:rsidR="000A3797">
        <w:tc>
          <w:tcPr>
            <w:tcW w:w="534" w:type="dxa"/>
          </w:tcPr>
          <w:p w:rsidR="000A3797" w:rsidRDefault="00A660E7">
            <w:pPr>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0</w:t>
            </w:r>
          </w:p>
        </w:tc>
        <w:tc>
          <w:tcPr>
            <w:tcW w:w="7796" w:type="dxa"/>
          </w:tcPr>
          <w:p w:rsidR="000A3797" w:rsidRDefault="00A660E7">
            <w:pPr>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Нет различимых сокращений [68]</w:t>
            </w:r>
          </w:p>
        </w:tc>
      </w:tr>
      <w:tr w:rsidR="000A3797">
        <w:tc>
          <w:tcPr>
            <w:tcW w:w="534" w:type="dxa"/>
          </w:tcPr>
          <w:p w:rsidR="000A3797" w:rsidRDefault="00A660E7">
            <w:pPr>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1</w:t>
            </w:r>
          </w:p>
        </w:tc>
        <w:tc>
          <w:tcPr>
            <w:tcW w:w="7796" w:type="dxa"/>
          </w:tcPr>
          <w:p w:rsidR="000A3797" w:rsidRDefault="00A660E7">
            <w:pPr>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Едва ощутимые сокращения, невидимые при осмотре промежности [68]</w:t>
            </w:r>
          </w:p>
        </w:tc>
      </w:tr>
      <w:tr w:rsidR="000A3797">
        <w:tc>
          <w:tcPr>
            <w:tcW w:w="534" w:type="dxa"/>
          </w:tcPr>
          <w:p w:rsidR="000A3797" w:rsidRDefault="00A660E7">
            <w:pPr>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2</w:t>
            </w:r>
          </w:p>
        </w:tc>
        <w:tc>
          <w:tcPr>
            <w:tcW w:w="7796" w:type="dxa"/>
          </w:tcPr>
          <w:p w:rsidR="000A3797" w:rsidRDefault="00A660E7">
            <w:pPr>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Слабые сокращения, ощущаемые как небольшое давление на палец [68]</w:t>
            </w:r>
          </w:p>
        </w:tc>
      </w:tr>
      <w:tr w:rsidR="000A3797">
        <w:tc>
          <w:tcPr>
            <w:tcW w:w="534" w:type="dxa"/>
          </w:tcPr>
          <w:p w:rsidR="000A3797" w:rsidRDefault="00A660E7">
            <w:pPr>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3</w:t>
            </w:r>
          </w:p>
        </w:tc>
        <w:tc>
          <w:tcPr>
            <w:tcW w:w="7796" w:type="dxa"/>
          </w:tcPr>
          <w:p w:rsidR="000A3797" w:rsidRDefault="00A660E7">
            <w:pPr>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Умеренной силы сокращения и ощутимое движение вверх и вперед [68]</w:t>
            </w:r>
          </w:p>
        </w:tc>
      </w:tr>
      <w:tr w:rsidR="000A3797">
        <w:trPr>
          <w:trHeight w:val="672"/>
        </w:trPr>
        <w:tc>
          <w:tcPr>
            <w:tcW w:w="534" w:type="dxa"/>
          </w:tcPr>
          <w:p w:rsidR="000A3797" w:rsidRDefault="00A660E7">
            <w:pPr>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4</w:t>
            </w:r>
          </w:p>
        </w:tc>
        <w:tc>
          <w:tcPr>
            <w:tcW w:w="779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Хорошей силы сокращения, движение вверх, круговое давление ощущается по всему исследующему пальцу [68]</w:t>
            </w:r>
          </w:p>
        </w:tc>
      </w:tr>
      <w:tr w:rsidR="000A3797">
        <w:trPr>
          <w:trHeight w:val="118"/>
        </w:trPr>
        <w:tc>
          <w:tcPr>
            <w:tcW w:w="534" w:type="dxa"/>
          </w:tcPr>
          <w:p w:rsidR="000A3797" w:rsidRDefault="00A660E7">
            <w:pPr>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5</w:t>
            </w:r>
          </w:p>
        </w:tc>
        <w:tc>
          <w:tcPr>
            <w:tcW w:w="7796" w:type="dxa"/>
          </w:tcPr>
          <w:p w:rsidR="000A3797" w:rsidRDefault="00A660E7">
            <w:pPr>
              <w:pBdr>
                <w:top w:val="nil"/>
                <w:left w:val="nil"/>
                <w:bottom w:val="nil"/>
                <w:right w:val="nil"/>
                <w:between w:val="nil"/>
              </w:pBdr>
              <w:shd w:val="clear" w:color="auto" w:fill="FFFFFF"/>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Очень сильное сокращение, возможно против энергичного сопротивления [68]</w:t>
            </w:r>
          </w:p>
        </w:tc>
      </w:tr>
    </w:tbl>
    <w:p w:rsidR="000A3797" w:rsidRDefault="000A3797">
      <w:pPr>
        <w:spacing w:after="0" w:line="240" w:lineRule="auto"/>
        <w:jc w:val="both"/>
        <w:rPr>
          <w:rFonts w:ascii="Times New Roman" w:eastAsia="Times New Roman" w:hAnsi="Times New Roman" w:cs="Times New Roman"/>
          <w:b/>
          <w:sz w:val="28"/>
          <w:szCs w:val="28"/>
        </w:rPr>
      </w:pP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Перинеометрия.</w:t>
      </w:r>
      <w:r>
        <w:rPr>
          <w:rFonts w:ascii="Times New Roman" w:eastAsia="Times New Roman" w:hAnsi="Times New Roman" w:cs="Times New Roman"/>
          <w:sz w:val="28"/>
          <w:szCs w:val="28"/>
        </w:rPr>
        <w:t xml:space="preserve"> Первый перинеометр изобретен А. Кегелем для измерения силы сокращений и контроля за правильностью выполнения упражнений [68, стр.17; 88, стр.422]. На сегодняшний день</w:t>
      </w:r>
      <w:r>
        <w:rPr>
          <w:rFonts w:ascii="Times New Roman" w:eastAsia="Times New Roman" w:hAnsi="Times New Roman" w:cs="Times New Roman"/>
          <w:sz w:val="28"/>
          <w:szCs w:val="28"/>
        </w:rPr>
        <w:t xml:space="preserve"> существует множество различных приборов, позволяющих измерять силу мышечных сокращений. Составные части перинеометра: девайс, который вводится во влагалище, выполненный силикона, который соединен с прибором, где на экране отображается давление, принцип на</w:t>
      </w:r>
      <w:r>
        <w:rPr>
          <w:rFonts w:ascii="Times New Roman" w:eastAsia="Times New Roman" w:hAnsi="Times New Roman" w:cs="Times New Roman"/>
          <w:sz w:val="28"/>
          <w:szCs w:val="28"/>
        </w:rPr>
        <w:t>гнетания воздуха , как у механического манометра [68, стр.17; 120 - 122].</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 Чтобы выполнить упражнение, нужно сильно сжать мышцы тазового дна (при этом другие мышцы не напрягать!) и удерживать сокращение 10 секунд, затем расслабиться на 10 секунд [68,стр.17; 92,стр.422].</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 Современные голосовые пельвиоперинеометры делают расчёты в</w:t>
      </w:r>
      <w:r>
        <w:rPr>
          <w:rFonts w:ascii="Times New Roman" w:eastAsia="Times New Roman" w:hAnsi="Times New Roman" w:cs="Times New Roman"/>
          <w:sz w:val="28"/>
          <w:szCs w:val="28"/>
        </w:rPr>
        <w:t xml:space="preserve"> баллах автоматически при повторении сокращений и расслаблений 5 раз, голосовая команда помогает пациенту ориентироваться [68,стр.17]. Оценка и интерпретация результатов представлена в таблице №3.</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 Метод также является простым и недорогим.   В исследования</w:t>
      </w:r>
      <w:r>
        <w:rPr>
          <w:rFonts w:ascii="Times New Roman" w:eastAsia="Times New Roman" w:hAnsi="Times New Roman" w:cs="Times New Roman"/>
          <w:sz w:val="28"/>
          <w:szCs w:val="28"/>
        </w:rPr>
        <w:t xml:space="preserve">х между электромиографическими и перинеометрическими данными была обнаружена положительная, статистически значимая корреляция (r = 0,968; P &lt;0,001) [68,стр.17; 121,стр.1664]. Диаграмма рассеяния показала достоверную корреляцию ультразвукового исследования </w:t>
      </w:r>
      <w:r>
        <w:rPr>
          <w:rFonts w:ascii="Times New Roman" w:eastAsia="Times New Roman" w:hAnsi="Times New Roman" w:cs="Times New Roman"/>
          <w:sz w:val="28"/>
          <w:szCs w:val="28"/>
        </w:rPr>
        <w:t>с перинеометрией (r = 0,72, R (2) = 0,52, p &lt; 0,001). Установлена высокая достоверность измерений [68,стр.17; 122, стр.1494].</w:t>
      </w:r>
      <w:r>
        <w:rPr>
          <w:rFonts w:ascii="Times New Roman" w:eastAsia="Times New Roman" w:hAnsi="Times New Roman" w:cs="Times New Roman"/>
          <w:b/>
          <w:sz w:val="28"/>
          <w:szCs w:val="28"/>
        </w:rPr>
        <w:t xml:space="preserve">   </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Влагалищные конусы.</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 xml:space="preserve">Существую конусы из силикона, металла и других гипоаллергенных материалов весом от 20 до 100 г [68,стр.17; </w:t>
      </w:r>
      <w:r>
        <w:rPr>
          <w:rFonts w:ascii="Times New Roman" w:eastAsia="Times New Roman" w:hAnsi="Times New Roman" w:cs="Times New Roman"/>
          <w:sz w:val="28"/>
          <w:szCs w:val="28"/>
        </w:rPr>
        <w:t>123]. 68,стр.17; При выраженной слабости соединительно-тканных структур таза выполнить диагностику невозможно, а также при наличии продвинутых степеней пролапса [68,стр.17; 123, стр.2007].</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Параметры интерпретации пельвиоперинеометрии относительно шкалы Ок</w:t>
      </w:r>
      <w:r>
        <w:rPr>
          <w:rFonts w:ascii="Times New Roman" w:eastAsia="Times New Roman" w:hAnsi="Times New Roman" w:cs="Times New Roman"/>
          <w:sz w:val="28"/>
          <w:szCs w:val="28"/>
        </w:rPr>
        <w:t>сфорда представлены в таблице 3.</w:t>
      </w:r>
    </w:p>
    <w:p w:rsidR="000A3797" w:rsidRDefault="000A3797">
      <w:pPr>
        <w:spacing w:after="0" w:line="240" w:lineRule="auto"/>
        <w:ind w:firstLine="708"/>
        <w:jc w:val="both"/>
        <w:rPr>
          <w:rFonts w:ascii="Times New Roman" w:eastAsia="Times New Roman" w:hAnsi="Times New Roman" w:cs="Times New Roman"/>
          <w:sz w:val="28"/>
          <w:szCs w:val="28"/>
        </w:rPr>
      </w:pP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Таблица 3 - Параметры пельвиоперинеометрии относительно шкалы Оксфорда, таблица взята из источника </w:t>
      </w:r>
      <w:r>
        <w:rPr>
          <w:rFonts w:ascii="Times New Roman" w:eastAsia="Times New Roman" w:hAnsi="Times New Roman" w:cs="Times New Roman"/>
          <w:b/>
          <w:sz w:val="28"/>
          <w:szCs w:val="28"/>
        </w:rPr>
        <w:t>[</w:t>
      </w:r>
      <w:r>
        <w:rPr>
          <w:rFonts w:ascii="Times New Roman" w:eastAsia="Times New Roman" w:hAnsi="Times New Roman" w:cs="Times New Roman"/>
          <w:sz w:val="28"/>
          <w:szCs w:val="28"/>
        </w:rPr>
        <w:t xml:space="preserve">68,стр.18]  </w:t>
      </w:r>
    </w:p>
    <w:p w:rsidR="000A3797" w:rsidRDefault="000A3797">
      <w:pPr>
        <w:spacing w:after="0" w:line="240" w:lineRule="auto"/>
        <w:jc w:val="both"/>
        <w:rPr>
          <w:rFonts w:ascii="Times New Roman" w:eastAsia="Times New Roman" w:hAnsi="Times New Roman" w:cs="Times New Roman"/>
          <w:sz w:val="28"/>
          <w:szCs w:val="28"/>
        </w:rPr>
      </w:pPr>
    </w:p>
    <w:tbl>
      <w:tblPr>
        <w:tblStyle w:val="a8"/>
        <w:tblW w:w="957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35"/>
        <w:gridCol w:w="3969"/>
        <w:gridCol w:w="3367"/>
      </w:tblGrid>
      <w:tr w:rsidR="000A3797">
        <w:tc>
          <w:tcPr>
            <w:tcW w:w="2235" w:type="dxa"/>
          </w:tcPr>
          <w:p w:rsidR="000A3797" w:rsidRDefault="00A660E7">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Оценка по шкале Оксфорда,</w:t>
            </w:r>
          </w:p>
          <w:p w:rsidR="000A3797" w:rsidRDefault="00A660E7">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Баллы </w:t>
            </w:r>
            <w:r>
              <w:rPr>
                <w:rFonts w:ascii="Times New Roman" w:eastAsia="Times New Roman" w:hAnsi="Times New Roman" w:cs="Times New Roman"/>
                <w:b/>
                <w:sz w:val="28"/>
                <w:szCs w:val="28"/>
              </w:rPr>
              <w:t>[</w:t>
            </w:r>
            <w:r>
              <w:rPr>
                <w:rFonts w:ascii="Times New Roman" w:eastAsia="Times New Roman" w:hAnsi="Times New Roman" w:cs="Times New Roman"/>
                <w:sz w:val="28"/>
                <w:szCs w:val="28"/>
              </w:rPr>
              <w:t xml:space="preserve">68]  </w:t>
            </w:r>
          </w:p>
          <w:p w:rsidR="000A3797" w:rsidRDefault="000A3797">
            <w:pPr>
              <w:jc w:val="both"/>
              <w:rPr>
                <w:rFonts w:ascii="Times New Roman" w:eastAsia="Times New Roman" w:hAnsi="Times New Roman" w:cs="Times New Roman"/>
                <w:b/>
                <w:i/>
                <w:sz w:val="24"/>
                <w:szCs w:val="24"/>
              </w:rPr>
            </w:pPr>
          </w:p>
        </w:tc>
        <w:tc>
          <w:tcPr>
            <w:tcW w:w="3969" w:type="dxa"/>
          </w:tcPr>
          <w:p w:rsidR="000A3797" w:rsidRDefault="00A660E7">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Среднее давление, регистрируемое датчиком перинеометра,</w:t>
            </w:r>
          </w:p>
          <w:p w:rsidR="000A3797" w:rsidRDefault="00A660E7">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мм рт. ст. / баллы </w:t>
            </w:r>
            <w:r>
              <w:rPr>
                <w:rFonts w:ascii="Times New Roman" w:eastAsia="Times New Roman" w:hAnsi="Times New Roman" w:cs="Times New Roman"/>
                <w:b/>
                <w:sz w:val="28"/>
                <w:szCs w:val="28"/>
              </w:rPr>
              <w:t>[</w:t>
            </w:r>
            <w:r>
              <w:rPr>
                <w:rFonts w:ascii="Times New Roman" w:eastAsia="Times New Roman" w:hAnsi="Times New Roman" w:cs="Times New Roman"/>
                <w:sz w:val="28"/>
                <w:szCs w:val="28"/>
              </w:rPr>
              <w:t xml:space="preserve">68]  </w:t>
            </w:r>
          </w:p>
          <w:p w:rsidR="000A3797" w:rsidRDefault="000A3797">
            <w:pPr>
              <w:jc w:val="both"/>
              <w:rPr>
                <w:rFonts w:ascii="Times New Roman" w:eastAsia="Times New Roman" w:hAnsi="Times New Roman" w:cs="Times New Roman"/>
                <w:b/>
                <w:i/>
                <w:sz w:val="24"/>
                <w:szCs w:val="24"/>
              </w:rPr>
            </w:pPr>
          </w:p>
        </w:tc>
        <w:tc>
          <w:tcPr>
            <w:tcW w:w="3367" w:type="dxa"/>
          </w:tcPr>
          <w:p w:rsidR="000A3797" w:rsidRDefault="00A660E7">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Характеристика силы сокращений</w:t>
            </w:r>
          </w:p>
          <w:p w:rsidR="000A3797" w:rsidRDefault="00A660E7">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Мышц </w:t>
            </w:r>
            <w:r>
              <w:rPr>
                <w:rFonts w:ascii="Times New Roman" w:eastAsia="Times New Roman" w:hAnsi="Times New Roman" w:cs="Times New Roman"/>
                <w:b/>
                <w:sz w:val="28"/>
                <w:szCs w:val="28"/>
              </w:rPr>
              <w:t>[</w:t>
            </w:r>
            <w:r>
              <w:rPr>
                <w:rFonts w:ascii="Times New Roman" w:eastAsia="Times New Roman" w:hAnsi="Times New Roman" w:cs="Times New Roman"/>
                <w:sz w:val="28"/>
                <w:szCs w:val="28"/>
              </w:rPr>
              <w:t xml:space="preserve">68]  </w:t>
            </w:r>
          </w:p>
          <w:p w:rsidR="000A3797" w:rsidRDefault="000A3797">
            <w:pPr>
              <w:jc w:val="both"/>
              <w:rPr>
                <w:rFonts w:ascii="Times New Roman" w:eastAsia="Times New Roman" w:hAnsi="Times New Roman" w:cs="Times New Roman"/>
                <w:b/>
                <w:i/>
                <w:sz w:val="24"/>
                <w:szCs w:val="24"/>
              </w:rPr>
            </w:pPr>
          </w:p>
        </w:tc>
      </w:tr>
      <w:tr w:rsidR="000A3797">
        <w:tc>
          <w:tcPr>
            <w:tcW w:w="2235" w:type="dxa"/>
          </w:tcPr>
          <w:p w:rsidR="000A3797" w:rsidRDefault="00A660E7">
            <w:pPr>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0</w:t>
            </w:r>
          </w:p>
        </w:tc>
        <w:tc>
          <w:tcPr>
            <w:tcW w:w="3969" w:type="dxa"/>
          </w:tcPr>
          <w:p w:rsidR="000A3797" w:rsidRDefault="00A660E7">
            <w:pPr>
              <w:jc w:val="both"/>
              <w:rPr>
                <w:rFonts w:ascii="Times New Roman" w:eastAsia="Times New Roman" w:hAnsi="Times New Roman" w:cs="Times New Roman"/>
                <w:b/>
                <w:i/>
                <w:sz w:val="24"/>
                <w:szCs w:val="24"/>
              </w:rPr>
            </w:pPr>
            <w:r>
              <w:rPr>
                <w:rFonts w:ascii="Times New Roman" w:eastAsia="Times New Roman" w:hAnsi="Times New Roman" w:cs="Times New Roman"/>
                <w:sz w:val="24"/>
                <w:szCs w:val="24"/>
              </w:rPr>
              <w:t xml:space="preserve"> 55 (исходное) – 0 [68]</w:t>
            </w:r>
          </w:p>
        </w:tc>
        <w:tc>
          <w:tcPr>
            <w:tcW w:w="3367" w:type="dxa"/>
          </w:tcPr>
          <w:p w:rsidR="000A3797" w:rsidRDefault="00A660E7">
            <w:pPr>
              <w:jc w:val="both"/>
              <w:rPr>
                <w:rFonts w:ascii="Times New Roman" w:eastAsia="Times New Roman" w:hAnsi="Times New Roman" w:cs="Times New Roman"/>
                <w:b/>
                <w:i/>
                <w:sz w:val="24"/>
                <w:szCs w:val="24"/>
              </w:rPr>
            </w:pPr>
            <w:r>
              <w:rPr>
                <w:rFonts w:ascii="Times New Roman" w:eastAsia="Times New Roman" w:hAnsi="Times New Roman" w:cs="Times New Roman"/>
                <w:sz w:val="24"/>
                <w:szCs w:val="24"/>
              </w:rPr>
              <w:t>Отсутствие [68]</w:t>
            </w:r>
          </w:p>
        </w:tc>
      </w:tr>
      <w:tr w:rsidR="000A3797">
        <w:tc>
          <w:tcPr>
            <w:tcW w:w="2235" w:type="dxa"/>
          </w:tcPr>
          <w:p w:rsidR="000A3797" w:rsidRDefault="00A660E7">
            <w:pPr>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1</w:t>
            </w:r>
          </w:p>
        </w:tc>
        <w:tc>
          <w:tcPr>
            <w:tcW w:w="3969" w:type="dxa"/>
          </w:tcPr>
          <w:p w:rsidR="000A3797" w:rsidRDefault="00A660E7">
            <w:pPr>
              <w:jc w:val="both"/>
              <w:rPr>
                <w:rFonts w:ascii="Times New Roman" w:eastAsia="Times New Roman" w:hAnsi="Times New Roman" w:cs="Times New Roman"/>
                <w:b/>
                <w:i/>
                <w:sz w:val="24"/>
                <w:szCs w:val="24"/>
              </w:rPr>
            </w:pPr>
            <w:r>
              <w:rPr>
                <w:rFonts w:ascii="Times New Roman" w:eastAsia="Times New Roman" w:hAnsi="Times New Roman" w:cs="Times New Roman"/>
                <w:sz w:val="24"/>
                <w:szCs w:val="24"/>
              </w:rPr>
              <w:t>56–60 / 1–2 [68]</w:t>
            </w:r>
          </w:p>
        </w:tc>
        <w:tc>
          <w:tcPr>
            <w:tcW w:w="3367" w:type="dxa"/>
          </w:tcPr>
          <w:p w:rsidR="000A3797" w:rsidRDefault="00A660E7">
            <w:pPr>
              <w:jc w:val="both"/>
              <w:rPr>
                <w:rFonts w:ascii="Times New Roman" w:eastAsia="Times New Roman" w:hAnsi="Times New Roman" w:cs="Times New Roman"/>
                <w:b/>
                <w:i/>
                <w:sz w:val="24"/>
                <w:szCs w:val="24"/>
              </w:rPr>
            </w:pPr>
            <w:r>
              <w:rPr>
                <w:rFonts w:ascii="Times New Roman" w:eastAsia="Times New Roman" w:hAnsi="Times New Roman" w:cs="Times New Roman"/>
                <w:sz w:val="24"/>
                <w:szCs w:val="24"/>
              </w:rPr>
              <w:t>Очень слабое [68]</w:t>
            </w:r>
          </w:p>
        </w:tc>
      </w:tr>
      <w:tr w:rsidR="000A3797">
        <w:tc>
          <w:tcPr>
            <w:tcW w:w="2235" w:type="dxa"/>
          </w:tcPr>
          <w:p w:rsidR="000A3797" w:rsidRDefault="00A660E7">
            <w:pPr>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2</w:t>
            </w:r>
          </w:p>
        </w:tc>
        <w:tc>
          <w:tcPr>
            <w:tcW w:w="3969" w:type="dxa"/>
          </w:tcPr>
          <w:p w:rsidR="000A3797" w:rsidRDefault="00A660E7">
            <w:pPr>
              <w:jc w:val="both"/>
              <w:rPr>
                <w:rFonts w:ascii="Times New Roman" w:eastAsia="Times New Roman" w:hAnsi="Times New Roman" w:cs="Times New Roman"/>
                <w:b/>
                <w:i/>
                <w:sz w:val="24"/>
                <w:szCs w:val="24"/>
              </w:rPr>
            </w:pPr>
            <w:r>
              <w:rPr>
                <w:rFonts w:ascii="Times New Roman" w:eastAsia="Times New Roman" w:hAnsi="Times New Roman" w:cs="Times New Roman"/>
                <w:sz w:val="24"/>
                <w:szCs w:val="24"/>
              </w:rPr>
              <w:t>61–65 / 3–4 [68]</w:t>
            </w:r>
          </w:p>
        </w:tc>
        <w:tc>
          <w:tcPr>
            <w:tcW w:w="3367" w:type="dxa"/>
          </w:tcPr>
          <w:p w:rsidR="000A3797" w:rsidRDefault="00A660E7">
            <w:pPr>
              <w:jc w:val="both"/>
              <w:rPr>
                <w:rFonts w:ascii="Times New Roman" w:eastAsia="Times New Roman" w:hAnsi="Times New Roman" w:cs="Times New Roman"/>
                <w:b/>
                <w:i/>
                <w:sz w:val="24"/>
                <w:szCs w:val="24"/>
              </w:rPr>
            </w:pPr>
            <w:r>
              <w:rPr>
                <w:rFonts w:ascii="Times New Roman" w:eastAsia="Times New Roman" w:hAnsi="Times New Roman" w:cs="Times New Roman"/>
                <w:sz w:val="24"/>
                <w:szCs w:val="24"/>
              </w:rPr>
              <w:t>Слабое [68]</w:t>
            </w:r>
          </w:p>
        </w:tc>
      </w:tr>
      <w:tr w:rsidR="000A3797">
        <w:tc>
          <w:tcPr>
            <w:tcW w:w="2235" w:type="dxa"/>
          </w:tcPr>
          <w:p w:rsidR="000A3797" w:rsidRDefault="00A660E7">
            <w:pPr>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3</w:t>
            </w:r>
          </w:p>
        </w:tc>
        <w:tc>
          <w:tcPr>
            <w:tcW w:w="3969" w:type="dxa"/>
          </w:tcPr>
          <w:p w:rsidR="000A3797" w:rsidRDefault="00A660E7">
            <w:pPr>
              <w:jc w:val="both"/>
              <w:rPr>
                <w:rFonts w:ascii="Times New Roman" w:eastAsia="Times New Roman" w:hAnsi="Times New Roman" w:cs="Times New Roman"/>
                <w:b/>
                <w:i/>
                <w:sz w:val="24"/>
                <w:szCs w:val="24"/>
              </w:rPr>
            </w:pPr>
            <w:r>
              <w:rPr>
                <w:rFonts w:ascii="Times New Roman" w:eastAsia="Times New Roman" w:hAnsi="Times New Roman" w:cs="Times New Roman"/>
                <w:sz w:val="24"/>
                <w:szCs w:val="24"/>
              </w:rPr>
              <w:t>66–75 / 5–6 [68]</w:t>
            </w:r>
          </w:p>
        </w:tc>
        <w:tc>
          <w:tcPr>
            <w:tcW w:w="3367" w:type="dxa"/>
          </w:tcPr>
          <w:p w:rsidR="000A3797" w:rsidRDefault="00A660E7">
            <w:pPr>
              <w:jc w:val="both"/>
              <w:rPr>
                <w:rFonts w:ascii="Times New Roman" w:eastAsia="Times New Roman" w:hAnsi="Times New Roman" w:cs="Times New Roman"/>
                <w:b/>
                <w:i/>
                <w:sz w:val="24"/>
                <w:szCs w:val="24"/>
              </w:rPr>
            </w:pPr>
            <w:r>
              <w:rPr>
                <w:rFonts w:ascii="Times New Roman" w:eastAsia="Times New Roman" w:hAnsi="Times New Roman" w:cs="Times New Roman"/>
                <w:sz w:val="24"/>
                <w:szCs w:val="24"/>
              </w:rPr>
              <w:t>Умеренное [68]</w:t>
            </w:r>
          </w:p>
        </w:tc>
      </w:tr>
      <w:tr w:rsidR="000A3797">
        <w:tc>
          <w:tcPr>
            <w:tcW w:w="2235" w:type="dxa"/>
          </w:tcPr>
          <w:p w:rsidR="000A3797" w:rsidRDefault="00A660E7">
            <w:pPr>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4</w:t>
            </w:r>
          </w:p>
        </w:tc>
        <w:tc>
          <w:tcPr>
            <w:tcW w:w="3969" w:type="dxa"/>
          </w:tcPr>
          <w:p w:rsidR="000A3797" w:rsidRDefault="00A660E7">
            <w:pPr>
              <w:jc w:val="both"/>
              <w:rPr>
                <w:rFonts w:ascii="Times New Roman" w:eastAsia="Times New Roman" w:hAnsi="Times New Roman" w:cs="Times New Roman"/>
                <w:b/>
                <w:i/>
                <w:sz w:val="24"/>
                <w:szCs w:val="24"/>
              </w:rPr>
            </w:pPr>
            <w:r>
              <w:rPr>
                <w:rFonts w:ascii="Times New Roman" w:eastAsia="Times New Roman" w:hAnsi="Times New Roman" w:cs="Times New Roman"/>
                <w:sz w:val="24"/>
                <w:szCs w:val="24"/>
              </w:rPr>
              <w:t>76–85 / 7–8 [68]</w:t>
            </w:r>
          </w:p>
        </w:tc>
        <w:tc>
          <w:tcPr>
            <w:tcW w:w="3367" w:type="dxa"/>
          </w:tcPr>
          <w:p w:rsidR="000A3797" w:rsidRDefault="00A660E7">
            <w:pPr>
              <w:jc w:val="both"/>
              <w:rPr>
                <w:rFonts w:ascii="Times New Roman" w:eastAsia="Times New Roman" w:hAnsi="Times New Roman" w:cs="Times New Roman"/>
                <w:b/>
                <w:i/>
                <w:sz w:val="24"/>
                <w:szCs w:val="24"/>
              </w:rPr>
            </w:pPr>
            <w:r>
              <w:rPr>
                <w:rFonts w:ascii="Times New Roman" w:eastAsia="Times New Roman" w:hAnsi="Times New Roman" w:cs="Times New Roman"/>
                <w:sz w:val="24"/>
                <w:szCs w:val="24"/>
              </w:rPr>
              <w:t>Хорошее [68]</w:t>
            </w:r>
          </w:p>
        </w:tc>
      </w:tr>
      <w:tr w:rsidR="000A3797">
        <w:tc>
          <w:tcPr>
            <w:tcW w:w="2235" w:type="dxa"/>
          </w:tcPr>
          <w:p w:rsidR="000A3797" w:rsidRDefault="00A660E7">
            <w:pPr>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5</w:t>
            </w:r>
          </w:p>
        </w:tc>
        <w:tc>
          <w:tcPr>
            <w:tcW w:w="3969" w:type="dxa"/>
          </w:tcPr>
          <w:p w:rsidR="000A3797" w:rsidRDefault="00A660E7">
            <w:pPr>
              <w:jc w:val="both"/>
              <w:rPr>
                <w:rFonts w:ascii="Times New Roman" w:eastAsia="Times New Roman" w:hAnsi="Times New Roman" w:cs="Times New Roman"/>
                <w:b/>
                <w:i/>
                <w:sz w:val="24"/>
                <w:szCs w:val="24"/>
              </w:rPr>
            </w:pPr>
            <w:r>
              <w:rPr>
                <w:rFonts w:ascii="Times New Roman" w:eastAsia="Times New Roman" w:hAnsi="Times New Roman" w:cs="Times New Roman"/>
                <w:sz w:val="24"/>
                <w:szCs w:val="24"/>
              </w:rPr>
              <w:t>86–100 / 9–10 [68]</w:t>
            </w:r>
          </w:p>
        </w:tc>
        <w:tc>
          <w:tcPr>
            <w:tcW w:w="3367" w:type="dxa"/>
          </w:tcPr>
          <w:p w:rsidR="000A3797" w:rsidRDefault="00A660E7">
            <w:pPr>
              <w:jc w:val="both"/>
              <w:rPr>
                <w:rFonts w:ascii="Times New Roman" w:eastAsia="Times New Roman" w:hAnsi="Times New Roman" w:cs="Times New Roman"/>
                <w:b/>
                <w:i/>
                <w:sz w:val="24"/>
                <w:szCs w:val="24"/>
              </w:rPr>
            </w:pPr>
            <w:r>
              <w:rPr>
                <w:rFonts w:ascii="Times New Roman" w:eastAsia="Times New Roman" w:hAnsi="Times New Roman" w:cs="Times New Roman"/>
                <w:sz w:val="24"/>
                <w:szCs w:val="24"/>
              </w:rPr>
              <w:t>Сильное [68]</w:t>
            </w:r>
          </w:p>
        </w:tc>
      </w:tr>
    </w:tbl>
    <w:p w:rsidR="000A3797" w:rsidRDefault="000A3797">
      <w:pPr>
        <w:spacing w:after="0" w:line="240" w:lineRule="auto"/>
        <w:jc w:val="both"/>
        <w:rPr>
          <w:rFonts w:ascii="Times New Roman" w:eastAsia="Times New Roman" w:hAnsi="Times New Roman" w:cs="Times New Roman"/>
          <w:sz w:val="28"/>
          <w:szCs w:val="28"/>
        </w:rPr>
      </w:pP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Вывод.</w:t>
      </w:r>
      <w:r>
        <w:rPr>
          <w:rFonts w:ascii="Times New Roman" w:eastAsia="Times New Roman" w:hAnsi="Times New Roman" w:cs="Times New Roman"/>
          <w:sz w:val="28"/>
          <w:szCs w:val="28"/>
        </w:rPr>
        <w:t xml:space="preserve"> Таким образом, мы считаем, метод вагинальной пальпации и перинеометрия являются недорогими и простыми способами оценки силы мышечных сокращений, что может быть использовано врачом любого уровня. Данных методы имели </w:t>
      </w:r>
      <w:r>
        <w:rPr>
          <w:rFonts w:ascii="Times New Roman" w:eastAsia="Times New Roman" w:hAnsi="Times New Roman" w:cs="Times New Roman"/>
          <w:sz w:val="28"/>
          <w:szCs w:val="28"/>
        </w:rPr>
        <w:t>высокую прямую корреляцию с другими методами функциональной оценки мышц тазового дна.</w:t>
      </w:r>
    </w:p>
    <w:p w:rsidR="000A3797" w:rsidRDefault="000A3797">
      <w:pPr>
        <w:spacing w:after="0" w:line="240" w:lineRule="auto"/>
        <w:jc w:val="both"/>
        <w:rPr>
          <w:rFonts w:ascii="Times New Roman" w:eastAsia="Times New Roman" w:hAnsi="Times New Roman" w:cs="Times New Roman"/>
          <w:sz w:val="28"/>
          <w:szCs w:val="28"/>
        </w:rPr>
      </w:pPr>
    </w:p>
    <w:p w:rsidR="000A3797" w:rsidRDefault="000A3797">
      <w:pPr>
        <w:spacing w:after="0" w:line="240" w:lineRule="auto"/>
        <w:jc w:val="both"/>
        <w:rPr>
          <w:rFonts w:ascii="Times New Roman" w:eastAsia="Times New Roman" w:hAnsi="Times New Roman" w:cs="Times New Roman"/>
          <w:b/>
          <w:sz w:val="28"/>
          <w:szCs w:val="28"/>
        </w:rPr>
      </w:pPr>
    </w:p>
    <w:p w:rsidR="000A3797" w:rsidRDefault="00A660E7">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1.5 Обзор эффективных хирургических методов лечения генитального пролапса</w:t>
      </w:r>
    </w:p>
    <w:p w:rsidR="000A3797" w:rsidRDefault="000A3797">
      <w:pPr>
        <w:spacing w:after="0" w:line="240" w:lineRule="auto"/>
        <w:jc w:val="both"/>
        <w:rPr>
          <w:rFonts w:ascii="Times New Roman" w:eastAsia="Times New Roman" w:hAnsi="Times New Roman" w:cs="Times New Roman"/>
          <w:b/>
          <w:sz w:val="28"/>
          <w:szCs w:val="28"/>
        </w:rPr>
      </w:pPr>
    </w:p>
    <w:p w:rsidR="000A3797" w:rsidRDefault="00A660E7">
      <w:pPr>
        <w:pBdr>
          <w:top w:val="nil"/>
          <w:left w:val="nil"/>
          <w:bottom w:val="nil"/>
          <w:right w:val="nil"/>
          <w:between w:val="nil"/>
        </w:pBdr>
        <w:shd w:val="clear" w:color="auto" w:fill="FFFFFF"/>
        <w:spacing w:after="0" w:line="240" w:lineRule="auto"/>
        <w:ind w:firstLine="708"/>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rPr>
        <w:t>Пожизненный риск рецидива для женщин, перенесших операцию по поводу пролапса тазовых органов, оценивается в 11-19%, и для 30% этих женщин со временем потребуется  повторная операция [18, стр.125; 124</w:t>
      </w:r>
      <w:r>
        <w:rPr>
          <w:rFonts w:ascii="Times New Roman" w:eastAsia="Times New Roman" w:hAnsi="Times New Roman" w:cs="Times New Roman"/>
          <w:color w:val="000000"/>
          <w:sz w:val="28"/>
          <w:szCs w:val="28"/>
          <w:highlight w:val="white"/>
        </w:rPr>
        <w:t>]</w:t>
      </w:r>
      <w:r>
        <w:rPr>
          <w:rFonts w:ascii="Times New Roman" w:eastAsia="Times New Roman" w:hAnsi="Times New Roman" w:cs="Times New Roman"/>
          <w:color w:val="000000"/>
          <w:sz w:val="28"/>
          <w:szCs w:val="28"/>
        </w:rPr>
        <w:t>. В последние десятилетия вагинальные синтетические сетк</w:t>
      </w:r>
      <w:r>
        <w:rPr>
          <w:rFonts w:ascii="Times New Roman" w:eastAsia="Times New Roman" w:hAnsi="Times New Roman" w:cs="Times New Roman"/>
          <w:color w:val="000000"/>
          <w:sz w:val="28"/>
          <w:szCs w:val="28"/>
        </w:rPr>
        <w:t>и стали широко использоваться в реконструктивной хирургии малого таза [18, стр.125</w:t>
      </w:r>
      <w:r>
        <w:rPr>
          <w:rFonts w:ascii="Times New Roman" w:eastAsia="Times New Roman" w:hAnsi="Times New Roman" w:cs="Times New Roman"/>
          <w:color w:val="000000"/>
          <w:sz w:val="28"/>
          <w:szCs w:val="28"/>
          <w:highlight w:val="white"/>
        </w:rPr>
        <w:t>]</w:t>
      </w:r>
      <w:r>
        <w:rPr>
          <w:rFonts w:ascii="Times New Roman" w:eastAsia="Times New Roman" w:hAnsi="Times New Roman" w:cs="Times New Roman"/>
          <w:color w:val="000000"/>
          <w:sz w:val="28"/>
          <w:szCs w:val="28"/>
        </w:rPr>
        <w:t xml:space="preserve">. Однако после решения Управления по санитарному надзору за качеством пищевых продуктов и медикаментов в 2019 году: прекратить продажу всех хирургических сетчатых устройств </w:t>
      </w:r>
      <w:r>
        <w:rPr>
          <w:rFonts w:ascii="Times New Roman" w:eastAsia="Times New Roman" w:hAnsi="Times New Roman" w:cs="Times New Roman"/>
          <w:color w:val="000000"/>
          <w:sz w:val="28"/>
          <w:szCs w:val="28"/>
        </w:rPr>
        <w:t xml:space="preserve">для трансвагинальной хирургии тазового пролапса, пластика влагалища нативными тканями, похоже, снова стала играть важную роль в реконструктивной хирургии таза [18, стр.125; 125]. </w:t>
      </w:r>
      <w:r>
        <w:rPr>
          <w:rFonts w:ascii="Times New Roman" w:eastAsia="Times New Roman" w:hAnsi="Times New Roman" w:cs="Times New Roman"/>
          <w:color w:val="000000"/>
          <w:sz w:val="28"/>
          <w:szCs w:val="28"/>
          <w:highlight w:val="white"/>
        </w:rPr>
        <w:t xml:space="preserve">Такая необходимость возникла с увеличением количества осложнений и повторных </w:t>
      </w:r>
      <w:r>
        <w:rPr>
          <w:rFonts w:ascii="Times New Roman" w:eastAsia="Times New Roman" w:hAnsi="Times New Roman" w:cs="Times New Roman"/>
          <w:color w:val="000000"/>
          <w:sz w:val="28"/>
          <w:szCs w:val="28"/>
          <w:highlight w:val="white"/>
        </w:rPr>
        <w:t xml:space="preserve">оперативных вмешательств по поводу осложнений сето </w:t>
      </w:r>
      <w:r>
        <w:rPr>
          <w:rFonts w:ascii="Times New Roman" w:eastAsia="Times New Roman" w:hAnsi="Times New Roman" w:cs="Times New Roman"/>
          <w:color w:val="000000"/>
          <w:sz w:val="28"/>
          <w:szCs w:val="28"/>
        </w:rPr>
        <w:t>[18, стр.125</w:t>
      </w:r>
      <w:r>
        <w:rPr>
          <w:rFonts w:ascii="Times New Roman" w:eastAsia="Times New Roman" w:hAnsi="Times New Roman" w:cs="Times New Roman"/>
          <w:color w:val="000000"/>
          <w:sz w:val="28"/>
          <w:szCs w:val="28"/>
          <w:highlight w:val="white"/>
        </w:rPr>
        <w:t>]</w:t>
      </w:r>
      <w:r>
        <w:rPr>
          <w:rFonts w:ascii="Times New Roman" w:eastAsia="Times New Roman" w:hAnsi="Times New Roman" w:cs="Times New Roman"/>
          <w:color w:val="000000"/>
          <w:sz w:val="28"/>
          <w:szCs w:val="28"/>
        </w:rPr>
        <w:t>. </w:t>
      </w:r>
      <w:r>
        <w:rPr>
          <w:rFonts w:ascii="Times New Roman" w:eastAsia="Times New Roman" w:hAnsi="Times New Roman" w:cs="Times New Roman"/>
          <w:color w:val="000000"/>
          <w:sz w:val="28"/>
          <w:szCs w:val="28"/>
          <w:highlight w:val="white"/>
        </w:rPr>
        <w:t xml:space="preserve"> Однако частота рецидива после пластики нативными тканями обуславливает необходимость поиск, а новых подходов к оперативному лечению и профилактике рецидивов </w:t>
      </w:r>
      <w:r>
        <w:rPr>
          <w:rFonts w:ascii="Times New Roman" w:eastAsia="Times New Roman" w:hAnsi="Times New Roman" w:cs="Times New Roman"/>
          <w:color w:val="000000"/>
          <w:sz w:val="28"/>
          <w:szCs w:val="28"/>
        </w:rPr>
        <w:t>[18, стр. 125; 126</w:t>
      </w:r>
      <w:r>
        <w:rPr>
          <w:rFonts w:ascii="Times New Roman" w:eastAsia="Times New Roman" w:hAnsi="Times New Roman" w:cs="Times New Roman"/>
          <w:color w:val="000000"/>
          <w:sz w:val="28"/>
          <w:szCs w:val="28"/>
          <w:highlight w:val="white"/>
        </w:rPr>
        <w:t>]</w:t>
      </w:r>
      <w:r>
        <w:rPr>
          <w:rFonts w:ascii="Times New Roman" w:eastAsia="Times New Roman" w:hAnsi="Times New Roman" w:cs="Times New Roman"/>
          <w:color w:val="000000"/>
          <w:sz w:val="28"/>
          <w:szCs w:val="28"/>
        </w:rPr>
        <w:t>.</w:t>
      </w:r>
    </w:p>
    <w:p w:rsidR="000A3797" w:rsidRDefault="00A660E7">
      <w:pPr>
        <w:spacing w:after="0" w:line="240" w:lineRule="auto"/>
        <w:ind w:firstLine="708"/>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При различн</w:t>
      </w:r>
      <w:r>
        <w:rPr>
          <w:rFonts w:ascii="Times New Roman" w:eastAsia="Times New Roman" w:hAnsi="Times New Roman" w:cs="Times New Roman"/>
          <w:sz w:val="28"/>
          <w:szCs w:val="28"/>
        </w:rPr>
        <w:t>ых методов лечения апикального пролапса, не обнаружили статистической разницы при оценки субъективных симптомов  пролапса и осложнений между различными хирургическими методами, анатомические исходы различались</w:t>
      </w:r>
      <w:r>
        <w:rPr>
          <w:rFonts w:ascii="Times New Roman" w:eastAsia="Times New Roman" w:hAnsi="Times New Roman" w:cs="Times New Roman"/>
          <w:sz w:val="28"/>
          <w:szCs w:val="28"/>
          <w:highlight w:val="white"/>
        </w:rPr>
        <w:t>[18, стр. 125; 126,стр.129].</w:t>
      </w:r>
    </w:p>
    <w:p w:rsidR="000A3797" w:rsidRDefault="00A660E7">
      <w:pPr>
        <w:pBdr>
          <w:top w:val="nil"/>
          <w:left w:val="nil"/>
          <w:bottom w:val="nil"/>
          <w:right w:val="nil"/>
          <w:between w:val="nil"/>
        </w:pBdr>
        <w:shd w:val="clear" w:color="auto" w:fill="FFFFFF"/>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highlight w:val="white"/>
        </w:rPr>
        <w:t>Систематический об</w:t>
      </w:r>
      <w:r>
        <w:rPr>
          <w:rFonts w:ascii="Times New Roman" w:eastAsia="Times New Roman" w:hAnsi="Times New Roman" w:cs="Times New Roman"/>
          <w:color w:val="000000"/>
          <w:sz w:val="28"/>
          <w:szCs w:val="28"/>
          <w:highlight w:val="white"/>
        </w:rPr>
        <w:t>зор Maher C  и соавторов от 2013 г оценивали наиболее эффективные методы лечения в отношении апикального пролапса, а также пролапса переднего и заднего отделов [18, стр. 125; 125,стр.189]</w:t>
      </w:r>
      <w:r>
        <w:rPr>
          <w:rFonts w:ascii="Times New Roman" w:eastAsia="Times New Roman" w:hAnsi="Times New Roman" w:cs="Times New Roman"/>
          <w:color w:val="000000"/>
          <w:sz w:val="28"/>
          <w:szCs w:val="28"/>
        </w:rPr>
        <w:t>, где было включено 56 рандомизированных контролируемых испытаний с у</w:t>
      </w:r>
      <w:r>
        <w:rPr>
          <w:rFonts w:ascii="Times New Roman" w:eastAsia="Times New Roman" w:hAnsi="Times New Roman" w:cs="Times New Roman"/>
          <w:color w:val="000000"/>
          <w:sz w:val="28"/>
          <w:szCs w:val="28"/>
        </w:rPr>
        <w:t>частием 5954 женщин.  Абдоминальная крестцовая кольпопексия для апикального пролапса имеет лучшие результаты по сравнению с различными вагинальными процедурами, включая крестцово-остистую кольпопексию, маточно-крестцовую кольпопексию и трансвагинальную сет</w:t>
      </w:r>
      <w:r>
        <w:rPr>
          <w:rFonts w:ascii="Times New Roman" w:eastAsia="Times New Roman" w:hAnsi="Times New Roman" w:cs="Times New Roman"/>
          <w:color w:val="000000"/>
          <w:sz w:val="28"/>
          <w:szCs w:val="28"/>
        </w:rPr>
        <w:t xml:space="preserve">ку </w:t>
      </w:r>
      <w:r>
        <w:rPr>
          <w:rFonts w:ascii="Times New Roman" w:eastAsia="Times New Roman" w:hAnsi="Times New Roman" w:cs="Times New Roman"/>
          <w:color w:val="000000"/>
          <w:sz w:val="28"/>
          <w:szCs w:val="28"/>
          <w:highlight w:val="white"/>
        </w:rPr>
        <w:t>[18, стр. 125; 125,стр.189]</w:t>
      </w:r>
      <w:r>
        <w:rPr>
          <w:rFonts w:ascii="Times New Roman" w:eastAsia="Times New Roman" w:hAnsi="Times New Roman" w:cs="Times New Roman"/>
          <w:color w:val="000000"/>
          <w:sz w:val="28"/>
          <w:szCs w:val="28"/>
        </w:rPr>
        <w:t>.</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другом десятилетнем исследовании оценивали долгосрочные результаты фиксация подвздошно-копчиковой мышцы, исходными точками оценки были субъективные симптомы, объективный осмотр со стадией пролапса менее 2 и оценка качества</w:t>
      </w:r>
      <w:r>
        <w:rPr>
          <w:rFonts w:ascii="Times New Roman" w:eastAsia="Times New Roman" w:hAnsi="Times New Roman" w:cs="Times New Roman"/>
          <w:sz w:val="28"/>
          <w:szCs w:val="28"/>
        </w:rPr>
        <w:t xml:space="preserve"> жизни с использованием опросника P-QOL [18,стр. 125; 126,стр.1535]. Данный хирургический метод по оценкам исследователей представляется безопасным и эффективным методом лечения [18, стр. 125; 126, стр.1535].</w:t>
      </w:r>
      <w:r>
        <w:rPr>
          <w:rFonts w:ascii="Times New Roman" w:eastAsia="Times New Roman" w:hAnsi="Times New Roman" w:cs="Times New Roman"/>
          <w:sz w:val="28"/>
          <w:szCs w:val="28"/>
          <w:highlight w:val="white"/>
        </w:rPr>
        <w:t xml:space="preserve"> </w:t>
      </w:r>
    </w:p>
    <w:p w:rsidR="000A3797" w:rsidRDefault="00A660E7">
      <w:pPr>
        <w:spacing w:after="0" w:line="240" w:lineRule="auto"/>
        <w:ind w:firstLine="708"/>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Метод - лапароскопическая промонтофиксация во </w:t>
      </w:r>
      <w:r>
        <w:rPr>
          <w:rFonts w:ascii="Times New Roman" w:eastAsia="Times New Roman" w:hAnsi="Times New Roman" w:cs="Times New Roman"/>
          <w:sz w:val="28"/>
          <w:szCs w:val="28"/>
          <w:highlight w:val="white"/>
        </w:rPr>
        <w:t>многих исследованиях показал хороший анатомический эффект при апикальном пролапсе и может быть рекомендован как метод с высоким уровнем доказательности для этого отдела пролапса (класс A) [</w:t>
      </w:r>
      <w:r>
        <w:rPr>
          <w:rFonts w:ascii="Times New Roman" w:eastAsia="Times New Roman" w:hAnsi="Times New Roman" w:cs="Times New Roman"/>
          <w:sz w:val="28"/>
          <w:szCs w:val="28"/>
        </w:rPr>
        <w:t xml:space="preserve">18, стр.125; </w:t>
      </w:r>
      <w:r>
        <w:rPr>
          <w:rFonts w:ascii="Times New Roman" w:eastAsia="Times New Roman" w:hAnsi="Times New Roman" w:cs="Times New Roman"/>
          <w:sz w:val="28"/>
          <w:szCs w:val="28"/>
          <w:highlight w:val="white"/>
        </w:rPr>
        <w:t>129-133].  Полипропиленовая монофиламентная сетка и ла</w:t>
      </w:r>
      <w:r>
        <w:rPr>
          <w:rFonts w:ascii="Times New Roman" w:eastAsia="Times New Roman" w:hAnsi="Times New Roman" w:cs="Times New Roman"/>
          <w:sz w:val="28"/>
          <w:szCs w:val="28"/>
          <w:highlight w:val="white"/>
        </w:rPr>
        <w:t>пароскопический доступ являются предпочтительным методом (класс B) [</w:t>
      </w:r>
      <w:r>
        <w:rPr>
          <w:rFonts w:ascii="Times New Roman" w:eastAsia="Times New Roman" w:hAnsi="Times New Roman" w:cs="Times New Roman"/>
          <w:sz w:val="28"/>
          <w:szCs w:val="28"/>
        </w:rPr>
        <w:t xml:space="preserve">18, стр.125; </w:t>
      </w:r>
      <w:r>
        <w:rPr>
          <w:rFonts w:ascii="Times New Roman" w:eastAsia="Times New Roman" w:hAnsi="Times New Roman" w:cs="Times New Roman"/>
          <w:sz w:val="28"/>
          <w:szCs w:val="28"/>
          <w:highlight w:val="white"/>
        </w:rPr>
        <w:t>129,стр.63]. Рекомендация степени B поддерживают выполнение одномоментной коррекции пролапса других отделов вовремя сакрокольпопексии [</w:t>
      </w:r>
      <w:r>
        <w:rPr>
          <w:rFonts w:ascii="Times New Roman" w:eastAsia="Times New Roman" w:hAnsi="Times New Roman" w:cs="Times New Roman"/>
          <w:sz w:val="28"/>
          <w:szCs w:val="28"/>
        </w:rPr>
        <w:t xml:space="preserve">18, стр.125; </w:t>
      </w:r>
      <w:r>
        <w:rPr>
          <w:rFonts w:ascii="Times New Roman" w:eastAsia="Times New Roman" w:hAnsi="Times New Roman" w:cs="Times New Roman"/>
          <w:sz w:val="28"/>
          <w:szCs w:val="28"/>
          <w:highlight w:val="white"/>
        </w:rPr>
        <w:t xml:space="preserve">129, стр.63]. Рекомендация </w:t>
      </w:r>
      <w:r>
        <w:rPr>
          <w:rFonts w:ascii="Times New Roman" w:eastAsia="Times New Roman" w:hAnsi="Times New Roman" w:cs="Times New Roman"/>
          <w:sz w:val="28"/>
          <w:szCs w:val="28"/>
          <w:highlight w:val="white"/>
        </w:rPr>
        <w:t xml:space="preserve">степени C предполагает либо постоянные, либо рассасывающиеся швы для крепления сетки к влагалищу, постоянные скобки или швы для прикрепления сетки к крестцовому мысу и закрытия брюшины над сеткой </w:t>
      </w:r>
      <w:r>
        <w:rPr>
          <w:rFonts w:ascii="Times New Roman" w:eastAsia="Times New Roman" w:hAnsi="Times New Roman" w:cs="Times New Roman"/>
          <w:sz w:val="28"/>
          <w:szCs w:val="28"/>
        </w:rPr>
        <w:t>[18, стр.125</w:t>
      </w:r>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w:t>
      </w:r>
      <w:r>
        <w:rPr>
          <w:rFonts w:ascii="Times New Roman" w:eastAsia="Times New Roman" w:hAnsi="Times New Roman" w:cs="Times New Roman"/>
          <w:sz w:val="28"/>
          <w:szCs w:val="28"/>
          <w:highlight w:val="white"/>
        </w:rPr>
        <w:t>. Рекомендация степени С по методу Delphi поддерживает проведение сакрокольпопексии после неосложненных интраоперационных повреждений мочевого пузыря или тонкой кишки. Данных о гистерэктомии (тотальной или субтотальной) или сохранении матки во время сакрок</w:t>
      </w:r>
      <w:r>
        <w:rPr>
          <w:rFonts w:ascii="Times New Roman" w:eastAsia="Times New Roman" w:hAnsi="Times New Roman" w:cs="Times New Roman"/>
          <w:sz w:val="28"/>
          <w:szCs w:val="28"/>
          <w:highlight w:val="white"/>
        </w:rPr>
        <w:t>ольпопексии недостаточно или они противоречивы (уровень D) [</w:t>
      </w:r>
      <w:r>
        <w:rPr>
          <w:rFonts w:ascii="Times New Roman" w:eastAsia="Times New Roman" w:hAnsi="Times New Roman" w:cs="Times New Roman"/>
          <w:sz w:val="28"/>
          <w:szCs w:val="28"/>
        </w:rPr>
        <w:t xml:space="preserve">18, стр.125; </w:t>
      </w:r>
      <w:r>
        <w:rPr>
          <w:rFonts w:ascii="Times New Roman" w:eastAsia="Times New Roman" w:hAnsi="Times New Roman" w:cs="Times New Roman"/>
          <w:sz w:val="28"/>
          <w:szCs w:val="28"/>
          <w:highlight w:val="white"/>
        </w:rPr>
        <w:t xml:space="preserve">129, стр.63]. Сакрокольпопексия остается отличным вариантом для устранения апикального пролапса влагалища </w:t>
      </w:r>
      <w:r>
        <w:rPr>
          <w:rFonts w:ascii="Times New Roman" w:eastAsia="Times New Roman" w:hAnsi="Times New Roman" w:cs="Times New Roman"/>
          <w:sz w:val="28"/>
          <w:szCs w:val="28"/>
        </w:rPr>
        <w:t>[18, стр.125</w:t>
      </w:r>
      <w:r>
        <w:rPr>
          <w:rFonts w:ascii="Times New Roman" w:eastAsia="Times New Roman" w:hAnsi="Times New Roman" w:cs="Times New Roman"/>
          <w:sz w:val="28"/>
          <w:szCs w:val="28"/>
          <w:highlight w:val="white"/>
        </w:rPr>
        <w:t>]. Вопрос о сохранении или удалении матки во время процедуры треб</w:t>
      </w:r>
      <w:r>
        <w:rPr>
          <w:rFonts w:ascii="Times New Roman" w:eastAsia="Times New Roman" w:hAnsi="Times New Roman" w:cs="Times New Roman"/>
          <w:sz w:val="28"/>
          <w:szCs w:val="28"/>
          <w:highlight w:val="white"/>
        </w:rPr>
        <w:t xml:space="preserve">ует дальнейшего уточнения </w:t>
      </w:r>
      <w:r>
        <w:rPr>
          <w:rFonts w:ascii="Times New Roman" w:eastAsia="Times New Roman" w:hAnsi="Times New Roman" w:cs="Times New Roman"/>
          <w:sz w:val="28"/>
          <w:szCs w:val="28"/>
        </w:rPr>
        <w:t>[18, стр.125</w:t>
      </w:r>
      <w:r>
        <w:rPr>
          <w:rFonts w:ascii="Times New Roman" w:eastAsia="Times New Roman" w:hAnsi="Times New Roman" w:cs="Times New Roman"/>
          <w:sz w:val="28"/>
          <w:szCs w:val="28"/>
          <w:highlight w:val="white"/>
        </w:rPr>
        <w:t>]. Существуют вариации в выполнении большинства технических аспектов процедуры [</w:t>
      </w:r>
      <w:r>
        <w:rPr>
          <w:rFonts w:ascii="Times New Roman" w:eastAsia="Times New Roman" w:hAnsi="Times New Roman" w:cs="Times New Roman"/>
          <w:sz w:val="28"/>
          <w:szCs w:val="28"/>
        </w:rPr>
        <w:t xml:space="preserve">18, стр.125; </w:t>
      </w:r>
      <w:r>
        <w:rPr>
          <w:rFonts w:ascii="Times New Roman" w:eastAsia="Times New Roman" w:hAnsi="Times New Roman" w:cs="Times New Roman"/>
          <w:sz w:val="28"/>
          <w:szCs w:val="28"/>
          <w:highlight w:val="white"/>
        </w:rPr>
        <w:t>129, стр.63].</w:t>
      </w:r>
    </w:p>
    <w:p w:rsidR="000A3797" w:rsidRDefault="00A660E7">
      <w:pPr>
        <w:spacing w:after="0" w:line="240" w:lineRule="auto"/>
        <w:ind w:firstLine="708"/>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 xml:space="preserve">Что интересно, состояние мышц тазового дна до хирургического вмешательства, не влияло на исходы после операции </w:t>
      </w:r>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 xml:space="preserve">18, стр.125; </w:t>
      </w:r>
      <w:r>
        <w:rPr>
          <w:rFonts w:ascii="Times New Roman" w:eastAsia="Times New Roman" w:hAnsi="Times New Roman" w:cs="Times New Roman"/>
          <w:sz w:val="28"/>
          <w:szCs w:val="28"/>
          <w:highlight w:val="white"/>
        </w:rPr>
        <w:t>132, стр.7]</w:t>
      </w:r>
      <w:r>
        <w:rPr>
          <w:rFonts w:ascii="Times New Roman" w:eastAsia="Times New Roman" w:hAnsi="Times New Roman" w:cs="Times New Roman"/>
          <w:sz w:val="28"/>
          <w:szCs w:val="28"/>
        </w:rPr>
        <w:t xml:space="preserve">. </w:t>
      </w:r>
    </w:p>
    <w:p w:rsidR="000A3797" w:rsidRDefault="00A660E7">
      <w:pPr>
        <w:spacing w:after="0" w:line="240" w:lineRule="auto"/>
        <w:ind w:firstLine="708"/>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Латеральная фиксация, выполненная с помощью робототехники, очень хорошо переносилась и привела к полному исчезновению симптомов, связанных с пролапсом, а также отмечались улучшения качества жизни и симптомов недержания мочи (PQO</w:t>
      </w:r>
      <w:r>
        <w:rPr>
          <w:rFonts w:ascii="Times New Roman" w:eastAsia="Times New Roman" w:hAnsi="Times New Roman" w:cs="Times New Roman"/>
          <w:sz w:val="28"/>
          <w:szCs w:val="28"/>
          <w:highlight w:val="white"/>
        </w:rPr>
        <w:t>-L и IIQ7) через 1 месяц после операции, что может быть альтернативой промонтофиксации [</w:t>
      </w:r>
      <w:r>
        <w:rPr>
          <w:rFonts w:ascii="Times New Roman" w:eastAsia="Times New Roman" w:hAnsi="Times New Roman" w:cs="Times New Roman"/>
          <w:sz w:val="28"/>
          <w:szCs w:val="28"/>
        </w:rPr>
        <w:t xml:space="preserve">18, стр.125; </w:t>
      </w:r>
      <w:r>
        <w:rPr>
          <w:rFonts w:ascii="Times New Roman" w:eastAsia="Times New Roman" w:hAnsi="Times New Roman" w:cs="Times New Roman"/>
          <w:sz w:val="28"/>
          <w:szCs w:val="28"/>
          <w:highlight w:val="white"/>
        </w:rPr>
        <w:t>133].</w:t>
      </w:r>
    </w:p>
    <w:p w:rsidR="000A3797" w:rsidRDefault="00A660E7">
      <w:pPr>
        <w:pBdr>
          <w:top w:val="nil"/>
          <w:left w:val="nil"/>
          <w:bottom w:val="nil"/>
          <w:right w:val="nil"/>
          <w:between w:val="nil"/>
        </w:pBdr>
        <w:shd w:val="clear" w:color="auto" w:fill="FFFFFF"/>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Пластика переднего отдела собственными тканями была связана с более частыми рецидивами пролапса переднего отдела, чем при использовании рассасывающей</w:t>
      </w:r>
      <w:r>
        <w:rPr>
          <w:rFonts w:ascii="Times New Roman" w:eastAsia="Times New Roman" w:hAnsi="Times New Roman" w:cs="Times New Roman"/>
          <w:color w:val="000000"/>
          <w:sz w:val="28"/>
          <w:szCs w:val="28"/>
        </w:rPr>
        <w:t xml:space="preserve">ся сетки для переднего отдела или биологического трансплантата из свиной дермы </w:t>
      </w:r>
      <w:r>
        <w:rPr>
          <w:rFonts w:ascii="Times New Roman" w:eastAsia="Times New Roman" w:hAnsi="Times New Roman" w:cs="Times New Roman"/>
          <w:color w:val="000000"/>
          <w:sz w:val="28"/>
          <w:szCs w:val="28"/>
          <w:highlight w:val="white"/>
        </w:rPr>
        <w:t>[</w:t>
      </w:r>
      <w:r>
        <w:rPr>
          <w:rFonts w:ascii="Times New Roman" w:eastAsia="Times New Roman" w:hAnsi="Times New Roman" w:cs="Times New Roman"/>
          <w:color w:val="000000"/>
          <w:sz w:val="28"/>
          <w:szCs w:val="28"/>
        </w:rPr>
        <w:t xml:space="preserve">18, стр.125; </w:t>
      </w:r>
      <w:r>
        <w:rPr>
          <w:rFonts w:ascii="Times New Roman" w:eastAsia="Times New Roman" w:hAnsi="Times New Roman" w:cs="Times New Roman"/>
          <w:color w:val="000000"/>
          <w:sz w:val="28"/>
          <w:szCs w:val="28"/>
          <w:highlight w:val="white"/>
        </w:rPr>
        <w:t>134]</w:t>
      </w:r>
      <w:r>
        <w:rPr>
          <w:rFonts w:ascii="Times New Roman" w:eastAsia="Times New Roman" w:hAnsi="Times New Roman" w:cs="Times New Roman"/>
          <w:color w:val="000000"/>
          <w:sz w:val="28"/>
          <w:szCs w:val="28"/>
        </w:rPr>
        <w:t xml:space="preserve">. Разницы между рассасывающейся сеткой и использованием биологического трансплантата не было </w:t>
      </w:r>
      <w:r>
        <w:rPr>
          <w:rFonts w:ascii="Times New Roman" w:eastAsia="Times New Roman" w:hAnsi="Times New Roman" w:cs="Times New Roman"/>
          <w:color w:val="000000"/>
          <w:sz w:val="28"/>
          <w:szCs w:val="28"/>
          <w:highlight w:val="white"/>
        </w:rPr>
        <w:t>[</w:t>
      </w:r>
      <w:r>
        <w:rPr>
          <w:rFonts w:ascii="Times New Roman" w:eastAsia="Times New Roman" w:hAnsi="Times New Roman" w:cs="Times New Roman"/>
          <w:color w:val="000000"/>
          <w:sz w:val="28"/>
          <w:szCs w:val="28"/>
        </w:rPr>
        <w:t xml:space="preserve">18, стр.125; </w:t>
      </w:r>
      <w:r>
        <w:rPr>
          <w:rFonts w:ascii="Times New Roman" w:eastAsia="Times New Roman" w:hAnsi="Times New Roman" w:cs="Times New Roman"/>
          <w:color w:val="000000"/>
          <w:sz w:val="28"/>
          <w:szCs w:val="28"/>
          <w:highlight w:val="white"/>
        </w:rPr>
        <w:t>134, стр.97].</w:t>
      </w:r>
      <w:r>
        <w:rPr>
          <w:rFonts w:ascii="Times New Roman" w:eastAsia="Times New Roman" w:hAnsi="Times New Roman" w:cs="Times New Roman"/>
          <w:color w:val="000000"/>
          <w:sz w:val="28"/>
          <w:szCs w:val="28"/>
        </w:rPr>
        <w:t> Также традиционная передняя пластика а</w:t>
      </w:r>
      <w:r>
        <w:rPr>
          <w:rFonts w:ascii="Times New Roman" w:eastAsia="Times New Roman" w:hAnsi="Times New Roman" w:cs="Times New Roman"/>
          <w:color w:val="000000"/>
          <w:sz w:val="28"/>
          <w:szCs w:val="28"/>
        </w:rPr>
        <w:t>ссоциировалась с рецидивом переднего отдела при осмотре чаще, чем любая пластика полипропиленовой, не рассасывающейся сеткой [18, стр.125</w:t>
      </w:r>
      <w:r>
        <w:rPr>
          <w:rFonts w:ascii="Times New Roman" w:eastAsia="Times New Roman" w:hAnsi="Times New Roman" w:cs="Times New Roman"/>
          <w:color w:val="000000"/>
          <w:sz w:val="28"/>
          <w:szCs w:val="28"/>
          <w:highlight w:val="white"/>
        </w:rPr>
        <w:t>]</w:t>
      </w:r>
      <w:r>
        <w:rPr>
          <w:rFonts w:ascii="Times New Roman" w:eastAsia="Times New Roman" w:hAnsi="Times New Roman" w:cs="Times New Roman"/>
          <w:color w:val="000000"/>
          <w:sz w:val="28"/>
          <w:szCs w:val="28"/>
        </w:rPr>
        <w:t>. Различий в данных качества жизни или диспареунии de novo выявлено не было.  Тем не менее, частота повторных операций</w:t>
      </w:r>
      <w:r>
        <w:rPr>
          <w:rFonts w:ascii="Times New Roman" w:eastAsia="Times New Roman" w:hAnsi="Times New Roman" w:cs="Times New Roman"/>
          <w:color w:val="000000"/>
          <w:sz w:val="28"/>
          <w:szCs w:val="28"/>
        </w:rPr>
        <w:t xml:space="preserve"> по поводу пролапса была сходной и составляла 14/459 (3%) после пластики собственными тканями по сравнению с использованием не рассасывающийся сетки 6/470 (1,3%) (ОР 2,18, 95% ДИ: от 0,93 до 5,10) </w:t>
      </w:r>
      <w:r>
        <w:rPr>
          <w:rFonts w:ascii="Times New Roman" w:eastAsia="Times New Roman" w:hAnsi="Times New Roman" w:cs="Times New Roman"/>
          <w:color w:val="000000"/>
          <w:sz w:val="28"/>
          <w:szCs w:val="28"/>
          <w:highlight w:val="white"/>
        </w:rPr>
        <w:t>[</w:t>
      </w:r>
      <w:r>
        <w:rPr>
          <w:rFonts w:ascii="Times New Roman" w:eastAsia="Times New Roman" w:hAnsi="Times New Roman" w:cs="Times New Roman"/>
          <w:color w:val="000000"/>
          <w:sz w:val="28"/>
          <w:szCs w:val="28"/>
        </w:rPr>
        <w:t xml:space="preserve">18, стр.126; </w:t>
      </w:r>
      <w:r>
        <w:rPr>
          <w:rFonts w:ascii="Times New Roman" w:eastAsia="Times New Roman" w:hAnsi="Times New Roman" w:cs="Times New Roman"/>
          <w:color w:val="000000"/>
          <w:sz w:val="28"/>
          <w:szCs w:val="28"/>
          <w:highlight w:val="white"/>
        </w:rPr>
        <w:t>134, стр.97].</w:t>
      </w:r>
      <w:r>
        <w:rPr>
          <w:rFonts w:ascii="Times New Roman" w:eastAsia="Times New Roman" w:hAnsi="Times New Roman" w:cs="Times New Roman"/>
          <w:color w:val="000000"/>
          <w:sz w:val="28"/>
          <w:szCs w:val="28"/>
        </w:rPr>
        <w:t>  Связанно это было с тем, что ч</w:t>
      </w:r>
      <w:r>
        <w:rPr>
          <w:rFonts w:ascii="Times New Roman" w:eastAsia="Times New Roman" w:hAnsi="Times New Roman" w:cs="Times New Roman"/>
          <w:color w:val="000000"/>
          <w:sz w:val="28"/>
          <w:szCs w:val="28"/>
        </w:rPr>
        <w:t xml:space="preserve">аще возникал пролапс других отделов и de novo стрессовое недержание мочи при использовании не рассасывающихся сеток, чем при пластике переднего отдела нативными тканями </w:t>
      </w:r>
      <w:r>
        <w:rPr>
          <w:rFonts w:ascii="Times New Roman" w:eastAsia="Times New Roman" w:hAnsi="Times New Roman" w:cs="Times New Roman"/>
          <w:color w:val="000000"/>
          <w:sz w:val="28"/>
          <w:szCs w:val="28"/>
          <w:highlight w:val="white"/>
        </w:rPr>
        <w:t>[</w:t>
      </w:r>
      <w:r>
        <w:rPr>
          <w:rFonts w:ascii="Times New Roman" w:eastAsia="Times New Roman" w:hAnsi="Times New Roman" w:cs="Times New Roman"/>
          <w:color w:val="000000"/>
          <w:sz w:val="28"/>
          <w:szCs w:val="28"/>
        </w:rPr>
        <w:t xml:space="preserve">18, стр.126; </w:t>
      </w:r>
      <w:r>
        <w:rPr>
          <w:rFonts w:ascii="Times New Roman" w:eastAsia="Times New Roman" w:hAnsi="Times New Roman" w:cs="Times New Roman"/>
          <w:color w:val="000000"/>
          <w:sz w:val="28"/>
          <w:szCs w:val="28"/>
          <w:highlight w:val="white"/>
        </w:rPr>
        <w:t>134, стр98].</w:t>
      </w:r>
      <w:r>
        <w:rPr>
          <w:rFonts w:ascii="Times New Roman" w:eastAsia="Times New Roman" w:hAnsi="Times New Roman" w:cs="Times New Roman"/>
          <w:color w:val="000000"/>
          <w:sz w:val="28"/>
          <w:szCs w:val="28"/>
        </w:rPr>
        <w:t> Эрозии сетки были зарегистрированы в 11,4% (64/563), повторн</w:t>
      </w:r>
      <w:r>
        <w:rPr>
          <w:rFonts w:ascii="Times New Roman" w:eastAsia="Times New Roman" w:hAnsi="Times New Roman" w:cs="Times New Roman"/>
          <w:color w:val="000000"/>
          <w:sz w:val="28"/>
          <w:szCs w:val="28"/>
        </w:rPr>
        <w:t>ые хирургические вмешательства были выполнены в 6,8% (32/470)</w:t>
      </w:r>
      <w:r>
        <w:rPr>
          <w:rFonts w:ascii="Times New Roman" w:eastAsia="Times New Roman" w:hAnsi="Times New Roman" w:cs="Times New Roman"/>
          <w:color w:val="000000"/>
          <w:sz w:val="28"/>
          <w:szCs w:val="28"/>
          <w:highlight w:val="white"/>
        </w:rPr>
        <w:t xml:space="preserve"> [</w:t>
      </w:r>
      <w:r>
        <w:rPr>
          <w:rFonts w:ascii="Times New Roman" w:eastAsia="Times New Roman" w:hAnsi="Times New Roman" w:cs="Times New Roman"/>
          <w:color w:val="000000"/>
          <w:sz w:val="28"/>
          <w:szCs w:val="28"/>
        </w:rPr>
        <w:t xml:space="preserve">18, стр.126; </w:t>
      </w:r>
      <w:r>
        <w:rPr>
          <w:rFonts w:ascii="Times New Roman" w:eastAsia="Times New Roman" w:hAnsi="Times New Roman" w:cs="Times New Roman"/>
          <w:color w:val="000000"/>
          <w:sz w:val="28"/>
          <w:szCs w:val="28"/>
          <w:highlight w:val="white"/>
        </w:rPr>
        <w:t>134,стр.98]</w:t>
      </w:r>
      <w:r>
        <w:rPr>
          <w:rFonts w:ascii="Times New Roman" w:eastAsia="Times New Roman" w:hAnsi="Times New Roman" w:cs="Times New Roman"/>
          <w:color w:val="000000"/>
          <w:sz w:val="28"/>
          <w:szCs w:val="28"/>
        </w:rPr>
        <w:t xml:space="preserve">.  </w:t>
      </w:r>
    </w:p>
    <w:p w:rsidR="000A3797" w:rsidRDefault="00A660E7">
      <w:pPr>
        <w:spacing w:after="0" w:line="240" w:lineRule="auto"/>
        <w:ind w:firstLine="708"/>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В более поздних метаанализах от 2016 г. подтвердили данные относительного пользы и рисков применения биологических трансплантантов и синтетических сеток для пролапса</w:t>
      </w:r>
      <w:r>
        <w:rPr>
          <w:rFonts w:ascii="Times New Roman" w:eastAsia="Times New Roman" w:hAnsi="Times New Roman" w:cs="Times New Roman"/>
          <w:sz w:val="28"/>
          <w:szCs w:val="28"/>
        </w:rPr>
        <w:t xml:space="preserve"> переднего отдела </w:t>
      </w:r>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 xml:space="preserve">18, стр.126; </w:t>
      </w:r>
      <w:r>
        <w:rPr>
          <w:rFonts w:ascii="Times New Roman" w:eastAsia="Times New Roman" w:hAnsi="Times New Roman" w:cs="Times New Roman"/>
          <w:sz w:val="28"/>
          <w:szCs w:val="28"/>
          <w:highlight w:val="white"/>
        </w:rPr>
        <w:t>135,стр.97].</w:t>
      </w:r>
    </w:p>
    <w:p w:rsidR="000A3797" w:rsidRDefault="00A660E7">
      <w:pPr>
        <w:spacing w:after="0" w:line="240" w:lineRule="auto"/>
        <w:ind w:firstLine="708"/>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Восстановление биологическим трансплантатом или рассасывающейся сеткой обеспечивает минимальное преимущество по сравнению с восстановлением собственными тканями [18, стр.126</w:t>
      </w:r>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 При восстановлении собственными тканями было выше рисков рецидива пролапса и повторной операции по поводу рецидива пролапса в сравнении с использованием не рассасывающихся сеток [18, стр.126</w:t>
      </w:r>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 Тем не менее, восстановление нативными тканями было связано с</w:t>
      </w:r>
      <w:r>
        <w:rPr>
          <w:rFonts w:ascii="Times New Roman" w:eastAsia="Times New Roman" w:hAnsi="Times New Roman" w:cs="Times New Roman"/>
          <w:sz w:val="28"/>
          <w:szCs w:val="28"/>
        </w:rPr>
        <w:t>о снижением риска стрессового недержания мочи de novo, уменьшением повреждения мочевого пузыря и снижением частоты повторных операций по поводу эрозии сетки (суммарный эффект) [18, стр.126</w:t>
      </w:r>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 Многие трансвагинальные полипропиленовые сетки были изъяты из про</w:t>
      </w:r>
      <w:r>
        <w:rPr>
          <w:rFonts w:ascii="Times New Roman" w:eastAsia="Times New Roman" w:hAnsi="Times New Roman" w:cs="Times New Roman"/>
          <w:sz w:val="28"/>
          <w:szCs w:val="28"/>
        </w:rPr>
        <w:t>дажи, а более новые легкие трансвагинальные сетки не оценивались в РКИ [18, стр.126</w:t>
      </w:r>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 Клиницистам и женщинам авторы рекомендовали соблюдать осторожность при использовании этих продуктов, поскольку их безопасность и эффективность не установлены [18, стр.126</w:t>
      </w:r>
      <w:r>
        <w:rPr>
          <w:rFonts w:ascii="Times New Roman" w:eastAsia="Times New Roman" w:hAnsi="Times New Roman" w:cs="Times New Roman"/>
          <w:sz w:val="28"/>
          <w:szCs w:val="28"/>
        </w:rPr>
        <w:t>; 134, стр.97</w:t>
      </w:r>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 xml:space="preserve"> Соотношение риск-польза означает, что применение трансвагинальной сетки в первичной хирургии ограничено [18, стр.126</w:t>
      </w:r>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 Хотя возможно, что у женщин с более высоким риском рецидива польза может перевешивать риски, в настоящее время нет доказа</w:t>
      </w:r>
      <w:r>
        <w:rPr>
          <w:rFonts w:ascii="Times New Roman" w:eastAsia="Times New Roman" w:hAnsi="Times New Roman" w:cs="Times New Roman"/>
          <w:sz w:val="28"/>
          <w:szCs w:val="28"/>
        </w:rPr>
        <w:t>тельств, подтверждающих эту позицию [18, стр.126</w:t>
      </w:r>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 xml:space="preserve">.  Авторы не дали однозначных рекомендаций относительно рассасывающихся сеток или использования биологического трансплантата, ввиду отсутствия достаточных данных по этим вопросам </w:t>
      </w:r>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18, стр.126</w:t>
      </w:r>
      <w:r>
        <w:rPr>
          <w:rFonts w:ascii="Times New Roman" w:eastAsia="Times New Roman" w:hAnsi="Times New Roman" w:cs="Times New Roman"/>
          <w:sz w:val="28"/>
          <w:szCs w:val="28"/>
          <w:highlight w:val="white"/>
        </w:rPr>
        <w:t>; 135]. Результа</w:t>
      </w:r>
      <w:r>
        <w:rPr>
          <w:rFonts w:ascii="Times New Roman" w:eastAsia="Times New Roman" w:hAnsi="Times New Roman" w:cs="Times New Roman"/>
          <w:sz w:val="28"/>
          <w:szCs w:val="28"/>
          <w:highlight w:val="white"/>
        </w:rPr>
        <w:t>ты еще одного мета-анализа 2016г.  и других более поздних исследований имеют схожие результаты и рекомендуют рассматривать использование сетки индивидуально [</w:t>
      </w:r>
      <w:r>
        <w:rPr>
          <w:rFonts w:ascii="Times New Roman" w:eastAsia="Times New Roman" w:hAnsi="Times New Roman" w:cs="Times New Roman"/>
          <w:sz w:val="28"/>
          <w:szCs w:val="28"/>
        </w:rPr>
        <w:t>18, стр.126 ;</w:t>
      </w:r>
      <w:r>
        <w:rPr>
          <w:rFonts w:ascii="Times New Roman" w:eastAsia="Times New Roman" w:hAnsi="Times New Roman" w:cs="Times New Roman"/>
          <w:sz w:val="28"/>
          <w:szCs w:val="28"/>
          <w:highlight w:val="white"/>
        </w:rPr>
        <w:t xml:space="preserve">136-145]. </w:t>
      </w:r>
    </w:p>
    <w:p w:rsidR="000A3797" w:rsidRDefault="00A660E7">
      <w:pPr>
        <w:spacing w:after="0" w:line="240" w:lineRule="auto"/>
        <w:ind w:firstLine="708"/>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При трансвагинальной пластике задней стенки влагалища было меньше рецидиви</w:t>
      </w:r>
      <w:r>
        <w:rPr>
          <w:rFonts w:ascii="Times New Roman" w:eastAsia="Times New Roman" w:hAnsi="Times New Roman" w:cs="Times New Roman"/>
          <w:sz w:val="28"/>
          <w:szCs w:val="28"/>
        </w:rPr>
        <w:t xml:space="preserve">рующих симптомов пролапса и более низкие рецидивы при осмотре и при дефекографии по сравнению с трансанальной пластикой </w:t>
      </w:r>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18, стр.126 ;</w:t>
      </w:r>
      <w:r>
        <w:rPr>
          <w:rFonts w:ascii="Times New Roman" w:eastAsia="Times New Roman" w:hAnsi="Times New Roman" w:cs="Times New Roman"/>
          <w:sz w:val="28"/>
          <w:szCs w:val="28"/>
          <w:highlight w:val="white"/>
        </w:rPr>
        <w:t>125, стр.195].</w:t>
      </w:r>
      <w:r>
        <w:rPr>
          <w:rFonts w:ascii="Times New Roman" w:eastAsia="Times New Roman" w:hAnsi="Times New Roman" w:cs="Times New Roman"/>
          <w:sz w:val="28"/>
          <w:szCs w:val="28"/>
        </w:rPr>
        <w:t xml:space="preserve"> Эти данные подтверждены в метаанализе от 2018 года [18, стр.126 ;145, стр.51</w:t>
      </w:r>
      <w:r>
        <w:rPr>
          <w:rFonts w:ascii="Times New Roman" w:eastAsia="Times New Roman" w:hAnsi="Times New Roman" w:cs="Times New Roman"/>
          <w:sz w:val="28"/>
          <w:szCs w:val="28"/>
          <w:highlight w:val="white"/>
        </w:rPr>
        <w:t>]. В нашем исследовании лапарос</w:t>
      </w:r>
      <w:r>
        <w:rPr>
          <w:rFonts w:ascii="Times New Roman" w:eastAsia="Times New Roman" w:hAnsi="Times New Roman" w:cs="Times New Roman"/>
          <w:sz w:val="28"/>
          <w:szCs w:val="28"/>
          <w:highlight w:val="white"/>
        </w:rPr>
        <w:t xml:space="preserve">копическая промонтофиксация до леваторов была эффективнее относительно задней транвагинальной пластики влагалища при ректоцеле </w:t>
      </w:r>
      <w:r>
        <w:rPr>
          <w:rFonts w:ascii="Times New Roman" w:eastAsia="Times New Roman" w:hAnsi="Times New Roman" w:cs="Times New Roman"/>
          <w:sz w:val="28"/>
          <w:szCs w:val="28"/>
        </w:rPr>
        <w:t>[18, стр.126 </w:t>
      </w:r>
      <w:r>
        <w:rPr>
          <w:rFonts w:ascii="Times New Roman" w:eastAsia="Times New Roman" w:hAnsi="Times New Roman" w:cs="Times New Roman"/>
          <w:sz w:val="28"/>
          <w:szCs w:val="28"/>
          <w:highlight w:val="white"/>
        </w:rPr>
        <w:t>].</w:t>
      </w:r>
    </w:p>
    <w:p w:rsidR="000A3797" w:rsidRDefault="00A660E7">
      <w:pPr>
        <w:spacing w:after="0" w:line="240" w:lineRule="auto"/>
        <w:ind w:firstLine="708"/>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Как сообщили данные метанализа 16 РКИ женщинам, перенесшим операцию по поводу пролапса, полезно одновременное про</w:t>
      </w:r>
      <w:r>
        <w:rPr>
          <w:rFonts w:ascii="Times New Roman" w:eastAsia="Times New Roman" w:hAnsi="Times New Roman" w:cs="Times New Roman"/>
          <w:sz w:val="28"/>
          <w:szCs w:val="28"/>
        </w:rPr>
        <w:t>ведение операции по устранению недержания мочи, особенно если у них было недержание мочи при напряжении (ОР 7,4, 95% ДИ: от 4,0 до 14) или если у них было скрытое недержание мочи при напряжении, выявленное до операции (ОР 3,5, 95% ДИ: от 1,9 до 6,6) </w:t>
      </w:r>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18, с</w:t>
      </w:r>
      <w:r>
        <w:rPr>
          <w:rFonts w:ascii="Times New Roman" w:eastAsia="Times New Roman" w:hAnsi="Times New Roman" w:cs="Times New Roman"/>
          <w:sz w:val="28"/>
          <w:szCs w:val="28"/>
        </w:rPr>
        <w:t>тр.126 ;</w:t>
      </w:r>
      <w:r>
        <w:rPr>
          <w:rFonts w:ascii="Times New Roman" w:eastAsia="Times New Roman" w:hAnsi="Times New Roman" w:cs="Times New Roman"/>
          <w:sz w:val="28"/>
          <w:szCs w:val="28"/>
          <w:highlight w:val="white"/>
        </w:rPr>
        <w:t>136,стр.88].</w:t>
      </w:r>
      <w:r>
        <w:rPr>
          <w:rFonts w:ascii="Times New Roman" w:eastAsia="Times New Roman" w:hAnsi="Times New Roman" w:cs="Times New Roman"/>
          <w:sz w:val="28"/>
          <w:szCs w:val="28"/>
        </w:rPr>
        <w:t xml:space="preserve"> После операции по поводу пролапса у 12 % женщин впервые развились симптомы гиперактивности мочевого пузыря и у 9 % вновь развилась дисфункция мочеиспускания [18, стр.126</w:t>
      </w:r>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 </w:t>
      </w:r>
      <w:r>
        <w:rPr>
          <w:rFonts w:ascii="Times New Roman" w:eastAsia="Times New Roman" w:hAnsi="Times New Roman" w:cs="Times New Roman"/>
          <w:sz w:val="28"/>
          <w:szCs w:val="28"/>
          <w:highlight w:val="white"/>
        </w:rPr>
        <w:t xml:space="preserve">  Также и в более позднем метаанализе от 2018 г. </w:t>
      </w:r>
      <w:r>
        <w:rPr>
          <w:rFonts w:ascii="Times New Roman" w:eastAsia="Times New Roman" w:hAnsi="Times New Roman" w:cs="Times New Roman"/>
          <w:sz w:val="28"/>
          <w:szCs w:val="28"/>
        </w:rPr>
        <w:t>Baessler K</w:t>
      </w:r>
      <w:r>
        <w:rPr>
          <w:rFonts w:ascii="Times New Roman" w:eastAsia="Times New Roman" w:hAnsi="Times New Roman" w:cs="Times New Roman"/>
          <w:sz w:val="28"/>
          <w:szCs w:val="28"/>
          <w:highlight w:val="white"/>
        </w:rPr>
        <w:t xml:space="preserve"> и с</w:t>
      </w:r>
      <w:r>
        <w:rPr>
          <w:rFonts w:ascii="Times New Roman" w:eastAsia="Times New Roman" w:hAnsi="Times New Roman" w:cs="Times New Roman"/>
          <w:sz w:val="28"/>
          <w:szCs w:val="28"/>
          <w:highlight w:val="white"/>
        </w:rPr>
        <w:t>оавторами сообщалось о снижении риска возникновения недержания мочи и повторной операции при одномоментной коррекции недержания мочи и скрытого недержания мочи, однако данную рекомендацию следует рассматривать индивидуально во время консультации [</w:t>
      </w:r>
      <w:r>
        <w:rPr>
          <w:rFonts w:ascii="Times New Roman" w:eastAsia="Times New Roman" w:hAnsi="Times New Roman" w:cs="Times New Roman"/>
          <w:sz w:val="28"/>
          <w:szCs w:val="28"/>
        </w:rPr>
        <w:t>18, стр.1</w:t>
      </w:r>
      <w:r>
        <w:rPr>
          <w:rFonts w:ascii="Times New Roman" w:eastAsia="Times New Roman" w:hAnsi="Times New Roman" w:cs="Times New Roman"/>
          <w:sz w:val="28"/>
          <w:szCs w:val="28"/>
        </w:rPr>
        <w:t>26 ;</w:t>
      </w:r>
      <w:r>
        <w:rPr>
          <w:rFonts w:ascii="Times New Roman" w:eastAsia="Times New Roman" w:hAnsi="Times New Roman" w:cs="Times New Roman"/>
          <w:sz w:val="28"/>
          <w:szCs w:val="28"/>
          <w:highlight w:val="white"/>
        </w:rPr>
        <w:t>146</w:t>
      </w:r>
      <w:r>
        <w:rPr>
          <w:rFonts w:ascii="Times New Roman" w:eastAsia="Times New Roman" w:hAnsi="Times New Roman" w:cs="Times New Roman"/>
          <w:sz w:val="28"/>
          <w:szCs w:val="28"/>
        </w:rPr>
        <w:t xml:space="preserve">]. </w:t>
      </w:r>
    </w:p>
    <w:p w:rsidR="000A3797" w:rsidRDefault="00A660E7">
      <w:pPr>
        <w:spacing w:after="0" w:line="240" w:lineRule="auto"/>
        <w:ind w:firstLine="708"/>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Результаты когортного исследования не рекомендуют сочетать лапароскопическую промонтофиксацию в сочетании установкой трансвагинальных сеток на передний отдел, хотя отмечаются хорошие анатомические результаты, но повышается риск эрозии сетки [</w:t>
      </w:r>
      <w:r>
        <w:rPr>
          <w:rFonts w:ascii="Times New Roman" w:eastAsia="Times New Roman" w:hAnsi="Times New Roman" w:cs="Times New Roman"/>
          <w:sz w:val="28"/>
          <w:szCs w:val="28"/>
        </w:rPr>
        <w:t>18,</w:t>
      </w:r>
      <w:r>
        <w:rPr>
          <w:rFonts w:ascii="Times New Roman" w:eastAsia="Times New Roman" w:hAnsi="Times New Roman" w:cs="Times New Roman"/>
          <w:sz w:val="28"/>
          <w:szCs w:val="28"/>
        </w:rPr>
        <w:t xml:space="preserve"> стр.126 ;</w:t>
      </w:r>
      <w:r>
        <w:rPr>
          <w:rFonts w:ascii="Times New Roman" w:eastAsia="Times New Roman" w:hAnsi="Times New Roman" w:cs="Times New Roman"/>
          <w:sz w:val="28"/>
          <w:szCs w:val="28"/>
          <w:highlight w:val="white"/>
        </w:rPr>
        <w:t xml:space="preserve">147].  В другом исследовании также подтверждается эффективность комплексного лечения при продвинутых стадиях пролапса </w:t>
      </w:r>
      <w:r>
        <w:rPr>
          <w:rFonts w:ascii="Times New Roman" w:eastAsia="Times New Roman" w:hAnsi="Times New Roman" w:cs="Times New Roman"/>
          <w:sz w:val="28"/>
          <w:szCs w:val="28"/>
        </w:rPr>
        <w:t>[18, стр.126</w:t>
      </w:r>
      <w:r>
        <w:rPr>
          <w:rFonts w:ascii="Times New Roman" w:eastAsia="Times New Roman" w:hAnsi="Times New Roman" w:cs="Times New Roman"/>
          <w:sz w:val="28"/>
          <w:szCs w:val="28"/>
          <w:highlight w:val="white"/>
        </w:rPr>
        <w:t>]. В нашем исследовании также отмечались лучшие клинические исходы при одномоментном устранении всех отделов генитал</w:t>
      </w:r>
      <w:r>
        <w:rPr>
          <w:rFonts w:ascii="Times New Roman" w:eastAsia="Times New Roman" w:hAnsi="Times New Roman" w:cs="Times New Roman"/>
          <w:sz w:val="28"/>
          <w:szCs w:val="28"/>
          <w:highlight w:val="white"/>
        </w:rPr>
        <w:t>ьного пролапса [</w:t>
      </w:r>
      <w:r>
        <w:rPr>
          <w:rFonts w:ascii="Times New Roman" w:eastAsia="Times New Roman" w:hAnsi="Times New Roman" w:cs="Times New Roman"/>
          <w:sz w:val="28"/>
          <w:szCs w:val="28"/>
        </w:rPr>
        <w:t>18, стр.126 ;</w:t>
      </w:r>
      <w:r>
        <w:rPr>
          <w:rFonts w:ascii="Times New Roman" w:eastAsia="Times New Roman" w:hAnsi="Times New Roman" w:cs="Times New Roman"/>
          <w:sz w:val="28"/>
          <w:szCs w:val="28"/>
          <w:highlight w:val="white"/>
        </w:rPr>
        <w:t>140, стр.28].</w:t>
      </w:r>
    </w:p>
    <w:p w:rsidR="000A3797" w:rsidRDefault="00A660E7">
      <w:pPr>
        <w:spacing w:after="0" w:line="240" w:lineRule="auto"/>
        <w:ind w:firstLine="708"/>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Повторная операция по поводу апикального пролапса чаще встречается после процедур с установкой трансвагинальной сетки, чем при сакрокольпопексии как абдоминальной, так и лапароскопической и пластики нативными ткан</w:t>
      </w:r>
      <w:r>
        <w:rPr>
          <w:rFonts w:ascii="Times New Roman" w:eastAsia="Times New Roman" w:hAnsi="Times New Roman" w:cs="Times New Roman"/>
          <w:sz w:val="28"/>
          <w:szCs w:val="28"/>
        </w:rPr>
        <w:t xml:space="preserve">ями, как сообщили </w:t>
      </w:r>
      <w:r>
        <w:rPr>
          <w:rFonts w:ascii="Times New Roman" w:eastAsia="Times New Roman" w:hAnsi="Times New Roman" w:cs="Times New Roman"/>
          <w:sz w:val="28"/>
          <w:szCs w:val="28"/>
          <w:highlight w:val="white"/>
        </w:rPr>
        <w:t>Dandolu V и соавторы</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18, стр.126 ;</w:t>
      </w:r>
      <w:r>
        <w:rPr>
          <w:rFonts w:ascii="Times New Roman" w:eastAsia="Times New Roman" w:hAnsi="Times New Roman" w:cs="Times New Roman"/>
          <w:sz w:val="28"/>
          <w:szCs w:val="28"/>
          <w:highlight w:val="white"/>
        </w:rPr>
        <w:t xml:space="preserve">147, стр. 143]. </w:t>
      </w:r>
      <w:r>
        <w:rPr>
          <w:rFonts w:ascii="Times New Roman" w:eastAsia="Times New Roman" w:hAnsi="Times New Roman" w:cs="Times New Roman"/>
          <w:sz w:val="28"/>
          <w:szCs w:val="28"/>
        </w:rPr>
        <w:t>Операции по поводу недержания мочи  чаще были неэффективны, если они выполняются вместе с коррекцией пролапса, чем когда они выполняются отдельно [18, стр.127, 148</w:t>
      </w:r>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 Когда сетка используе</w:t>
      </w:r>
      <w:r>
        <w:rPr>
          <w:rFonts w:ascii="Times New Roman" w:eastAsia="Times New Roman" w:hAnsi="Times New Roman" w:cs="Times New Roman"/>
          <w:sz w:val="28"/>
          <w:szCs w:val="28"/>
        </w:rPr>
        <w:t xml:space="preserve">тся в хирургии пролапса, иссечение сетки самая частая мера при трансвагинальном доступе и самая низкая при абдоминальной сакрокольпопексии </w:t>
      </w:r>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18, стр.126 ;</w:t>
      </w:r>
      <w:r>
        <w:rPr>
          <w:rFonts w:ascii="Times New Roman" w:eastAsia="Times New Roman" w:hAnsi="Times New Roman" w:cs="Times New Roman"/>
          <w:sz w:val="28"/>
          <w:szCs w:val="28"/>
          <w:highlight w:val="white"/>
        </w:rPr>
        <w:t>147, стр 163].</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отношении хирургического лечения стрессового недержания мочи: «Слинговые операции под </w:t>
      </w:r>
      <w:r>
        <w:rPr>
          <w:rFonts w:ascii="Times New Roman" w:eastAsia="Times New Roman" w:hAnsi="Times New Roman" w:cs="Times New Roman"/>
          <w:sz w:val="28"/>
          <w:szCs w:val="28"/>
        </w:rPr>
        <w:t>средней частью уретры были наиболее изученным хирургическим методом лечения стрессового недержания мочи (СНМ) у женщин и имеют хороший профиль безопасности», как сообщают исследования</w:t>
      </w:r>
      <w:r>
        <w:rPr>
          <w:rFonts w:ascii="Times New Roman" w:eastAsia="Times New Roman" w:hAnsi="Times New Roman" w:cs="Times New Roman"/>
          <w:sz w:val="28"/>
          <w:szCs w:val="28"/>
          <w:highlight w:val="white"/>
        </w:rPr>
        <w:t xml:space="preserve"> </w:t>
      </w:r>
      <w:r>
        <w:rPr>
          <w:rFonts w:ascii="Times New Roman" w:eastAsia="Times New Roman" w:hAnsi="Times New Roman" w:cs="Times New Roman"/>
          <w:sz w:val="28"/>
          <w:szCs w:val="28"/>
        </w:rPr>
        <w:t>[18, стр.127 ;149].</w:t>
      </w:r>
      <w:r>
        <w:rPr>
          <w:rFonts w:ascii="Times New Roman" w:eastAsia="Times New Roman" w:hAnsi="Times New Roman" w:cs="Times New Roman"/>
          <w:sz w:val="28"/>
          <w:szCs w:val="28"/>
          <w:highlight w:val="white"/>
        </w:rPr>
        <w:t xml:space="preserve">  Этот метод был эффективным в краткосрочной, среднес</w:t>
      </w:r>
      <w:r>
        <w:rPr>
          <w:rFonts w:ascii="Times New Roman" w:eastAsia="Times New Roman" w:hAnsi="Times New Roman" w:cs="Times New Roman"/>
          <w:sz w:val="28"/>
          <w:szCs w:val="28"/>
          <w:highlight w:val="white"/>
        </w:rPr>
        <w:t xml:space="preserve">рочной и возможно в долгосрочной перспективе, с точки зрения эффективности и безопасности в независимости от доступа </w:t>
      </w:r>
      <w:r>
        <w:rPr>
          <w:rFonts w:ascii="Times New Roman" w:eastAsia="Times New Roman" w:hAnsi="Times New Roman" w:cs="Times New Roman"/>
          <w:sz w:val="28"/>
          <w:szCs w:val="28"/>
        </w:rPr>
        <w:t>[18, стр.127</w:t>
      </w:r>
      <w:r>
        <w:rPr>
          <w:rFonts w:ascii="Times New Roman" w:eastAsia="Times New Roman" w:hAnsi="Times New Roman" w:cs="Times New Roman"/>
          <w:sz w:val="28"/>
          <w:szCs w:val="28"/>
          <w:highlight w:val="white"/>
        </w:rPr>
        <w:t>]. Из нежелательных явлений при трансобураторном доступе отмечались краткосрочные боли в паху в сравнении с позадилонной уретро</w:t>
      </w:r>
      <w:r>
        <w:rPr>
          <w:rFonts w:ascii="Times New Roman" w:eastAsia="Times New Roman" w:hAnsi="Times New Roman" w:cs="Times New Roman"/>
          <w:sz w:val="28"/>
          <w:szCs w:val="28"/>
          <w:highlight w:val="white"/>
        </w:rPr>
        <w:t xml:space="preserve">пексией, но соответственно при позадилонной фиксации часто беспокоили боли над лоном. </w:t>
      </w:r>
      <w:r>
        <w:rPr>
          <w:rFonts w:ascii="Times New Roman" w:eastAsia="Times New Roman" w:hAnsi="Times New Roman" w:cs="Times New Roman"/>
          <w:sz w:val="28"/>
          <w:szCs w:val="28"/>
        </w:rPr>
        <w:t>Общая частота эрозии/обнажения/экструзии вагинальной ленты была низкой в ​​обеих группах [18, стр.127</w:t>
      </w:r>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 Как сообщалось, при трансобтураторном доступе отмечаются реже перф</w:t>
      </w:r>
      <w:r>
        <w:rPr>
          <w:rFonts w:ascii="Times New Roman" w:eastAsia="Times New Roman" w:hAnsi="Times New Roman" w:cs="Times New Roman"/>
          <w:sz w:val="28"/>
          <w:szCs w:val="28"/>
        </w:rPr>
        <w:t xml:space="preserve">орации мочевого пузыря, ранение сосудов и послеоперационная дисфункция мочевого пузыря [18, стр.127;149, стр847]. </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Выводы.</w:t>
      </w:r>
      <w:r>
        <w:rPr>
          <w:rFonts w:ascii="Times New Roman" w:eastAsia="Times New Roman" w:hAnsi="Times New Roman" w:cs="Times New Roman"/>
          <w:sz w:val="28"/>
          <w:szCs w:val="28"/>
        </w:rPr>
        <w:t xml:space="preserve"> Несомненно,правильно выбранный и выполненный хирургический метод в отношении пролапса является залогом отсутствия рецидива, осложнений после операции и высокого качества жизни [18, стр.127</w:t>
      </w:r>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 На сегодняшний день использование синтетического протеза позволи</w:t>
      </w:r>
      <w:r>
        <w:rPr>
          <w:rFonts w:ascii="Times New Roman" w:eastAsia="Times New Roman" w:hAnsi="Times New Roman" w:cs="Times New Roman"/>
          <w:sz w:val="28"/>
          <w:szCs w:val="28"/>
        </w:rPr>
        <w:t>ло снизить количество рецидивов, однако увеличение развития осложнений после вагинально установленной сетки, что ограничивает применение этих методы лечения в пользу операций с использованием нативной ткани, где частота рецидивов достоверно выше [18, стр.1</w:t>
      </w:r>
      <w:r>
        <w:rPr>
          <w:rFonts w:ascii="Times New Roman" w:eastAsia="Times New Roman" w:hAnsi="Times New Roman" w:cs="Times New Roman"/>
          <w:sz w:val="28"/>
          <w:szCs w:val="28"/>
        </w:rPr>
        <w:t>27</w:t>
      </w:r>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 Таким образом  необходим пациент-ориентированный подход, при продвинутых стадиях сочетанного пролапса возможно одномоментное устранение всех отделов пролапса, необходимы разработка мер профилактики и реабилитации рецидивов, чтобы избежать и осложнений</w:t>
      </w:r>
      <w:r>
        <w:rPr>
          <w:rFonts w:ascii="Times New Roman" w:eastAsia="Times New Roman" w:hAnsi="Times New Roman" w:cs="Times New Roman"/>
          <w:sz w:val="28"/>
          <w:szCs w:val="28"/>
        </w:rPr>
        <w:t xml:space="preserve"> связанных с сеткой и повторных оперативных вмешательств, связанных с развитием рецидива, так как в действующем клиническом протоколе и приказе о диспансерном наблюдении пациентов нет четких предписаний о тактике ведения пациентов с генитальным пролапсом п</w:t>
      </w:r>
      <w:r>
        <w:rPr>
          <w:rFonts w:ascii="Times New Roman" w:eastAsia="Times New Roman" w:hAnsi="Times New Roman" w:cs="Times New Roman"/>
          <w:sz w:val="28"/>
          <w:szCs w:val="28"/>
        </w:rPr>
        <w:t>осле операции (Нормативные ссылки).</w:t>
      </w:r>
    </w:p>
    <w:p w:rsidR="000A3797" w:rsidRDefault="00A660E7">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1.6 Факторы рецидива генитального пролапса. </w:t>
      </w:r>
    </w:p>
    <w:p w:rsidR="000A3797" w:rsidRDefault="000A3797">
      <w:pPr>
        <w:spacing w:after="0" w:line="240" w:lineRule="auto"/>
        <w:jc w:val="both"/>
        <w:rPr>
          <w:rFonts w:ascii="Times New Roman" w:eastAsia="Times New Roman" w:hAnsi="Times New Roman" w:cs="Times New Roman"/>
          <w:b/>
          <w:sz w:val="28"/>
          <w:szCs w:val="28"/>
        </w:rPr>
      </w:pP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ab/>
        <w:t>Данные мета - анализа 2022 года определили более молодой возраст и предоперационную стадию пролапса как существенные риски рецидива пролапса. Пролапс в более молодом возрас</w:t>
      </w:r>
      <w:r>
        <w:rPr>
          <w:rFonts w:ascii="Times New Roman" w:eastAsia="Times New Roman" w:hAnsi="Times New Roman" w:cs="Times New Roman"/>
          <w:sz w:val="28"/>
          <w:szCs w:val="28"/>
        </w:rPr>
        <w:t>те обусловлен слабостью соединительной ткани, следовательно, и рецидив возникает по этой причине, тогда как частоты пролапса, включая другие факторы, возрастает с увеличением возраста женщин.  Однако некоторые данные, включённые в мета-анализ, свидетельств</w:t>
      </w:r>
      <w:r>
        <w:rPr>
          <w:rFonts w:ascii="Times New Roman" w:eastAsia="Times New Roman" w:hAnsi="Times New Roman" w:cs="Times New Roman"/>
          <w:sz w:val="28"/>
          <w:szCs w:val="28"/>
        </w:rPr>
        <w:t>уют о влиянии ИМТ на частоту повторных оперативных вмешательств при пролапсе. В этом же мета-анализе сообщается, что наличие курения оказывало протективную роль в отношении рецидива [149].</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другом более раннем исследовании курение наоборот повышало  шансы рецидива, в том числе и ИМТ [150].</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 многих исследованиях оценивалась методы с использованием сетчатого протеза по сравнению с хирургией нативными тканями. Как сообщалось в этом исследова</w:t>
      </w:r>
      <w:r>
        <w:rPr>
          <w:rFonts w:ascii="Times New Roman" w:eastAsia="Times New Roman" w:hAnsi="Times New Roman" w:cs="Times New Roman"/>
          <w:sz w:val="28"/>
          <w:szCs w:val="28"/>
        </w:rPr>
        <w:t>нии: частота рецидивов, требующих повторного хирургического вмешательства для сетки была такой же, как и для биологических трансплантатов при краткосрочном наблюдении. Вегетарианство было фактором риска рецидива, тогда как частое употребление в пищу соевых</w:t>
      </w:r>
      <w:r>
        <w:rPr>
          <w:rFonts w:ascii="Times New Roman" w:eastAsia="Times New Roman" w:hAnsi="Times New Roman" w:cs="Times New Roman"/>
          <w:sz w:val="28"/>
          <w:szCs w:val="28"/>
        </w:rPr>
        <w:t xml:space="preserve"> продуктов и вагинальный половой акт после операции могут уменьшить рецидив [151]. </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Витамин D может играть значимую роль в предупреждении рецидивов ГП. Этот жирорастворимый витамин является необходимым компонентом для поддержания кальциевого баланса и здор</w:t>
      </w:r>
      <w:r>
        <w:rPr>
          <w:rFonts w:ascii="Times New Roman" w:eastAsia="Times New Roman" w:hAnsi="Times New Roman" w:cs="Times New Roman"/>
          <w:sz w:val="28"/>
          <w:szCs w:val="28"/>
        </w:rPr>
        <w:t>овья костно-мышечной системы. Его уровень в крови регулируется паратгормоном, а также концентрацией фосфора и кальция в организме [152]. Дефицит витамина D (с содержанием 25-гидроксивитамина D в крови менее 15 нг/мл) встречается довольно часто, более чем у</w:t>
      </w:r>
      <w:r>
        <w:rPr>
          <w:rFonts w:ascii="Times New Roman" w:eastAsia="Times New Roman" w:hAnsi="Times New Roman" w:cs="Times New Roman"/>
          <w:sz w:val="28"/>
          <w:szCs w:val="28"/>
        </w:rPr>
        <w:t xml:space="preserve"> половины населения планеты и связан с множеством симптомов и заболеваний, что представляет серьезную проблему для общественного здравоохранения [152, стр. 1523]. На сегодняшний день важность витамина D исследована в контексте множества заболеваний, включа</w:t>
      </w:r>
      <w:r>
        <w:rPr>
          <w:rFonts w:ascii="Times New Roman" w:eastAsia="Times New Roman" w:hAnsi="Times New Roman" w:cs="Times New Roman"/>
          <w:sz w:val="28"/>
          <w:szCs w:val="28"/>
        </w:rPr>
        <w:t>я сахарный диабет, инсулинорезистентность, развитие онкологических процессов, течение беременности и различные гинекологические патологии.</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Некоторые исследования показали, что витамин D имеет связь с силой скелетных мышц, а также с размером мышечных полоко</w:t>
      </w:r>
      <w:r>
        <w:rPr>
          <w:rFonts w:ascii="Times New Roman" w:eastAsia="Times New Roman" w:hAnsi="Times New Roman" w:cs="Times New Roman"/>
          <w:sz w:val="28"/>
          <w:szCs w:val="28"/>
        </w:rPr>
        <w:t>н через воздействие на рост и деление клеток [152, стр. 1523]. Кроме того, витамин D помогает защитить мышцы от разрушения, препятствуя их жировому перерождению, развитию инсулинорезистентности и высвобождению арахидоновой кислоты [152, стр. 1523]. Таким о</w:t>
      </w:r>
      <w:r>
        <w:rPr>
          <w:rFonts w:ascii="Times New Roman" w:eastAsia="Times New Roman" w:hAnsi="Times New Roman" w:cs="Times New Roman"/>
          <w:sz w:val="28"/>
          <w:szCs w:val="28"/>
        </w:rPr>
        <w:t>бразом, витамин D может способствовать улучшению мышечной функции, выполняя роль, отличную от роли кальция в обеспечении сократительных возможностей мышц [153 -155].</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Предполагается, что рецепторы витамина D присутствуют практически во всех клетках организм</w:t>
      </w:r>
      <w:r>
        <w:rPr>
          <w:rFonts w:ascii="Times New Roman" w:eastAsia="Times New Roman" w:hAnsi="Times New Roman" w:cs="Times New Roman"/>
          <w:sz w:val="28"/>
          <w:szCs w:val="28"/>
        </w:rPr>
        <w:t>а, включая клетки скелетных мышц, независимо от уровня витамина D в крови [153]. Несмотря на многочисленные исследования, подтверждающие наличие рецепторов витамина D в мышцах, существует одно известное исследование, утверждающее противоположное [153, стр.</w:t>
      </w:r>
      <w:r>
        <w:rPr>
          <w:rFonts w:ascii="Times New Roman" w:eastAsia="Times New Roman" w:hAnsi="Times New Roman" w:cs="Times New Roman"/>
          <w:sz w:val="28"/>
          <w:szCs w:val="28"/>
        </w:rPr>
        <w:t xml:space="preserve"> 24]. Например, в одном из исследований было отмечено, что ложноположительные результаты возможны из-за того, что рецепторы витамина D могут связываться с другими белками [152, стр. 1524]. Ранее было также показано, что область шейки мочевого пузыря у чело</w:t>
      </w:r>
      <w:r>
        <w:rPr>
          <w:rFonts w:ascii="Times New Roman" w:eastAsia="Times New Roman" w:hAnsi="Times New Roman" w:cs="Times New Roman"/>
          <w:sz w:val="28"/>
          <w:szCs w:val="28"/>
        </w:rPr>
        <w:t>века может быть чувствительной к воздействию лигандов витамина D [155].</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некоторых работах не установлена значительная связь между уровнем витамина D и нарушениями мочеиспускания [156], но данные рандомизированного контролируемого исследования (РКИ) выяви</w:t>
      </w:r>
      <w:r>
        <w:rPr>
          <w:rFonts w:ascii="Times New Roman" w:eastAsia="Times New Roman" w:hAnsi="Times New Roman" w:cs="Times New Roman"/>
          <w:sz w:val="28"/>
          <w:szCs w:val="28"/>
        </w:rPr>
        <w:t>ли статистически значимое снижение симптомов стрессового недержания мочи у женщин в менопаузе, принимавших добавки витамина D, по сравнению с контрольной группой [152, стр. 1524].</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Многочисленные исследования выявили связь между слабостью скелетной мускулат</w:t>
      </w:r>
      <w:r>
        <w:rPr>
          <w:rFonts w:ascii="Times New Roman" w:eastAsia="Times New Roman" w:hAnsi="Times New Roman" w:cs="Times New Roman"/>
          <w:sz w:val="28"/>
          <w:szCs w:val="28"/>
        </w:rPr>
        <w:t>уры и низким уровнем витамина D, как указывалось в одном обзоре [152, стр. 1524]. Рецепторы витамина D были обнаружены в области шейки мочевого пузыря, которая включает уротелий, а также внутренний продольный, средний круговой и наружный продольный слои гл</w:t>
      </w:r>
      <w:r>
        <w:rPr>
          <w:rFonts w:ascii="Times New Roman" w:eastAsia="Times New Roman" w:hAnsi="Times New Roman" w:cs="Times New Roman"/>
          <w:sz w:val="28"/>
          <w:szCs w:val="28"/>
        </w:rPr>
        <w:t>адкой мускулатуры стенок мочевого пузыря [153, стр. 24; 155, стр. 970]. Предполагается, что такие рецепторы могут быть распространены по всей структуре стенки мочевого пузыря [153, стр. 24].</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 как активная форма витамина D [1,25(OH)D2] действует через св</w:t>
      </w:r>
      <w:r>
        <w:rPr>
          <w:rFonts w:ascii="Times New Roman" w:eastAsia="Times New Roman" w:hAnsi="Times New Roman" w:cs="Times New Roman"/>
          <w:sz w:val="28"/>
          <w:szCs w:val="28"/>
        </w:rPr>
        <w:t>ои рецепторы, недостаток витамина D способен нарушать кальциевый баланс, что может вызывать аномалии в сокращении детрузора [155, стр. 970]. Однако с каждым годом становится все меньше доказательств того, что коррекция уровня витамина D должна быть приорит</w:t>
      </w:r>
      <w:r>
        <w:rPr>
          <w:rFonts w:ascii="Times New Roman" w:eastAsia="Times New Roman" w:hAnsi="Times New Roman" w:cs="Times New Roman"/>
          <w:sz w:val="28"/>
          <w:szCs w:val="28"/>
        </w:rPr>
        <w:t>етом. Ослабленный детрузор может стать гиперактивным или раздражительным, схожим с тем, что наблюдается при гипокальциемии в скелетных мышцах [155, стр. 970]. Кроме того, недостаток 25(OH)D может усиливать воспаление мочевого пузыря, воздействуя на уротели</w:t>
      </w:r>
      <w:r>
        <w:rPr>
          <w:rFonts w:ascii="Times New Roman" w:eastAsia="Times New Roman" w:hAnsi="Times New Roman" w:cs="Times New Roman"/>
          <w:sz w:val="28"/>
          <w:szCs w:val="28"/>
        </w:rPr>
        <w:t>й и повышая уровень воспалительных цитокинов [155, стр. 970]. Было выявлено, что статус витамина D в организме связан с заболеваниями тазового дна [156].</w:t>
      </w:r>
    </w:p>
    <w:p w:rsidR="000A3797" w:rsidRDefault="00A660E7">
      <w:pPr>
        <w:spacing w:after="0" w:line="240" w:lineRule="auto"/>
        <w:ind w:firstLine="708"/>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Исследования показывают, что у женщин с недостаточным уровнем витамина D значительно чаще встречаются </w:t>
      </w:r>
      <w:r>
        <w:rPr>
          <w:rFonts w:ascii="Times New Roman" w:eastAsia="Times New Roman" w:hAnsi="Times New Roman" w:cs="Times New Roman"/>
          <w:sz w:val="28"/>
          <w:szCs w:val="28"/>
          <w:highlight w:val="white"/>
        </w:rPr>
        <w:t>недержание мочи и другие заболевания тазового дна [157,158, 159]. Похожая тенденция отмечается и для недержания кала, хотя различия не достигают статистической значимости. В случае цистоцеле также наблюдается высокая корреляция с дефицитом витамина D, тогд</w:t>
      </w:r>
      <w:r>
        <w:rPr>
          <w:rFonts w:ascii="Times New Roman" w:eastAsia="Times New Roman" w:hAnsi="Times New Roman" w:cs="Times New Roman"/>
          <w:sz w:val="28"/>
          <w:szCs w:val="28"/>
          <w:highlight w:val="white"/>
        </w:rPr>
        <w:t>а как для ректоцеле такой связи нет, что, вероятно, связано с особенностями структуры и поддержки передних и задних отделов тазового дна [158, стр. 153; 159, стр. 124].</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Есть данные, что добавки витамина D могут способствовать устранению симптомов недержани</w:t>
      </w:r>
      <w:r>
        <w:rPr>
          <w:rFonts w:ascii="Times New Roman" w:eastAsia="Times New Roman" w:hAnsi="Times New Roman" w:cs="Times New Roman"/>
          <w:sz w:val="28"/>
          <w:szCs w:val="28"/>
          <w:highlight w:val="white"/>
        </w:rPr>
        <w:t>я мочи [160, стр. 3630]. Кроме того, у пожилых женщин более высокий уровень витамина D был связан с пониженным риском возникновения заболеваний тазового дна [159, стр. 124]. В исследовании 2022 года Legan и соавторы также подтвердили взаимосвязь между дефи</w:t>
      </w:r>
      <w:r>
        <w:rPr>
          <w:rFonts w:ascii="Times New Roman" w:eastAsia="Times New Roman" w:hAnsi="Times New Roman" w:cs="Times New Roman"/>
          <w:sz w:val="28"/>
          <w:szCs w:val="28"/>
          <w:highlight w:val="white"/>
        </w:rPr>
        <w:t>цитом витамина D и тазовым пролапсом. Hyung Ahn установили, что некоторые формы рецепторов  витамина D (VDR) у женщин с дефицитом импля связь с симптомами опущения ОМТ [159].</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Недостаток и дефицит витамина D могут негативно влиять на нормальное функциониров</w:t>
      </w:r>
      <w:r>
        <w:rPr>
          <w:rFonts w:ascii="Times New Roman" w:eastAsia="Times New Roman" w:hAnsi="Times New Roman" w:cs="Times New Roman"/>
          <w:sz w:val="28"/>
          <w:szCs w:val="28"/>
        </w:rPr>
        <w:t>ание мышц тазового дна, нарушая их кальциевый гомеостаз и, как следствие, приводя к снижению их прочности. Исследования показали, что при достаточном уровне витамина D увеличивается эффективность работы скелетных мышц [160, стр. 3630]. Тренировка мышц тазо</w:t>
      </w:r>
      <w:r>
        <w:rPr>
          <w:rFonts w:ascii="Times New Roman" w:eastAsia="Times New Roman" w:hAnsi="Times New Roman" w:cs="Times New Roman"/>
          <w:sz w:val="28"/>
          <w:szCs w:val="28"/>
        </w:rPr>
        <w:t>вого дна направлена на укрепление мышц, поддерживающих задний проход, которые играют ключевую роль в контроле удержания мочи и кала у женщин. Следовательно, дефицит витамина D может снизить эффективность этих мышц и нарушить функцию внешних сфинктеров, что</w:t>
      </w:r>
      <w:r>
        <w:rPr>
          <w:rFonts w:ascii="Times New Roman" w:eastAsia="Times New Roman" w:hAnsi="Times New Roman" w:cs="Times New Roman"/>
          <w:sz w:val="28"/>
          <w:szCs w:val="28"/>
        </w:rPr>
        <w:t xml:space="preserve"> ослабляет контроль удержания кала и газов. Логично предположить, что поддержание нормального уровня витамина D может улучшить эту функцию и повысить эффективность тренировок [161–165]. Однако на данный момент недостаточно данных о сочетании тренировок таз</w:t>
      </w:r>
      <w:r>
        <w:rPr>
          <w:rFonts w:ascii="Times New Roman" w:eastAsia="Times New Roman" w:hAnsi="Times New Roman" w:cs="Times New Roman"/>
          <w:sz w:val="28"/>
          <w:szCs w:val="28"/>
        </w:rPr>
        <w:t>ового дна и приема добавок витамина D, что, возможно, могло бы дать лучшие результаты.</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Выводы</w:t>
      </w:r>
      <w:r>
        <w:rPr>
          <w:rFonts w:ascii="Times New Roman" w:eastAsia="Times New Roman" w:hAnsi="Times New Roman" w:cs="Times New Roman"/>
          <w:sz w:val="28"/>
          <w:szCs w:val="28"/>
        </w:rPr>
        <w:t>. Индекс массы тела, курение, более молодой возраст были ассоциированы с риском развития рецидива. Также не мало данных о том, что Витамин D связан с наличием дисф</w:t>
      </w:r>
      <w:r>
        <w:rPr>
          <w:rFonts w:ascii="Times New Roman" w:eastAsia="Times New Roman" w:hAnsi="Times New Roman" w:cs="Times New Roman"/>
          <w:sz w:val="28"/>
          <w:szCs w:val="28"/>
        </w:rPr>
        <w:t>ункции тазового дна, а применение добавок Витамин D значимо влияет на уменьшение симптомов пролапса. Нет достаточно данных об эффективности тренировок для тазового дна в сочетании с применением добавок Витамин D. Однако имеющиеся данные могут обещать значи</w:t>
      </w:r>
      <w:r>
        <w:rPr>
          <w:rFonts w:ascii="Times New Roman" w:eastAsia="Times New Roman" w:hAnsi="Times New Roman" w:cs="Times New Roman"/>
          <w:sz w:val="28"/>
          <w:szCs w:val="28"/>
        </w:rPr>
        <w:t xml:space="preserve">тельные достижения в снижении рецидива пролапса при контроле и коррекции его уровня в сыворотке крови. </w:t>
      </w:r>
    </w:p>
    <w:p w:rsidR="000A3797" w:rsidRDefault="000A3797">
      <w:pPr>
        <w:spacing w:after="0" w:line="240" w:lineRule="auto"/>
        <w:jc w:val="both"/>
        <w:rPr>
          <w:rFonts w:ascii="Times New Roman" w:eastAsia="Times New Roman" w:hAnsi="Times New Roman" w:cs="Times New Roman"/>
          <w:sz w:val="28"/>
          <w:szCs w:val="28"/>
        </w:rPr>
      </w:pPr>
    </w:p>
    <w:p w:rsidR="000A3797" w:rsidRDefault="00A660E7">
      <w:pPr>
        <w:numPr>
          <w:ilvl w:val="1"/>
          <w:numId w:val="12"/>
        </w:numPr>
        <w:pBdr>
          <w:top w:val="nil"/>
          <w:left w:val="nil"/>
          <w:bottom w:val="nil"/>
          <w:right w:val="nil"/>
          <w:between w:val="nil"/>
        </w:pBdr>
        <w:spacing w:after="0" w:line="24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Профилактика рецидивов генитального пролапса.</w:t>
      </w:r>
    </w:p>
    <w:p w:rsidR="000A3797" w:rsidRDefault="000A3797">
      <w:pPr>
        <w:pBdr>
          <w:top w:val="nil"/>
          <w:left w:val="nil"/>
          <w:bottom w:val="nil"/>
          <w:right w:val="nil"/>
          <w:between w:val="nil"/>
        </w:pBdr>
        <w:spacing w:after="0" w:line="240" w:lineRule="auto"/>
        <w:ind w:left="780"/>
        <w:rPr>
          <w:rFonts w:ascii="Times New Roman" w:eastAsia="Times New Roman" w:hAnsi="Times New Roman" w:cs="Times New Roman"/>
          <w:b/>
          <w:color w:val="000000"/>
          <w:sz w:val="28"/>
          <w:szCs w:val="28"/>
        </w:rPr>
      </w:pPr>
    </w:p>
    <w:p w:rsidR="000A3797" w:rsidRDefault="00A660E7">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sz w:val="28"/>
          <w:szCs w:val="28"/>
        </w:rPr>
        <w:t>Несмотря на наличие консервативных видов лечения генитального пролапса, что может быть применимо после операции в качестве лечения и/или реабилитации, пожизненный риск повторных операций для женщин, перенесших операцию по поводу пролапса тазовых органов до</w:t>
      </w:r>
      <w:r>
        <w:rPr>
          <w:rFonts w:ascii="Times New Roman" w:eastAsia="Times New Roman" w:hAnsi="Times New Roman" w:cs="Times New Roman"/>
          <w:sz w:val="28"/>
          <w:szCs w:val="28"/>
        </w:rPr>
        <w:t>статочно высокий [18, стр.125</w:t>
      </w:r>
      <w:r>
        <w:rPr>
          <w:rFonts w:ascii="Times New Roman" w:eastAsia="Times New Roman" w:hAnsi="Times New Roman" w:cs="Times New Roman"/>
          <w:sz w:val="28"/>
          <w:szCs w:val="28"/>
          <w:highlight w:val="white"/>
        </w:rPr>
        <w:t xml:space="preserve">; </w:t>
      </w:r>
      <w:r>
        <w:rPr>
          <w:rFonts w:ascii="Times New Roman" w:eastAsia="Times New Roman" w:hAnsi="Times New Roman" w:cs="Times New Roman"/>
          <w:sz w:val="28"/>
          <w:szCs w:val="28"/>
        </w:rPr>
        <w:t>166-168].</w:t>
      </w:r>
    </w:p>
    <w:p w:rsidR="000A3797" w:rsidRDefault="00A660E7">
      <w:pPr>
        <w:spacing w:after="0" w:line="24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В более ранних исследованиях  оценено сочетание хирургического лечения и тренировок тазового дна до и после оперативного вмешательства, что имело наилучшие результаты, а также формирование образа жизни, для предотвр</w:t>
      </w:r>
      <w:r>
        <w:rPr>
          <w:rFonts w:ascii="Times New Roman" w:eastAsia="Times New Roman" w:hAnsi="Times New Roman" w:cs="Times New Roman"/>
          <w:sz w:val="28"/>
          <w:szCs w:val="28"/>
        </w:rPr>
        <w:t>ащения факторов, влияющих на образование пролапса [</w:t>
      </w:r>
      <w:r>
        <w:rPr>
          <w:rFonts w:ascii="Times New Roman" w:eastAsia="Times New Roman" w:hAnsi="Times New Roman" w:cs="Times New Roman"/>
          <w:sz w:val="28"/>
          <w:szCs w:val="28"/>
          <w:highlight w:val="white"/>
        </w:rPr>
        <w:t>169]. Однако исследований, оценивающих хирургическое лечение в сочетании с тренировками мышц тазового дна мало и требуется дальнейшее изучение этого вопроса.</w:t>
      </w:r>
      <w:r>
        <w:rPr>
          <w:rFonts w:ascii="Times New Roman" w:eastAsia="Times New Roman" w:hAnsi="Times New Roman" w:cs="Times New Roman"/>
          <w:highlight w:val="white"/>
        </w:rPr>
        <w:t xml:space="preserve"> </w:t>
      </w:r>
    </w:p>
    <w:p w:rsidR="000A3797" w:rsidRDefault="00A660E7">
      <w:pPr>
        <w:spacing w:after="0" w:line="240" w:lineRule="auto"/>
        <w:ind w:firstLine="708"/>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Более поздний Кокрановский обзор от 2018г. соо</w:t>
      </w:r>
      <w:r>
        <w:rPr>
          <w:rFonts w:ascii="Times New Roman" w:eastAsia="Times New Roman" w:hAnsi="Times New Roman" w:cs="Times New Roman"/>
          <w:sz w:val="28"/>
          <w:szCs w:val="28"/>
          <w:highlight w:val="white"/>
        </w:rPr>
        <w:t xml:space="preserve">бщил только о результатов двух исследований, где оценена периоперационная подготовка мышц тазового дна путем тренировок. </w:t>
      </w:r>
      <w:r>
        <w:rPr>
          <w:rFonts w:ascii="Times New Roman" w:eastAsia="Times New Roman" w:hAnsi="Times New Roman" w:cs="Times New Roman"/>
          <w:sz w:val="28"/>
          <w:szCs w:val="28"/>
        </w:rPr>
        <w:t>Одно РКИ не выявило различий между группами через 24 месяца (ОШ 1,07, 95% ДИ: от 0,61 до 1,87; одно РКИ, 305 женщин; доказательства низ</w:t>
      </w:r>
      <w:r>
        <w:rPr>
          <w:rFonts w:ascii="Times New Roman" w:eastAsia="Times New Roman" w:hAnsi="Times New Roman" w:cs="Times New Roman"/>
          <w:sz w:val="28"/>
          <w:szCs w:val="28"/>
        </w:rPr>
        <w:t>кого качества), а во втором небольшом РКИ сообщалось об уменьшении симптомов пролапса тазовых органов [</w:t>
      </w:r>
      <w:r>
        <w:rPr>
          <w:rFonts w:ascii="Times New Roman" w:eastAsia="Times New Roman" w:hAnsi="Times New Roman" w:cs="Times New Roman"/>
          <w:sz w:val="28"/>
          <w:szCs w:val="28"/>
          <w:highlight w:val="white"/>
        </w:rPr>
        <w:t>170]. Необходимо планирование более крупных и долгосрочных исследований для разработки программ профилактики рецидивов с использованием тренировок, форми</w:t>
      </w:r>
      <w:r>
        <w:rPr>
          <w:rFonts w:ascii="Times New Roman" w:eastAsia="Times New Roman" w:hAnsi="Times New Roman" w:cs="Times New Roman"/>
          <w:sz w:val="28"/>
          <w:szCs w:val="28"/>
          <w:highlight w:val="white"/>
        </w:rPr>
        <w:t>рования образа жизни и питания, снижающих влияние возможных факторов риска на рецидив.</w:t>
      </w:r>
    </w:p>
    <w:p w:rsidR="000A3797" w:rsidRDefault="00A660E7">
      <w:pPr>
        <w:spacing w:after="0" w:line="240" w:lineRule="auto"/>
        <w:ind w:firstLine="708"/>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На сегодняшний день много исследований посвящено рискам первичного пролапса и его рецидива, однако мало известных данных о том, как предотвратить первичный пролапс или е</w:t>
      </w:r>
      <w:r>
        <w:rPr>
          <w:rFonts w:ascii="Times New Roman" w:eastAsia="Times New Roman" w:hAnsi="Times New Roman" w:cs="Times New Roman"/>
          <w:sz w:val="28"/>
          <w:szCs w:val="28"/>
          <w:highlight w:val="white"/>
        </w:rPr>
        <w:t>го рецидив. Вагинальные роды, из имеющихся данных, являются наиболее провоцирующим фактором возникновения первичного пролапса. Однако, проведение планового кесарева сечения с целью предотвращения дисфункции тазового дна вызывает сомнения и споры, так появл</w:t>
      </w:r>
      <w:r>
        <w:rPr>
          <w:rFonts w:ascii="Times New Roman" w:eastAsia="Times New Roman" w:hAnsi="Times New Roman" w:cs="Times New Roman"/>
          <w:sz w:val="28"/>
          <w:szCs w:val="28"/>
          <w:highlight w:val="white"/>
        </w:rPr>
        <w:t>яются риски других, более грозных осложнений [171], что может оказывать гораздо больший ущерб для системы здравоохранения. Хотя все же кесарево сечение можно рассматривать для женщин с повышенным риском пролапса в качестве профилактики. Разработана система</w:t>
      </w:r>
      <w:r>
        <w:rPr>
          <w:rFonts w:ascii="Times New Roman" w:eastAsia="Times New Roman" w:hAnsi="Times New Roman" w:cs="Times New Roman"/>
          <w:sz w:val="28"/>
          <w:szCs w:val="28"/>
          <w:highlight w:val="white"/>
        </w:rPr>
        <w:t xml:space="preserve"> UR-CHOICE для оценки риска развития генитального пролапса, основанная на эпидемиологических данных [171, стр. 25; 172]. Как описано у Устюжиной СА., в  эту систему включены ключевые факторы риска: наличие недержания мочи до беременности, этническая принад</w:t>
      </w:r>
      <w:r>
        <w:rPr>
          <w:rFonts w:ascii="Times New Roman" w:eastAsia="Times New Roman" w:hAnsi="Times New Roman" w:cs="Times New Roman"/>
          <w:sz w:val="28"/>
          <w:szCs w:val="28"/>
          <w:highlight w:val="white"/>
        </w:rPr>
        <w:t>лежность, возраст матери при первых родах, индекс массы тела, семейная предрасположенность к дисфункциям тазового дна (особенно у родственников первой степени родства), а также вес ребёнка и рост матери (если вес ребенка превышает 4 кг, а рост матери менее</w:t>
      </w:r>
      <w:r>
        <w:rPr>
          <w:rFonts w:ascii="Times New Roman" w:eastAsia="Times New Roman" w:hAnsi="Times New Roman" w:cs="Times New Roman"/>
          <w:sz w:val="28"/>
          <w:szCs w:val="28"/>
          <w:highlight w:val="white"/>
        </w:rPr>
        <w:t xml:space="preserve"> 160 см) [171, стр. 125]. В перспективе планируется дополнить эту систему новыми переменными, такими как гипермобильность суставов [171, стр. 25; 173] и наличие определённых генетических маркеров [171, стр. 25; 174], что повысит точность прогноза вероятнос</w:t>
      </w:r>
      <w:r>
        <w:rPr>
          <w:rFonts w:ascii="Times New Roman" w:eastAsia="Times New Roman" w:hAnsi="Times New Roman" w:cs="Times New Roman"/>
          <w:sz w:val="28"/>
          <w:szCs w:val="28"/>
          <w:highlight w:val="white"/>
        </w:rPr>
        <w:t>ти возникновения дисфункции тазового дна.</w:t>
      </w:r>
    </w:p>
    <w:p w:rsidR="000A3797" w:rsidRDefault="00A660E7">
      <w:pPr>
        <w:spacing w:after="0" w:line="240" w:lineRule="auto"/>
        <w:ind w:firstLine="708"/>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Некоторые хирургические методы могут способствовать первичному пролапсу или рецидиву. По результатам длительного рандомизированного контролируемого исследования сообщалось, что субтотальная абдоминальная гистерэкто</w:t>
      </w:r>
      <w:r>
        <w:rPr>
          <w:rFonts w:ascii="Times New Roman" w:eastAsia="Times New Roman" w:hAnsi="Times New Roman" w:cs="Times New Roman"/>
          <w:sz w:val="28"/>
          <w:szCs w:val="28"/>
          <w:highlight w:val="white"/>
        </w:rPr>
        <w:t>мия по сравнению с тотальной гистерэктомией не предотвращает пролапс [175], тогда как кульдопластика по МакКоллу во время вагинальной экстирпации матки оказывает протективную роль [176]. Процедуры, обеспечивающие хорошую апикальную поддержку во время опера</w:t>
      </w:r>
      <w:r>
        <w:rPr>
          <w:rFonts w:ascii="Times New Roman" w:eastAsia="Times New Roman" w:hAnsi="Times New Roman" w:cs="Times New Roman"/>
          <w:sz w:val="28"/>
          <w:szCs w:val="28"/>
          <w:highlight w:val="white"/>
        </w:rPr>
        <w:t>ции по поводу пролапса может снизить долгосрочный риск рецидива [177,178].</w:t>
      </w:r>
    </w:p>
    <w:p w:rsidR="000A3797" w:rsidRDefault="00A660E7">
      <w:pPr>
        <w:spacing w:after="0" w:line="240" w:lineRule="auto"/>
        <w:ind w:firstLine="708"/>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Исследования, посвящённые тренировкам мышц тазового дна имеют многообещающие результаты, и могут предлагаться в качестве профилактических мер. Однако, Glazener CM и соавторы опублик</w:t>
      </w:r>
      <w:r>
        <w:rPr>
          <w:rFonts w:ascii="Times New Roman" w:eastAsia="Times New Roman" w:hAnsi="Times New Roman" w:cs="Times New Roman"/>
          <w:sz w:val="28"/>
          <w:szCs w:val="28"/>
          <w:highlight w:val="white"/>
        </w:rPr>
        <w:t>овали результаты 12-ти летнего рандомизированного контролируемого исследования [179], в котором сравнивались вмешательства под руководством медсестры (тренировка мышц тазового дна и детроузора) через 5, 7 и 9 месяцев после родов со стандартной помощью, пок</w:t>
      </w:r>
      <w:r>
        <w:rPr>
          <w:rFonts w:ascii="Times New Roman" w:eastAsia="Times New Roman" w:hAnsi="Times New Roman" w:cs="Times New Roman"/>
          <w:sz w:val="28"/>
          <w:szCs w:val="28"/>
          <w:highlight w:val="white"/>
        </w:rPr>
        <w:t>азало, что распространённость симптомов пролапса или наличие объективно тазового пролапса не различалось между группами [179, стр.118]. Hagen S и соавторы оценивали более интенсивную программу тренировок  (индивидуальные физиотерапевтические приемы, поддер</w:t>
      </w:r>
      <w:r>
        <w:rPr>
          <w:rFonts w:ascii="Times New Roman" w:eastAsia="Times New Roman" w:hAnsi="Times New Roman" w:cs="Times New Roman"/>
          <w:sz w:val="28"/>
          <w:szCs w:val="28"/>
          <w:highlight w:val="white"/>
        </w:rPr>
        <w:t>жание с помощью занятий на основе пилатеса и ежегодные индивидуальные осмотры) [180]. Исследование показало, что комплекс упражнений для интимных мышц  способствуют незначительному, но, возможно, значимому снижению симптомов ГП. [170, стр. 32].  Этот вывод</w:t>
      </w:r>
      <w:r>
        <w:rPr>
          <w:rFonts w:ascii="Times New Roman" w:eastAsia="Times New Roman" w:hAnsi="Times New Roman" w:cs="Times New Roman"/>
          <w:sz w:val="28"/>
          <w:szCs w:val="28"/>
          <w:highlight w:val="white"/>
        </w:rPr>
        <w:t xml:space="preserve"> будет важен для женщин и лиц, осуществляющих уход, при рассмотрении профилактических стратегий [180, стр.399].</w:t>
      </w:r>
    </w:p>
    <w:p w:rsidR="000A3797" w:rsidRDefault="00A660E7">
      <w:pPr>
        <w:spacing w:after="0" w:line="240" w:lineRule="auto"/>
        <w:ind w:firstLine="708"/>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Нет достаточно данных о применении заместительной гормональной терапии в лечении симптомов пролапса, имеются предположения, что эстрогены отдель</w:t>
      </w:r>
      <w:r>
        <w:rPr>
          <w:rFonts w:ascii="Times New Roman" w:eastAsia="Times New Roman" w:hAnsi="Times New Roman" w:cs="Times New Roman"/>
          <w:sz w:val="28"/>
          <w:szCs w:val="28"/>
          <w:highlight w:val="white"/>
        </w:rPr>
        <w:t>но или в сочетании с другими мерами, могут предотвратить развитие пролапса, улучшая прочность ослабленных поддерживающих связок, мышц и слизистой оболочки влагалища [179,стр.118; 180, стр.399]. Однако достоверных данных в поддержку этой гипотезы нет. Некот</w:t>
      </w:r>
      <w:r>
        <w:rPr>
          <w:rFonts w:ascii="Times New Roman" w:eastAsia="Times New Roman" w:hAnsi="Times New Roman" w:cs="Times New Roman"/>
          <w:sz w:val="28"/>
          <w:szCs w:val="28"/>
          <w:highlight w:val="white"/>
        </w:rPr>
        <w:t xml:space="preserve">орые данные подчёркивают более эффективное применение местного лечения эстрогенами по сравнению с системным введением [181]. Но опять же достоверных данных, длительных хорошо организованных исследований нет. </w:t>
      </w:r>
    </w:p>
    <w:p w:rsidR="000A3797" w:rsidRDefault="00A660E7">
      <w:pPr>
        <w:spacing w:after="0" w:line="240" w:lineRule="auto"/>
        <w:ind w:firstLine="708"/>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Комплексное воздействие на другие факторы риска</w:t>
      </w:r>
      <w:r>
        <w:rPr>
          <w:rFonts w:ascii="Times New Roman" w:eastAsia="Times New Roman" w:hAnsi="Times New Roman" w:cs="Times New Roman"/>
          <w:sz w:val="28"/>
          <w:szCs w:val="28"/>
          <w:highlight w:val="white"/>
        </w:rPr>
        <w:t xml:space="preserve"> могли бы служить комплексом мероприятий по профилактике пролапса. Например, предотвращение действий, повышающий внутрибрюшное давление, такие как длительный кашель, поднятие тяжести, запоры. Широко распространённая практика лечения дисбактериоза кишечника</w:t>
      </w:r>
      <w:r>
        <w:rPr>
          <w:rFonts w:ascii="Times New Roman" w:eastAsia="Times New Roman" w:hAnsi="Times New Roman" w:cs="Times New Roman"/>
          <w:sz w:val="28"/>
          <w:szCs w:val="28"/>
          <w:highlight w:val="white"/>
        </w:rPr>
        <w:t>, хронических запоров, которые не были подтверждены в крупных исследованиях. В качестве профилактической меры также предлагается снижение веса с помощью диеты или бариатрической хирургии [171, стр. 26]. Некоторые исследования подтвердили влияние снижения в</w:t>
      </w:r>
      <w:r>
        <w:rPr>
          <w:rFonts w:ascii="Times New Roman" w:eastAsia="Times New Roman" w:hAnsi="Times New Roman" w:cs="Times New Roman"/>
          <w:sz w:val="28"/>
          <w:szCs w:val="28"/>
          <w:highlight w:val="white"/>
        </w:rPr>
        <w:t>еса на улучшение симптомов пролапса [171, стр. 26; 182], но в исследованиях с использованием объективных количественных методов оценки пролапса статистически значимых улучшений не выявлено [183].</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Необходимо внедрение прогностических моделей в клиническую п</w:t>
      </w:r>
      <w:r>
        <w:rPr>
          <w:rFonts w:ascii="Times New Roman" w:eastAsia="Times New Roman" w:hAnsi="Times New Roman" w:cs="Times New Roman"/>
          <w:sz w:val="28"/>
          <w:szCs w:val="28"/>
        </w:rPr>
        <w:t>рактику для выявления женщин с повышенным риском развития генитального пролапса, что конечно имело бы наилучшую прогностическую достоверность при наличии генетических тестов. Используя такие модели можно было бы влиять на факторы риска, например, предотвра</w:t>
      </w:r>
      <w:r>
        <w:rPr>
          <w:rFonts w:ascii="Times New Roman" w:eastAsia="Times New Roman" w:hAnsi="Times New Roman" w:cs="Times New Roman"/>
          <w:sz w:val="28"/>
          <w:szCs w:val="28"/>
        </w:rPr>
        <w:t>щение акушерских осложнений, рекомендуя плановое кесарево сечение. При планировании операции, выявление дефектов мышц, поднимающих задних проход можно оценивать, как предиктор возможного рецидива, особенно при использовании сетки [184]. Все это поможет опр</w:t>
      </w:r>
      <w:r>
        <w:rPr>
          <w:rFonts w:ascii="Times New Roman" w:eastAsia="Times New Roman" w:hAnsi="Times New Roman" w:cs="Times New Roman"/>
          <w:sz w:val="28"/>
          <w:szCs w:val="28"/>
        </w:rPr>
        <w:t>еделить более предпочтительную хирургическую тактику и оценить риски неудач. Также такая оценка рисков необходима для информирования пациентов о возможных хирургических исходов и ожиданий от операции [185].</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Конечно на сегодняшний день осложнения при исполь</w:t>
      </w:r>
      <w:r>
        <w:rPr>
          <w:rFonts w:ascii="Times New Roman" w:eastAsia="Times New Roman" w:hAnsi="Times New Roman" w:cs="Times New Roman"/>
          <w:sz w:val="28"/>
          <w:szCs w:val="28"/>
        </w:rPr>
        <w:t>зовании сетчатого протеза ограничивают его применение, однако количество рецидивов при операциях с нативной тканью достаточно много, поэтому будет идти поиск новых материалов для использования в хирургии пролапса.</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Модификация и улучшение свойств сетки мож</w:t>
      </w:r>
      <w:r>
        <w:rPr>
          <w:rFonts w:ascii="Times New Roman" w:eastAsia="Times New Roman" w:hAnsi="Times New Roman" w:cs="Times New Roman"/>
          <w:sz w:val="28"/>
          <w:szCs w:val="28"/>
        </w:rPr>
        <w:t>ет помочь предотвратить осложнения сетки и индивидуально подобрать необходимый материал [186]. Фибробласты и стволовые клетки, полученные из жировой ткани человека, вероятно могли бы является подходящими типами клеток для использования как биоразлагаемый к</w:t>
      </w:r>
      <w:r>
        <w:rPr>
          <w:rFonts w:ascii="Times New Roman" w:eastAsia="Times New Roman" w:hAnsi="Times New Roman" w:cs="Times New Roman"/>
          <w:sz w:val="28"/>
          <w:szCs w:val="28"/>
        </w:rPr>
        <w:t>аркас в разработке тканеинженерного восстанавливающего материала [187]. Подслизистая оболочка тонкой кишки свиньи и термоотожженная поли(L)молочная кислота могут быть использованы для разработки подходов к тканевой инженерии in vivo [188]. Однако влагалище</w:t>
      </w:r>
      <w:r>
        <w:rPr>
          <w:rFonts w:ascii="Times New Roman" w:eastAsia="Times New Roman" w:hAnsi="Times New Roman" w:cs="Times New Roman"/>
          <w:sz w:val="28"/>
          <w:szCs w:val="28"/>
        </w:rPr>
        <w:t xml:space="preserve"> представляет собой сложный орган с высокими требованиями к функциональности, и в доклинических исследованиях еще предстоит найти идеальное сочетание каркаса, клеток и трофических факторов [189]. Чрезвычайно важно установить надежность и безопасность этих </w:t>
      </w:r>
      <w:r>
        <w:rPr>
          <w:rFonts w:ascii="Times New Roman" w:eastAsia="Times New Roman" w:hAnsi="Times New Roman" w:cs="Times New Roman"/>
          <w:sz w:val="28"/>
          <w:szCs w:val="28"/>
        </w:rPr>
        <w:t>материалов до того, как они будут представлены на рынке. Минимальными требованиями должны быть: точное описание продукта; данные о биологических свойствах из исследований на животных; анатомические исследования на трупах; и проспективные клинические исслед</w:t>
      </w:r>
      <w:r>
        <w:rPr>
          <w:rFonts w:ascii="Times New Roman" w:eastAsia="Times New Roman" w:hAnsi="Times New Roman" w:cs="Times New Roman"/>
          <w:sz w:val="28"/>
          <w:szCs w:val="28"/>
        </w:rPr>
        <w:t>ования с последующим обязательным регистром первых 1000 имплантированных пациентов [190].</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Как известно, углеводы могут отрицательно влиять на структуру коллагена, способствовать его разрушению. В экспериментах на лабораторных крысах обнаружено, что  гликир</w:t>
      </w:r>
      <w:r>
        <w:rPr>
          <w:rFonts w:ascii="Times New Roman" w:eastAsia="Times New Roman" w:hAnsi="Times New Roman" w:cs="Times New Roman"/>
          <w:sz w:val="28"/>
          <w:szCs w:val="28"/>
        </w:rPr>
        <w:t>ованный волокнистый коллаген гораздо менее стабилен, чем негликированный контрольный волокнистый коллаген, по отношению к расщеплению пепсином при 30°C [191]. После операции полезно уменьшить количество углеводов в рационе, так как они могут не только спос</w:t>
      </w:r>
      <w:r>
        <w:rPr>
          <w:rFonts w:ascii="Times New Roman" w:eastAsia="Times New Roman" w:hAnsi="Times New Roman" w:cs="Times New Roman"/>
          <w:sz w:val="28"/>
          <w:szCs w:val="28"/>
        </w:rPr>
        <w:t>обствовать набору веса, но и влиять на уровень сахара в крови, что может мешать нормальной работе организма. Кроме того, для лучшего восстановления важно включить в питание продукты, которые помогают образованию коллагена – вещества, необходимого для зажив</w:t>
      </w:r>
      <w:r>
        <w:rPr>
          <w:rFonts w:ascii="Times New Roman" w:eastAsia="Times New Roman" w:hAnsi="Times New Roman" w:cs="Times New Roman"/>
          <w:sz w:val="28"/>
          <w:szCs w:val="28"/>
        </w:rPr>
        <w:t xml:space="preserve">ления тканей. Для этого подойдут пища, богатая белками, а также вещества, такие как лизин и карнитин. Не стоит забывать и про витамины (например, С, Е и витамины группы В) и различные минералы – магний, цинк, медь, железо, селен и другие. Они поддерживают </w:t>
      </w:r>
      <w:r>
        <w:rPr>
          <w:rFonts w:ascii="Times New Roman" w:eastAsia="Times New Roman" w:hAnsi="Times New Roman" w:cs="Times New Roman"/>
          <w:sz w:val="28"/>
          <w:szCs w:val="28"/>
        </w:rPr>
        <w:t>обменные процессы и способствуют укреплению тканей. Витамин D3 и кальций также важны, так как помогают укреплять кости и общее состояние организма [</w:t>
      </w:r>
      <w:r>
        <w:rPr>
          <w:rFonts w:ascii="Times New Roman" w:eastAsia="Times New Roman" w:hAnsi="Times New Roman" w:cs="Times New Roman"/>
          <w:sz w:val="28"/>
          <w:szCs w:val="28"/>
          <w:highlight w:val="white"/>
        </w:rPr>
        <w:t xml:space="preserve">171, стр. 26; </w:t>
      </w:r>
      <w:r>
        <w:rPr>
          <w:rFonts w:ascii="Times New Roman" w:eastAsia="Times New Roman" w:hAnsi="Times New Roman" w:cs="Times New Roman"/>
          <w:sz w:val="28"/>
          <w:szCs w:val="28"/>
        </w:rPr>
        <w:t>192, стр.1512].</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Вывод.</w:t>
      </w:r>
      <w:r>
        <w:rPr>
          <w:rFonts w:ascii="Times New Roman" w:eastAsia="Times New Roman" w:hAnsi="Times New Roman" w:cs="Times New Roman"/>
          <w:sz w:val="28"/>
          <w:szCs w:val="28"/>
        </w:rPr>
        <w:t xml:space="preserve"> Комплексное влияние на факторы риска, использование их в прогностически</w:t>
      </w:r>
      <w:r>
        <w:rPr>
          <w:rFonts w:ascii="Times New Roman" w:eastAsia="Times New Roman" w:hAnsi="Times New Roman" w:cs="Times New Roman"/>
          <w:sz w:val="28"/>
          <w:szCs w:val="28"/>
        </w:rPr>
        <w:t>х моделях могут служить основой для успешной профилактики пролапса и его рецидива. Повышение уровня грамотности пациентов о факторах риска, мероприятия по повышению приверженности к выполнению упражнений как для тазового дна, так и общеукрепляющих упражнен</w:t>
      </w:r>
      <w:r>
        <w:rPr>
          <w:rFonts w:ascii="Times New Roman" w:eastAsia="Times New Roman" w:hAnsi="Times New Roman" w:cs="Times New Roman"/>
          <w:sz w:val="28"/>
          <w:szCs w:val="28"/>
        </w:rPr>
        <w:t>ий также могут сыграть существенную роль в профилактике. А также любые другие мероприятия, нацеленные на укрепление мышц и связок.</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Кроме того, несомненно хирургическая тактика является основой успешной профилактики рецидивов. Научный и технических прогресс</w:t>
      </w:r>
      <w:r>
        <w:rPr>
          <w:rFonts w:ascii="Times New Roman" w:eastAsia="Times New Roman" w:hAnsi="Times New Roman" w:cs="Times New Roman"/>
          <w:sz w:val="28"/>
          <w:szCs w:val="28"/>
        </w:rPr>
        <w:t xml:space="preserve"> в будущем должен обеспечить эффективные, прочные и безопасные материалы для использования в тазовой хирургии.</w:t>
      </w:r>
    </w:p>
    <w:p w:rsidR="000A3797" w:rsidRDefault="00A660E7">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 МАТЕРИАЛЫ И МЕТОДЫ.</w:t>
      </w:r>
    </w:p>
    <w:p w:rsidR="000A3797" w:rsidRDefault="00A660E7">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2.1 Второй этап исследования. Материалы и методы оценки динамики пролеченных случаев генитального пролапса</w:t>
      </w:r>
    </w:p>
    <w:p w:rsidR="000A3797" w:rsidRDefault="00A660E7">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 втором этапе диссертационного исследования мы оценили динамику пролеченных случаев генитального пролапса за счет средств Республиканского бюджета по данным Республиканского Центра Электронного Здравоохранения за 10 лет (2012-2021г)» [192].</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Материалы</w:t>
      </w:r>
      <w:r>
        <w:rPr>
          <w:rFonts w:ascii="Times New Roman" w:eastAsia="Times New Roman" w:hAnsi="Times New Roman" w:cs="Times New Roman"/>
          <w:sz w:val="28"/>
          <w:szCs w:val="28"/>
        </w:rPr>
        <w:t>: «</w:t>
      </w:r>
      <w:r>
        <w:rPr>
          <w:rFonts w:ascii="Times New Roman" w:eastAsia="Times New Roman" w:hAnsi="Times New Roman" w:cs="Times New Roman"/>
          <w:sz w:val="28"/>
          <w:szCs w:val="28"/>
        </w:rPr>
        <w:t>статистические данные, полученные по запросу в РЦЗЭ за 10 лет (2012-2021 г) в Республике Казахстан, городе Алматы, Алматинской области, Астане, Шымкенте» [192,стр.277].</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«Данные о численности населения получены из Статистического сборника Здоровье населения</w:t>
      </w:r>
      <w:r>
        <w:rPr>
          <w:rFonts w:ascii="Times New Roman" w:eastAsia="Times New Roman" w:hAnsi="Times New Roman" w:cs="Times New Roman"/>
          <w:sz w:val="28"/>
          <w:szCs w:val="28"/>
        </w:rPr>
        <w:t xml:space="preserve"> Республики Казахстан и деятельность организаций здравоохранения с 2012 по 2021 годы для возможности определить уровень значимости в сравнении по годам» [192,стр.277]. </w:t>
      </w:r>
    </w:p>
    <w:p w:rsidR="000A3797" w:rsidRDefault="00A660E7">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Методы:</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Математический</w:t>
      </w:r>
      <w:r>
        <w:rPr>
          <w:rFonts w:ascii="Times New Roman" w:eastAsia="Times New Roman" w:hAnsi="Times New Roman" w:cs="Times New Roman"/>
          <w:sz w:val="28"/>
          <w:szCs w:val="28"/>
        </w:rPr>
        <w:t xml:space="preserve"> – подсчёт средних значений пролеченных случаев и динамического</w:t>
      </w:r>
      <w:r>
        <w:rPr>
          <w:rFonts w:ascii="Times New Roman" w:eastAsia="Times New Roman" w:hAnsi="Times New Roman" w:cs="Times New Roman"/>
          <w:sz w:val="28"/>
          <w:szCs w:val="28"/>
        </w:rPr>
        <w:t xml:space="preserve"> ряда по формулам с построением столбчатой диаграммы в программе Exel 2010 [192,стр.277].  </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Формулы для расчета:</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Абсолютный прирост: Δy=y</w:t>
      </w:r>
      <w:r>
        <w:rPr>
          <w:rFonts w:ascii="Times New Roman" w:eastAsia="Times New Roman" w:hAnsi="Times New Roman" w:cs="Times New Roman"/>
          <w:sz w:val="28"/>
          <w:szCs w:val="28"/>
          <w:vertAlign w:val="subscript"/>
        </w:rPr>
        <w:t>i</w:t>
      </w:r>
      <w:r>
        <w:rPr>
          <w:rFonts w:ascii="Times New Roman" w:eastAsia="Times New Roman" w:hAnsi="Times New Roman" w:cs="Times New Roman"/>
          <w:sz w:val="28"/>
          <w:szCs w:val="28"/>
        </w:rPr>
        <w:t>-y</w:t>
      </w:r>
      <w:r>
        <w:rPr>
          <w:rFonts w:ascii="Times New Roman" w:eastAsia="Times New Roman" w:hAnsi="Times New Roman" w:cs="Times New Roman"/>
          <w:sz w:val="28"/>
          <w:szCs w:val="28"/>
          <w:vertAlign w:val="subscript"/>
        </w:rPr>
        <w:t xml:space="preserve">i-1                                                                                                                 </w:t>
      </w:r>
      <w:r>
        <w:rPr>
          <w:rFonts w:ascii="Times New Roman" w:eastAsia="Times New Roman" w:hAnsi="Times New Roman" w:cs="Times New Roman"/>
          <w:sz w:val="28"/>
          <w:szCs w:val="28"/>
          <w:vertAlign w:val="subscript"/>
        </w:rPr>
        <w:t xml:space="preserve">          </w:t>
      </w:r>
      <w:r>
        <w:rPr>
          <w:rFonts w:ascii="Times New Roman" w:eastAsia="Times New Roman" w:hAnsi="Times New Roman" w:cs="Times New Roman"/>
          <w:sz w:val="28"/>
          <w:szCs w:val="28"/>
        </w:rPr>
        <w:t>(2)</w:t>
      </w:r>
      <w:r>
        <w:rPr>
          <w:rFonts w:ascii="Times New Roman" w:eastAsia="Times New Roman" w:hAnsi="Times New Roman" w:cs="Times New Roman"/>
          <w:sz w:val="28"/>
          <w:szCs w:val="28"/>
          <w:vertAlign w:val="subscript"/>
        </w:rPr>
        <w:t xml:space="preserve">         </w:t>
      </w:r>
    </w:p>
    <w:p w:rsidR="000A3797" w:rsidRDefault="00A660E7">
      <w:pPr>
        <w:spacing w:after="0" w:line="240" w:lineRule="auto"/>
        <w:jc w:val="both"/>
        <w:rPr>
          <w:rFonts w:ascii="Times New Roman" w:eastAsia="Times New Roman" w:hAnsi="Times New Roman" w:cs="Times New Roman"/>
          <w:sz w:val="28"/>
          <w:szCs w:val="28"/>
          <w:vertAlign w:val="subscript"/>
        </w:rPr>
      </w:pPr>
      <w:r>
        <w:rPr>
          <w:rFonts w:ascii="Times New Roman" w:eastAsia="Times New Roman" w:hAnsi="Times New Roman" w:cs="Times New Roman"/>
          <w:sz w:val="28"/>
          <w:szCs w:val="28"/>
        </w:rPr>
        <w:t>Коэффициент роста:  k=y</w:t>
      </w:r>
      <w:r>
        <w:rPr>
          <w:rFonts w:ascii="Times New Roman" w:eastAsia="Times New Roman" w:hAnsi="Times New Roman" w:cs="Times New Roman"/>
          <w:sz w:val="28"/>
          <w:szCs w:val="28"/>
          <w:vertAlign w:val="subscript"/>
        </w:rPr>
        <w:t xml:space="preserve">i </w:t>
      </w:r>
      <w:r>
        <w:rPr>
          <w:rFonts w:ascii="Times New Roman" w:eastAsia="Times New Roman" w:hAnsi="Times New Roman" w:cs="Times New Roman"/>
          <w:sz w:val="28"/>
          <w:szCs w:val="28"/>
        </w:rPr>
        <w:t>/y</w:t>
      </w:r>
      <w:r>
        <w:rPr>
          <w:rFonts w:ascii="Times New Roman" w:eastAsia="Times New Roman" w:hAnsi="Times New Roman" w:cs="Times New Roman"/>
          <w:sz w:val="28"/>
          <w:szCs w:val="28"/>
          <w:vertAlign w:val="subscript"/>
        </w:rPr>
        <w:t xml:space="preserve">0 1                                                                                                                                </w:t>
      </w:r>
      <w:r>
        <w:rPr>
          <w:rFonts w:ascii="Times New Roman" w:eastAsia="Times New Roman" w:hAnsi="Times New Roman" w:cs="Times New Roman"/>
          <w:sz w:val="28"/>
          <w:szCs w:val="28"/>
        </w:rPr>
        <w:t>(3)</w:t>
      </w:r>
      <w:r>
        <w:rPr>
          <w:rFonts w:ascii="Times New Roman" w:eastAsia="Times New Roman" w:hAnsi="Times New Roman" w:cs="Times New Roman"/>
          <w:sz w:val="28"/>
          <w:szCs w:val="28"/>
          <w:vertAlign w:val="subscript"/>
        </w:rPr>
        <w:t xml:space="preserve">         </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Темп роста: k' =y</w:t>
      </w:r>
      <w:r>
        <w:rPr>
          <w:rFonts w:ascii="Times New Roman" w:eastAsia="Times New Roman" w:hAnsi="Times New Roman" w:cs="Times New Roman"/>
          <w:sz w:val="28"/>
          <w:szCs w:val="28"/>
          <w:vertAlign w:val="subscript"/>
        </w:rPr>
        <w:t xml:space="preserve">i </w:t>
      </w:r>
      <w:r>
        <w:rPr>
          <w:rFonts w:ascii="Times New Roman" w:eastAsia="Times New Roman" w:hAnsi="Times New Roman" w:cs="Times New Roman"/>
          <w:sz w:val="28"/>
          <w:szCs w:val="28"/>
        </w:rPr>
        <w:t>/y</w:t>
      </w:r>
      <w:r>
        <w:rPr>
          <w:rFonts w:ascii="Times New Roman" w:eastAsia="Times New Roman" w:hAnsi="Times New Roman" w:cs="Times New Roman"/>
          <w:sz w:val="28"/>
          <w:szCs w:val="28"/>
          <w:vertAlign w:val="subscript"/>
        </w:rPr>
        <w:t xml:space="preserve">0 </w:t>
      </w:r>
      <w:r>
        <w:rPr>
          <w:rFonts w:ascii="Times New Roman" w:eastAsia="Times New Roman" w:hAnsi="Times New Roman" w:cs="Times New Roman"/>
          <w:sz w:val="28"/>
          <w:szCs w:val="28"/>
        </w:rPr>
        <w:t xml:space="preserve">×100%                           </w:t>
      </w:r>
      <w:r>
        <w:rPr>
          <w:rFonts w:ascii="Times New Roman" w:eastAsia="Times New Roman" w:hAnsi="Times New Roman" w:cs="Times New Roman"/>
          <w:sz w:val="28"/>
          <w:szCs w:val="28"/>
          <w:vertAlign w:val="subscript"/>
        </w:rPr>
        <w:t xml:space="preserve">       </w:t>
      </w:r>
      <w:r>
        <w:rPr>
          <w:rFonts w:ascii="Times New Roman" w:eastAsia="Times New Roman" w:hAnsi="Times New Roman" w:cs="Times New Roman"/>
          <w:sz w:val="28"/>
          <w:szCs w:val="28"/>
          <w:vertAlign w:val="subscript"/>
        </w:rPr>
        <w:t xml:space="preserve">                                                                                     </w:t>
      </w:r>
      <w:r>
        <w:rPr>
          <w:rFonts w:ascii="Times New Roman" w:eastAsia="Times New Roman" w:hAnsi="Times New Roman" w:cs="Times New Roman"/>
          <w:sz w:val="28"/>
          <w:szCs w:val="28"/>
        </w:rPr>
        <w:t>(4)</w:t>
      </w:r>
      <w:r>
        <w:rPr>
          <w:rFonts w:ascii="Times New Roman" w:eastAsia="Times New Roman" w:hAnsi="Times New Roman" w:cs="Times New Roman"/>
          <w:sz w:val="28"/>
          <w:szCs w:val="28"/>
          <w:vertAlign w:val="subscript"/>
        </w:rPr>
        <w:t xml:space="preserve">          </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Темп прироста: k'' =y</w:t>
      </w:r>
      <w:r>
        <w:rPr>
          <w:rFonts w:ascii="Times New Roman" w:eastAsia="Times New Roman" w:hAnsi="Times New Roman" w:cs="Times New Roman"/>
          <w:sz w:val="28"/>
          <w:szCs w:val="28"/>
          <w:vertAlign w:val="subscript"/>
        </w:rPr>
        <w:t xml:space="preserve">i </w:t>
      </w:r>
      <w:r>
        <w:rPr>
          <w:rFonts w:ascii="Times New Roman" w:eastAsia="Times New Roman" w:hAnsi="Times New Roman" w:cs="Times New Roman"/>
          <w:sz w:val="28"/>
          <w:szCs w:val="28"/>
        </w:rPr>
        <w:t>/y</w:t>
      </w:r>
      <w:r>
        <w:rPr>
          <w:rFonts w:ascii="Times New Roman" w:eastAsia="Times New Roman" w:hAnsi="Times New Roman" w:cs="Times New Roman"/>
          <w:sz w:val="28"/>
          <w:szCs w:val="28"/>
          <w:vertAlign w:val="subscript"/>
        </w:rPr>
        <w:t xml:space="preserve">0 </w:t>
      </w:r>
      <w:r>
        <w:rPr>
          <w:rFonts w:ascii="Times New Roman" w:eastAsia="Times New Roman" w:hAnsi="Times New Roman" w:cs="Times New Roman"/>
          <w:sz w:val="28"/>
          <w:szCs w:val="28"/>
        </w:rPr>
        <w:t xml:space="preserve">×100% - 100% </w:t>
      </w:r>
      <w:r>
        <w:rPr>
          <w:rFonts w:ascii="Times New Roman" w:eastAsia="Times New Roman" w:hAnsi="Times New Roman" w:cs="Times New Roman"/>
          <w:sz w:val="28"/>
          <w:szCs w:val="28"/>
          <w:vertAlign w:val="subscript"/>
        </w:rPr>
        <w:t xml:space="preserve">1                                                                                                    </w:t>
      </w:r>
      <w:r>
        <w:rPr>
          <w:rFonts w:ascii="Times New Roman" w:eastAsia="Times New Roman" w:hAnsi="Times New Roman" w:cs="Times New Roman"/>
          <w:sz w:val="28"/>
          <w:szCs w:val="28"/>
        </w:rPr>
        <w:t>(5)</w:t>
      </w:r>
      <w:r>
        <w:rPr>
          <w:rFonts w:ascii="Times New Roman" w:eastAsia="Times New Roman" w:hAnsi="Times New Roman" w:cs="Times New Roman"/>
          <w:sz w:val="28"/>
          <w:szCs w:val="28"/>
          <w:vertAlign w:val="subscript"/>
        </w:rPr>
        <w:t xml:space="preserve">         </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Средний уровень исследуемого динамического ряда найдем по формуле средней арифметической: у </w:t>
      </w:r>
      <w:r>
        <w:rPr>
          <w:rFonts w:ascii="Times New Roman" w:eastAsia="Times New Roman" w:hAnsi="Times New Roman" w:cs="Times New Roman"/>
          <w:sz w:val="28"/>
          <w:szCs w:val="28"/>
          <w:vertAlign w:val="subscript"/>
        </w:rPr>
        <w:t xml:space="preserve">ср </w:t>
      </w:r>
      <w:r>
        <w:rPr>
          <w:rFonts w:ascii="Times New Roman" w:eastAsia="Times New Roman" w:hAnsi="Times New Roman" w:cs="Times New Roman"/>
          <w:sz w:val="28"/>
          <w:szCs w:val="28"/>
        </w:rPr>
        <w:t xml:space="preserve">=Σу/n </w:t>
      </w:r>
      <w:r>
        <w:rPr>
          <w:rFonts w:ascii="Times New Roman" w:eastAsia="Times New Roman" w:hAnsi="Times New Roman" w:cs="Times New Roman"/>
          <w:sz w:val="28"/>
          <w:szCs w:val="28"/>
          <w:vertAlign w:val="subscript"/>
        </w:rPr>
        <w:t xml:space="preserve">1                                                                                                                                    </w:t>
      </w:r>
      <w:r>
        <w:rPr>
          <w:rFonts w:ascii="Times New Roman" w:eastAsia="Times New Roman" w:hAnsi="Times New Roman" w:cs="Times New Roman"/>
          <w:sz w:val="28"/>
          <w:szCs w:val="28"/>
        </w:rPr>
        <w:t>(6)</w:t>
      </w:r>
      <w:r>
        <w:rPr>
          <w:rFonts w:ascii="Times New Roman" w:eastAsia="Times New Roman" w:hAnsi="Times New Roman" w:cs="Times New Roman"/>
          <w:sz w:val="28"/>
          <w:szCs w:val="28"/>
          <w:vertAlign w:val="subscript"/>
        </w:rPr>
        <w:t xml:space="preserve">         </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Среднегод</w:t>
      </w:r>
      <w:r>
        <w:rPr>
          <w:rFonts w:ascii="Times New Roman" w:eastAsia="Times New Roman" w:hAnsi="Times New Roman" w:cs="Times New Roman"/>
          <w:sz w:val="28"/>
          <w:szCs w:val="28"/>
        </w:rPr>
        <w:t xml:space="preserve">овой абсолютный прирост: Δy </w:t>
      </w:r>
      <w:r>
        <w:rPr>
          <w:rFonts w:ascii="Times New Roman" w:eastAsia="Times New Roman" w:hAnsi="Times New Roman" w:cs="Times New Roman"/>
          <w:sz w:val="28"/>
          <w:szCs w:val="28"/>
          <w:vertAlign w:val="subscript"/>
        </w:rPr>
        <w:t xml:space="preserve">ср </w:t>
      </w:r>
      <w:r>
        <w:rPr>
          <w:rFonts w:ascii="Times New Roman" w:eastAsia="Times New Roman" w:hAnsi="Times New Roman" w:cs="Times New Roman"/>
          <w:sz w:val="28"/>
          <w:szCs w:val="28"/>
        </w:rPr>
        <w:t>= y</w:t>
      </w:r>
      <w:r>
        <w:rPr>
          <w:rFonts w:ascii="Times New Roman" w:eastAsia="Times New Roman" w:hAnsi="Times New Roman" w:cs="Times New Roman"/>
          <w:sz w:val="28"/>
          <w:szCs w:val="28"/>
          <w:vertAlign w:val="subscript"/>
        </w:rPr>
        <w:t>i n</w:t>
      </w:r>
      <w:r>
        <w:rPr>
          <w:rFonts w:ascii="Times New Roman" w:eastAsia="Times New Roman" w:hAnsi="Times New Roman" w:cs="Times New Roman"/>
          <w:sz w:val="28"/>
          <w:szCs w:val="28"/>
        </w:rPr>
        <w:t>-y</w:t>
      </w:r>
      <w:r>
        <w:rPr>
          <w:rFonts w:ascii="Times New Roman" w:eastAsia="Times New Roman" w:hAnsi="Times New Roman" w:cs="Times New Roman"/>
          <w:sz w:val="28"/>
          <w:szCs w:val="28"/>
          <w:vertAlign w:val="subscript"/>
        </w:rPr>
        <w:t>1</w:t>
      </w:r>
      <w:r>
        <w:rPr>
          <w:rFonts w:ascii="Times New Roman" w:eastAsia="Times New Roman" w:hAnsi="Times New Roman" w:cs="Times New Roman"/>
          <w:sz w:val="28"/>
          <w:szCs w:val="28"/>
        </w:rPr>
        <w:t xml:space="preserve">/n-1               </w:t>
      </w:r>
      <w:r>
        <w:rPr>
          <w:rFonts w:ascii="Times New Roman" w:eastAsia="Times New Roman" w:hAnsi="Times New Roman" w:cs="Times New Roman"/>
          <w:sz w:val="28"/>
          <w:szCs w:val="28"/>
          <w:vertAlign w:val="subscript"/>
        </w:rPr>
        <w:t xml:space="preserve">                          </w:t>
      </w:r>
      <w:r>
        <w:rPr>
          <w:rFonts w:ascii="Times New Roman" w:eastAsia="Times New Roman" w:hAnsi="Times New Roman" w:cs="Times New Roman"/>
          <w:sz w:val="28"/>
          <w:szCs w:val="28"/>
        </w:rPr>
        <w:t>(7)</w:t>
      </w:r>
      <w:r>
        <w:rPr>
          <w:rFonts w:ascii="Times New Roman" w:eastAsia="Times New Roman" w:hAnsi="Times New Roman" w:cs="Times New Roman"/>
          <w:sz w:val="28"/>
          <w:szCs w:val="28"/>
          <w:vertAlign w:val="subscript"/>
        </w:rPr>
        <w:t xml:space="preserve">         </w:t>
      </w:r>
      <w:r>
        <w:rPr>
          <w:rFonts w:ascii="Times New Roman" w:eastAsia="Times New Roman" w:hAnsi="Times New Roman" w:cs="Times New Roman"/>
          <w:sz w:val="28"/>
          <w:szCs w:val="28"/>
        </w:rPr>
        <w:t xml:space="preserve"> Среднегодовой темп роста: K ’</w:t>
      </w:r>
      <w:r>
        <w:rPr>
          <w:rFonts w:ascii="Times New Roman" w:eastAsia="Times New Roman" w:hAnsi="Times New Roman" w:cs="Times New Roman"/>
          <w:sz w:val="28"/>
          <w:szCs w:val="28"/>
          <w:vertAlign w:val="subscript"/>
        </w:rPr>
        <w:t xml:space="preserve"> ср</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vertAlign w:val="superscript"/>
        </w:rPr>
        <w:t xml:space="preserve"> n-1</w:t>
      </w:r>
      <m:oMath>
        <m:rad>
          <m:radPr>
            <m:degHide m:val="1"/>
            <m:ctrlPr>
              <w:rPr>
                <w:rFonts w:ascii="Cambria Math" w:hAnsi="Cambria Math"/>
              </w:rPr>
            </m:ctrlPr>
          </m:radPr>
          <m:deg/>
          <m:e>
            <m:f>
              <m:fPr>
                <m:ctrlPr>
                  <w:rPr>
                    <w:rFonts w:ascii="Cambria Math" w:eastAsia="Cambria Math" w:hAnsi="Cambria Math" w:cs="Cambria Math"/>
                    <w:sz w:val="28"/>
                    <w:szCs w:val="28"/>
                    <w:vertAlign w:val="subscript"/>
                  </w:rPr>
                </m:ctrlPr>
              </m:fPr>
              <m:num>
                <m:r>
                  <w:rPr>
                    <w:rFonts w:ascii="Cambria Math" w:eastAsia="Cambria Math" w:hAnsi="Cambria Math" w:cs="Cambria Math"/>
                    <w:sz w:val="28"/>
                    <w:szCs w:val="28"/>
                  </w:rPr>
                  <m:t>y</m:t>
                </m:r>
                <m:r>
                  <w:rPr>
                    <w:rFonts w:ascii="Cambria Math" w:eastAsia="Cambria Math" w:hAnsi="Cambria Math" w:cs="Cambria Math"/>
                    <w:sz w:val="28"/>
                    <w:szCs w:val="28"/>
                    <w:vertAlign w:val="subscript"/>
                  </w:rPr>
                  <m:t>in</m:t>
                </m:r>
              </m:num>
              <m:den>
                <m:r>
                  <w:rPr>
                    <w:rFonts w:ascii="Cambria Math" w:eastAsia="Cambria Math" w:hAnsi="Cambria Math" w:cs="Cambria Math"/>
                    <w:sz w:val="28"/>
                    <w:szCs w:val="28"/>
                  </w:rPr>
                  <m:t>y</m:t>
                </m:r>
                <m:r>
                  <w:rPr>
                    <w:rFonts w:ascii="Cambria Math" w:eastAsia="Cambria Math" w:hAnsi="Cambria Math" w:cs="Cambria Math"/>
                    <w:sz w:val="28"/>
                    <w:szCs w:val="28"/>
                    <w:vertAlign w:val="subscript"/>
                  </w:rPr>
                  <m:t>1</m:t>
                </m:r>
              </m:den>
            </m:f>
          </m:e>
        </m:rad>
        <m:r>
          <w:rPr>
            <w:rFonts w:ascii="Cambria Math" w:eastAsia="Cambria Math" w:hAnsi="Cambria Math" w:cs="Cambria Math"/>
            <w:sz w:val="28"/>
            <w:szCs w:val="28"/>
            <w:vertAlign w:val="subscript"/>
          </w:rPr>
          <m:t>×</m:t>
        </m:r>
        <m:r>
          <w:rPr>
            <w:rFonts w:ascii="Cambria Math" w:eastAsia="Cambria Math" w:hAnsi="Cambria Math" w:cs="Cambria Math"/>
            <w:sz w:val="28"/>
            <w:szCs w:val="28"/>
          </w:rPr>
          <m:t>100</m:t>
        </m:r>
      </m:oMath>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vertAlign w:val="subscript"/>
        </w:rPr>
        <w:t xml:space="preserve">                                                                                </w:t>
      </w:r>
      <w:r>
        <w:rPr>
          <w:rFonts w:ascii="Times New Roman" w:eastAsia="Times New Roman" w:hAnsi="Times New Roman" w:cs="Times New Roman"/>
          <w:sz w:val="28"/>
          <w:szCs w:val="28"/>
        </w:rPr>
        <w:t>(8)</w:t>
      </w:r>
      <w:r>
        <w:rPr>
          <w:rFonts w:ascii="Times New Roman" w:eastAsia="Times New Roman" w:hAnsi="Times New Roman" w:cs="Times New Roman"/>
          <w:sz w:val="28"/>
          <w:szCs w:val="28"/>
          <w:vertAlign w:val="subscript"/>
        </w:rPr>
        <w:t xml:space="preserve">         </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Среднегодовой темп прироста: k''</w:t>
      </w:r>
      <w:r>
        <w:rPr>
          <w:rFonts w:ascii="Times New Roman" w:eastAsia="Times New Roman" w:hAnsi="Times New Roman" w:cs="Times New Roman"/>
          <w:sz w:val="28"/>
          <w:szCs w:val="28"/>
          <w:vertAlign w:val="subscript"/>
        </w:rPr>
        <w:t xml:space="preserve"> ср =</w:t>
      </w:r>
      <w:r>
        <w:rPr>
          <w:rFonts w:ascii="Times New Roman" w:eastAsia="Times New Roman" w:hAnsi="Times New Roman" w:cs="Times New Roman"/>
          <w:sz w:val="28"/>
          <w:szCs w:val="28"/>
        </w:rPr>
        <w:t xml:space="preserve"> K ’-100                                                          (9)</w:t>
      </w:r>
      <w:r>
        <w:rPr>
          <w:rFonts w:ascii="Times New Roman" w:eastAsia="Times New Roman" w:hAnsi="Times New Roman" w:cs="Times New Roman"/>
          <w:sz w:val="28"/>
          <w:szCs w:val="28"/>
          <w:vertAlign w:val="subscript"/>
        </w:rPr>
        <w:t xml:space="preserve">         </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vertAlign w:val="subscript"/>
        </w:rPr>
        <w:t xml:space="preserve">                                         </w:t>
      </w:r>
    </w:p>
    <w:p w:rsidR="000A3797" w:rsidRDefault="000A3797">
      <w:pPr>
        <w:pBdr>
          <w:top w:val="nil"/>
          <w:left w:val="nil"/>
          <w:bottom w:val="nil"/>
          <w:right w:val="nil"/>
          <w:between w:val="nil"/>
        </w:pBdr>
        <w:spacing w:after="0" w:line="240" w:lineRule="auto"/>
        <w:ind w:left="720"/>
        <w:jc w:val="both"/>
        <w:rPr>
          <w:rFonts w:ascii="Times New Roman" w:eastAsia="Times New Roman" w:hAnsi="Times New Roman" w:cs="Times New Roman"/>
          <w:b/>
          <w:color w:val="000000"/>
          <w:sz w:val="28"/>
          <w:szCs w:val="28"/>
        </w:rPr>
      </w:pPr>
    </w:p>
    <w:p w:rsidR="000A3797" w:rsidRDefault="00A660E7">
      <w:pPr>
        <w:jc w:val="both"/>
        <w:rPr>
          <w:rFonts w:ascii="Times New Roman" w:eastAsia="Times New Roman" w:hAnsi="Times New Roman" w:cs="Times New Roman"/>
        </w:rPr>
      </w:pPr>
      <w:r>
        <w:rPr>
          <w:rFonts w:ascii="Times New Roman" w:eastAsia="Times New Roman" w:hAnsi="Times New Roman" w:cs="Times New Roman"/>
          <w:b/>
          <w:sz w:val="28"/>
          <w:szCs w:val="28"/>
        </w:rPr>
        <w:t>- Статистический анализ:</w:t>
      </w:r>
      <w:r>
        <w:rPr>
          <w:rFonts w:ascii="Times New Roman" w:eastAsia="Times New Roman" w:hAnsi="Times New Roman" w:cs="Times New Roman"/>
          <w:sz w:val="28"/>
          <w:szCs w:val="28"/>
        </w:rPr>
        <w:t xml:space="preserve"> «Номинальные данные оценены с помощью точного критерия Фишера, хи –квадрат Пирсона, значения V Крамера использованы для оценки силы связи между признаками (effect size)» [192,стр.277]. В ходе анализа критическим уровнем статистической значимости было прин</w:t>
      </w:r>
      <w:r>
        <w:rPr>
          <w:rFonts w:ascii="Times New Roman" w:eastAsia="Times New Roman" w:hAnsi="Times New Roman" w:cs="Times New Roman"/>
          <w:sz w:val="28"/>
          <w:szCs w:val="28"/>
        </w:rPr>
        <w:t>ято значение p-value &lt; 0,05. Это означало, что вероятность случайного происхождения выявленных корреляций составляла менее 5%, что указывало на статистически значимую взаимосвязь между исследуемыми показателями[192,стр.277].</w:t>
      </w:r>
    </w:p>
    <w:p w:rsidR="000A3797" w:rsidRDefault="00A660E7">
      <w:pPr>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2.2 Третий этап исследования. Р</w:t>
      </w:r>
      <w:r>
        <w:rPr>
          <w:rFonts w:ascii="Times New Roman" w:eastAsia="Times New Roman" w:hAnsi="Times New Roman" w:cs="Times New Roman"/>
          <w:b/>
          <w:sz w:val="28"/>
          <w:szCs w:val="28"/>
        </w:rPr>
        <w:t>азработка валидных и надежных инструментов мониторинга</w:t>
      </w:r>
    </w:p>
    <w:p w:rsidR="000A3797" w:rsidRDefault="00A660E7">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2.2.1 Этапы оценки нажедности и валидности опросника МВПИ</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Нам был необходим надежный инструмент для оценки влияния длительного мониторинга, «выявления факторов риска рецидива, момента наступления рецид</w:t>
      </w:r>
      <w:r>
        <w:rPr>
          <w:rFonts w:ascii="Times New Roman" w:eastAsia="Times New Roman" w:hAnsi="Times New Roman" w:cs="Times New Roman"/>
          <w:sz w:val="28"/>
          <w:szCs w:val="28"/>
        </w:rPr>
        <w:t>ива, приверженности к лечебным и профилактическим мероприятиям. С этой целью, разработана специализированная анкета на русском и казахском языках: «Мониторинг выявления послеоперационных исходов у пациентов  с генитальным пролапсом, МВПИ» для того, чтобы о</w:t>
      </w:r>
      <w:r>
        <w:rPr>
          <w:rFonts w:ascii="Times New Roman" w:eastAsia="Times New Roman" w:hAnsi="Times New Roman" w:cs="Times New Roman"/>
          <w:sz w:val="28"/>
          <w:szCs w:val="28"/>
        </w:rPr>
        <w:t>тследить момент наступления рецидива, причины, приверженность к мерам профилактики [193,стр89]. Домен симптомов взят и адаптирован из опросников P-QOL [52, стр. 176 ]  и ПД-КЖ [60, стр.1]  Состоит из 6 доменов (41 вопрос): 1.Общие сведенья (3 вопроса, соде</w:t>
      </w:r>
      <w:r>
        <w:rPr>
          <w:rFonts w:ascii="Times New Roman" w:eastAsia="Times New Roman" w:hAnsi="Times New Roman" w:cs="Times New Roman"/>
          <w:sz w:val="28"/>
          <w:szCs w:val="28"/>
        </w:rPr>
        <w:t>ржащих информацию о возрасте, времени после операции и диагнозе); 2. Симптомы генитального пролапса(21 вопрос</w:t>
      </w:r>
      <w:r>
        <w:rPr>
          <w:rFonts w:ascii="Times New Roman" w:eastAsia="Times New Roman" w:hAnsi="Times New Roman" w:cs="Times New Roman"/>
          <w:b/>
          <w:sz w:val="28"/>
          <w:szCs w:val="28"/>
        </w:rPr>
        <w:t xml:space="preserve">); 3. Результат </w:t>
      </w:r>
      <w:r>
        <w:rPr>
          <w:rFonts w:ascii="Times New Roman" w:eastAsia="Times New Roman" w:hAnsi="Times New Roman" w:cs="Times New Roman"/>
          <w:sz w:val="28"/>
          <w:szCs w:val="28"/>
        </w:rPr>
        <w:t>(8 вопросов);  4.</w:t>
      </w:r>
      <w:r>
        <w:rPr>
          <w:rFonts w:ascii="Times New Roman" w:eastAsia="Times New Roman" w:hAnsi="Times New Roman" w:cs="Times New Roman"/>
          <w:b/>
          <w:sz w:val="28"/>
          <w:szCs w:val="28"/>
        </w:rPr>
        <w:t xml:space="preserve"> Тазовые боли (</w:t>
      </w:r>
      <w:r>
        <w:rPr>
          <w:rFonts w:ascii="Times New Roman" w:eastAsia="Times New Roman" w:hAnsi="Times New Roman" w:cs="Times New Roman"/>
          <w:sz w:val="28"/>
          <w:szCs w:val="28"/>
        </w:rPr>
        <w:t xml:space="preserve">3 вопроса); 5. </w:t>
      </w:r>
      <w:r>
        <w:rPr>
          <w:rFonts w:ascii="Times New Roman" w:eastAsia="Times New Roman" w:hAnsi="Times New Roman" w:cs="Times New Roman"/>
          <w:b/>
          <w:sz w:val="28"/>
          <w:szCs w:val="28"/>
        </w:rPr>
        <w:t>Сетчатый протез</w:t>
      </w:r>
      <w:r>
        <w:rPr>
          <w:rFonts w:ascii="Times New Roman" w:eastAsia="Times New Roman" w:hAnsi="Times New Roman" w:cs="Times New Roman"/>
          <w:sz w:val="28"/>
          <w:szCs w:val="28"/>
        </w:rPr>
        <w:t xml:space="preserve"> (3 вопроса); 6. </w:t>
      </w:r>
      <w:r>
        <w:rPr>
          <w:rFonts w:ascii="Times New Roman" w:eastAsia="Times New Roman" w:hAnsi="Times New Roman" w:cs="Times New Roman"/>
          <w:b/>
          <w:sz w:val="28"/>
          <w:szCs w:val="28"/>
        </w:rPr>
        <w:t>Лечение и профилактика</w:t>
      </w:r>
      <w:r>
        <w:rPr>
          <w:rFonts w:ascii="Times New Roman" w:eastAsia="Times New Roman" w:hAnsi="Times New Roman" w:cs="Times New Roman"/>
          <w:sz w:val="28"/>
          <w:szCs w:val="28"/>
        </w:rPr>
        <w:t xml:space="preserve"> (3 вопроса) (Приложение Б) [1</w:t>
      </w:r>
      <w:r>
        <w:rPr>
          <w:rFonts w:ascii="Times New Roman" w:eastAsia="Times New Roman" w:hAnsi="Times New Roman" w:cs="Times New Roman"/>
          <w:sz w:val="28"/>
          <w:szCs w:val="28"/>
        </w:rPr>
        <w:t>93,стр89].  За исключением домена 1 - «Общие сведенья», и 6 - «Лечение и профилактика» все остальные домены имеют систему оценки в баллах и ранжированы от 0 до 3, от 0 до 4 и от 0 до 5» [193,стр.89].  Получено авторские свидетельство [194]. Для удобства пр</w:t>
      </w:r>
      <w:r>
        <w:rPr>
          <w:rFonts w:ascii="Times New Roman" w:eastAsia="Times New Roman" w:hAnsi="Times New Roman" w:cs="Times New Roman"/>
          <w:sz w:val="28"/>
          <w:szCs w:val="28"/>
        </w:rPr>
        <w:t>именения в практическом здравоохранении разработана автоматизированная версия опросника, размещённая на электронном ресурсе. Преимущество этой версии состоит в том, что пациент самостоятельно отвечает на все вопросы, а итоговый результат предоставляется ме</w:t>
      </w:r>
      <w:r>
        <w:rPr>
          <w:rFonts w:ascii="Times New Roman" w:eastAsia="Times New Roman" w:hAnsi="Times New Roman" w:cs="Times New Roman"/>
          <w:sz w:val="28"/>
          <w:szCs w:val="28"/>
        </w:rPr>
        <w:t xml:space="preserve">дицинскому работнику в виде лаконичного вывода, основанного исключительно на ответах, требующих внимания [193, стр. 89]. При этом интерпретация данных доступна не только врачу — оценить состояние пациента, нуждающееся в дополнительном осмотре, могут также </w:t>
      </w:r>
      <w:r>
        <w:rPr>
          <w:rFonts w:ascii="Times New Roman" w:eastAsia="Times New Roman" w:hAnsi="Times New Roman" w:cs="Times New Roman"/>
          <w:sz w:val="28"/>
          <w:szCs w:val="28"/>
        </w:rPr>
        <w:t>медицинская сестра или врач-резидент [193, стр. 89].</w:t>
      </w:r>
    </w:p>
    <w:p w:rsidR="000A3797" w:rsidRDefault="00A660E7">
      <w:pPr>
        <w:spacing w:after="0" w:line="240" w:lineRule="auto"/>
        <w:ind w:firstLine="708"/>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Этапы определения надежности и валидности опросника.</w:t>
      </w:r>
    </w:p>
    <w:p w:rsidR="000A3797" w:rsidRDefault="00A660E7">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оценки содержательной валидности анкета прошла экспертное рецензирование тремя акушерами-гинекологами. В результате их анализа были внесены попра</w:t>
      </w:r>
      <w:r>
        <w:rPr>
          <w:rFonts w:ascii="Times New Roman" w:eastAsia="Times New Roman" w:hAnsi="Times New Roman" w:cs="Times New Roman"/>
          <w:sz w:val="28"/>
          <w:szCs w:val="28"/>
        </w:rPr>
        <w:t>вки, оптимизированы формулировки и уменьшено количество доменов и вопросов [193, стр. 89].</w:t>
      </w:r>
    </w:p>
    <w:p w:rsidR="000A3797" w:rsidRDefault="00A660E7">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проверки внешней валидности в исследовании участвовали 20 пациентов, перенесших операции по поводу генитального пролапса и свободно владеющих русским и казахским</w:t>
      </w:r>
      <w:r>
        <w:rPr>
          <w:rFonts w:ascii="Times New Roman" w:eastAsia="Times New Roman" w:hAnsi="Times New Roman" w:cs="Times New Roman"/>
          <w:sz w:val="28"/>
          <w:szCs w:val="28"/>
        </w:rPr>
        <w:t xml:space="preserve"> языками [193, стр. 89]. В рамках интервью оценивалось понимание вопросов анкеты, и все сложные для непрофессионалов выражения были упрощены или заменены [193, стр. 89].</w:t>
      </w:r>
    </w:p>
    <w:p w:rsidR="000A3797" w:rsidRDefault="00A660E7">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Конструктивная валидность проверялась на выборке из 30 пациентов, перенесших успешные </w:t>
      </w:r>
      <w:r>
        <w:rPr>
          <w:rFonts w:ascii="Times New Roman" w:eastAsia="Times New Roman" w:hAnsi="Times New Roman" w:cs="Times New Roman"/>
          <w:sz w:val="28"/>
          <w:szCs w:val="28"/>
        </w:rPr>
        <w:t>операции без осложнений в последние пять лет, и 30 пациентов, направленных из поликлиник города в связи с осложнениями после хирургического вмешательства [193, стр. 89]. Все участники исследования дали информированное согласие на опрос и прошли осмотр на г</w:t>
      </w:r>
      <w:r>
        <w:rPr>
          <w:rFonts w:ascii="Times New Roman" w:eastAsia="Times New Roman" w:hAnsi="Times New Roman" w:cs="Times New Roman"/>
          <w:sz w:val="28"/>
          <w:szCs w:val="28"/>
        </w:rPr>
        <w:t>инекологическом кресле» [193, стр. 89].</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 время обследования особое внимание уделялось выявлению функциональных нарушений со стороны мочевого пузыря и прямой кишки. Для этого проводились специальные функциональные пробы, позволяющие оценить степень и хар</w:t>
      </w:r>
      <w:r>
        <w:rPr>
          <w:rFonts w:ascii="Times New Roman" w:eastAsia="Times New Roman" w:hAnsi="Times New Roman" w:cs="Times New Roman"/>
          <w:sz w:val="28"/>
          <w:szCs w:val="28"/>
        </w:rPr>
        <w:t>актер нарушений в работе этих органов [193, стр. 89]. Данный подход обеспечивал комплексный анализ, позволяя определить наличие дисфункций, таких как недержание мочи, затруднённое мочеиспускание, а также нарушения дефекации, которые могли быть связаны с пр</w:t>
      </w:r>
      <w:r>
        <w:rPr>
          <w:rFonts w:ascii="Times New Roman" w:eastAsia="Times New Roman" w:hAnsi="Times New Roman" w:cs="Times New Roman"/>
          <w:sz w:val="28"/>
          <w:szCs w:val="28"/>
        </w:rPr>
        <w:t>оведённым хирургическим вмешательством» [193, стр. 89].</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Функциональные пробы:</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«стоп-тест» для оценки сократительной функции мышц,  участвующих в образовании наружного сфинктера уретры (m. Bulbocavernosus, m. Ishiocavernosus, m. Levator ani). Врач проси п</w:t>
      </w:r>
      <w:r>
        <w:rPr>
          <w:rFonts w:ascii="Times New Roman" w:eastAsia="Times New Roman" w:hAnsi="Times New Roman" w:cs="Times New Roman"/>
          <w:sz w:val="28"/>
          <w:szCs w:val="28"/>
        </w:rPr>
        <w:t>ациентку прекратить мочеиспускание, при сфинктерной недостаточности пациентка не может прервать мочеиспускание</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«кашлевой» тест – оценка функциональной состоятельности внутреннего сфинктера уретры. Пациентку, лежа на гинекологическом кресле, с наполненным</w:t>
      </w:r>
      <w:r>
        <w:rPr>
          <w:rFonts w:ascii="Times New Roman" w:eastAsia="Times New Roman" w:hAnsi="Times New Roman" w:cs="Times New Roman"/>
          <w:sz w:val="28"/>
          <w:szCs w:val="28"/>
        </w:rPr>
        <w:t xml:space="preserve"> мочевым пузырем просят покашлять. Если моча подтекает во время кашля- проба считается положительной;</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проба с пальцевой элевацией – проводится для оценки роли шейки мочевого пузыря в удерживании мочи, врач вводит пальцы во влагалище и приподнимает передн</w:t>
      </w:r>
      <w:r>
        <w:rPr>
          <w:rFonts w:ascii="Times New Roman" w:eastAsia="Times New Roman" w:hAnsi="Times New Roman" w:cs="Times New Roman"/>
          <w:sz w:val="28"/>
          <w:szCs w:val="28"/>
        </w:rPr>
        <w:t>юю стенку, прижимая ее к задней поверхности симфиза, пациентку просят покашлять. Ели подтекает моча, то проба является положительной</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проба с остаточной мочой – пациента просят помочится в мерный стаканчик, измеряют количество выделенной мочи, далее остат</w:t>
      </w:r>
      <w:r>
        <w:rPr>
          <w:rFonts w:ascii="Times New Roman" w:eastAsia="Times New Roman" w:hAnsi="Times New Roman" w:cs="Times New Roman"/>
          <w:sz w:val="28"/>
          <w:szCs w:val="28"/>
        </w:rPr>
        <w:t>ок мочи выводится катетером в мерный стаканчик, далее методом пропорции высчитывается процент количества мочи во второй раз от первого (50 мл, не более 20%).</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Степень стрессового недержания мочи, устанавливалась по классификации Д.В. Кан [193, стр. 89]. (та</w:t>
      </w:r>
      <w:r>
        <w:rPr>
          <w:rFonts w:ascii="Times New Roman" w:eastAsia="Times New Roman" w:hAnsi="Times New Roman" w:cs="Times New Roman"/>
          <w:sz w:val="28"/>
          <w:szCs w:val="28"/>
        </w:rPr>
        <w:t>блица 4).</w:t>
      </w:r>
    </w:p>
    <w:p w:rsidR="000A3797" w:rsidRDefault="000A3797">
      <w:pPr>
        <w:spacing w:after="0" w:line="240" w:lineRule="auto"/>
        <w:jc w:val="both"/>
        <w:rPr>
          <w:rFonts w:ascii="Times New Roman" w:eastAsia="Times New Roman" w:hAnsi="Times New Roman" w:cs="Times New Roman"/>
          <w:sz w:val="28"/>
          <w:szCs w:val="28"/>
        </w:rPr>
      </w:pPr>
    </w:p>
    <w:p w:rsidR="000A3797" w:rsidRDefault="00A660E7">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Таблица 4 - Классификация стрессового недержания мочи (Д.В. Кан, 1978г)  [193, стр. 89].</w:t>
      </w:r>
    </w:p>
    <w:tbl>
      <w:tblPr>
        <w:tblStyle w:val="a9"/>
        <w:tblW w:w="566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3"/>
        <w:gridCol w:w="3402"/>
      </w:tblGrid>
      <w:tr w:rsidR="000A3797">
        <w:tc>
          <w:tcPr>
            <w:tcW w:w="2263"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Степень</w:t>
            </w:r>
          </w:p>
        </w:tc>
        <w:tc>
          <w:tcPr>
            <w:tcW w:w="3402"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Клинические проявления</w:t>
            </w:r>
          </w:p>
        </w:tc>
      </w:tr>
      <w:tr w:rsidR="000A3797">
        <w:tc>
          <w:tcPr>
            <w:tcW w:w="2263"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Лёгкая</w:t>
            </w:r>
          </w:p>
        </w:tc>
        <w:tc>
          <w:tcPr>
            <w:tcW w:w="3402"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Непроизвольная потеря мочи (несколько капель) наблюдается только при сильном кашле, быстрой ходьбе</w:t>
            </w:r>
          </w:p>
        </w:tc>
      </w:tr>
      <w:tr w:rsidR="000A3797">
        <w:tc>
          <w:tcPr>
            <w:tcW w:w="2263"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Средняя</w:t>
            </w:r>
          </w:p>
        </w:tc>
        <w:tc>
          <w:tcPr>
            <w:tcW w:w="3402"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непроизвольная потеря мочи при при незначительной физической нагрузке и др.</w:t>
            </w:r>
          </w:p>
        </w:tc>
      </w:tr>
      <w:tr w:rsidR="000A3797">
        <w:trPr>
          <w:trHeight w:val="1048"/>
        </w:trPr>
        <w:tc>
          <w:tcPr>
            <w:tcW w:w="2263"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Тяжела</w:t>
            </w:r>
          </w:p>
        </w:tc>
        <w:tc>
          <w:tcPr>
            <w:tcW w:w="3402"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Потеря мочи в покое и при смене положения тела</w:t>
            </w:r>
          </w:p>
        </w:tc>
      </w:tr>
    </w:tbl>
    <w:p w:rsidR="000A3797" w:rsidRDefault="000A3797">
      <w:pPr>
        <w:tabs>
          <w:tab w:val="left" w:pos="1134"/>
        </w:tabs>
        <w:spacing w:after="0" w:line="240" w:lineRule="auto"/>
        <w:ind w:firstLine="709"/>
        <w:jc w:val="both"/>
        <w:rPr>
          <w:rFonts w:ascii="Times New Roman" w:eastAsia="Times New Roman" w:hAnsi="Times New Roman" w:cs="Times New Roman"/>
          <w:sz w:val="24"/>
          <w:szCs w:val="24"/>
        </w:rPr>
      </w:pPr>
    </w:p>
    <w:p w:rsidR="000A3797" w:rsidRDefault="00A660E7">
      <w:pPr>
        <w:tabs>
          <w:tab w:val="left" w:pos="1134"/>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 время обследования особое внимание уделялось выявлению функциональных нарушений со стороны мочевого пузыря и прямой кишки. Для этого проводились специальные функциональные пробы, позволяющие оценить степень и характер нарушений в работе этих органов [1</w:t>
      </w:r>
      <w:r>
        <w:rPr>
          <w:rFonts w:ascii="Times New Roman" w:eastAsia="Times New Roman" w:hAnsi="Times New Roman" w:cs="Times New Roman"/>
          <w:sz w:val="28"/>
          <w:szCs w:val="28"/>
        </w:rPr>
        <w:t>93, стр. 89]. Данный подход обеспечивал комплексный анализ, позволяя определить наличие дисфункций, таких как недержание мочи, затруднённое мочеиспускание, а также нарушения дефекации, которые могли быть связаны с проведённым хирургическим вмешательством и</w:t>
      </w:r>
      <w:r>
        <w:rPr>
          <w:rFonts w:ascii="Times New Roman" w:eastAsia="Times New Roman" w:hAnsi="Times New Roman" w:cs="Times New Roman"/>
          <w:sz w:val="28"/>
          <w:szCs w:val="28"/>
        </w:rPr>
        <w:t>ли сопровождать генитальный пролапс» [193, стр. 89].</w:t>
      </w:r>
    </w:p>
    <w:p w:rsidR="000A3797" w:rsidRDefault="00A660E7">
      <w:pPr>
        <w:tabs>
          <w:tab w:val="left" w:pos="1134"/>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Благодаря использованию функциональных проб мы получали более точное представление о состоянии органов малого таза и могли своевременно назначить дополнительные методы лечения или корректирующую терапию </w:t>
      </w:r>
      <w:r>
        <w:rPr>
          <w:rFonts w:ascii="Times New Roman" w:eastAsia="Times New Roman" w:hAnsi="Times New Roman" w:cs="Times New Roman"/>
          <w:sz w:val="28"/>
          <w:szCs w:val="28"/>
        </w:rPr>
        <w:t>при выявлении отклонений [193, стр. 89].</w:t>
      </w:r>
    </w:p>
    <w:p w:rsidR="000A3797" w:rsidRDefault="00A660E7">
      <w:pPr>
        <w:tabs>
          <w:tab w:val="left" w:pos="1134"/>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рамках обследования всем пациентам заранее был отправлен электронный дневник мочеиспускания, который необходимо было заполнить и предоставить на приёме [193, стр. 89]. Этот дневник служил инструментом для оценки ч</w:t>
      </w:r>
      <w:r>
        <w:rPr>
          <w:rFonts w:ascii="Times New Roman" w:eastAsia="Times New Roman" w:hAnsi="Times New Roman" w:cs="Times New Roman"/>
          <w:sz w:val="28"/>
          <w:szCs w:val="28"/>
        </w:rPr>
        <w:t>астоты мочеиспускания: значение «менее 8 раз в сутки» не считалось учащённым, тогда как «от 8 до 15 раз в сутки» и «более 15 раз в сутки» расценивались как учащённое мочеиспускание [193, стр. 89].</w:t>
      </w:r>
    </w:p>
    <w:p w:rsidR="000A3797" w:rsidRDefault="00A660E7">
      <w:pPr>
        <w:tabs>
          <w:tab w:val="left" w:pos="1134"/>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диагностики «запоров применялись следующие критерии: ре</w:t>
      </w:r>
      <w:r>
        <w:rPr>
          <w:rFonts w:ascii="Times New Roman" w:eastAsia="Times New Roman" w:hAnsi="Times New Roman" w:cs="Times New Roman"/>
          <w:sz w:val="28"/>
          <w:szCs w:val="28"/>
        </w:rPr>
        <w:t>гулярная дефекация «ежедневно» считалась нормой, опорожнение кишечника «один раз в двое суток» и реже квалифицировалось как запор [193, стр. 89].</w:t>
      </w:r>
    </w:p>
    <w:p w:rsidR="000A3797" w:rsidRDefault="00A660E7">
      <w:pPr>
        <w:tabs>
          <w:tab w:val="left" w:pos="1134"/>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Эрозия сетчатого имплантата оценивалась по трём категориям: отсутствие эрозии, эрозия менее одного сантиметра </w:t>
      </w:r>
      <w:r>
        <w:rPr>
          <w:rFonts w:ascii="Times New Roman" w:eastAsia="Times New Roman" w:hAnsi="Times New Roman" w:cs="Times New Roman"/>
          <w:sz w:val="28"/>
          <w:szCs w:val="28"/>
        </w:rPr>
        <w:t>и эрозия более одного сантиметра [193, стр. 89]. При осмотре объективно определялся характер выделений, учитывая их цвет, запах и наличие примеси крови» [193, стр. 89].</w:t>
      </w:r>
    </w:p>
    <w:p w:rsidR="000A3797" w:rsidRDefault="00A660E7">
      <w:pPr>
        <w:tabs>
          <w:tab w:val="left" w:pos="1134"/>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Степень опущения органов малого таза определялась на основе самой выступающей точки в с</w:t>
      </w:r>
      <w:r>
        <w:rPr>
          <w:rFonts w:ascii="Times New Roman" w:eastAsia="Times New Roman" w:hAnsi="Times New Roman" w:cs="Times New Roman"/>
          <w:sz w:val="28"/>
          <w:szCs w:val="28"/>
        </w:rPr>
        <w:t xml:space="preserve">антиметрах в соответствии с международной системой классификации POP-Q [195]. Эта система позволяет точно оценить анатомическое положение органов и определить степень пролапса. Все диагностические критерии и интерпретация данных проводились в соответствии </w:t>
      </w:r>
      <w:r>
        <w:rPr>
          <w:rFonts w:ascii="Times New Roman" w:eastAsia="Times New Roman" w:hAnsi="Times New Roman" w:cs="Times New Roman"/>
          <w:sz w:val="28"/>
          <w:szCs w:val="28"/>
        </w:rPr>
        <w:t>с актуальным протоколом лечения генитального пролапса, утверждённым в Республике Казахстан.</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Тестирование внутренней согласованности с использованной Альфа Кронбаха, определенной нами как выше 0,6 для допустимого результата, использована для определения над</w:t>
      </w:r>
      <w:r>
        <w:rPr>
          <w:rFonts w:ascii="Times New Roman" w:eastAsia="Times New Roman" w:hAnsi="Times New Roman" w:cs="Times New Roman"/>
          <w:sz w:val="28"/>
          <w:szCs w:val="28"/>
        </w:rPr>
        <w:t xml:space="preserve">ежности опросников. Оценка произведена как суммарного значения по доменам для Казахстанской версии опросника, так и отдельно для версий на казахском и русском языках.  Воспроизводимость оценена путем подсчета среднего времени заполнения электронной версии </w:t>
      </w:r>
      <w:r>
        <w:rPr>
          <w:rFonts w:ascii="Times New Roman" w:eastAsia="Times New Roman" w:hAnsi="Times New Roman" w:cs="Times New Roman"/>
          <w:sz w:val="28"/>
          <w:szCs w:val="28"/>
        </w:rPr>
        <w:t xml:space="preserve">опросников респондентами и интерпретацией врачами акушерами-гинекологами [193,стр.89].  </w:t>
      </w:r>
    </w:p>
    <w:p w:rsidR="000A3797" w:rsidRDefault="00A660E7">
      <w:pPr>
        <w:spacing w:after="0" w:line="240" w:lineRule="auto"/>
        <w:ind w:firstLine="28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Конструктивная валидность оценена путем корреляционной связи между объективным осмотром и ответами респондентов для определения выявляемости симптомов, при их налич</w:t>
      </w:r>
      <w:r>
        <w:rPr>
          <w:rFonts w:ascii="Times New Roman" w:eastAsia="Times New Roman" w:hAnsi="Times New Roman" w:cs="Times New Roman"/>
          <w:sz w:val="28"/>
          <w:szCs w:val="28"/>
        </w:rPr>
        <w:t>ии [193,стр.89].   «Произведено сравнение стадии генитального пролапса со значением переменной «Рецидив» с помощью коэффициента  ранговой корреляции Спирмена (ККС), значения интерпретированы по шкале Чеддока, где менее 0,1: связь отсутствует; 0,1-0,3: слаб</w:t>
      </w:r>
      <w:r>
        <w:rPr>
          <w:rFonts w:ascii="Times New Roman" w:eastAsia="Times New Roman" w:hAnsi="Times New Roman" w:cs="Times New Roman"/>
          <w:sz w:val="28"/>
          <w:szCs w:val="28"/>
        </w:rPr>
        <w:t xml:space="preserve">я связь; 0,3-0,5: умеренная; 0,5-0,7: заметная; 0,7-0,9: высокая; выше 0,9 весьма высокая [193,стр.89].  </w:t>
      </w:r>
    </w:p>
    <w:p w:rsidR="000A3797" w:rsidRDefault="00A660E7">
      <w:pPr>
        <w:spacing w:after="0" w:line="240" w:lineRule="auto"/>
        <w:ind w:firstLine="28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Для анализа проводилось сравнение корреляции между диагностированным стрессовым недержанием мочи, установленным в ходе осмотра, согласно классифика</w:t>
      </w:r>
      <w:r>
        <w:rPr>
          <w:rFonts w:ascii="Times New Roman" w:eastAsia="Times New Roman" w:hAnsi="Times New Roman" w:cs="Times New Roman"/>
          <w:sz w:val="28"/>
          <w:szCs w:val="28"/>
        </w:rPr>
        <w:t>ции степени недержания мочи, частотой мочеиспускания, оцененной по данным заполненных дневников, и степенью выраженности запоров. Эти показатели сопоставлялись с ответами пациентов в домене «Симптомы», а также с наличием эрозии протеза, отражённым через пе</w:t>
      </w:r>
      <w:r>
        <w:rPr>
          <w:rFonts w:ascii="Times New Roman" w:eastAsia="Times New Roman" w:hAnsi="Times New Roman" w:cs="Times New Roman"/>
          <w:sz w:val="28"/>
          <w:szCs w:val="28"/>
        </w:rPr>
        <w:t xml:space="preserve">ременную «Вероятность эрозии», и выделениями из влагалища. Все эти связи анализировались с использованием коэффициента корреляции Спирмена (ККС), при соблюдении допустимых значений для статистической значимости [193,стр.89]. </w:t>
      </w:r>
    </w:p>
    <w:p w:rsidR="000A3797" w:rsidRDefault="00A660E7">
      <w:pPr>
        <w:spacing w:after="0" w:line="240" w:lineRule="auto"/>
        <w:ind w:firstLine="28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Статистический анализ проводил</w:t>
      </w:r>
      <w:r>
        <w:rPr>
          <w:rFonts w:ascii="Times New Roman" w:eastAsia="Times New Roman" w:hAnsi="Times New Roman" w:cs="Times New Roman"/>
          <w:sz w:val="28"/>
          <w:szCs w:val="28"/>
        </w:rPr>
        <w:t>ся с использованием программы SPSS Statistics 26» [193,стр.89].</w:t>
      </w:r>
    </w:p>
    <w:p w:rsidR="000A3797" w:rsidRDefault="000A3797">
      <w:pPr>
        <w:spacing w:after="0" w:line="240" w:lineRule="auto"/>
        <w:jc w:val="both"/>
        <w:rPr>
          <w:rFonts w:ascii="Times New Roman" w:eastAsia="Times New Roman" w:hAnsi="Times New Roman" w:cs="Times New Roman"/>
          <w:b/>
          <w:sz w:val="28"/>
          <w:szCs w:val="28"/>
        </w:rPr>
      </w:pPr>
    </w:p>
    <w:p w:rsidR="000A3797" w:rsidRDefault="00A660E7">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2.2.2 Этапы оценки надежности и валидности Казахстанской версии опросника P-QOL</w:t>
      </w:r>
    </w:p>
    <w:p w:rsidR="000A3797" w:rsidRDefault="000A3797">
      <w:pPr>
        <w:spacing w:after="0" w:line="240" w:lineRule="auto"/>
        <w:jc w:val="both"/>
        <w:rPr>
          <w:rFonts w:ascii="Times New Roman" w:eastAsia="Times New Roman" w:hAnsi="Times New Roman" w:cs="Times New Roman"/>
          <w:b/>
          <w:sz w:val="28"/>
          <w:szCs w:val="28"/>
        </w:rPr>
      </w:pP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Опросник P-QoL (Prolapse Quality of Life) представляет собой эффективный инструмент, предназначенный для оценк</w:t>
      </w:r>
      <w:r>
        <w:rPr>
          <w:rFonts w:ascii="Times New Roman" w:eastAsia="Times New Roman" w:hAnsi="Times New Roman" w:cs="Times New Roman"/>
          <w:sz w:val="28"/>
          <w:szCs w:val="28"/>
        </w:rPr>
        <w:t>и степени выраженности симптомов генитального пролапса и их воздействия на повседневную жизнь женщин. Он был создан Digesu и коллегами в 2005 году для англоязычных стран [52, стр. 176] и позднее был адаптирован для использования в ряде других государств. О</w:t>
      </w:r>
      <w:r>
        <w:rPr>
          <w:rFonts w:ascii="Times New Roman" w:eastAsia="Times New Roman" w:hAnsi="Times New Roman" w:cs="Times New Roman"/>
          <w:sz w:val="28"/>
          <w:szCs w:val="28"/>
        </w:rPr>
        <w:t xml:space="preserve">ригинальная версия включает 38 вопросов, сгруппированных в 9 доменов, каждый из которых охватывает важные аспекты жизни, подверженные изменениям из-за пролапса органов малого таза. P-QoL также широко применяется для мониторинга эффективности лечения таких </w:t>
      </w:r>
      <w:r>
        <w:rPr>
          <w:rFonts w:ascii="Times New Roman" w:eastAsia="Times New Roman" w:hAnsi="Times New Roman" w:cs="Times New Roman"/>
          <w:sz w:val="28"/>
          <w:szCs w:val="28"/>
        </w:rPr>
        <w:t>пациенток.</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рамках нашего проекта возникла необходимость в применении проверенного инструмента для оценки качества жизни женщин с данным нарушением. С этой целью мы выполнили лингвистическую адаптацию опросника под особенности нашего населения. В процессе адаптации </w:t>
      </w:r>
      <w:r>
        <w:rPr>
          <w:rFonts w:ascii="Times New Roman" w:eastAsia="Times New Roman" w:hAnsi="Times New Roman" w:cs="Times New Roman"/>
          <w:sz w:val="28"/>
          <w:szCs w:val="28"/>
        </w:rPr>
        <w:t>были внесены корректировки и добавлены новые вопросы, что потребовало проверки надёжности и валидности обновлённой версии.</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Дизайн –исследования: </w:t>
      </w:r>
      <w:r>
        <w:rPr>
          <w:rFonts w:ascii="Times New Roman" w:eastAsia="Times New Roman" w:hAnsi="Times New Roman" w:cs="Times New Roman"/>
          <w:sz w:val="28"/>
          <w:szCs w:val="28"/>
        </w:rPr>
        <w:t>поперечное</w:t>
      </w:r>
    </w:p>
    <w:p w:rsidR="000A3797" w:rsidRDefault="00A660E7">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Расчет размера выборки определялся тремя способами:</w:t>
      </w:r>
    </w:p>
    <w:p w:rsidR="000A3797" w:rsidRDefault="00A660E7">
      <w:pPr>
        <w:numPr>
          <w:ilvl w:val="0"/>
          <w:numId w:val="14"/>
        </w:numPr>
        <w:pBdr>
          <w:top w:val="nil"/>
          <w:left w:val="nil"/>
          <w:bottom w:val="nil"/>
          <w:right w:val="nil"/>
          <w:between w:val="nil"/>
        </w:pBd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b/>
          <w:color w:val="000000"/>
          <w:sz w:val="28"/>
          <w:szCs w:val="28"/>
        </w:rPr>
        <w:t xml:space="preserve">По формуле </w:t>
      </w:r>
      <w:r>
        <w:rPr>
          <w:rFonts w:ascii="Times New Roman" w:eastAsia="Times New Roman" w:hAnsi="Times New Roman" w:cs="Times New Roman"/>
          <w:color w:val="000000"/>
          <w:sz w:val="28"/>
          <w:szCs w:val="28"/>
        </w:rPr>
        <w:t xml:space="preserve">расчета размера выборки: </w:t>
      </w:r>
      <m:oMath>
        <m:r>
          <w:rPr>
            <w:rFonts w:ascii="Cambria Math" w:eastAsia="Cambria Math" w:hAnsi="Cambria Math" w:cs="Cambria Math"/>
            <w:color w:val="000000"/>
            <w:sz w:val="28"/>
            <w:szCs w:val="28"/>
          </w:rPr>
          <m:t>n</m:t>
        </m:r>
        <m:r>
          <w:rPr>
            <w:rFonts w:ascii="Cambria Math" w:eastAsia="Cambria Math" w:hAnsi="Cambria Math" w:cs="Cambria Math"/>
            <w:color w:val="000000"/>
            <w:sz w:val="28"/>
            <w:szCs w:val="28"/>
          </w:rPr>
          <m:t>=</m:t>
        </m:r>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p</m:t>
            </m:r>
            <m:r>
              <w:rPr>
                <w:rFonts w:ascii="Cambria Math" w:eastAsia="Cambria Math" w:hAnsi="Cambria Math" w:cs="Cambria Math"/>
                <w:color w:val="000000"/>
                <w:sz w:val="28"/>
                <w:szCs w:val="28"/>
              </w:rPr>
              <m:t>×</m:t>
            </m:r>
            <m:r>
              <w:rPr>
                <w:rFonts w:ascii="Cambria Math" w:eastAsia="Cambria Math" w:hAnsi="Cambria Math" w:cs="Cambria Math"/>
                <w:color w:val="000000"/>
                <w:sz w:val="28"/>
                <w:szCs w:val="28"/>
              </w:rPr>
              <m:t>q</m:t>
            </m:r>
            <m:r>
              <w:rPr>
                <w:rFonts w:ascii="Cambria Math" w:eastAsia="Cambria Math" w:hAnsi="Cambria Math" w:cs="Cambria Math"/>
                <w:color w:val="000000"/>
                <w:sz w:val="28"/>
                <w:szCs w:val="28"/>
              </w:rPr>
              <m:t>×</m:t>
            </m:r>
            <m:r>
              <w:rPr>
                <w:rFonts w:ascii="Cambria Math" w:eastAsia="Cambria Math" w:hAnsi="Cambria Math" w:cs="Cambria Math"/>
                <w:color w:val="000000"/>
                <w:sz w:val="28"/>
                <w:szCs w:val="28"/>
              </w:rPr>
              <m:t>t</m:t>
            </m:r>
            <m:r>
              <w:rPr>
                <w:rFonts w:ascii="Cambria Math" w:eastAsia="Cambria Math" w:hAnsi="Cambria Math" w:cs="Cambria Math"/>
                <w:color w:val="000000"/>
                <w:sz w:val="28"/>
                <w:szCs w:val="28"/>
              </w:rPr>
              <m:t>²</m:t>
            </m:r>
          </m:num>
          <m:den>
            <m:r>
              <w:rPr>
                <w:rFonts w:ascii="Cambria Math" w:eastAsia="Cambria Math" w:hAnsi="Cambria Math" w:cs="Cambria Math"/>
                <w:color w:val="000000"/>
                <w:sz w:val="28"/>
                <w:szCs w:val="28"/>
              </w:rPr>
              <m:t>Δ</m:t>
            </m:r>
            <m:r>
              <w:rPr>
                <w:rFonts w:ascii="Cambria Math" w:eastAsia="Cambria Math" w:hAnsi="Cambria Math" w:cs="Cambria Math"/>
                <w:color w:val="000000"/>
                <w:sz w:val="28"/>
                <w:szCs w:val="28"/>
              </w:rPr>
              <m:t>²</m:t>
            </m:r>
          </m:den>
        </m:f>
      </m:oMath>
      <w:r>
        <w:rPr>
          <w:rFonts w:ascii="Times New Roman" w:eastAsia="Times New Roman" w:hAnsi="Times New Roman" w:cs="Times New Roman"/>
          <w:color w:val="000000"/>
          <w:sz w:val="28"/>
          <w:szCs w:val="28"/>
        </w:rPr>
        <w:t xml:space="preserve">                                     (1)  </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 объем выборки</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 – доля респондентов с наличием признака</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q= 1-р – доля респондентов с отсутствием признака</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 – выбранный доверительный уровень - 2</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Δ=±0,05 – ошибка выборки </w:t>
      </w:r>
    </w:p>
    <w:p w:rsidR="000A3797" w:rsidRDefault="00A660E7">
      <w:pPr>
        <w:numPr>
          <w:ilvl w:val="0"/>
          <w:numId w:val="14"/>
        </w:numPr>
        <w:pBdr>
          <w:top w:val="nil"/>
          <w:left w:val="nil"/>
          <w:bottom w:val="nil"/>
          <w:right w:val="nil"/>
          <w:between w:val="nil"/>
        </w:pBd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b/>
          <w:color w:val="000000"/>
          <w:sz w:val="28"/>
          <w:szCs w:val="28"/>
        </w:rPr>
        <w:t xml:space="preserve">На онлайн калькуляторе </w:t>
      </w:r>
      <w:r>
        <w:rPr>
          <w:rFonts w:ascii="Times New Roman" w:eastAsia="Times New Roman" w:hAnsi="Times New Roman" w:cs="Times New Roman"/>
          <w:color w:val="000000"/>
          <w:sz w:val="28"/>
          <w:szCs w:val="28"/>
        </w:rPr>
        <w:t>интернет –пл</w:t>
      </w:r>
      <w:r>
        <w:rPr>
          <w:rFonts w:ascii="Times New Roman" w:eastAsia="Times New Roman" w:hAnsi="Times New Roman" w:cs="Times New Roman"/>
          <w:color w:val="000000"/>
          <w:sz w:val="28"/>
          <w:szCs w:val="28"/>
        </w:rPr>
        <w:t xml:space="preserve">атформы: medstatistic.ru. </w:t>
      </w:r>
    </w:p>
    <w:p w:rsidR="000A3797" w:rsidRDefault="00A660E7">
      <w:pPr>
        <w:numPr>
          <w:ilvl w:val="0"/>
          <w:numId w:val="14"/>
        </w:numPr>
        <w:pBdr>
          <w:top w:val="nil"/>
          <w:left w:val="nil"/>
          <w:bottom w:val="nil"/>
          <w:right w:val="nil"/>
          <w:between w:val="nil"/>
        </w:pBd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b/>
          <w:color w:val="000000"/>
          <w:sz w:val="28"/>
          <w:szCs w:val="28"/>
        </w:rPr>
        <w:t xml:space="preserve">На онлайн калькуляторе </w:t>
      </w:r>
      <w:r>
        <w:rPr>
          <w:rFonts w:ascii="Times New Roman" w:eastAsia="Times New Roman" w:hAnsi="Times New Roman" w:cs="Times New Roman"/>
          <w:color w:val="000000"/>
          <w:sz w:val="28"/>
          <w:szCs w:val="28"/>
        </w:rPr>
        <w:t xml:space="preserve">интернет –платформы: </w:t>
      </w:r>
      <w:hyperlink r:id="rId9">
        <w:r>
          <w:rPr>
            <w:rFonts w:ascii="Times New Roman" w:eastAsia="Times New Roman" w:hAnsi="Times New Roman" w:cs="Times New Roman"/>
            <w:color w:val="000000"/>
            <w:sz w:val="28"/>
            <w:szCs w:val="28"/>
            <w:u w:val="single"/>
          </w:rPr>
          <w:t>https://sample-size.net/sample-size-survival-analysis/</w:t>
        </w:r>
      </w:hyperlink>
    </w:p>
    <w:p w:rsidR="000A3797" w:rsidRDefault="00A660E7">
      <w:pPr>
        <w:pBdr>
          <w:top w:val="nil"/>
          <w:left w:val="nil"/>
          <w:bottom w:val="nil"/>
          <w:right w:val="nil"/>
          <w:between w:val="nil"/>
        </w:pBdr>
        <w:shd w:val="clear" w:color="auto" w:fill="FFFFFF"/>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 начальном этапе адаптации оригинальный опросник P-QoL прошёл процедуру двустороннего перевода. Два акушера-гинеколога, имеющие свободное владение русским, казахским и английским языками, выполнили перевод на русский и казахский языки. Затем два квалифиц</w:t>
      </w:r>
      <w:r>
        <w:rPr>
          <w:rFonts w:ascii="Times New Roman" w:eastAsia="Times New Roman" w:hAnsi="Times New Roman" w:cs="Times New Roman"/>
          <w:color w:val="000000"/>
          <w:sz w:val="28"/>
          <w:szCs w:val="28"/>
        </w:rPr>
        <w:t>ированных переводчика осуществили обратный перевод с русского и казахского на английский [196]. Финальные версии были рассмотрены и оценены другими специалистами в области акушерства и гинекологии, также владеющими этими тремя языками [196, стр. 22].</w:t>
      </w:r>
    </w:p>
    <w:p w:rsidR="000A3797" w:rsidRDefault="00A660E7">
      <w:pPr>
        <w:pBdr>
          <w:top w:val="nil"/>
          <w:left w:val="nil"/>
          <w:bottom w:val="nil"/>
          <w:right w:val="nil"/>
          <w:between w:val="nil"/>
        </w:pBdr>
        <w:shd w:val="clear" w:color="auto" w:fill="FFFFFF"/>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Все последующие этапы выполнены по методике, описанной в предыдущих исследованиях [60 стр.2].  </w:t>
      </w:r>
    </w:p>
    <w:p w:rsidR="000A3797" w:rsidRDefault="00A660E7">
      <w:pPr>
        <w:tabs>
          <w:tab w:val="left" w:pos="1134"/>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Для проверки понимания вопросов опросника было привлечено 20 пациентов с признаками пролапса, владеющих русским языком, и 20 пациентов, говорящих на казахском </w:t>
      </w:r>
      <w:r>
        <w:rPr>
          <w:rFonts w:ascii="Times New Roman" w:eastAsia="Times New Roman" w:hAnsi="Times New Roman" w:cs="Times New Roman"/>
          <w:sz w:val="28"/>
          <w:szCs w:val="28"/>
        </w:rPr>
        <w:t xml:space="preserve">[196, стр. 23]. После медицинского осмотра с их согласия было проведено анкетирование и последующая беседа. На основе полученной обратной связи были внесены корректировки. В частности, из домена «Симптомы и их восприятие» [60,стр.4] был удалён вопрос «Как </w:t>
      </w:r>
      <w:r>
        <w:rPr>
          <w:rFonts w:ascii="Times New Roman" w:eastAsia="Times New Roman" w:hAnsi="Times New Roman" w:cs="Times New Roman"/>
          <w:sz w:val="28"/>
          <w:szCs w:val="28"/>
        </w:rPr>
        <w:t>часто вы опорожняете кишечник» [60,стр.4], так как участники исследования не выявили различий между этим вопросом и пунктом, касающимся «Запоров». Были добавлены три вопроса из российской версии опросника Коршунова М.Ю. и соавторов - ПД-КЖ: «Беспокоит ли в</w:t>
      </w:r>
      <w:r>
        <w:rPr>
          <w:rFonts w:ascii="Times New Roman" w:eastAsia="Times New Roman" w:hAnsi="Times New Roman" w:cs="Times New Roman"/>
          <w:sz w:val="28"/>
          <w:szCs w:val="28"/>
        </w:rPr>
        <w:t>ас «недержание стула или газов?», «Чувство неполного опорожнения мочевого пузыря»,  «Необходимость удерживать рукой стенки влагалища или же вправлять выпавшие стенки влагалища, чтобы помочиться»[60,стр.4].  Вопрос: «Оказывать пальцевое пособие при акте деф</w:t>
      </w:r>
      <w:r>
        <w:rPr>
          <w:rFonts w:ascii="Times New Roman" w:eastAsia="Times New Roman" w:hAnsi="Times New Roman" w:cs="Times New Roman"/>
          <w:sz w:val="28"/>
          <w:szCs w:val="28"/>
        </w:rPr>
        <w:t>екации» дополнен фразой из опросника Коршунова М.Ю.  «Удерживать рукой или же вправлять  выпавшие части влагалищa, чтобы опорожнить кишечник» [60,стр.4; 196, стр.23]. В домене «Степень выраженности симптомов»</w:t>
      </w:r>
      <w:r>
        <w:rPr>
          <w:rFonts w:ascii="Times New Roman" w:eastAsia="Times New Roman" w:hAnsi="Times New Roman" w:cs="Times New Roman"/>
          <w:b/>
          <w:sz w:val="28"/>
          <w:szCs w:val="28"/>
        </w:rPr>
        <w:t xml:space="preserve"> в</w:t>
      </w:r>
      <w:r>
        <w:rPr>
          <w:rFonts w:ascii="Times New Roman" w:eastAsia="Times New Roman" w:hAnsi="Times New Roman" w:cs="Times New Roman"/>
          <w:sz w:val="28"/>
          <w:szCs w:val="28"/>
        </w:rPr>
        <w:t>опросы: «Боль и дискомфорт по причине пролапса</w:t>
      </w:r>
      <w:r>
        <w:rPr>
          <w:rFonts w:ascii="Times New Roman" w:eastAsia="Times New Roman" w:hAnsi="Times New Roman" w:cs="Times New Roman"/>
          <w:sz w:val="28"/>
          <w:szCs w:val="28"/>
        </w:rPr>
        <w:t>» и «Мешает ли вам пролапс стоять» были исключены, так как, по мнению респондентов, в домене «Симптомы и их восприятие» они были отражены [196, стр.23]. «Первый вопрос: «Используете ли вы тампоны, прокладки, специализированное белье» был изменен и дополнен</w:t>
      </w:r>
      <w:r>
        <w:rPr>
          <w:rFonts w:ascii="Times New Roman" w:eastAsia="Times New Roman" w:hAnsi="Times New Roman" w:cs="Times New Roman"/>
          <w:sz w:val="28"/>
          <w:szCs w:val="28"/>
        </w:rPr>
        <w:t xml:space="preserve"> фразой: «меняете промокшее нижнее белье/чтобы белье оставалось чистым/сухим» [60,стр.4]. Специализированное белье мы включили в вопрос «Используете влагалищные кольца, пессарии» [60, стр.4], так как все эти приспособления используется для поддержки органо</w:t>
      </w:r>
      <w:r>
        <w:rPr>
          <w:rFonts w:ascii="Times New Roman" w:eastAsia="Times New Roman" w:hAnsi="Times New Roman" w:cs="Times New Roman"/>
          <w:sz w:val="28"/>
          <w:szCs w:val="28"/>
        </w:rPr>
        <w:t>в. Добавлен вопрос «Контролируете количество выпитой жидкости» из опросника Коршунова М.Ю. –ПД-КЖ» [60, стр.4], многие из респондентов контролировали количество выпитой жидкости, как с недержанием мочи, так и с затрудненным мочеиспусканием, боясь переполня</w:t>
      </w:r>
      <w:r>
        <w:rPr>
          <w:rFonts w:ascii="Times New Roman" w:eastAsia="Times New Roman" w:hAnsi="Times New Roman" w:cs="Times New Roman"/>
          <w:sz w:val="28"/>
          <w:szCs w:val="28"/>
        </w:rPr>
        <w:t xml:space="preserve">ть мочевой пузырь [194, стр.23]. </w:t>
      </w:r>
    </w:p>
    <w:p w:rsidR="000A3797" w:rsidRDefault="00A660E7">
      <w:pPr>
        <w:tabs>
          <w:tab w:val="left" w:pos="1134"/>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В итоге опросник P-OQL, адаптированный для женщин Казахстана  состоит из 9 доменов, 40 вопросов, названия доменов идентичны опроснику ПД-КЖ Коршунова М.Ю.: «1.Общее состояние здоровья – 1 вопрос; 2. Воздействие симптомов </w:t>
      </w:r>
      <w:r>
        <w:rPr>
          <w:rFonts w:ascii="Times New Roman" w:eastAsia="Times New Roman" w:hAnsi="Times New Roman" w:cs="Times New Roman"/>
          <w:sz w:val="28"/>
          <w:szCs w:val="28"/>
        </w:rPr>
        <w:t>– 1 вопрос; 3. Симптомы и их восприятие - 20 вопросов; 4. Ролевые ограничения - 2 вопроса; 5.Физическое и социальное ограничения - 4 вопроса; 6. Межличностные взаимодействия – 3 вопроса; 7. Эмоциональные проблемы-3 вопроса; 8. Нарушение сна и бодрствования</w:t>
      </w:r>
      <w:r>
        <w:rPr>
          <w:rFonts w:ascii="Times New Roman" w:eastAsia="Times New Roman" w:hAnsi="Times New Roman" w:cs="Times New Roman"/>
          <w:sz w:val="28"/>
          <w:szCs w:val="28"/>
        </w:rPr>
        <w:t xml:space="preserve"> - 2 вопроса; Степень выраженности симптомов – 4 вопроса (Приложение А)» [60, стр.4; 196, стр.23]. </w:t>
      </w:r>
    </w:p>
    <w:p w:rsidR="000A3797" w:rsidRDefault="00A660E7">
      <w:pPr>
        <w:tabs>
          <w:tab w:val="left" w:pos="1134"/>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 Следующим этапом отобрано 175 пациентов с симптомами пролапса и 81 пациент с бессимптомным пролапсом, объем выборки обоснован опытом предыдущих исследован</w:t>
      </w:r>
      <w:r>
        <w:rPr>
          <w:rFonts w:ascii="Times New Roman" w:eastAsia="Times New Roman" w:hAnsi="Times New Roman" w:cs="Times New Roman"/>
          <w:sz w:val="28"/>
          <w:szCs w:val="28"/>
        </w:rPr>
        <w:t>ий и собственным расчетом по описанной выше методике [196, стр.23].</w:t>
      </w:r>
    </w:p>
    <w:p w:rsidR="000A3797" w:rsidRDefault="00A660E7">
      <w:pPr>
        <w:spacing w:after="0" w:line="240" w:lineRule="auto"/>
        <w:ind w:firstLine="28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После получения добровольного информированного согласия «пациенты прошли осмотр на гинекологическом кресле. Стадия опущения органов малого таза оценивался в соответствии с международной кл</w:t>
      </w:r>
      <w:r>
        <w:rPr>
          <w:rFonts w:ascii="Times New Roman" w:eastAsia="Times New Roman" w:hAnsi="Times New Roman" w:cs="Times New Roman"/>
          <w:sz w:val="28"/>
          <w:szCs w:val="28"/>
        </w:rPr>
        <w:t>ассификацией POP-Q (подробности приведены в разделе 2.2.1).</w:t>
      </w:r>
    </w:p>
    <w:p w:rsidR="000A3797" w:rsidRDefault="00A660E7">
      <w:pPr>
        <w:spacing w:after="0" w:line="240" w:lineRule="auto"/>
        <w:ind w:firstLine="28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диагностики и оценки функциональных нарушений органов малого таза, таких как недержание мочи, затруднённое мочеиспускание, а также недержание кала и газов, в ходе осмотра применялись различные</w:t>
      </w:r>
      <w:r>
        <w:rPr>
          <w:rFonts w:ascii="Times New Roman" w:eastAsia="Times New Roman" w:hAnsi="Times New Roman" w:cs="Times New Roman"/>
          <w:sz w:val="28"/>
          <w:szCs w:val="28"/>
        </w:rPr>
        <w:t xml:space="preserve"> функциональные пробы, включая стоп-тест, кашлевую пробу, тест с пальцевой элевацией и пробу на остаточную мочу (описание см. в разделе 2.2.1)» [193, стр. 89].</w:t>
      </w:r>
    </w:p>
    <w:p w:rsidR="000A3797" w:rsidRDefault="00A660E7">
      <w:pPr>
        <w:spacing w:after="0" w:line="240" w:lineRule="auto"/>
        <w:ind w:firstLine="28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Частота мочеиспускания оценивалась на основе заполненных дневников: «менее 8 раз в сутки» не счи</w:t>
      </w:r>
      <w:r>
        <w:rPr>
          <w:rFonts w:ascii="Times New Roman" w:eastAsia="Times New Roman" w:hAnsi="Times New Roman" w:cs="Times New Roman"/>
          <w:sz w:val="28"/>
          <w:szCs w:val="28"/>
        </w:rPr>
        <w:t>талось учащённым, тогда как «от 8 до 15 раз в сутки» и «более 15 раз в сутки» рассматривались как учащённое мочеиспускание [193, стр. 89].</w:t>
      </w:r>
    </w:p>
    <w:p w:rsidR="000A3797" w:rsidRDefault="00A660E7">
      <w:pPr>
        <w:spacing w:after="0" w:line="240" w:lineRule="auto"/>
        <w:ind w:firstLine="28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оценки запоров применялись следующие критерии: ежедневное опорожнение кишечника принималось за норму, тогда как </w:t>
      </w:r>
      <w:r>
        <w:rPr>
          <w:rFonts w:ascii="Times New Roman" w:eastAsia="Times New Roman" w:hAnsi="Times New Roman" w:cs="Times New Roman"/>
          <w:sz w:val="28"/>
          <w:szCs w:val="28"/>
        </w:rPr>
        <w:t>дефекация «один раз в двое суток» или реже классифицировалась как запор [60, стр. 4; 193, стр. 89].</w:t>
      </w:r>
    </w:p>
    <w:p w:rsidR="000A3797" w:rsidRDefault="00A660E7">
      <w:pPr>
        <w:spacing w:after="0" w:line="240" w:lineRule="auto"/>
        <w:ind w:firstLine="28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Степень стрессового недержания мочи определялась на основании классификации Д.В. Кан (см. таблицу 4, раздел 2.2.1) [193, стр. 89; 196,, стр. 23].</w:t>
      </w:r>
    </w:p>
    <w:p w:rsidR="000A3797" w:rsidRDefault="00A660E7">
      <w:pPr>
        <w:spacing w:after="0" w:line="240" w:lineRule="auto"/>
        <w:ind w:firstLine="28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оценки</w:t>
      </w:r>
      <w:r>
        <w:rPr>
          <w:rFonts w:ascii="Times New Roman" w:eastAsia="Times New Roman" w:hAnsi="Times New Roman" w:cs="Times New Roman"/>
          <w:sz w:val="28"/>
          <w:szCs w:val="28"/>
        </w:rPr>
        <w:t xml:space="preserve"> надёжности опросника использовался метод анализа внутренней согласованности с применением альфа Кронбаха», как суммарного значения для Казахстанской версии опросника [193, стр. 89], так и отдельно для версий на казахском и русском языках. Минимально допус</w:t>
      </w:r>
      <w:r>
        <w:rPr>
          <w:rFonts w:ascii="Times New Roman" w:eastAsia="Times New Roman" w:hAnsi="Times New Roman" w:cs="Times New Roman"/>
          <w:sz w:val="28"/>
          <w:szCs w:val="28"/>
        </w:rPr>
        <w:t>тимым уровнем считалось значение не ниже 0,6 [60,стр. 2; 193, стр. 89]. Воспроизводимость инструмента оценивалась путём повторного тестирования, для чего рассчитывался коэффициент надёжности также как  суммарного значения обоих языковых версий [193, стр. 8</w:t>
      </w:r>
      <w:r>
        <w:rPr>
          <w:rFonts w:ascii="Times New Roman" w:eastAsia="Times New Roman" w:hAnsi="Times New Roman" w:cs="Times New Roman"/>
          <w:sz w:val="28"/>
          <w:szCs w:val="28"/>
        </w:rPr>
        <w:t>9; 196,, стр. 23], так и по отдельности. Анкетирование проводилось повторно через две недели, чтобы избежать как изменений в состоянии пациентов, так и возможности точного воспроизведения предыдущих ответов [60,стр.2;193, стр. 89]. За приемлемый уровень во</w:t>
      </w:r>
      <w:r>
        <w:rPr>
          <w:rFonts w:ascii="Times New Roman" w:eastAsia="Times New Roman" w:hAnsi="Times New Roman" w:cs="Times New Roman"/>
          <w:sz w:val="28"/>
          <w:szCs w:val="28"/>
        </w:rPr>
        <w:t>спроизводимости принималось значение коэффициента 0,7 и выше [196,, стр. 23].</w:t>
      </w:r>
    </w:p>
    <w:p w:rsidR="000A3797" w:rsidRDefault="00A660E7">
      <w:pPr>
        <w:spacing w:after="0" w:line="240" w:lineRule="auto"/>
        <w:ind w:firstLine="28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Оценка конструктивной валидности включала несколько этапов:</w:t>
      </w:r>
    </w:p>
    <w:p w:rsidR="000A3797" w:rsidRDefault="00A660E7">
      <w:pPr>
        <w:spacing w:after="0" w:line="240" w:lineRule="auto"/>
        <w:ind w:firstLine="28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«Выполнено сопоставление стадии генитального пролапса с суммарными баллами по каждому из доменов с использованием коэф</w:t>
      </w:r>
      <w:r>
        <w:rPr>
          <w:rFonts w:ascii="Times New Roman" w:eastAsia="Times New Roman" w:hAnsi="Times New Roman" w:cs="Times New Roman"/>
          <w:sz w:val="28"/>
          <w:szCs w:val="28"/>
        </w:rPr>
        <w:t>фициента корреляции Спирмена. Значения от 0,3 до 0,6 расценивались как умеренная корреляция, а выше 0,7 – как высокая [193, стр. 89; 196,, стр. 23].</w:t>
      </w:r>
    </w:p>
    <w:p w:rsidR="000A3797" w:rsidRDefault="00A660E7">
      <w:pPr>
        <w:spacing w:after="0" w:line="240" w:lineRule="auto"/>
        <w:ind w:firstLine="284"/>
        <w:rPr>
          <w:rFonts w:ascii="Times New Roman" w:eastAsia="Times New Roman" w:hAnsi="Times New Roman" w:cs="Times New Roman"/>
          <w:sz w:val="28"/>
          <w:szCs w:val="28"/>
        </w:rPr>
      </w:pPr>
      <w:r>
        <w:rPr>
          <w:rFonts w:ascii="Times New Roman" w:eastAsia="Times New Roman" w:hAnsi="Times New Roman" w:cs="Times New Roman"/>
          <w:sz w:val="28"/>
          <w:szCs w:val="28"/>
        </w:rPr>
        <w:t>Проанализированы взаимосвязи между объективными данными о стрессовом недержании мочи, полученными на основе</w:t>
      </w:r>
      <w:r>
        <w:rPr>
          <w:rFonts w:ascii="Times New Roman" w:eastAsia="Times New Roman" w:hAnsi="Times New Roman" w:cs="Times New Roman"/>
          <w:sz w:val="28"/>
          <w:szCs w:val="28"/>
        </w:rPr>
        <w:t xml:space="preserve"> функциональных проб, частотой мочеиспускания (по дневникам) и выраженностью запоров. Эти результаты были сопоставлены с ответами пациентов в домене «Симптомы и их восприятие» при помощи коэффициента Спирмена, значения также интерпретированы по шкале Чеддо</w:t>
      </w:r>
      <w:r>
        <w:rPr>
          <w:rFonts w:ascii="Times New Roman" w:eastAsia="Times New Roman" w:hAnsi="Times New Roman" w:cs="Times New Roman"/>
          <w:sz w:val="28"/>
          <w:szCs w:val="28"/>
        </w:rPr>
        <w:t>ка, где менее 0,1: связь отсутствует; 0,1-0,3: слабя связь; 0,3-0,5: умеренная; 0,5-0,7: заметная; 0,7-0,9: высокая; выше 0,9 весьма высокая [193, стр. 89; 196, стр. 23].</w:t>
      </w:r>
    </w:p>
    <w:p w:rsidR="000A3797" w:rsidRDefault="00A660E7">
      <w:pPr>
        <w:spacing w:after="0" w:line="240" w:lineRule="auto"/>
        <w:ind w:firstLine="284"/>
        <w:rPr>
          <w:rFonts w:ascii="Times New Roman" w:eastAsia="Times New Roman" w:hAnsi="Times New Roman" w:cs="Times New Roman"/>
          <w:sz w:val="28"/>
          <w:szCs w:val="28"/>
        </w:rPr>
      </w:pPr>
      <w:r>
        <w:rPr>
          <w:rFonts w:ascii="Times New Roman" w:eastAsia="Times New Roman" w:hAnsi="Times New Roman" w:cs="Times New Roman"/>
          <w:sz w:val="28"/>
          <w:szCs w:val="28"/>
        </w:rPr>
        <w:t>Произведён анализ корреляции итоговых баллов домена «Симптомы и их восприятие» с резу</w:t>
      </w:r>
      <w:r>
        <w:rPr>
          <w:rFonts w:ascii="Times New Roman" w:eastAsia="Times New Roman" w:hAnsi="Times New Roman" w:cs="Times New Roman"/>
          <w:sz w:val="28"/>
          <w:szCs w:val="28"/>
        </w:rPr>
        <w:t>льтатами других доменов, чтобы определить взаимосвязь между ключевыми симптомами и качеством жизни [193, стр. 89; 196, стр. 23].</w:t>
      </w:r>
    </w:p>
    <w:p w:rsidR="000A3797" w:rsidRDefault="00A660E7">
      <w:pPr>
        <w:spacing w:after="0" w:line="240" w:lineRule="auto"/>
        <w:ind w:firstLine="284"/>
        <w:rPr>
          <w:rFonts w:ascii="Times New Roman" w:eastAsia="Times New Roman" w:hAnsi="Times New Roman" w:cs="Times New Roman"/>
          <w:sz w:val="28"/>
          <w:szCs w:val="28"/>
        </w:rPr>
      </w:pPr>
      <w:r>
        <w:rPr>
          <w:rFonts w:ascii="Times New Roman" w:eastAsia="Times New Roman" w:hAnsi="Times New Roman" w:cs="Times New Roman"/>
          <w:sz w:val="28"/>
          <w:szCs w:val="28"/>
        </w:rPr>
        <w:t>Различия в качестве жизни между пациентками с симптомным и бессимптомным пролапсом были проанализированы с применением U-критер</w:t>
      </w:r>
      <w:r>
        <w:rPr>
          <w:rFonts w:ascii="Times New Roman" w:eastAsia="Times New Roman" w:hAnsi="Times New Roman" w:cs="Times New Roman"/>
          <w:sz w:val="28"/>
          <w:szCs w:val="28"/>
        </w:rPr>
        <w:t>ия Манна–Уитни, используемого для сравнения двух независимых выборок [196, стр. 23].</w:t>
      </w:r>
    </w:p>
    <w:p w:rsidR="000A3797" w:rsidRDefault="00A660E7">
      <w:pPr>
        <w:spacing w:after="0" w:line="240" w:lineRule="auto"/>
        <w:ind w:firstLine="284"/>
        <w:rPr>
          <w:rFonts w:ascii="Times New Roman" w:eastAsia="Times New Roman" w:hAnsi="Times New Roman" w:cs="Times New Roman"/>
          <w:sz w:val="28"/>
          <w:szCs w:val="28"/>
        </w:rPr>
      </w:pPr>
      <w:r>
        <w:rPr>
          <w:rFonts w:ascii="Times New Roman" w:eastAsia="Times New Roman" w:hAnsi="Times New Roman" w:cs="Times New Roman"/>
          <w:sz w:val="28"/>
          <w:szCs w:val="28"/>
        </w:rPr>
        <w:t>Статистический анализ проводился с использованием программы SPSS Statistics 26.</w:t>
      </w:r>
    </w:p>
    <w:p w:rsidR="000A3797" w:rsidRDefault="00A660E7">
      <w:pPr>
        <w:spacing w:after="0" w:line="240" w:lineRule="auto"/>
        <w:ind w:firstLine="284"/>
        <w:rPr>
          <w:rFonts w:ascii="Times New Roman" w:eastAsia="Times New Roman" w:hAnsi="Times New Roman" w:cs="Times New Roman"/>
          <w:sz w:val="28"/>
          <w:szCs w:val="28"/>
        </w:rPr>
      </w:pPr>
      <w:r>
        <w:rPr>
          <w:rFonts w:ascii="Times New Roman" w:eastAsia="Times New Roman" w:hAnsi="Times New Roman" w:cs="Times New Roman"/>
          <w:sz w:val="28"/>
          <w:szCs w:val="28"/>
        </w:rPr>
        <w:t>Для практического здравоохранения разработана электронная форма опросника. Удобство применения заключается в том, что поскольку интерпретация результатов осуществляется по шкале от о до 100 баллов для каждого домена, существует необходимость использовать ф</w:t>
      </w:r>
      <w:r>
        <w:rPr>
          <w:rFonts w:ascii="Times New Roman" w:eastAsia="Times New Roman" w:hAnsi="Times New Roman" w:cs="Times New Roman"/>
          <w:sz w:val="28"/>
          <w:szCs w:val="28"/>
        </w:rPr>
        <w:t>ормулы для расчета результатов, в нашей версии расчет результатов производится автоматически с интерпретацией результата. Мы реализовали автоматизацию процесса расчета уровня качества жизни на платформе конструктора сайтов Wix.com по следующему алгоритму:</w:t>
      </w:r>
    </w:p>
    <w:p w:rsidR="000A3797" w:rsidRDefault="00A660E7">
      <w:pPr>
        <w:spacing w:after="0" w:line="240" w:lineRule="auto"/>
        <w:ind w:firstLine="284"/>
        <w:rPr>
          <w:rFonts w:ascii="Times New Roman" w:eastAsia="Times New Roman" w:hAnsi="Times New Roman" w:cs="Times New Roman"/>
          <w:sz w:val="28"/>
          <w:szCs w:val="28"/>
        </w:rPr>
      </w:pPr>
      <w:r>
        <w:rPr>
          <w:rFonts w:ascii="Times New Roman" w:eastAsia="Times New Roman" w:hAnsi="Times New Roman" w:cs="Times New Roman"/>
          <w:sz w:val="28"/>
          <w:szCs w:val="28"/>
        </w:rPr>
        <w:t>1. Определение весового коэффициента для каждого вопроса</w:t>
      </w:r>
    </w:p>
    <w:p w:rsidR="000A3797" w:rsidRDefault="00A660E7">
      <w:pPr>
        <w:spacing w:after="0" w:line="240" w:lineRule="auto"/>
        <w:ind w:firstLine="284"/>
        <w:rPr>
          <w:rFonts w:ascii="Times New Roman" w:eastAsia="Times New Roman" w:hAnsi="Times New Roman" w:cs="Times New Roman"/>
          <w:sz w:val="28"/>
          <w:szCs w:val="28"/>
        </w:rPr>
      </w:pPr>
      <w:r>
        <w:rPr>
          <w:rFonts w:ascii="Times New Roman" w:eastAsia="Times New Roman" w:hAnsi="Times New Roman" w:cs="Times New Roman"/>
          <w:sz w:val="28"/>
          <w:szCs w:val="28"/>
        </w:rPr>
        <w:t>Каждому вопросу присваивается равный весовой коэффициент, рассчитанный как:</w:t>
      </w:r>
    </w:p>
    <w:p w:rsidR="000A3797" w:rsidRDefault="000A3797">
      <w:pPr>
        <w:spacing w:after="0" w:line="240" w:lineRule="auto"/>
        <w:ind w:firstLine="284"/>
        <w:rPr>
          <w:rFonts w:ascii="Times New Roman" w:eastAsia="Times New Roman" w:hAnsi="Times New Roman" w:cs="Times New Roman"/>
          <w:sz w:val="28"/>
          <w:szCs w:val="28"/>
        </w:rPr>
      </w:pPr>
    </w:p>
    <w:p w:rsidR="000A3797" w:rsidRDefault="00A660E7">
      <w:pPr>
        <w:spacing w:after="0" w:line="240" w:lineRule="auto"/>
      </w:pPr>
      <w:r>
        <w:rPr>
          <w:rFonts w:ascii="Times New Roman" w:eastAsia="Times New Roman" w:hAnsi="Times New Roman" w:cs="Times New Roman"/>
          <w:sz w:val="28"/>
          <w:szCs w:val="28"/>
        </w:rPr>
        <w:t xml:space="preserve"> Вес вопроса =100/ </w:t>
      </w:r>
      <w:r>
        <w:rPr>
          <w:rFonts w:ascii="Cambria Math" w:eastAsia="Cambria Math" w:hAnsi="Cambria Math" w:cs="Cambria Math"/>
          <w:sz w:val="28"/>
          <w:szCs w:val="28"/>
        </w:rPr>
        <w:t>𝑛</w:t>
      </w:r>
      <w:r>
        <w:rPr>
          <w:rFonts w:ascii="Cambria Math" w:eastAsia="Cambria Math" w:hAnsi="Cambria Math" w:cs="Cambria Math"/>
          <w:sz w:val="28"/>
          <w:szCs w:val="28"/>
        </w:rPr>
        <w:t>,</w:t>
      </w:r>
      <w:r>
        <w:t xml:space="preserve">                                                                                                    </w:t>
      </w:r>
      <w:r>
        <w:t xml:space="preserve">                  </w:t>
      </w:r>
      <w:r>
        <w:rPr>
          <w:rFonts w:ascii="Times New Roman" w:eastAsia="Times New Roman" w:hAnsi="Times New Roman" w:cs="Times New Roman"/>
          <w:sz w:val="28"/>
          <w:szCs w:val="28"/>
        </w:rPr>
        <w:t>(10)</w:t>
      </w:r>
      <w:r>
        <w:t xml:space="preserve">                                                   </w:t>
      </w:r>
    </w:p>
    <w:p w:rsidR="000A3797" w:rsidRDefault="00A660E7">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где n — общее количество вопросов в опроснике.</w:t>
      </w:r>
    </w:p>
    <w:p w:rsidR="000A3797" w:rsidRDefault="00A660E7">
      <w:pPr>
        <w:spacing w:after="0" w:line="240" w:lineRule="auto"/>
        <w:ind w:firstLine="284"/>
        <w:rPr>
          <w:rFonts w:ascii="Times New Roman" w:eastAsia="Times New Roman" w:hAnsi="Times New Roman" w:cs="Times New Roman"/>
          <w:sz w:val="28"/>
          <w:szCs w:val="28"/>
        </w:rPr>
      </w:pPr>
      <w:r>
        <w:rPr>
          <w:rFonts w:ascii="Times New Roman" w:eastAsia="Times New Roman" w:hAnsi="Times New Roman" w:cs="Times New Roman"/>
          <w:sz w:val="28"/>
          <w:szCs w:val="28"/>
        </w:rPr>
        <w:t>2. Вычисление итогового балла</w:t>
      </w:r>
    </w:p>
    <w:p w:rsidR="000A3797" w:rsidRDefault="00A660E7">
      <w:pPr>
        <w:spacing w:after="0" w:line="240" w:lineRule="auto"/>
        <w:ind w:firstLine="284"/>
        <w:rPr>
          <w:rFonts w:ascii="Times New Roman" w:eastAsia="Times New Roman" w:hAnsi="Times New Roman" w:cs="Times New Roman"/>
          <w:sz w:val="28"/>
          <w:szCs w:val="28"/>
        </w:rPr>
      </w:pPr>
      <w:r>
        <w:rPr>
          <w:rFonts w:ascii="Times New Roman" w:eastAsia="Times New Roman" w:hAnsi="Times New Roman" w:cs="Times New Roman"/>
          <w:sz w:val="28"/>
          <w:szCs w:val="28"/>
        </w:rPr>
        <w:t>Сумма баллов и итоговый процент:</w:t>
      </w:r>
    </w:p>
    <w:p w:rsidR="000A3797" w:rsidRDefault="00A660E7">
      <w:pPr>
        <w:spacing w:after="0" w:line="240" w:lineRule="auto"/>
        <w:ind w:firstLine="284"/>
        <w:rPr>
          <w:rFonts w:ascii="Times New Roman" w:eastAsia="Times New Roman" w:hAnsi="Times New Roman" w:cs="Times New Roman"/>
          <w:sz w:val="28"/>
          <w:szCs w:val="28"/>
        </w:rPr>
      </w:pPr>
      <w:r>
        <w:rPr>
          <w:rFonts w:ascii="Times New Roman" w:eastAsia="Times New Roman" w:hAnsi="Times New Roman" w:cs="Times New Roman"/>
          <w:sz w:val="28"/>
          <w:szCs w:val="28"/>
        </w:rPr>
        <w:t>Оценки по каждому вопросу суммируются с учетом весового коэффициента при учете использованной шкалы оценок от 0 до 4.</w:t>
      </w:r>
    </w:p>
    <w:p w:rsidR="000A3797" w:rsidRDefault="00A660E7">
      <w:pPr>
        <w:spacing w:after="0" w:line="240" w:lineRule="auto"/>
        <w:ind w:firstLine="284"/>
        <w:rPr>
          <w:rFonts w:ascii="Times New Roman" w:eastAsia="Times New Roman" w:hAnsi="Times New Roman" w:cs="Times New Roman"/>
          <w:sz w:val="28"/>
          <w:szCs w:val="28"/>
        </w:rPr>
      </w:pPr>
      <w:r>
        <w:rPr>
          <w:rFonts w:ascii="Times New Roman" w:eastAsia="Times New Roman" w:hAnsi="Times New Roman" w:cs="Times New Roman"/>
          <w:sz w:val="28"/>
          <w:szCs w:val="28"/>
        </w:rPr>
        <w:t>Общий процент рассчитывается следующим образом:</w:t>
      </w:r>
    </w:p>
    <w:p w:rsidR="000A3797" w:rsidRDefault="00A660E7">
      <w:pPr>
        <w:spacing w:after="0" w:line="240" w:lineRule="auto"/>
        <w:ind w:firstLine="284"/>
        <w:rPr>
          <w:rFonts w:ascii="Times New Roman" w:eastAsia="Times New Roman" w:hAnsi="Times New Roman" w:cs="Times New Roman"/>
          <w:sz w:val="28"/>
          <w:szCs w:val="28"/>
        </w:rPr>
      </w:pPr>
      <w:r>
        <w:rPr>
          <w:rFonts w:ascii="Times New Roman" w:eastAsia="Times New Roman" w:hAnsi="Times New Roman" w:cs="Times New Roman"/>
          <w:sz w:val="28"/>
          <w:szCs w:val="28"/>
        </w:rPr>
        <w:t>Итоговый процент =∑</w:t>
      </w:r>
      <w:r>
        <w:rPr>
          <w:rFonts w:ascii="Cambria Math" w:eastAsia="Cambria Math" w:hAnsi="Cambria Math" w:cs="Cambria Math"/>
          <w:sz w:val="28"/>
          <w:szCs w:val="28"/>
        </w:rPr>
        <w:t xml:space="preserve"> </w:t>
      </w:r>
      <w:r>
        <w:rPr>
          <w:rFonts w:ascii="Cambria Math" w:eastAsia="Cambria Math" w:hAnsi="Cambria Math" w:cs="Cambria Math"/>
          <w:sz w:val="28"/>
          <w:szCs w:val="28"/>
        </w:rPr>
        <w:t>𝑖</w:t>
      </w:r>
      <w:r>
        <w:rPr>
          <w:rFonts w:ascii="Times New Roman" w:eastAsia="Times New Roman" w:hAnsi="Times New Roman" w:cs="Times New Roman"/>
          <w:sz w:val="28"/>
          <w:szCs w:val="28"/>
        </w:rPr>
        <w:t>=1 (Оценка</w:t>
      </w:r>
      <w:r>
        <w:rPr>
          <w:rFonts w:ascii="Cambria Math" w:eastAsia="Cambria Math" w:hAnsi="Cambria Math" w:cs="Cambria Math"/>
          <w:sz w:val="28"/>
          <w:szCs w:val="28"/>
        </w:rPr>
        <w:t xml:space="preserve"> </w:t>
      </w:r>
      <w:r>
        <w:rPr>
          <w:rFonts w:ascii="Cambria Math" w:eastAsia="Cambria Math" w:hAnsi="Cambria Math" w:cs="Cambria Math"/>
          <w:sz w:val="28"/>
          <w:szCs w:val="28"/>
        </w:rPr>
        <w:t>𝑖</w:t>
      </w:r>
      <w:r>
        <w:rPr>
          <w:rFonts w:ascii="Times New Roman" w:eastAsia="Times New Roman" w:hAnsi="Times New Roman" w:cs="Times New Roman"/>
          <w:sz w:val="28"/>
          <w:szCs w:val="28"/>
        </w:rPr>
        <w:t>* Вес вопроса)/4</w:t>
      </w:r>
    </w:p>
    <w:p w:rsidR="000A3797" w:rsidRDefault="00A660E7">
      <w:pPr>
        <w:spacing w:after="0" w:line="240" w:lineRule="auto"/>
        <w:ind w:firstLine="284"/>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Оценка </w:t>
      </w:r>
      <w:r>
        <w:rPr>
          <w:rFonts w:ascii="Cambria Math" w:eastAsia="Cambria Math" w:hAnsi="Cambria Math" w:cs="Cambria Math"/>
          <w:sz w:val="28"/>
          <w:szCs w:val="28"/>
        </w:rPr>
        <w:t>𝑖</w:t>
      </w:r>
      <w:r>
        <w:rPr>
          <w:rFonts w:ascii="Times New Roman" w:eastAsia="Times New Roman" w:hAnsi="Times New Roman" w:cs="Times New Roman"/>
          <w:sz w:val="28"/>
          <w:szCs w:val="28"/>
        </w:rPr>
        <w:t xml:space="preserve"> -  это балл, присвоенный </w:t>
      </w:r>
      <w:r>
        <w:rPr>
          <w:rFonts w:ascii="Cambria Math" w:eastAsia="Cambria Math" w:hAnsi="Cambria Math" w:cs="Cambria Math"/>
          <w:sz w:val="28"/>
          <w:szCs w:val="28"/>
        </w:rPr>
        <w:t>𝑖</w:t>
      </w:r>
      <w:r>
        <w:rPr>
          <w:rFonts w:ascii="Times New Roman" w:eastAsia="Times New Roman" w:hAnsi="Times New Roman" w:cs="Times New Roman"/>
          <w:sz w:val="28"/>
          <w:szCs w:val="28"/>
        </w:rPr>
        <w:t>-</w:t>
      </w:r>
      <w:r>
        <w:rPr>
          <w:rFonts w:ascii="Times New Roman" w:eastAsia="Times New Roman" w:hAnsi="Times New Roman" w:cs="Times New Roman"/>
          <w:sz w:val="28"/>
          <w:szCs w:val="28"/>
        </w:rPr>
        <w:t>му вопросу (в диапазоне от 0 до 4),</w:t>
      </w:r>
    </w:p>
    <w:p w:rsidR="000A3797" w:rsidRDefault="00A660E7">
      <w:pPr>
        <w:spacing w:after="0" w:line="240" w:lineRule="auto"/>
        <w:ind w:firstLine="284"/>
        <w:rPr>
          <w:rFonts w:ascii="Times New Roman" w:eastAsia="Times New Roman" w:hAnsi="Times New Roman" w:cs="Times New Roman"/>
          <w:sz w:val="28"/>
          <w:szCs w:val="28"/>
        </w:rPr>
      </w:pPr>
      <w:r>
        <w:rPr>
          <w:rFonts w:ascii="Times New Roman" w:eastAsia="Times New Roman" w:hAnsi="Times New Roman" w:cs="Times New Roman"/>
          <w:sz w:val="28"/>
          <w:szCs w:val="28"/>
        </w:rPr>
        <w:t>4 - максимальная оценка для одного вопроса (шкала от 0 до 4).</w:t>
      </w:r>
    </w:p>
    <w:p w:rsidR="000A3797" w:rsidRDefault="00A660E7">
      <w:pPr>
        <w:spacing w:after="0" w:line="240" w:lineRule="auto"/>
        <w:ind w:firstLine="284"/>
        <w:rPr>
          <w:rFonts w:ascii="Times New Roman" w:eastAsia="Times New Roman" w:hAnsi="Times New Roman" w:cs="Times New Roman"/>
          <w:sz w:val="28"/>
          <w:szCs w:val="28"/>
        </w:rPr>
      </w:pPr>
      <w:r>
        <w:rPr>
          <w:rFonts w:ascii="Times New Roman" w:eastAsia="Times New Roman" w:hAnsi="Times New Roman" w:cs="Times New Roman"/>
          <w:sz w:val="28"/>
          <w:szCs w:val="28"/>
        </w:rPr>
        <w:t>3. Классификация уровня качества жизни</w:t>
      </w:r>
    </w:p>
    <w:p w:rsidR="000A3797" w:rsidRDefault="00A660E7">
      <w:pPr>
        <w:spacing w:after="0" w:line="240" w:lineRule="auto"/>
        <w:ind w:firstLine="284"/>
        <w:rPr>
          <w:rFonts w:ascii="Times New Roman" w:eastAsia="Times New Roman" w:hAnsi="Times New Roman" w:cs="Times New Roman"/>
          <w:sz w:val="28"/>
          <w:szCs w:val="28"/>
        </w:rPr>
      </w:pPr>
      <w:r>
        <w:rPr>
          <w:rFonts w:ascii="Times New Roman" w:eastAsia="Times New Roman" w:hAnsi="Times New Roman" w:cs="Times New Roman"/>
          <w:sz w:val="28"/>
          <w:szCs w:val="28"/>
        </w:rPr>
        <w:t>На основании рассчитанного итогового процента респонденты классифицируются по уровням качества жизни, основанного на пр</w:t>
      </w:r>
      <w:r>
        <w:rPr>
          <w:rFonts w:ascii="Times New Roman" w:eastAsia="Times New Roman" w:hAnsi="Times New Roman" w:cs="Times New Roman"/>
          <w:sz w:val="28"/>
          <w:szCs w:val="28"/>
        </w:rPr>
        <w:t>инятой системы оценки по каждому вопросу:</w:t>
      </w:r>
    </w:p>
    <w:p w:rsidR="000A3797" w:rsidRDefault="00A660E7">
      <w:pPr>
        <w:spacing w:after="0" w:line="240" w:lineRule="auto"/>
        <w:ind w:firstLine="284"/>
        <w:rPr>
          <w:rFonts w:ascii="Times New Roman" w:eastAsia="Times New Roman" w:hAnsi="Times New Roman" w:cs="Times New Roman"/>
          <w:sz w:val="28"/>
          <w:szCs w:val="28"/>
        </w:rPr>
      </w:pPr>
      <w:r>
        <w:rPr>
          <w:rFonts w:ascii="Times New Roman" w:eastAsia="Times New Roman" w:hAnsi="Times New Roman" w:cs="Times New Roman"/>
          <w:sz w:val="28"/>
          <w:szCs w:val="28"/>
        </w:rPr>
        <w:t>Очень низкое качество жизни: 0–25%</w:t>
      </w:r>
    </w:p>
    <w:p w:rsidR="000A3797" w:rsidRDefault="00A660E7">
      <w:pPr>
        <w:spacing w:after="0" w:line="240" w:lineRule="auto"/>
        <w:ind w:firstLine="284"/>
        <w:rPr>
          <w:rFonts w:ascii="Times New Roman" w:eastAsia="Times New Roman" w:hAnsi="Times New Roman" w:cs="Times New Roman"/>
          <w:sz w:val="28"/>
          <w:szCs w:val="28"/>
        </w:rPr>
      </w:pPr>
      <w:r>
        <w:rPr>
          <w:rFonts w:ascii="Times New Roman" w:eastAsia="Times New Roman" w:hAnsi="Times New Roman" w:cs="Times New Roman"/>
          <w:sz w:val="28"/>
          <w:szCs w:val="28"/>
        </w:rPr>
        <w:t>Низкое качество жизни: 26–50%</w:t>
      </w:r>
    </w:p>
    <w:p w:rsidR="000A3797" w:rsidRDefault="00A660E7">
      <w:pPr>
        <w:spacing w:after="0" w:line="240" w:lineRule="auto"/>
        <w:ind w:firstLine="284"/>
        <w:rPr>
          <w:rFonts w:ascii="Times New Roman" w:eastAsia="Times New Roman" w:hAnsi="Times New Roman" w:cs="Times New Roman"/>
          <w:sz w:val="28"/>
          <w:szCs w:val="28"/>
        </w:rPr>
      </w:pPr>
      <w:r>
        <w:rPr>
          <w:rFonts w:ascii="Times New Roman" w:eastAsia="Times New Roman" w:hAnsi="Times New Roman" w:cs="Times New Roman"/>
          <w:sz w:val="28"/>
          <w:szCs w:val="28"/>
        </w:rPr>
        <w:t>Среднее качество жизни: 51–75%</w:t>
      </w:r>
    </w:p>
    <w:p w:rsidR="000A3797" w:rsidRDefault="00A660E7">
      <w:pPr>
        <w:spacing w:after="0" w:line="240" w:lineRule="auto"/>
        <w:ind w:firstLine="284"/>
        <w:rPr>
          <w:rFonts w:ascii="Times New Roman" w:eastAsia="Times New Roman" w:hAnsi="Times New Roman" w:cs="Times New Roman"/>
          <w:sz w:val="28"/>
          <w:szCs w:val="28"/>
        </w:rPr>
      </w:pPr>
      <w:r>
        <w:rPr>
          <w:rFonts w:ascii="Times New Roman" w:eastAsia="Times New Roman" w:hAnsi="Times New Roman" w:cs="Times New Roman"/>
          <w:sz w:val="28"/>
          <w:szCs w:val="28"/>
        </w:rPr>
        <w:t>Высокое качество жизни: 76–100%</w:t>
      </w:r>
    </w:p>
    <w:p w:rsidR="000A3797" w:rsidRDefault="00A660E7">
      <w:pPr>
        <w:spacing w:after="0" w:line="240" w:lineRule="auto"/>
        <w:ind w:firstLine="284"/>
        <w:rPr>
          <w:rFonts w:ascii="Times New Roman" w:eastAsia="Times New Roman" w:hAnsi="Times New Roman" w:cs="Times New Roman"/>
          <w:sz w:val="28"/>
          <w:szCs w:val="28"/>
        </w:rPr>
      </w:pPr>
      <w:r>
        <w:rPr>
          <w:rFonts w:ascii="Times New Roman" w:eastAsia="Times New Roman" w:hAnsi="Times New Roman" w:cs="Times New Roman"/>
          <w:sz w:val="28"/>
          <w:szCs w:val="28"/>
        </w:rPr>
        <w:t>Фрагмент кода, согласно описанному алгоритму на платформе конструктора сайтов Wix.com:</w:t>
      </w:r>
    </w:p>
    <w:p w:rsidR="000A3797" w:rsidRDefault="00A660E7">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Определение веса одного вопроса</w:t>
      </w:r>
    </w:p>
    <w:p w:rsidR="000A3797" w:rsidRDefault="00A660E7">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const questionWeight = 100 / n;  // n — количество вопросов</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Подсчет итогового процента качества жизни</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const totalScore = scores.reduce((sum, score) =&gt; sum + (score * questionWeight / 4), 0);</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Классификация уровня ка</w:t>
      </w:r>
      <w:r>
        <w:rPr>
          <w:rFonts w:ascii="Times New Roman" w:eastAsia="Times New Roman" w:hAnsi="Times New Roman" w:cs="Times New Roman"/>
          <w:sz w:val="28"/>
          <w:szCs w:val="28"/>
        </w:rPr>
        <w:t>чества жизни</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let qualityLevel;</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if (totalScore &lt;= 25) {</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qualityLevel = "Очень низкое качество жизни";</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else if (totalScore &lt;= 50) {</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qualityLevel = "Низкое качество жизни";</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else if (totalScore &lt;= 75) {</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qualityLevel = "Среднее качество жизни";</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else {</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qualityLevel = "Высокое качество жизни";</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Этот фрагмент показывает:</w:t>
      </w:r>
    </w:p>
    <w:p w:rsidR="000A3797" w:rsidRDefault="00A660E7">
      <w:pPr>
        <w:numPr>
          <w:ilvl w:val="0"/>
          <w:numId w:val="13"/>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Как рассчитывается вес для каждого вопроса.</w:t>
      </w:r>
    </w:p>
    <w:p w:rsidR="000A3797" w:rsidRDefault="00A660E7">
      <w:pPr>
        <w:numPr>
          <w:ilvl w:val="0"/>
          <w:numId w:val="13"/>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Как итоговый процент выводится на основе суммирования ответов.</w:t>
      </w:r>
    </w:p>
    <w:p w:rsidR="000A3797" w:rsidRDefault="00A660E7">
      <w:pPr>
        <w:numPr>
          <w:ilvl w:val="0"/>
          <w:numId w:val="13"/>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Как определяется уровень качества жизни на основе итогового процента.</w:t>
      </w:r>
    </w:p>
    <w:p w:rsidR="000A3797" w:rsidRDefault="00A660E7">
      <w:pPr>
        <w:spacing w:after="0" w:line="240" w:lineRule="auto"/>
        <w:ind w:firstLine="28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Полное описание кода представлено в приложении А. Получено авторское свидетельство [197].</w:t>
      </w:r>
    </w:p>
    <w:p w:rsidR="000A3797" w:rsidRDefault="000A3797">
      <w:pPr>
        <w:spacing w:after="0" w:line="240" w:lineRule="auto"/>
        <w:ind w:firstLine="284"/>
        <w:jc w:val="both"/>
        <w:rPr>
          <w:rFonts w:ascii="Times New Roman" w:eastAsia="Times New Roman" w:hAnsi="Times New Roman" w:cs="Times New Roman"/>
          <w:sz w:val="28"/>
          <w:szCs w:val="28"/>
        </w:rPr>
      </w:pPr>
    </w:p>
    <w:p w:rsidR="000A3797" w:rsidRDefault="00A660E7">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2.3 Четвертый этап исследования. Этапы оценки влияния непрерывного мониторинга</w:t>
      </w:r>
    </w:p>
    <w:p w:rsidR="000A3797" w:rsidRDefault="000A3797">
      <w:pPr>
        <w:spacing w:after="0" w:line="240" w:lineRule="auto"/>
        <w:jc w:val="both"/>
        <w:rPr>
          <w:rFonts w:ascii="Times New Roman" w:eastAsia="Times New Roman" w:hAnsi="Times New Roman" w:cs="Times New Roman"/>
          <w:b/>
          <w:sz w:val="28"/>
          <w:szCs w:val="28"/>
        </w:rPr>
      </w:pPr>
    </w:p>
    <w:p w:rsidR="000A3797" w:rsidRDefault="00A660E7">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Дизайн исследов</w:t>
      </w:r>
      <w:r>
        <w:rPr>
          <w:rFonts w:ascii="Times New Roman" w:eastAsia="Times New Roman" w:hAnsi="Times New Roman" w:cs="Times New Roman"/>
          <w:b/>
          <w:sz w:val="28"/>
          <w:szCs w:val="28"/>
        </w:rPr>
        <w:t xml:space="preserve">ания – поперечное </w:t>
      </w:r>
    </w:p>
    <w:p w:rsidR="000A3797" w:rsidRDefault="00A660E7">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Объем выборки </w:t>
      </w:r>
      <w:r>
        <w:rPr>
          <w:rFonts w:ascii="Times New Roman" w:eastAsia="Times New Roman" w:hAnsi="Times New Roman" w:cs="Times New Roman"/>
          <w:sz w:val="28"/>
          <w:szCs w:val="28"/>
        </w:rPr>
        <w:t>рассчитан описанными методами в разделе 2.2.2</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Материалы:</w:t>
      </w:r>
      <w:r>
        <w:rPr>
          <w:rFonts w:ascii="Times New Roman" w:eastAsia="Times New Roman" w:hAnsi="Times New Roman" w:cs="Times New Roman"/>
          <w:sz w:val="28"/>
          <w:szCs w:val="28"/>
        </w:rPr>
        <w:t xml:space="preserve"> 300 случаев послеоперационных исходов у пациентов с генитальным пролапсом. </w:t>
      </w:r>
    </w:p>
    <w:p w:rsidR="000A3797" w:rsidRDefault="00A660E7">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Пациенты основной группы</w:t>
      </w:r>
      <w:r>
        <w:rPr>
          <w:rFonts w:ascii="Times New Roman" w:eastAsia="Times New Roman" w:hAnsi="Times New Roman" w:cs="Times New Roman"/>
          <w:sz w:val="28"/>
          <w:szCs w:val="28"/>
        </w:rPr>
        <w:t xml:space="preserve"> – 210 человек, которые были у нас под наблюдением после операции с кратностью посещения 1 раз в 6 месяцев первые 5 лет после операции, далее 1 раз в год. Во время осмотра мы контролировали соответствие нормальным анатомическим позициям ОМТ, отсутствие сим</w:t>
      </w:r>
      <w:r>
        <w:rPr>
          <w:rFonts w:ascii="Times New Roman" w:eastAsia="Times New Roman" w:hAnsi="Times New Roman" w:cs="Times New Roman"/>
          <w:sz w:val="28"/>
          <w:szCs w:val="28"/>
        </w:rPr>
        <w:t>птомов ГП, выявляли предрасполагающих факторов, контролировали лабораторные показатели (уровень гемоглобина, ферритина, витамина Д3, общего кальция) [198]. Постоянно проводилось медицинское просвещение пациентов о факторах риска, необходимости придерживать</w:t>
      </w:r>
      <w:r>
        <w:rPr>
          <w:rFonts w:ascii="Times New Roman" w:eastAsia="Times New Roman" w:hAnsi="Times New Roman" w:cs="Times New Roman"/>
          <w:sz w:val="28"/>
          <w:szCs w:val="28"/>
        </w:rPr>
        <w:t>ся правильного образа жизни при пролапсе, строго придерживаться  рекомендациям, выполнять упражнения для мышц тазового дна и другие реабилитационные мероприятия [198, стр.1242]. Применялся междисциплинарный подход наблюдения пациентов совместно с терапевта</w:t>
      </w:r>
      <w:r>
        <w:rPr>
          <w:rFonts w:ascii="Times New Roman" w:eastAsia="Times New Roman" w:hAnsi="Times New Roman" w:cs="Times New Roman"/>
          <w:sz w:val="28"/>
          <w:szCs w:val="28"/>
        </w:rPr>
        <w:t>ми (ВОП), эндокринологами, аллергологами, пульмонологами, гастроэнтерологами и диетологами с целью предотвращения факторов, способных влиять на рецидив (сахарный диабет; повышение внутрибрюшного давления за счет длительного кашля в результате легочной пато</w:t>
      </w:r>
      <w:r>
        <w:rPr>
          <w:rFonts w:ascii="Times New Roman" w:eastAsia="Times New Roman" w:hAnsi="Times New Roman" w:cs="Times New Roman"/>
          <w:sz w:val="28"/>
          <w:szCs w:val="28"/>
        </w:rPr>
        <w:t xml:space="preserve">логии, аллергии или простудных заболеваний; нарушение пищеварения; избыточный вес и др.). Лабораторные показатели динамически контролировались и корректировались в случае отклонения от нормальных референсных значений [198, стр.1242].  </w:t>
      </w:r>
    </w:p>
    <w:p w:rsidR="000A3797" w:rsidRDefault="00A660E7">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Пациенты контрольной</w:t>
      </w:r>
      <w:r>
        <w:rPr>
          <w:rFonts w:ascii="Times New Roman" w:eastAsia="Times New Roman" w:hAnsi="Times New Roman" w:cs="Times New Roman"/>
          <w:i/>
          <w:sz w:val="28"/>
          <w:szCs w:val="28"/>
        </w:rPr>
        <w:t xml:space="preserve"> группы</w:t>
      </w:r>
      <w:r>
        <w:rPr>
          <w:rFonts w:ascii="Times New Roman" w:eastAsia="Times New Roman" w:hAnsi="Times New Roman" w:cs="Times New Roman"/>
          <w:sz w:val="28"/>
          <w:szCs w:val="28"/>
        </w:rPr>
        <w:t xml:space="preserve"> – 90 человек наблюдались в организациях, оказывающих ПМСП для дальнейшего наблюдения [198, стр.1242].  </w:t>
      </w:r>
    </w:p>
    <w:p w:rsidR="000A3797" w:rsidRDefault="00A660E7">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Критерии включения:</w:t>
      </w:r>
      <w:r>
        <w:rPr>
          <w:rFonts w:ascii="Times New Roman" w:eastAsia="Times New Roman" w:hAnsi="Times New Roman" w:cs="Times New Roman"/>
          <w:sz w:val="28"/>
          <w:szCs w:val="28"/>
        </w:rPr>
        <w:t xml:space="preserve"> возраст старше 45 лет, согласие на: гинекологический осмотр, анкетирование, интерпретацию лабораторных показателей в рамках </w:t>
      </w:r>
      <w:r>
        <w:rPr>
          <w:rFonts w:ascii="Times New Roman" w:eastAsia="Times New Roman" w:hAnsi="Times New Roman" w:cs="Times New Roman"/>
          <w:sz w:val="28"/>
          <w:szCs w:val="28"/>
        </w:rPr>
        <w:t>исследования, явка на консультацию с анализами: гемоглобин, ферритин, общий кальций, витамин Д, не менее 5 лет пройденного после операции времени, апикальный пролапс в сочетании с опущением передней и задней стенок влагалища 2, 3, 4 стадии пролапса, сопров</w:t>
      </w:r>
      <w:r>
        <w:rPr>
          <w:rFonts w:ascii="Times New Roman" w:eastAsia="Times New Roman" w:hAnsi="Times New Roman" w:cs="Times New Roman"/>
          <w:sz w:val="28"/>
          <w:szCs w:val="28"/>
        </w:rPr>
        <w:t>ождаемого функциональными нарушениями органов малого таза а также использование только определённых хирургических методов лечения: ПФ- промонтофиксация, ВФ – вентерофиксация, ГЭ – гистерэктомия, ПС – передняя сетка, ППВ – передняя пластика влагалища, ЗПФ –</w:t>
      </w:r>
      <w:r>
        <w:rPr>
          <w:rFonts w:ascii="Times New Roman" w:eastAsia="Times New Roman" w:hAnsi="Times New Roman" w:cs="Times New Roman"/>
          <w:sz w:val="28"/>
          <w:szCs w:val="28"/>
        </w:rPr>
        <w:t xml:space="preserve"> задняя пластика влагалища [195, стр.1243]. </w:t>
      </w:r>
      <w:r>
        <w:rPr>
          <w:rFonts w:ascii="Times New Roman" w:eastAsia="Times New Roman" w:hAnsi="Times New Roman" w:cs="Times New Roman"/>
          <w:i/>
          <w:sz w:val="28"/>
          <w:szCs w:val="28"/>
        </w:rPr>
        <w:t>Критерии исключения:</w:t>
      </w:r>
      <w:r>
        <w:rPr>
          <w:rFonts w:ascii="Times New Roman" w:eastAsia="Times New Roman" w:hAnsi="Times New Roman" w:cs="Times New Roman"/>
          <w:sz w:val="28"/>
          <w:szCs w:val="28"/>
        </w:rPr>
        <w:t xml:space="preserve"> возраст младше 45 лет, беременность, явка на консультацию без анализов: гемоглобин, ферритин, общий кальций, витамин Д3, 1 стадия пролапса, изолированный пролапс [198, стр.1243].</w:t>
      </w:r>
    </w:p>
    <w:p w:rsidR="000A3797" w:rsidRDefault="00A660E7">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Критерии вкл</w:t>
      </w:r>
      <w:r>
        <w:rPr>
          <w:rFonts w:ascii="Times New Roman" w:eastAsia="Times New Roman" w:hAnsi="Times New Roman" w:cs="Times New Roman"/>
          <w:sz w:val="28"/>
          <w:szCs w:val="28"/>
        </w:rPr>
        <w:t xml:space="preserve">ючения обусловлены тем, чтобы группы были сопоставимы по возрасту, применяемым хирургическим методам, анатомии опущения до операции для устранения влияния этих факторов на результат. </w:t>
      </w:r>
    </w:p>
    <w:p w:rsidR="000A3797" w:rsidRDefault="00A660E7">
      <w:pPr>
        <w:spacing w:after="0" w:line="240" w:lineRule="auto"/>
        <w:ind w:firstLine="567"/>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Вмешательство. </w:t>
      </w:r>
    </w:p>
    <w:p w:rsidR="000A3797" w:rsidRDefault="00A660E7">
      <w:pPr>
        <w:spacing w:after="0" w:line="240" w:lineRule="auto"/>
        <w:ind w:firstLine="567"/>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Анкетирование.</w:t>
      </w:r>
      <w:r>
        <w:rPr>
          <w:rFonts w:ascii="Times New Roman" w:eastAsia="Times New Roman" w:hAnsi="Times New Roman" w:cs="Times New Roman"/>
          <w:sz w:val="28"/>
          <w:szCs w:val="28"/>
        </w:rPr>
        <w:t xml:space="preserve">Пациенты обеих групп прошли анкетирование </w:t>
      </w:r>
      <w:r>
        <w:rPr>
          <w:rFonts w:ascii="Times New Roman" w:eastAsia="Times New Roman" w:hAnsi="Times New Roman" w:cs="Times New Roman"/>
          <w:sz w:val="28"/>
          <w:szCs w:val="28"/>
        </w:rPr>
        <w:t>с помощью двух опросников. Уровень качества жизни оценён с помощью адаптированного для женщин Казахстана, валидного опросника P-QOL (Приложения А) [197]. Интерпретация основывалась на оценке достижения медианного показателя по опроснику, что отражает средн</w:t>
      </w:r>
      <w:r>
        <w:rPr>
          <w:rFonts w:ascii="Times New Roman" w:eastAsia="Times New Roman" w:hAnsi="Times New Roman" w:cs="Times New Roman"/>
          <w:sz w:val="28"/>
          <w:szCs w:val="28"/>
        </w:rPr>
        <w:t>ий уровень качества жизни согласно представленной нами классификации в пункте 2.2.2, что более наглядно, чем оценка по 4 уровням качества жизни. Превышение значения показателя выше медианного, расценивалось как уровень качества жизни ниже среднего. Выявлен</w:t>
      </w:r>
      <w:r>
        <w:rPr>
          <w:rFonts w:ascii="Times New Roman" w:eastAsia="Times New Roman" w:hAnsi="Times New Roman" w:cs="Times New Roman"/>
          <w:sz w:val="28"/>
          <w:szCs w:val="28"/>
        </w:rPr>
        <w:t>ие факторов риска в обеих группах, выполняемых профилактических мер и исходом лечения осуществлено с помощью авторского опросника “Мониторинг выявления послеоперационных исходов (МВПИ)”, авторское свидетельство No. 23610 от 15.02.2022 года (Приложение В) [</w:t>
      </w:r>
      <w:r>
        <w:rPr>
          <w:rFonts w:ascii="Times New Roman" w:eastAsia="Times New Roman" w:hAnsi="Times New Roman" w:cs="Times New Roman"/>
          <w:sz w:val="28"/>
          <w:szCs w:val="28"/>
        </w:rPr>
        <w:t>194, 198, стр.1242].</w:t>
      </w:r>
    </w:p>
    <w:p w:rsidR="000A3797" w:rsidRDefault="00A660E7">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Оба опросника включены в материалы электронного ресурса </w:t>
      </w:r>
      <w:hyperlink r:id="rId10">
        <w:r>
          <w:rPr>
            <w:rFonts w:ascii="Times New Roman" w:eastAsia="Times New Roman" w:hAnsi="Times New Roman" w:cs="Times New Roman"/>
            <w:color w:val="000000"/>
            <w:sz w:val="28"/>
            <w:szCs w:val="28"/>
            <w:u w:val="single"/>
          </w:rPr>
          <w:t>https://www.prolaps-monitoring.com</w:t>
        </w:r>
      </w:hyperlink>
      <w:r>
        <w:rPr>
          <w:rFonts w:ascii="Times New Roman" w:eastAsia="Times New Roman" w:hAnsi="Times New Roman" w:cs="Times New Roman"/>
          <w:sz w:val="28"/>
          <w:szCs w:val="28"/>
        </w:rPr>
        <w:t xml:space="preserve">. </w:t>
      </w:r>
    </w:p>
    <w:p w:rsidR="000A3797" w:rsidRDefault="00A660E7">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Все пациенты после заполнения информированного добровольного согласия были осмотрены на гинекологическом кресле на наличие рецидива генитального пролапса. Наличие стрессового недержания мочи по классификации недержания мочи Д. В. Кана (таблица 4) [198, стр</w:t>
      </w:r>
      <w:r>
        <w:rPr>
          <w:rFonts w:ascii="Times New Roman" w:eastAsia="Times New Roman" w:hAnsi="Times New Roman" w:cs="Times New Roman"/>
          <w:sz w:val="28"/>
          <w:szCs w:val="28"/>
        </w:rPr>
        <w:t>.1242]. Наличие генитального пролапса и его проявления оценивались объективно во время осмотра с определением степени генитального пролапса по классификации POP-Q [198, стр.1242].</w:t>
      </w:r>
    </w:p>
    <w:p w:rsidR="000A3797" w:rsidRDefault="00A660E7">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Оценка наличия функциональных нарушений органов малого таза подробно изложен</w:t>
      </w:r>
      <w:r>
        <w:rPr>
          <w:rFonts w:ascii="Times New Roman" w:eastAsia="Times New Roman" w:hAnsi="Times New Roman" w:cs="Times New Roman"/>
          <w:sz w:val="28"/>
          <w:szCs w:val="28"/>
        </w:rPr>
        <w:t>а в подразделе 2.2, где описаны методы и подходы, использованные для выявления таких состояний [198, стр.1242].</w:t>
      </w:r>
    </w:p>
    <w:p w:rsidR="000A3797" w:rsidRDefault="00A660E7">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Далее заполнили опросники P-QOL для оценки качества жизни и опросник – “Мониторинг выявления послеоперационных исходов” для оценки наличия факто</w:t>
      </w:r>
      <w:r>
        <w:rPr>
          <w:rFonts w:ascii="Times New Roman" w:eastAsia="Times New Roman" w:hAnsi="Times New Roman" w:cs="Times New Roman"/>
          <w:sz w:val="28"/>
          <w:szCs w:val="28"/>
        </w:rPr>
        <w:t>ров риска пролапса и симптомов[198, стр.1242].</w:t>
      </w:r>
    </w:p>
    <w:p w:rsidR="000A3797" w:rsidRDefault="00A660E7">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Измерения.</w:t>
      </w:r>
      <w:r>
        <w:rPr>
          <w:rFonts w:ascii="Times New Roman" w:eastAsia="Times New Roman" w:hAnsi="Times New Roman" w:cs="Times New Roman"/>
          <w:sz w:val="28"/>
          <w:szCs w:val="28"/>
        </w:rPr>
        <w:t xml:space="preserve"> Конечные точки эффективности лечения оценены: отсутствие анатомического пролапса по POP-Q, отсутствие симптомов пролапса, уровень качество жизни [198, стр.1242].</w:t>
      </w:r>
    </w:p>
    <w:p w:rsidR="000A3797" w:rsidRDefault="00A660E7">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Мы также хотели оценить влияние квал</w:t>
      </w:r>
      <w:r>
        <w:rPr>
          <w:rFonts w:ascii="Times New Roman" w:eastAsia="Times New Roman" w:hAnsi="Times New Roman" w:cs="Times New Roman"/>
          <w:sz w:val="28"/>
          <w:szCs w:val="28"/>
        </w:rPr>
        <w:t>ификации хирурга, однако не представлялось возможным оценить влияние этого фактора, так как в группе мониторинга были пациенты, оперированные нами, 4 из 5 хирургов имели сопоставимый стаж и квалификацию в тазовой хирургии, также на момент осмотра в основно</w:t>
      </w:r>
      <w:r>
        <w:rPr>
          <w:rFonts w:ascii="Times New Roman" w:eastAsia="Times New Roman" w:hAnsi="Times New Roman" w:cs="Times New Roman"/>
          <w:sz w:val="28"/>
          <w:szCs w:val="28"/>
        </w:rPr>
        <w:t>й группе отмечалось всего около 3% рецидивов 1 степени, что соответствует критериям излечения согласно действующему протоколу лечения, тогда как в контрольной группе, в некоторых выписках не была указана фамилия хирурга.</w:t>
      </w:r>
    </w:p>
    <w:p w:rsidR="000A3797" w:rsidRDefault="00A660E7">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Статистический анализ.</w:t>
      </w:r>
      <w:r>
        <w:rPr>
          <w:rFonts w:ascii="Times New Roman" w:eastAsia="Times New Roman" w:hAnsi="Times New Roman" w:cs="Times New Roman"/>
          <w:sz w:val="28"/>
          <w:szCs w:val="28"/>
        </w:rPr>
        <w:t xml:space="preserve"> Мы обработал</w:t>
      </w:r>
      <w:r>
        <w:rPr>
          <w:rFonts w:ascii="Times New Roman" w:eastAsia="Times New Roman" w:hAnsi="Times New Roman" w:cs="Times New Roman"/>
          <w:sz w:val="28"/>
          <w:szCs w:val="28"/>
        </w:rPr>
        <w:t>и собранные данные с использованием программы SPSS Statistic 26. Для проверки соответствия распределения переменных нормальному закону применялся критерий Колмогорова-Смирнова [195, стр. 1243]. Для анализа количественных данных применялись U-критерий Манна</w:t>
      </w:r>
      <w:r>
        <w:rPr>
          <w:rFonts w:ascii="Times New Roman" w:eastAsia="Times New Roman" w:hAnsi="Times New Roman" w:cs="Times New Roman"/>
          <w:sz w:val="28"/>
          <w:szCs w:val="28"/>
        </w:rPr>
        <w:t>–Уитни и t-критерий Стьюдента, в то время как для категориальных переменных использовались точный критерий Фишера и критерий χ² Пирсона [198, стр. 1243].</w:t>
      </w:r>
    </w:p>
    <w:p w:rsidR="000A3797" w:rsidRDefault="00A660E7">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Корреляционная связь между возрастом и приверженностью к выполнению упражнений оценивалась с помощью к</w:t>
      </w:r>
      <w:r>
        <w:rPr>
          <w:rFonts w:ascii="Times New Roman" w:eastAsia="Times New Roman" w:hAnsi="Times New Roman" w:cs="Times New Roman"/>
          <w:sz w:val="28"/>
          <w:szCs w:val="28"/>
        </w:rPr>
        <w:t>оэффициента Спирмена, а её теснота интерпретировалась на основе шкалы Чеддока [198, стр. 1243].</w:t>
      </w:r>
    </w:p>
    <w:p w:rsidR="000A3797" w:rsidRDefault="00A660E7">
      <w:pPr>
        <w:spacing w:after="0" w:line="240" w:lineRule="auto"/>
        <w:ind w:firstLine="567"/>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Для прогнозирования риска формирования пролапса тазовых органов относительно поднятия тяжести в кг мы провели Roc-анализ, установлено порогового значения в точк</w:t>
      </w:r>
      <w:r>
        <w:rPr>
          <w:rFonts w:ascii="Times New Roman" w:eastAsia="Times New Roman" w:hAnsi="Times New Roman" w:cs="Times New Roman"/>
          <w:sz w:val="28"/>
          <w:szCs w:val="28"/>
        </w:rPr>
        <w:t>е cut-off с определением чувствительности и специфичности [198, стр.1243]. Для оценки влияния различных факторов на риск возникновения рецидива тазового пролапса был использован метод бинарной логистической регрессии. Степень соответствия модели реальным д</w:t>
      </w:r>
      <w:r>
        <w:rPr>
          <w:rFonts w:ascii="Times New Roman" w:eastAsia="Times New Roman" w:hAnsi="Times New Roman" w:cs="Times New Roman"/>
          <w:sz w:val="28"/>
          <w:szCs w:val="28"/>
        </w:rPr>
        <w:t>анным определялась через коэффициент детерминации, рассчитанный по методу Нейджелкерка. Значимыми считались результаты при уровне p&lt;0,05 [198, стр. 1243].</w:t>
      </w:r>
    </w:p>
    <w:p w:rsidR="000A3797" w:rsidRDefault="00A660E7">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2.4 Пятый этап исследования. Этапы социологического опроса врачей акушеров -гинекологов</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Мы провели оп</w:t>
      </w:r>
      <w:r>
        <w:rPr>
          <w:rFonts w:ascii="Times New Roman" w:eastAsia="Times New Roman" w:hAnsi="Times New Roman" w:cs="Times New Roman"/>
          <w:sz w:val="28"/>
          <w:szCs w:val="28"/>
        </w:rPr>
        <w:t>рос врачей акушеров - гинекологов ПМСП и врачей акушеров- гинекологов, которые регулярно оперируют пациентов с пролапсом и имеют квалификацию по тазовой хирургии, что подразумевает способность одномоментно устранить все выпадающие структуры таза, без привл</w:t>
      </w:r>
      <w:r>
        <w:rPr>
          <w:rFonts w:ascii="Times New Roman" w:eastAsia="Times New Roman" w:hAnsi="Times New Roman" w:cs="Times New Roman"/>
          <w:sz w:val="28"/>
          <w:szCs w:val="28"/>
        </w:rPr>
        <w:t xml:space="preserve">ечения урологов и/или проктологов. Опрос проведен с целью выявления особенностей ведения пациентов после операции, определения преемственности третьего этапа реабилитации уровней стационарной помощи и ПМСП для пациентов с ГП. Также низкая приверженность к </w:t>
      </w:r>
      <w:r>
        <w:rPr>
          <w:rFonts w:ascii="Times New Roman" w:eastAsia="Times New Roman" w:hAnsi="Times New Roman" w:cs="Times New Roman"/>
          <w:sz w:val="28"/>
          <w:szCs w:val="28"/>
        </w:rPr>
        <w:t>профилактическим мероприятиям и осведомленность пациентов о факторах риска генитального пролапса, а также несоблюдения кратности пациентов посещения гинекологов (1 раз в пол года), наблюдаемых в ПМСП, явилась основанием для изучения знаний врачей о фактора</w:t>
      </w:r>
      <w:r>
        <w:rPr>
          <w:rFonts w:ascii="Times New Roman" w:eastAsia="Times New Roman" w:hAnsi="Times New Roman" w:cs="Times New Roman"/>
          <w:sz w:val="28"/>
          <w:szCs w:val="28"/>
        </w:rPr>
        <w:t xml:space="preserve">х риска, мерах профилактики и ранней диагностики данного заболевания. </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Дизайн исследования- поперечное </w:t>
      </w:r>
    </w:p>
    <w:p w:rsidR="000A3797" w:rsidRDefault="00A660E7">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Объем выборки </w:t>
      </w:r>
      <w:r>
        <w:rPr>
          <w:rFonts w:ascii="Times New Roman" w:eastAsia="Times New Roman" w:hAnsi="Times New Roman" w:cs="Times New Roman"/>
          <w:sz w:val="28"/>
          <w:szCs w:val="28"/>
        </w:rPr>
        <w:t>рассчитан описанными методами в разделе 2.2.2</w:t>
      </w:r>
    </w:p>
    <w:p w:rsidR="000A3797" w:rsidRDefault="00A660E7">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Материалы:</w:t>
      </w:r>
      <w:r>
        <w:rPr>
          <w:rFonts w:ascii="Times New Roman" w:eastAsia="Times New Roman" w:hAnsi="Times New Roman" w:cs="Times New Roman"/>
          <w:sz w:val="28"/>
          <w:szCs w:val="28"/>
        </w:rPr>
        <w:t xml:space="preserve"> 62 медицинских работников организаций ТОО «Ls clinic», ТОО «Рахат», ТОО «ХАК»; ГК</w:t>
      </w:r>
      <w:r>
        <w:rPr>
          <w:rFonts w:ascii="Times New Roman" w:eastAsia="Times New Roman" w:hAnsi="Times New Roman" w:cs="Times New Roman"/>
          <w:sz w:val="28"/>
          <w:szCs w:val="28"/>
        </w:rPr>
        <w:t>П на ПХВ «Центра перинатологии и детской кардиохирургии»,ГКП на ПХВ «Городской перинатальный центр № 3», ГКП на ПХВ «Алматинская многопрофильная клиническая больница», ГКП на ПХВ «Городская Клиническая больница № 7», ТОО «ИРМ» «ГКП на ПХВ Родильный дом №2»</w:t>
      </w:r>
      <w:r>
        <w:rPr>
          <w:rFonts w:ascii="Times New Roman" w:eastAsia="Times New Roman" w:hAnsi="Times New Roman" w:cs="Times New Roman"/>
          <w:sz w:val="28"/>
          <w:szCs w:val="28"/>
        </w:rPr>
        <w:t>, ТОО «Достармед», ТОО «Medical Park», ГКП на ПХВ «Районная больница», село Каргалы, и организаций первичного звена ГКП на ПХВ Городских поликлиник №/№ 1, 4, 5, 9, 12, 13, 17, 20, 32 г. Алматы [196].</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Данные о количестве гинекологов в Алматы были получены и</w:t>
      </w:r>
      <w:r>
        <w:rPr>
          <w:rFonts w:ascii="Times New Roman" w:eastAsia="Times New Roman" w:hAnsi="Times New Roman" w:cs="Times New Roman"/>
          <w:sz w:val="28"/>
          <w:szCs w:val="28"/>
        </w:rPr>
        <w:t>з Статистического сборника «Здоровье населения Республики Казахстан и деятельность организаций здравоохранения за 2022 год» [199, стр.278]. Эти сведения использовались для определения объёма репрезентативной выборки.</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«Основная группа – врачи  акушеры - гин</w:t>
      </w:r>
      <w:r>
        <w:rPr>
          <w:rFonts w:ascii="Times New Roman" w:eastAsia="Times New Roman" w:hAnsi="Times New Roman" w:cs="Times New Roman"/>
          <w:sz w:val="28"/>
          <w:szCs w:val="28"/>
        </w:rPr>
        <w:t>екологи, работающие в ПМСП – 32 человека» [199, стр.278];</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«Контрольная группа – врачи акушеры - гинекологи, работающие в стационаре, регулярно оперирующие пациентов с ГП – 30 человек» [199, стр.278].</w:t>
      </w:r>
    </w:p>
    <w:p w:rsidR="000A3797" w:rsidRDefault="00A660E7">
      <w:pPr>
        <w:spacing w:after="0" w:line="240" w:lineRule="auto"/>
        <w:ind w:firstLine="708"/>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Методы:</w:t>
      </w:r>
    </w:p>
    <w:p w:rsidR="000A3797" w:rsidRDefault="00A660E7">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Социологический метод:</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«Анкетирование с помощью авторского опросника «Оценка знаний о генитальном пролапсе (на русском и казахском языках)» (Приложение В)» [199, стр.278].Состоит из 20 вопросов, 6 вопросов, состоящих из пунктов посвящены знаниям о пролапсе, 1 вопрос о симптомах </w:t>
      </w:r>
      <w:r>
        <w:rPr>
          <w:rFonts w:ascii="Times New Roman" w:eastAsia="Times New Roman" w:hAnsi="Times New Roman" w:cs="Times New Roman"/>
          <w:sz w:val="28"/>
          <w:szCs w:val="28"/>
        </w:rPr>
        <w:t>пролапса, максимальное количество баллов – 10, 2 оценивают знания о факторах риска, максимальное количество баллов – 12 , 2 вопроса профилактики – 8 баллов и 1 на способность определения начальной степени пролапса по классификации POP-Q, максимальное колич</w:t>
      </w:r>
      <w:r>
        <w:rPr>
          <w:rFonts w:ascii="Times New Roman" w:eastAsia="Times New Roman" w:hAnsi="Times New Roman" w:cs="Times New Roman"/>
          <w:sz w:val="28"/>
          <w:szCs w:val="28"/>
        </w:rPr>
        <w:t>ество баллов по шкале знаний – 32. Мы включили всего 6 вопросов для оценки знаний, но каждый вопрос состоял из пунктов (от 4 до 14), необходимо было отметить пункты, которые является правильным ответом на вопрос, за каждый правильно отмеченный пункт начисл</w:t>
      </w:r>
      <w:r>
        <w:rPr>
          <w:rFonts w:ascii="Times New Roman" w:eastAsia="Times New Roman" w:hAnsi="Times New Roman" w:cs="Times New Roman"/>
          <w:sz w:val="28"/>
          <w:szCs w:val="28"/>
        </w:rPr>
        <w:t xml:space="preserve">ялся 1 балл, но количество правильных пунктов не было отмечено в вопросе. В вопросах отражена достоверно подтвержденная информация на сегодняшний день о генитальном пролапсе.     9 вопросов, касались организации помощи пациентам с генитальным пролапсом, 5 </w:t>
      </w:r>
      <w:r>
        <w:rPr>
          <w:rFonts w:ascii="Times New Roman" w:eastAsia="Times New Roman" w:hAnsi="Times New Roman" w:cs="Times New Roman"/>
          <w:sz w:val="28"/>
          <w:szCs w:val="28"/>
        </w:rPr>
        <w:t>вопросов только для врачей ПМСП о приоритетах в выборе курсов повышения квалификации, которые были сформированы в процессе анкетирования - интервью. Анкетирование проведено в формате беседы с респондентом.</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Статистический анализ</w:t>
      </w:r>
      <w:r>
        <w:rPr>
          <w:rFonts w:ascii="Times New Roman" w:eastAsia="Times New Roman" w:hAnsi="Times New Roman" w:cs="Times New Roman"/>
          <w:sz w:val="28"/>
          <w:szCs w:val="28"/>
        </w:rPr>
        <w:t>- проведен в программе SPSS</w:t>
      </w:r>
      <w:r>
        <w:rPr>
          <w:rFonts w:ascii="Times New Roman" w:eastAsia="Times New Roman" w:hAnsi="Times New Roman" w:cs="Times New Roman"/>
          <w:sz w:val="28"/>
          <w:szCs w:val="28"/>
        </w:rPr>
        <w:t>-statistic 26.  Для проверки нормальности распределения были использованы следующие методы:</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Критерий Шапиро-Уилка (применяется при </w:t>
      </w:r>
      <w:r>
        <w:rPr>
          <w:rFonts w:ascii="Cambria Math" w:eastAsia="Cambria Math" w:hAnsi="Cambria Math" w:cs="Cambria Math"/>
          <w:sz w:val="28"/>
          <w:szCs w:val="28"/>
        </w:rPr>
        <w:t>𝑛</w:t>
      </w:r>
      <w:r>
        <w:rPr>
          <w:rFonts w:ascii="Times New Roman" w:eastAsia="Times New Roman" w:hAnsi="Times New Roman" w:cs="Times New Roman"/>
          <w:sz w:val="28"/>
          <w:szCs w:val="28"/>
        </w:rPr>
        <w:t xml:space="preserve">&lt;50) и критерий Колмогорова-Смирнова с поправкой Лиллиефорса (при </w:t>
      </w:r>
      <w:r>
        <w:rPr>
          <w:rFonts w:ascii="Cambria Math" w:eastAsia="Cambria Math" w:hAnsi="Cambria Math" w:cs="Cambria Math"/>
          <w:sz w:val="28"/>
          <w:szCs w:val="28"/>
        </w:rPr>
        <w:t>𝑛</w:t>
      </w:r>
      <w:r>
        <w:rPr>
          <w:rFonts w:ascii="Times New Roman" w:eastAsia="Times New Roman" w:hAnsi="Times New Roman" w:cs="Times New Roman"/>
          <w:sz w:val="28"/>
          <w:szCs w:val="28"/>
        </w:rPr>
        <w:t xml:space="preserve"> &gt; 50 ).</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Показатель эксцесса и коэффициент асимметрии для количественной оценки распределения.</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Визуальная оценка гистограммы.</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Количественные данные, не подчиняющиеся закону нормального распределения  анализированы с помощью У-критерия Манна – Уитни и критерий Краск</w:t>
      </w:r>
      <w:r>
        <w:rPr>
          <w:rFonts w:ascii="Times New Roman" w:eastAsia="Times New Roman" w:hAnsi="Times New Roman" w:cs="Times New Roman"/>
          <w:sz w:val="28"/>
          <w:szCs w:val="28"/>
        </w:rPr>
        <w:t xml:space="preserve">ела-Уоллиса  при сравнении более двух групп с поправкой на множественность сравнений Бонферрони. </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анализа количественных данных, распределённых по нормальному закону, применены парный t-критерий Стьюдента (при равенстве дисперсий) и t-критерий Уэлча (п</w:t>
      </w:r>
      <w:r>
        <w:rPr>
          <w:rFonts w:ascii="Times New Roman" w:eastAsia="Times New Roman" w:hAnsi="Times New Roman" w:cs="Times New Roman"/>
          <w:sz w:val="28"/>
          <w:szCs w:val="28"/>
        </w:rPr>
        <w:t>ри различии дисперсий).</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Номинальные данные были проанализированы с использованием точного критерия Фишера и критерия χ² Пирсона, а для измерения силы взаимосвязи между признаками применялось значение V Крамера (effect size).</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Корреляционная связь между приз</w:t>
      </w:r>
      <w:r>
        <w:rPr>
          <w:rFonts w:ascii="Times New Roman" w:eastAsia="Times New Roman" w:hAnsi="Times New Roman" w:cs="Times New Roman"/>
          <w:sz w:val="28"/>
          <w:szCs w:val="28"/>
        </w:rPr>
        <w:t xml:space="preserve">наками установлена посредством использования коэффициента корелляции Спиремана, с оценкой тесноты связи по шкале Чеддока. </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Результаты в динамике до и после лечения и определения уровня грамотности оценивали в обеих группах для количественных данных c помощ</w:t>
      </w:r>
      <w:r>
        <w:rPr>
          <w:rFonts w:ascii="Times New Roman" w:eastAsia="Times New Roman" w:hAnsi="Times New Roman" w:cs="Times New Roman"/>
          <w:sz w:val="28"/>
          <w:szCs w:val="28"/>
        </w:rPr>
        <w:t xml:space="preserve">ью критериев Уилкоксона для распределения отличного от нормального и парного t-критерий Стьюдента для данных, подчиняющихся закону нормального распределения, для номинальных данных - критерий Макнемара. </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ходе анализа критическим уровнем статистической зн</w:t>
      </w:r>
      <w:r>
        <w:rPr>
          <w:rFonts w:ascii="Times New Roman" w:eastAsia="Times New Roman" w:hAnsi="Times New Roman" w:cs="Times New Roman"/>
          <w:sz w:val="28"/>
          <w:szCs w:val="28"/>
        </w:rPr>
        <w:t xml:space="preserve">ачимости было принято значение p-value &lt; 0,05. </w:t>
      </w:r>
    </w:p>
    <w:p w:rsidR="000A3797" w:rsidRDefault="000A3797">
      <w:pPr>
        <w:spacing w:after="0" w:line="240" w:lineRule="auto"/>
        <w:ind w:firstLine="708"/>
        <w:jc w:val="both"/>
        <w:rPr>
          <w:rFonts w:ascii="Times New Roman" w:eastAsia="Times New Roman" w:hAnsi="Times New Roman" w:cs="Times New Roman"/>
          <w:sz w:val="28"/>
          <w:szCs w:val="28"/>
        </w:rPr>
      </w:pPr>
    </w:p>
    <w:p w:rsidR="000A3797" w:rsidRDefault="00A660E7">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2.5 Шестой этап исследования. Методы оценки влияния комплексного подхода хирургического лечения генитального пролапса на качество жизни пациентов</w:t>
      </w:r>
    </w:p>
    <w:p w:rsidR="000A3797" w:rsidRDefault="000A3797">
      <w:pPr>
        <w:spacing w:after="0" w:line="240" w:lineRule="auto"/>
        <w:jc w:val="both"/>
        <w:rPr>
          <w:rFonts w:ascii="Times New Roman" w:eastAsia="Times New Roman" w:hAnsi="Times New Roman" w:cs="Times New Roman"/>
          <w:b/>
          <w:sz w:val="28"/>
          <w:szCs w:val="28"/>
        </w:rPr>
      </w:pPr>
    </w:p>
    <w:p w:rsidR="000A3797" w:rsidRDefault="00A660E7">
      <w:pPr>
        <w:spacing w:after="0" w:line="240" w:lineRule="auto"/>
        <w:ind w:firstLine="708"/>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По данным литературы изолированный пролапс встречается реже </w:t>
      </w:r>
      <w:r>
        <w:rPr>
          <w:rFonts w:ascii="Times New Roman" w:eastAsia="Times New Roman" w:hAnsi="Times New Roman" w:cs="Times New Roman"/>
          <w:sz w:val="28"/>
          <w:szCs w:val="28"/>
        </w:rPr>
        <w:t>сочетанных форм [200]. Чаще наблюдается выпадение сразу нескольких органов малого таза, что как правило сопровождается функциональными нарушениями  (недержание мочи, кала и др.) [200 стр.62]. Существуют рекомендации о необходимости устранять выпадение всех</w:t>
      </w:r>
      <w:r>
        <w:rPr>
          <w:rFonts w:ascii="Times New Roman" w:eastAsia="Times New Roman" w:hAnsi="Times New Roman" w:cs="Times New Roman"/>
          <w:sz w:val="28"/>
          <w:szCs w:val="28"/>
        </w:rPr>
        <w:t xml:space="preserve"> органов за одну операцию, что требует нескольких оперативных этапов за один раз [200, стр.62]. Это психологически легче пациентам и имеет клиническое и научное обоснование. Однако, согласно нормативно-правовым документам РК, если пациент получает хирургич</w:t>
      </w:r>
      <w:r>
        <w:rPr>
          <w:rFonts w:ascii="Times New Roman" w:eastAsia="Times New Roman" w:hAnsi="Times New Roman" w:cs="Times New Roman"/>
          <w:sz w:val="28"/>
          <w:szCs w:val="28"/>
        </w:rPr>
        <w:t>еское лечение из средств Республиканского бюджета, то будет оплачен только один этап операции, при том, что сооплата за второй и третий этапы операции у нас не предусмотрена законодательством [200, стр.62].  Таким образом, если пациент не может оплатить вс</w:t>
      </w:r>
      <w:r>
        <w:rPr>
          <w:rFonts w:ascii="Times New Roman" w:eastAsia="Times New Roman" w:hAnsi="Times New Roman" w:cs="Times New Roman"/>
          <w:sz w:val="28"/>
          <w:szCs w:val="28"/>
        </w:rPr>
        <w:t>е этапы операции сразу, он может получить помощь по порталу, но не за одну операцию, а спустя время [200, стр.62].</w:t>
      </w:r>
      <w:r>
        <w:rPr>
          <w:rFonts w:ascii="Times New Roman" w:eastAsia="Times New Roman" w:hAnsi="Times New Roman" w:cs="Times New Roman"/>
          <w:b/>
          <w:sz w:val="28"/>
          <w:szCs w:val="28"/>
        </w:rPr>
        <w:t xml:space="preserve"> </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Мы оценили влияние одномоментного (комплексного лечения) при сочетанном генитальном пролапсе на качество жизни пациентов в сравнении с этапн</w:t>
      </w:r>
      <w:r>
        <w:rPr>
          <w:rFonts w:ascii="Times New Roman" w:eastAsia="Times New Roman" w:hAnsi="Times New Roman" w:cs="Times New Roman"/>
          <w:sz w:val="28"/>
          <w:szCs w:val="28"/>
        </w:rPr>
        <w:t>ым лечением [200, стр.63].</w:t>
      </w:r>
    </w:p>
    <w:p w:rsidR="000A3797" w:rsidRDefault="00A660E7">
      <w:pPr>
        <w:spacing w:after="0" w:line="240" w:lineRule="auto"/>
        <w:ind w:firstLine="708"/>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Дизайн исследования </w:t>
      </w:r>
      <w:r>
        <w:rPr>
          <w:rFonts w:ascii="Times New Roman" w:eastAsia="Times New Roman" w:hAnsi="Times New Roman" w:cs="Times New Roman"/>
          <w:sz w:val="28"/>
          <w:szCs w:val="28"/>
        </w:rPr>
        <w:t>– нерандомизированное контролируемое исследование</w:t>
      </w:r>
    </w:p>
    <w:p w:rsidR="000A3797" w:rsidRDefault="00A660E7">
      <w:pPr>
        <w:spacing w:after="0" w:line="240" w:lineRule="auto"/>
        <w:ind w:firstLine="708"/>
        <w:rPr>
          <w:rFonts w:ascii="Times New Roman" w:eastAsia="Times New Roman" w:hAnsi="Times New Roman" w:cs="Times New Roman"/>
          <w:sz w:val="28"/>
          <w:szCs w:val="28"/>
        </w:rPr>
      </w:pPr>
      <w:r>
        <w:rPr>
          <w:rFonts w:ascii="Times New Roman" w:eastAsia="Times New Roman" w:hAnsi="Times New Roman" w:cs="Times New Roman"/>
          <w:b/>
          <w:sz w:val="28"/>
          <w:szCs w:val="28"/>
        </w:rPr>
        <w:t>Материалы:</w:t>
      </w:r>
      <w:r>
        <w:rPr>
          <w:rFonts w:ascii="Times New Roman" w:eastAsia="Times New Roman" w:hAnsi="Times New Roman" w:cs="Times New Roman"/>
          <w:sz w:val="28"/>
          <w:szCs w:val="28"/>
        </w:rPr>
        <w:t xml:space="preserve"> «объем выборки – 76 пациентов, оперированных за период с 2020 -2021 (сплошная выборка, все пациента соответствующие критериям включения). </w:t>
      </w:r>
      <w:r>
        <w:rPr>
          <w:rFonts w:ascii="Times New Roman" w:eastAsia="Times New Roman" w:hAnsi="Times New Roman" w:cs="Times New Roman"/>
          <w:i/>
          <w:sz w:val="28"/>
          <w:szCs w:val="28"/>
        </w:rPr>
        <w:t>Критериями</w:t>
      </w:r>
      <w:r>
        <w:rPr>
          <w:rFonts w:ascii="Times New Roman" w:eastAsia="Times New Roman" w:hAnsi="Times New Roman" w:cs="Times New Roman"/>
          <w:i/>
          <w:sz w:val="28"/>
          <w:szCs w:val="28"/>
        </w:rPr>
        <w:t xml:space="preserve"> включения</w:t>
      </w:r>
      <w:r>
        <w:rPr>
          <w:rFonts w:ascii="Times New Roman" w:eastAsia="Times New Roman" w:hAnsi="Times New Roman" w:cs="Times New Roman"/>
          <w:sz w:val="28"/>
          <w:szCs w:val="28"/>
        </w:rPr>
        <w:t xml:space="preserve"> были: III и IV стадия  опущения органов малого таза по POP-Q, сочетанный пролапс (переднеапикальный пролапс, сопровождаемый стрессовым недержанием мочи и опущением задней стенки влагалища), возраст старше 45 лет, добровольное письменное информир</w:t>
      </w:r>
      <w:r>
        <w:rPr>
          <w:rFonts w:ascii="Times New Roman" w:eastAsia="Times New Roman" w:hAnsi="Times New Roman" w:cs="Times New Roman"/>
          <w:sz w:val="28"/>
          <w:szCs w:val="28"/>
        </w:rPr>
        <w:t xml:space="preserve">ованное согласие на участие в исследовании» [200, стр.63].  </w:t>
      </w:r>
    </w:p>
    <w:p w:rsidR="000A3797" w:rsidRDefault="00A660E7">
      <w:pPr>
        <w:spacing w:after="0" w:line="240" w:lineRule="auto"/>
        <w:ind w:firstLine="708"/>
        <w:rPr>
          <w:rFonts w:ascii="Times New Roman" w:eastAsia="Times New Roman" w:hAnsi="Times New Roman" w:cs="Times New Roman"/>
          <w:sz w:val="28"/>
          <w:szCs w:val="28"/>
        </w:rPr>
      </w:pPr>
      <w:r>
        <w:rPr>
          <w:rFonts w:ascii="Times New Roman" w:eastAsia="Times New Roman" w:hAnsi="Times New Roman" w:cs="Times New Roman"/>
          <w:i/>
          <w:sz w:val="28"/>
          <w:szCs w:val="28"/>
        </w:rPr>
        <w:t>Критерии исключении:</w:t>
      </w:r>
      <w:r>
        <w:rPr>
          <w:rFonts w:ascii="Times New Roman" w:eastAsia="Times New Roman" w:hAnsi="Times New Roman" w:cs="Times New Roman"/>
          <w:sz w:val="28"/>
          <w:szCs w:val="28"/>
        </w:rPr>
        <w:t xml:space="preserve"> «I-II стадии пролапса, изолированный дефект, возраст младше 45 лет, ожирение, сахарный диабет, поливалентная аллергия, отказ от участия в исследовании» [200, стр.63].</w:t>
      </w:r>
    </w:p>
    <w:p w:rsidR="000A3797" w:rsidRDefault="00A660E7">
      <w:pPr>
        <w:spacing w:after="0" w:line="240" w:lineRule="auto"/>
        <w:ind w:firstLine="708"/>
        <w:rPr>
          <w:rFonts w:ascii="Times New Roman" w:eastAsia="Times New Roman" w:hAnsi="Times New Roman" w:cs="Times New Roman"/>
          <w:sz w:val="28"/>
          <w:szCs w:val="28"/>
        </w:rPr>
      </w:pPr>
      <w:r>
        <w:rPr>
          <w:rFonts w:ascii="Times New Roman" w:eastAsia="Times New Roman" w:hAnsi="Times New Roman" w:cs="Times New Roman"/>
          <w:i/>
          <w:sz w:val="28"/>
          <w:szCs w:val="28"/>
        </w:rPr>
        <w:t>Основна</w:t>
      </w:r>
      <w:r>
        <w:rPr>
          <w:rFonts w:ascii="Times New Roman" w:eastAsia="Times New Roman" w:hAnsi="Times New Roman" w:cs="Times New Roman"/>
          <w:i/>
          <w:sz w:val="28"/>
          <w:szCs w:val="28"/>
        </w:rPr>
        <w:t>я группа:</w:t>
      </w:r>
      <w:r>
        <w:rPr>
          <w:rFonts w:ascii="Times New Roman" w:eastAsia="Times New Roman" w:hAnsi="Times New Roman" w:cs="Times New Roman"/>
          <w:sz w:val="28"/>
          <w:szCs w:val="28"/>
        </w:rPr>
        <w:t xml:space="preserve"> 37 пациентов, соответствующих критериям включения, которым было проведено- комплексного лечения, одномоментно – лапароскопическая промонтофиксация сетчатым протезом, трансобтураторная уретропексия, задняя кольпоперинеолеваторопластика [200, стр.6</w:t>
      </w:r>
      <w:r>
        <w:rPr>
          <w:rFonts w:ascii="Times New Roman" w:eastAsia="Times New Roman" w:hAnsi="Times New Roman" w:cs="Times New Roman"/>
          <w:sz w:val="28"/>
          <w:szCs w:val="28"/>
        </w:rPr>
        <w:t xml:space="preserve">3].  </w:t>
      </w:r>
    </w:p>
    <w:p w:rsidR="000A3797" w:rsidRDefault="00A660E7">
      <w:pPr>
        <w:spacing w:after="0" w:line="240" w:lineRule="auto"/>
        <w:ind w:firstLine="708"/>
        <w:rPr>
          <w:rFonts w:ascii="Times New Roman" w:eastAsia="Times New Roman" w:hAnsi="Times New Roman" w:cs="Times New Roman"/>
          <w:sz w:val="28"/>
          <w:szCs w:val="28"/>
        </w:rPr>
      </w:pPr>
      <w:r>
        <w:rPr>
          <w:rFonts w:ascii="Times New Roman" w:eastAsia="Times New Roman" w:hAnsi="Times New Roman" w:cs="Times New Roman"/>
          <w:i/>
          <w:sz w:val="28"/>
          <w:szCs w:val="28"/>
        </w:rPr>
        <w:t>Контрольная группа</w:t>
      </w:r>
      <w:r>
        <w:rPr>
          <w:rFonts w:ascii="Times New Roman" w:eastAsia="Times New Roman" w:hAnsi="Times New Roman" w:cs="Times New Roman"/>
          <w:sz w:val="28"/>
          <w:szCs w:val="28"/>
        </w:rPr>
        <w:t>: 39 пациентов, соответствующих критериям включения, которым была проведена- только лапароскопическая промонтофиксация. В обеих группах использовался полипропиленовый сетчатый протез. В основную группу вошли пациенты, получившие леч</w:t>
      </w:r>
      <w:r>
        <w:rPr>
          <w:rFonts w:ascii="Times New Roman" w:eastAsia="Times New Roman" w:hAnsi="Times New Roman" w:cs="Times New Roman"/>
          <w:sz w:val="28"/>
          <w:szCs w:val="28"/>
        </w:rPr>
        <w:t>ение на основании договора о предоставлении платных услуг, согласно установленного прейскуранта, в контрольную группу – из средств обязательного медицинского страхования [200, стр.63].</w:t>
      </w:r>
    </w:p>
    <w:p w:rsidR="000A3797" w:rsidRDefault="00A660E7">
      <w:pPr>
        <w:spacing w:after="0" w:line="240" w:lineRule="auto"/>
        <w:ind w:firstLine="708"/>
        <w:rPr>
          <w:rFonts w:ascii="Times New Roman" w:eastAsia="Times New Roman" w:hAnsi="Times New Roman" w:cs="Times New Roman"/>
          <w:b/>
          <w:sz w:val="28"/>
          <w:szCs w:val="28"/>
        </w:rPr>
      </w:pPr>
      <w:r>
        <w:rPr>
          <w:rFonts w:ascii="Times New Roman" w:eastAsia="Times New Roman" w:hAnsi="Times New Roman" w:cs="Times New Roman"/>
          <w:b/>
          <w:sz w:val="28"/>
          <w:szCs w:val="28"/>
        </w:rPr>
        <w:t>Методы:</w:t>
      </w:r>
    </w:p>
    <w:p w:rsidR="000A3797" w:rsidRDefault="00A660E7">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Клинический:</w:t>
      </w:r>
    </w:p>
    <w:p w:rsidR="000A3797" w:rsidRDefault="00A660E7">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i/>
          <w:sz w:val="28"/>
          <w:szCs w:val="28"/>
        </w:rPr>
        <w:t>Степень опущения и анатомический рецидив</w:t>
      </w:r>
      <w:r>
        <w:rPr>
          <w:rFonts w:ascii="Times New Roman" w:eastAsia="Times New Roman" w:hAnsi="Times New Roman" w:cs="Times New Roman"/>
          <w:sz w:val="28"/>
          <w:szCs w:val="28"/>
        </w:rPr>
        <w:t xml:space="preserve"> оценивались по международной классификации POP-Q (описана в разделе 2.2.1) [200, стр.62];</w:t>
      </w:r>
    </w:p>
    <w:p w:rsidR="000A3797" w:rsidRDefault="00A660E7">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i/>
          <w:sz w:val="28"/>
          <w:szCs w:val="28"/>
        </w:rPr>
        <w:t>Наличие функциональных нарушений</w:t>
      </w:r>
      <w:r>
        <w:rPr>
          <w:rFonts w:ascii="Times New Roman" w:eastAsia="Times New Roman" w:hAnsi="Times New Roman" w:cs="Times New Roman"/>
          <w:sz w:val="28"/>
          <w:szCs w:val="28"/>
        </w:rPr>
        <w:t xml:space="preserve"> определялось во время гинекологического осмотра по классификации Д.В. Кан  Q (описана в разделе 2.2.1) с помощью функциональных проб</w:t>
      </w:r>
      <w:r>
        <w:rPr>
          <w:rFonts w:ascii="Times New Roman" w:eastAsia="Times New Roman" w:hAnsi="Times New Roman" w:cs="Times New Roman"/>
          <w:sz w:val="28"/>
          <w:szCs w:val="28"/>
        </w:rPr>
        <w:t xml:space="preserve"> (стоп-тест, тест с пальцевой элевацией, кашлевая проба, проба с остаточной мочой) [200, стр.62].</w:t>
      </w:r>
    </w:p>
    <w:p w:rsidR="000A3797" w:rsidRDefault="00A660E7">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r>
        <w:rPr>
          <w:rFonts w:ascii="Times New Roman" w:eastAsia="Times New Roman" w:hAnsi="Times New Roman" w:cs="Times New Roman"/>
          <w:i/>
          <w:sz w:val="28"/>
          <w:szCs w:val="28"/>
        </w:rPr>
        <w:t>Вмешательство</w:t>
      </w:r>
      <w:r>
        <w:rPr>
          <w:rFonts w:ascii="Times New Roman" w:eastAsia="Times New Roman" w:hAnsi="Times New Roman" w:cs="Times New Roman"/>
          <w:sz w:val="28"/>
          <w:szCs w:val="28"/>
        </w:rPr>
        <w:t>[200 , стр.62]:</w:t>
      </w:r>
    </w:p>
    <w:p w:rsidR="000A3797" w:rsidRDefault="00A660E7">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i/>
          <w:sz w:val="28"/>
          <w:szCs w:val="28"/>
        </w:rPr>
        <w:t>Оперативное лечение</w:t>
      </w:r>
      <w:r>
        <w:rPr>
          <w:rFonts w:ascii="Times New Roman" w:eastAsia="Times New Roman" w:hAnsi="Times New Roman" w:cs="Times New Roman"/>
          <w:sz w:val="28"/>
          <w:szCs w:val="28"/>
        </w:rPr>
        <w:t xml:space="preserve"> осуществлялось с помощью следующих приемов:</w:t>
      </w:r>
    </w:p>
    <w:p w:rsidR="000A3797" w:rsidRDefault="00A660E7">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Лапароскопическая промонтофиксация [132,стр.6];</w:t>
      </w:r>
    </w:p>
    <w:p w:rsidR="000A3797" w:rsidRDefault="00A660E7">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Установка у</w:t>
      </w:r>
      <w:r>
        <w:rPr>
          <w:rFonts w:ascii="Times New Roman" w:eastAsia="Times New Roman" w:hAnsi="Times New Roman" w:cs="Times New Roman"/>
          <w:sz w:val="28"/>
          <w:szCs w:val="28"/>
        </w:rPr>
        <w:t>рослинга, TVT – O) [134,стр.98];</w:t>
      </w:r>
    </w:p>
    <w:p w:rsidR="000A3797" w:rsidRDefault="00A660E7">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Задняя кольпоперинеолеваторопластика [125,стр.198].</w:t>
      </w:r>
    </w:p>
    <w:p w:rsidR="000A3797" w:rsidRDefault="000A3797">
      <w:pPr>
        <w:spacing w:after="0" w:line="240" w:lineRule="auto"/>
        <w:rPr>
          <w:rFonts w:ascii="Times New Roman" w:eastAsia="Times New Roman" w:hAnsi="Times New Roman" w:cs="Times New Roman"/>
          <w:sz w:val="28"/>
          <w:szCs w:val="28"/>
        </w:rPr>
      </w:pPr>
    </w:p>
    <w:p w:rsidR="000A3797" w:rsidRDefault="00A660E7">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i/>
          <w:sz w:val="28"/>
          <w:szCs w:val="28"/>
        </w:rPr>
        <w:t xml:space="preserve">Анкетирование: </w:t>
      </w:r>
      <w:r>
        <w:rPr>
          <w:rFonts w:ascii="Times New Roman" w:eastAsia="Times New Roman" w:hAnsi="Times New Roman" w:cs="Times New Roman"/>
          <w:sz w:val="28"/>
          <w:szCs w:val="28"/>
        </w:rPr>
        <w:t>Для оценки качества жизни использовался специализированный опросник P-QOL, адаптированный нами для казахстанского населения и предназначенный для пациент</w:t>
      </w:r>
      <w:r>
        <w:rPr>
          <w:rFonts w:ascii="Times New Roman" w:eastAsia="Times New Roman" w:hAnsi="Times New Roman" w:cs="Times New Roman"/>
          <w:sz w:val="28"/>
          <w:szCs w:val="28"/>
        </w:rPr>
        <w:t>ов с генитальным пролапсом (см. Приложение А). Анкетирование проводилось дважды: первый раз — до проведения хирургического вмешательства и повторно — через шесть месяцев после операции[200, стр.62]. Здесь мы также опирались на значение медианного показател</w:t>
      </w:r>
      <w:r>
        <w:rPr>
          <w:rFonts w:ascii="Times New Roman" w:eastAsia="Times New Roman" w:hAnsi="Times New Roman" w:cs="Times New Roman"/>
          <w:sz w:val="28"/>
          <w:szCs w:val="28"/>
        </w:rPr>
        <w:t xml:space="preserve">я, как и в разделе 2.3 с целью оценки эффективности влияния на уровень  качества жизни. </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Статистический метод: </w:t>
      </w:r>
      <w:r>
        <w:rPr>
          <w:rFonts w:ascii="Times New Roman" w:eastAsia="Times New Roman" w:hAnsi="Times New Roman" w:cs="Times New Roman"/>
          <w:sz w:val="28"/>
          <w:szCs w:val="28"/>
        </w:rPr>
        <w:t>методы проверки нормальности распределения, а также подходы к обработке количественных и категориальных данных, применённые как для сравнительного анализа, так и для оценки в динамике, идентичны ранее описанным в разделе 2.4.</w:t>
      </w:r>
    </w:p>
    <w:p w:rsidR="000A3797" w:rsidRDefault="000A3797">
      <w:pPr>
        <w:spacing w:after="0" w:line="240" w:lineRule="auto"/>
        <w:jc w:val="both"/>
        <w:rPr>
          <w:rFonts w:ascii="Times New Roman" w:eastAsia="Times New Roman" w:hAnsi="Times New Roman" w:cs="Times New Roman"/>
          <w:b/>
          <w:sz w:val="28"/>
          <w:szCs w:val="28"/>
        </w:rPr>
      </w:pPr>
    </w:p>
    <w:p w:rsidR="000A3797" w:rsidRDefault="00A660E7">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2.6 Седьмой этап исследования</w:t>
      </w:r>
      <w:r>
        <w:rPr>
          <w:rFonts w:ascii="Times New Roman" w:eastAsia="Times New Roman" w:hAnsi="Times New Roman" w:cs="Times New Roman"/>
          <w:b/>
          <w:sz w:val="28"/>
          <w:szCs w:val="28"/>
        </w:rPr>
        <w:t>. РКИ, влияния непрерывного курса упражнений для тазового дна с онлайн-мониторингом после операции на предотвращения рецидива ГП</w:t>
      </w:r>
    </w:p>
    <w:p w:rsidR="000A3797" w:rsidRDefault="000A3797">
      <w:pPr>
        <w:spacing w:after="0" w:line="240" w:lineRule="auto"/>
        <w:ind w:firstLine="284"/>
        <w:jc w:val="both"/>
        <w:rPr>
          <w:rFonts w:ascii="Times New Roman" w:eastAsia="Times New Roman" w:hAnsi="Times New Roman" w:cs="Times New Roman"/>
          <w:b/>
          <w:sz w:val="28"/>
          <w:szCs w:val="28"/>
        </w:rPr>
      </w:pP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Дизайн исследования:</w:t>
      </w:r>
      <w:r>
        <w:rPr>
          <w:rFonts w:ascii="Times New Roman" w:eastAsia="Times New Roman" w:hAnsi="Times New Roman" w:cs="Times New Roman"/>
          <w:sz w:val="28"/>
          <w:szCs w:val="28"/>
        </w:rPr>
        <w:t xml:space="preserve"> одностороннее слепое рандомизированное контролируемое исследование.</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Материалы:</w:t>
      </w:r>
      <w:r>
        <w:rPr>
          <w:rFonts w:ascii="Times New Roman" w:eastAsia="Times New Roman" w:hAnsi="Times New Roman" w:cs="Times New Roman"/>
          <w:sz w:val="28"/>
          <w:szCs w:val="28"/>
        </w:rPr>
        <w:t xml:space="preserve">  исследовании приняли учас</w:t>
      </w:r>
      <w:r>
        <w:rPr>
          <w:rFonts w:ascii="Times New Roman" w:eastAsia="Times New Roman" w:hAnsi="Times New Roman" w:cs="Times New Roman"/>
          <w:sz w:val="28"/>
          <w:szCs w:val="28"/>
        </w:rPr>
        <w:t>тие 60 пациентов, у которых была диагностирована дисфункция тазового дна [201, стр.62]. «Место исследования: гинекологическое отделение многопрофильной клиники « LS Clinic» [201, стр.387].  Исследование проводилось с октября 2021 года по июль 2022 года в с</w:t>
      </w:r>
      <w:r>
        <w:rPr>
          <w:rFonts w:ascii="Times New Roman" w:eastAsia="Times New Roman" w:hAnsi="Times New Roman" w:cs="Times New Roman"/>
          <w:sz w:val="28"/>
          <w:szCs w:val="28"/>
        </w:rPr>
        <w:t>оответствии  с рекомендациями Хельсинской декларации и с одобрения местного комитета по биоэтике казахского медицинского университета «ВШОЗ», внесено в международный реестр ISRCTN под регистрационным номером ISRCTN23741622 [201, стр.387]. Кроме того, перед</w:t>
      </w:r>
      <w:r>
        <w:rPr>
          <w:rFonts w:ascii="Times New Roman" w:eastAsia="Times New Roman" w:hAnsi="Times New Roman" w:cs="Times New Roman"/>
          <w:sz w:val="28"/>
          <w:szCs w:val="28"/>
        </w:rPr>
        <w:t xml:space="preserve"> началом исследования все пациентки подписали добровольное информированное согласие на участие в исследовании» [193, стр. 89; 201, стр.387].</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Мы рандомизировали участников, распределив на две группы случайным образом. Каждый из участников брал конверт с ном</w:t>
      </w:r>
      <w:r>
        <w:rPr>
          <w:rFonts w:ascii="Times New Roman" w:eastAsia="Times New Roman" w:hAnsi="Times New Roman" w:cs="Times New Roman"/>
          <w:sz w:val="28"/>
          <w:szCs w:val="28"/>
        </w:rPr>
        <w:t xml:space="preserve">ером своей группы. Главный исследователь знал о распределении исследуемых групп [201, стр.387].  23 человека были исключены из исследования, 9 из них не соответствовали всем критериям включения, 3 человека были приезжими и не могли подтвердить возможность </w:t>
      </w:r>
      <w:r>
        <w:rPr>
          <w:rFonts w:ascii="Times New Roman" w:eastAsia="Times New Roman" w:hAnsi="Times New Roman" w:cs="Times New Roman"/>
          <w:sz w:val="28"/>
          <w:szCs w:val="28"/>
        </w:rPr>
        <w:t xml:space="preserve">явки на осмотр в указанное время, у 5 пациенток имелись противопоказания к проведению операции, остальные были исключены компьютером  до количества 60 человек [201, стр.387].   60 участников, которые соответствовали критериям включения были распределены в </w:t>
      </w:r>
      <w:r>
        <w:rPr>
          <w:rFonts w:ascii="Times New Roman" w:eastAsia="Times New Roman" w:hAnsi="Times New Roman" w:cs="Times New Roman"/>
          <w:sz w:val="28"/>
          <w:szCs w:val="28"/>
        </w:rPr>
        <w:t>основную и контрольную группы по 30 человек [201, стр.387]. Все пациентки закончили программу исследования и явились на контрольный осмотр. Приверженность к выполнению упражнений постоянно контролировалась врачами-гинекологами в режиме онлайн [201, стр.387</w:t>
      </w:r>
      <w:r>
        <w:rPr>
          <w:rFonts w:ascii="Times New Roman" w:eastAsia="Times New Roman" w:hAnsi="Times New Roman" w:cs="Times New Roman"/>
          <w:sz w:val="28"/>
          <w:szCs w:val="28"/>
        </w:rPr>
        <w:t xml:space="preserve">]. Упражнения не были изнуряющими и были возможны к выполнению в процессе повседневной работы [201, стр.387]. 5 пациентов не ответили на вопросы домена «Межличностные отношения» при заполнении анкеты P-QOL [201, стр.387]. Однако не все пациенты состояли в </w:t>
      </w:r>
      <w:r>
        <w:rPr>
          <w:rFonts w:ascii="Times New Roman" w:eastAsia="Times New Roman" w:hAnsi="Times New Roman" w:cs="Times New Roman"/>
          <w:sz w:val="28"/>
          <w:szCs w:val="28"/>
        </w:rPr>
        <w:t>браке или имели партнера, в связи, с чем допускались пропущенные ответы в данном домене. До операции все пациентки заполнили опросник P-QOl  и прошли процедуру определения силы мышц тазового дна [201, стр.387].</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Все пациенты, допущенные к исследованию, имел</w:t>
      </w:r>
      <w:r>
        <w:rPr>
          <w:rFonts w:ascii="Times New Roman" w:eastAsia="Times New Roman" w:hAnsi="Times New Roman" w:cs="Times New Roman"/>
          <w:sz w:val="28"/>
          <w:szCs w:val="28"/>
        </w:rPr>
        <w:t xml:space="preserve">и степень пролапса - II по классификации POP-Q и стрессовое недержание мочи III степени [201, стр.387]. Пациенты были допущены до исследования на основе конкретных </w:t>
      </w:r>
      <w:r>
        <w:rPr>
          <w:rFonts w:ascii="Times New Roman" w:eastAsia="Times New Roman" w:hAnsi="Times New Roman" w:cs="Times New Roman"/>
          <w:i/>
          <w:sz w:val="28"/>
          <w:szCs w:val="28"/>
        </w:rPr>
        <w:t>критериев включения:</w:t>
      </w:r>
      <w:r>
        <w:rPr>
          <w:rFonts w:ascii="Times New Roman" w:eastAsia="Times New Roman" w:hAnsi="Times New Roman" w:cs="Times New Roman"/>
          <w:sz w:val="28"/>
          <w:szCs w:val="28"/>
        </w:rPr>
        <w:t>1. пациентки, имеющие опущение передней и задней стенки влагалища  II ст</w:t>
      </w:r>
      <w:r>
        <w:rPr>
          <w:rFonts w:ascii="Times New Roman" w:eastAsia="Times New Roman" w:hAnsi="Times New Roman" w:cs="Times New Roman"/>
          <w:sz w:val="28"/>
          <w:szCs w:val="28"/>
        </w:rPr>
        <w:t>епени по классификации POP-Q и стрессовое недержание мочи III степени; 2. возраст до 45 лет; 3. от двух и более родов в анамнезе; 4. отсутствие согласия на консервативное лечение; 5. отсутствие согласия на применение вагинальных синтетических протезов, в т</w:t>
      </w:r>
      <w:r>
        <w:rPr>
          <w:rFonts w:ascii="Times New Roman" w:eastAsia="Times New Roman" w:hAnsi="Times New Roman" w:cs="Times New Roman"/>
          <w:sz w:val="28"/>
          <w:szCs w:val="28"/>
        </w:rPr>
        <w:t>ом числе урослинга ; 6. отсутствие в анамнезе консервативного лечения пролапса, в том числе тренировок мышц тазового дна; 7. отсутствие в анамнезе заболеваний, сопровождаемых  нарушением метаболизма (сахарный диабет, ожирение, метаболический синдром, забол</w:t>
      </w:r>
      <w:r>
        <w:rPr>
          <w:rFonts w:ascii="Times New Roman" w:eastAsia="Times New Roman" w:hAnsi="Times New Roman" w:cs="Times New Roman"/>
          <w:sz w:val="28"/>
          <w:szCs w:val="28"/>
        </w:rPr>
        <w:t>евания щитовидной железы, нарушение кальций-фосфорного обмена) [201, стр.387].</w:t>
      </w:r>
    </w:p>
    <w:p w:rsidR="000A3797" w:rsidRDefault="00A660E7">
      <w:pPr>
        <w:spacing w:after="0" w:line="240" w:lineRule="auto"/>
        <w:ind w:firstLine="708"/>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Критерии исключения:</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ургентное или смешанное недержание мочи, противопоказания к оперативному лечению и анестезиологическому пособию (эндотрахиальный наркоз, регионарная анестез</w:t>
      </w:r>
      <w:r>
        <w:rPr>
          <w:rFonts w:ascii="Times New Roman" w:eastAsia="Times New Roman" w:hAnsi="Times New Roman" w:cs="Times New Roman"/>
          <w:sz w:val="28"/>
          <w:szCs w:val="28"/>
        </w:rPr>
        <w:t>ия: спинальная, эпидуральная): острые или хронические воспалительные и инфекционные заболевания в период обострения, злокачественные новообразования, анемия, доброкачественные новообразования яичников и/или матки, беременность, геморрой 3 или 4 стадии, нек</w:t>
      </w:r>
      <w:r>
        <w:rPr>
          <w:rFonts w:ascii="Times New Roman" w:eastAsia="Times New Roman" w:hAnsi="Times New Roman" w:cs="Times New Roman"/>
          <w:sz w:val="28"/>
          <w:szCs w:val="28"/>
        </w:rPr>
        <w:t>омпенсированные хронические соматические  заболевания, тромбозы; поливалентная аллергия [201, стр.388].</w:t>
      </w:r>
    </w:p>
    <w:p w:rsidR="000A3797" w:rsidRDefault="00A660E7">
      <w:pPr>
        <w:spacing w:after="0" w:line="240" w:lineRule="auto"/>
        <w:ind w:firstLine="708"/>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Методы:</w:t>
      </w:r>
    </w:p>
    <w:p w:rsidR="000A3797" w:rsidRDefault="00A660E7">
      <w:pPr>
        <w:spacing w:after="0" w:line="240" w:lineRule="auto"/>
        <w:ind w:firstLine="708"/>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w:t>
      </w:r>
      <w:r>
        <w:rPr>
          <w:rFonts w:ascii="Times New Roman" w:eastAsia="Times New Roman" w:hAnsi="Times New Roman" w:cs="Times New Roman"/>
          <w:b/>
          <w:sz w:val="28"/>
          <w:szCs w:val="28"/>
        </w:rPr>
        <w:t>Клинический</w:t>
      </w:r>
      <w:r>
        <w:rPr>
          <w:rFonts w:ascii="Times New Roman" w:eastAsia="Times New Roman" w:hAnsi="Times New Roman" w:cs="Times New Roman"/>
          <w:i/>
          <w:sz w:val="28"/>
          <w:szCs w:val="28"/>
        </w:rPr>
        <w:t>. Измерения.</w:t>
      </w:r>
    </w:p>
    <w:p w:rsidR="000A3797" w:rsidRDefault="00A660E7">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i/>
          <w:sz w:val="28"/>
          <w:szCs w:val="28"/>
        </w:rPr>
        <w:t xml:space="preserve">Оценка стадии пролапса определялась по классификации POP-Q. </w:t>
      </w:r>
      <w:r>
        <w:rPr>
          <w:rFonts w:ascii="Times New Roman" w:eastAsia="Times New Roman" w:hAnsi="Times New Roman" w:cs="Times New Roman"/>
          <w:sz w:val="28"/>
          <w:szCs w:val="28"/>
        </w:rPr>
        <w:t>Основа классификации – количественная оценка 9 точек (анат</w:t>
      </w:r>
      <w:r>
        <w:rPr>
          <w:rFonts w:ascii="Times New Roman" w:eastAsia="Times New Roman" w:hAnsi="Times New Roman" w:cs="Times New Roman"/>
          <w:sz w:val="28"/>
          <w:szCs w:val="28"/>
        </w:rPr>
        <w:t>омических позиций) относительно плоскости половой щели (описано в разделе 2.2.1) [201, стр.388].</w:t>
      </w:r>
    </w:p>
    <w:p w:rsidR="000A3797" w:rsidRDefault="00A660E7">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Тяжесть стрессового недержания мочи определялась по классификации Д.В. Кана (1978), (таблица 4, описана в разделе 2.2.1)  [201, стр.388].</w:t>
      </w:r>
    </w:p>
    <w:p w:rsidR="000A3797" w:rsidRDefault="00A660E7">
      <w:pPr>
        <w:tabs>
          <w:tab w:val="left" w:pos="1134"/>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Для оценки качества жизни</w:t>
      </w:r>
      <w:r>
        <w:rPr>
          <w:rFonts w:ascii="Times New Roman" w:eastAsia="Times New Roman" w:hAnsi="Times New Roman" w:cs="Times New Roman"/>
          <w:sz w:val="28"/>
          <w:szCs w:val="28"/>
        </w:rPr>
        <w:t xml:space="preserve"> использован   адаптированный специализированный опросник для женщин с генитальным пролапсом Казахстана P-QoL на русском и казахском языках (авторское свидетельство № 23609 от 15.02.22г, Приложение А). Пациенты заполняли опросник д</w:t>
      </w:r>
      <w:r>
        <w:rPr>
          <w:rFonts w:ascii="Times New Roman" w:eastAsia="Times New Roman" w:hAnsi="Times New Roman" w:cs="Times New Roman"/>
          <w:sz w:val="28"/>
          <w:szCs w:val="28"/>
        </w:rPr>
        <w:t>о лечения и через 8 месяцев после лечения.</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Здесь мы также опирались на значение медианного показателя, как и в разделе 2.3 с целью оценки эффективности влияния на уровень  качества жизни в сравнительном аспекте. </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Силы мышечных сокращений оценивалась двумя </w:t>
      </w:r>
      <w:r>
        <w:rPr>
          <w:rFonts w:ascii="Times New Roman" w:eastAsia="Times New Roman" w:hAnsi="Times New Roman" w:cs="Times New Roman"/>
          <w:sz w:val="28"/>
          <w:szCs w:val="28"/>
        </w:rPr>
        <w:t>способами ) [201, стр.388]. Оценка балов по Шкале Оксфорда во время вагинальной пальпации при осмотре на гинекологическом кресле</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 [201, стр.388]</w:t>
      </w:r>
      <w:r>
        <w:rPr>
          <w:rFonts w:ascii="Times New Roman" w:eastAsia="Times New Roman" w:hAnsi="Times New Roman" w:cs="Times New Roman"/>
          <w:i/>
          <w:sz w:val="28"/>
          <w:szCs w:val="28"/>
        </w:rPr>
        <w:t>.</w:t>
      </w:r>
      <w:r>
        <w:rPr>
          <w:rFonts w:ascii="Times New Roman" w:eastAsia="Times New Roman" w:hAnsi="Times New Roman" w:cs="Times New Roman"/>
          <w:sz w:val="28"/>
          <w:szCs w:val="28"/>
        </w:rPr>
        <w:t xml:space="preserve"> Во влагалища на уровень уретро-везикального сегмента вводили один палец, в этот моент пациента сжимала максим</w:t>
      </w:r>
      <w:r>
        <w:rPr>
          <w:rFonts w:ascii="Times New Roman" w:eastAsia="Times New Roman" w:hAnsi="Times New Roman" w:cs="Times New Roman"/>
          <w:sz w:val="28"/>
          <w:szCs w:val="28"/>
        </w:rPr>
        <w:t>ально интимные мышц, при отсутствии ощутимого давления на палец, вводился еще палец до того моента пока исследователь не чувствовал сокращений с удержанием на 10 секунд с интервалом в 30 секунд трижды, результат оценивали согласно шкале Оксфорда (таблица 1</w:t>
      </w:r>
      <w:r>
        <w:rPr>
          <w:rFonts w:ascii="Times New Roman" w:eastAsia="Times New Roman" w:hAnsi="Times New Roman" w:cs="Times New Roman"/>
          <w:sz w:val="28"/>
          <w:szCs w:val="28"/>
        </w:rPr>
        <w:t>).</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Сила мышц тазового дна определялась до лечения и через 8 месяцев после лечения ) [201, стр.388].</w:t>
      </w:r>
    </w:p>
    <w:p w:rsidR="000A3797" w:rsidRDefault="00A660E7">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Перинеометрия</w:t>
      </w:r>
      <w:r>
        <w:rPr>
          <w:rFonts w:ascii="Times New Roman" w:eastAsia="Times New Roman" w:hAnsi="Times New Roman" w:cs="Times New Roman"/>
          <w:color w:val="000000"/>
          <w:sz w:val="28"/>
          <w:szCs w:val="28"/>
        </w:rPr>
        <w:t>. Исследование проводилось при осмотре на гинекологическом кресле, во влагалище вводился пневматический перинеометр) [201, стр.388]. Прибор состоит из селиконовой части с манометром и ручным насосом ) [197, стр.388]. Сила мышц регистрировалась на манометре</w:t>
      </w:r>
      <w:r>
        <w:rPr>
          <w:rFonts w:ascii="Times New Roman" w:eastAsia="Times New Roman" w:hAnsi="Times New Roman" w:cs="Times New Roman"/>
          <w:color w:val="000000"/>
          <w:sz w:val="28"/>
          <w:szCs w:val="28"/>
        </w:rPr>
        <w:t xml:space="preserve"> при максимальном сокращении мышц тазового дна в течение 10 секунд. Измерение за одно исследование проводилось трижды с интервалом в 30 секунд, результат принимался средним значением с оценкой в соответствии с таблицей 2 ) [201, стр.388]. Сила мышц тазовог</w:t>
      </w:r>
      <w:r>
        <w:rPr>
          <w:rFonts w:ascii="Times New Roman" w:eastAsia="Times New Roman" w:hAnsi="Times New Roman" w:cs="Times New Roman"/>
          <w:color w:val="000000"/>
          <w:sz w:val="28"/>
          <w:szCs w:val="28"/>
        </w:rPr>
        <w:t>о дна определялась до лечения и через 8 месяцев после лечения ) [201, стр.388].</w:t>
      </w:r>
    </w:p>
    <w:p w:rsidR="000A3797" w:rsidRDefault="00A660E7">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r>
        <w:rPr>
          <w:rFonts w:ascii="Times New Roman" w:eastAsia="Times New Roman" w:hAnsi="Times New Roman" w:cs="Times New Roman"/>
          <w:i/>
          <w:sz w:val="28"/>
          <w:szCs w:val="28"/>
        </w:rPr>
        <w:t>Вмешательство.</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Пациентки обеих групп получили оперативное лечение в объеме передней и задней кольпотомии, -ррафии  с перинеолеваторопластикой. Данные хирургические методы вк</w:t>
      </w:r>
      <w:r>
        <w:rPr>
          <w:rFonts w:ascii="Times New Roman" w:eastAsia="Times New Roman" w:hAnsi="Times New Roman" w:cs="Times New Roman"/>
          <w:sz w:val="28"/>
          <w:szCs w:val="28"/>
        </w:rPr>
        <w:t>лючены в казахстанский клинический протокол диагностики и лечения пролапса женских половых органов (Протокол №16 от 20 ноября 2015 года) ) [201, стр.388].</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 xml:space="preserve">Предоперационная подготовка. </w:t>
      </w:r>
      <w:r>
        <w:rPr>
          <w:rFonts w:ascii="Times New Roman" w:eastAsia="Times New Roman" w:hAnsi="Times New Roman" w:cs="Times New Roman"/>
          <w:sz w:val="28"/>
          <w:szCs w:val="28"/>
        </w:rPr>
        <w:t>Всем пациенткам назначались вагинальные суппозитории с хлоргексидином, м</w:t>
      </w:r>
      <w:r>
        <w:rPr>
          <w:rFonts w:ascii="Times New Roman" w:eastAsia="Times New Roman" w:hAnsi="Times New Roman" w:cs="Times New Roman"/>
          <w:sz w:val="28"/>
          <w:szCs w:val="28"/>
        </w:rPr>
        <w:t>етранидазолом или повидон-йодом в составе [201, стр.389].</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 xml:space="preserve">Послеоперационный период. </w:t>
      </w:r>
      <w:r>
        <w:rPr>
          <w:rFonts w:ascii="Times New Roman" w:eastAsia="Times New Roman" w:hAnsi="Times New Roman" w:cs="Times New Roman"/>
          <w:sz w:val="28"/>
          <w:szCs w:val="28"/>
        </w:rPr>
        <w:t>Всем пациенткам в послеоперационном периоде также назначались суппозитории с хлоргексидином, декспантенолом, метранидазолом, повидон-йодом или с содержанием гиалоуроновой к</w:t>
      </w:r>
      <w:r>
        <w:rPr>
          <w:rFonts w:ascii="Times New Roman" w:eastAsia="Times New Roman" w:hAnsi="Times New Roman" w:cs="Times New Roman"/>
          <w:sz w:val="28"/>
          <w:szCs w:val="28"/>
        </w:rPr>
        <w:t>ислоты ) [201, стр.389]. По показаниям проводилась антибактериальная терапия цефалоспоринами третьего поколения, метранидазола под прикрытием пробиотиков ) [201, стр.389].</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Пациентки основной группы через два месяца после операции начали выполнять упражнени</w:t>
      </w:r>
      <w:r>
        <w:rPr>
          <w:rFonts w:ascii="Times New Roman" w:eastAsia="Times New Roman" w:hAnsi="Times New Roman" w:cs="Times New Roman"/>
          <w:sz w:val="28"/>
          <w:szCs w:val="28"/>
        </w:rPr>
        <w:t>й для мышц тазового дна в течение 6 месяцев с помощью упражнений Кегеля модифицированной по Борелло-Франс и др., 2008 г.</w:t>
      </w:r>
      <w:r>
        <w:rPr>
          <w:rFonts w:ascii="Times New Roman" w:eastAsia="Times New Roman" w:hAnsi="Times New Roman" w:cs="Times New Roman"/>
          <w:sz w:val="28"/>
          <w:szCs w:val="28"/>
          <w:shd w:val="clear" w:color="auto" w:fill="FFFCF0"/>
        </w:rPr>
        <w:t xml:space="preserve"> </w:t>
      </w:r>
      <w:r>
        <w:rPr>
          <w:rFonts w:ascii="Times New Roman" w:eastAsia="Times New Roman" w:hAnsi="Times New Roman" w:cs="Times New Roman"/>
          <w:sz w:val="28"/>
          <w:szCs w:val="28"/>
        </w:rPr>
        <w:t>Пациентки контрольной группы придерживались общих рекомендаций. 2 месяца (6-8 недель) - необходимое количество времени, когда швы (Викр</w:t>
      </w:r>
      <w:r>
        <w:rPr>
          <w:rFonts w:ascii="Times New Roman" w:eastAsia="Times New Roman" w:hAnsi="Times New Roman" w:cs="Times New Roman"/>
          <w:sz w:val="28"/>
          <w:szCs w:val="28"/>
        </w:rPr>
        <w:t>ил) полностью рассасываются, исчезают тазовые боли и самочувствие пациенток полностью нормализуется [202,203]. Мы не рекомендуем никаких физических нагрузок до полного заживления (6-8 недель), которые могут вызывать боль или мешать процессу заживления ) [2</w:t>
      </w:r>
      <w:r>
        <w:rPr>
          <w:rFonts w:ascii="Times New Roman" w:eastAsia="Times New Roman" w:hAnsi="Times New Roman" w:cs="Times New Roman"/>
          <w:sz w:val="28"/>
          <w:szCs w:val="28"/>
        </w:rPr>
        <w:t>01, стр.389]. Перед тренировкой все пациенты были проинструктированы о строении мышц тазового дна, их функциях, важности тренировки и техники тренировки, а также о том, над какими мышцами мы работаем во время тренировки. Все пациентки были обучены упражнен</w:t>
      </w:r>
      <w:r>
        <w:rPr>
          <w:rFonts w:ascii="Times New Roman" w:eastAsia="Times New Roman" w:hAnsi="Times New Roman" w:cs="Times New Roman"/>
          <w:sz w:val="28"/>
          <w:szCs w:val="28"/>
        </w:rPr>
        <w:t>иям для мышц тазового дна во время визита к гинекологу ) [201, стр.389].</w:t>
      </w:r>
    </w:p>
    <w:p w:rsidR="000A3797" w:rsidRDefault="00A660E7">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Схема тренировок </w:t>
      </w:r>
      <w:r>
        <w:rPr>
          <w:rFonts w:ascii="Times New Roman" w:eastAsia="Times New Roman" w:hAnsi="Times New Roman" w:cs="Times New Roman"/>
          <w:sz w:val="28"/>
          <w:szCs w:val="28"/>
        </w:rPr>
        <w:t>) [201, стр.389]</w:t>
      </w:r>
      <w:r>
        <w:rPr>
          <w:rFonts w:ascii="Times New Roman" w:eastAsia="Times New Roman" w:hAnsi="Times New Roman" w:cs="Times New Roman"/>
          <w:b/>
          <w:sz w:val="28"/>
          <w:szCs w:val="28"/>
        </w:rPr>
        <w:t>:</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Первая неделя:</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3 подхода по 10 сокращений мышц тазового дна (удержание 3 секунды) и 3 подхода по 5 сокращений (удержание 12 секунд) за сеанс, дважды</w:t>
      </w:r>
      <w:r>
        <w:rPr>
          <w:rFonts w:ascii="Times New Roman" w:eastAsia="Times New Roman" w:hAnsi="Times New Roman" w:cs="Times New Roman"/>
          <w:sz w:val="28"/>
          <w:szCs w:val="28"/>
        </w:rPr>
        <w:t xml:space="preserve"> в день через день [201, стр.389];</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Со второй недели до 12 – ой недели:</w:t>
      </w:r>
      <w:r>
        <w:rPr>
          <w:rFonts w:ascii="Times New Roman" w:eastAsia="Times New Roman" w:hAnsi="Times New Roman" w:cs="Times New Roman"/>
          <w:sz w:val="28"/>
          <w:szCs w:val="28"/>
        </w:rPr>
        <w:t xml:space="preserve"> 3 подхода по 20 сокращений мышц тазового дна (удержание 3 секунды) и 3 подхода по 10 сокращений (удержание 12 секунд) за сеанс, дважды в день через день [201, стр.389];</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С 13 до 24-ой не</w:t>
      </w:r>
      <w:r>
        <w:rPr>
          <w:rFonts w:ascii="Times New Roman" w:eastAsia="Times New Roman" w:hAnsi="Times New Roman" w:cs="Times New Roman"/>
          <w:i/>
          <w:sz w:val="28"/>
          <w:szCs w:val="28"/>
        </w:rPr>
        <w:t>дели:</w:t>
      </w:r>
      <w:r>
        <w:rPr>
          <w:rFonts w:ascii="Times New Roman" w:eastAsia="Times New Roman" w:hAnsi="Times New Roman" w:cs="Times New Roman"/>
          <w:sz w:val="28"/>
          <w:szCs w:val="28"/>
        </w:rPr>
        <w:t xml:space="preserve"> 3 подхода по 20 сокращений мышц тазового дна (удержание 3 секунды) и 3 подхода по 10 сокращений (удержание 12 секунд) за сеанс, дважды в день каждый день [201, стр.389].</w:t>
      </w:r>
    </w:p>
    <w:p w:rsidR="000A3797" w:rsidRDefault="00A660E7">
      <w:pPr>
        <w:spacing w:after="0"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 xml:space="preserve">Приверженность к протоколу исследования. </w:t>
      </w:r>
      <w:r>
        <w:rPr>
          <w:rFonts w:ascii="Times New Roman" w:eastAsia="Times New Roman" w:hAnsi="Times New Roman" w:cs="Times New Roman"/>
          <w:sz w:val="28"/>
          <w:szCs w:val="28"/>
        </w:rPr>
        <w:t xml:space="preserve">Все пациенты были распределены среди 6 </w:t>
      </w:r>
      <w:r>
        <w:rPr>
          <w:rFonts w:ascii="Times New Roman" w:eastAsia="Times New Roman" w:hAnsi="Times New Roman" w:cs="Times New Roman"/>
          <w:sz w:val="28"/>
          <w:szCs w:val="28"/>
        </w:rPr>
        <w:t xml:space="preserve">гинекологов организаций ПМСП, контролирующих четкую приверженность к выполнению рекомендаций или упражнений путем онлайн-мониторинга с использованием общедоступных мессенджерей ) [201, стр.389]. </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Соблюдение общих рекомендаций:</w:t>
      </w:r>
      <w:r>
        <w:rPr>
          <w:rFonts w:ascii="Times New Roman" w:eastAsia="Times New Roman" w:hAnsi="Times New Roman" w:cs="Times New Roman"/>
          <w:sz w:val="28"/>
          <w:szCs w:val="28"/>
        </w:rPr>
        <w:t xml:space="preserve"> Авторское свидетельство №31497 от 30.12.22: Руководство по генитальному пролапсу для женщин (Приложение Е) (размещено на нашем сайте: </w:t>
      </w:r>
      <w:hyperlink r:id="rId11">
        <w:r>
          <w:rPr>
            <w:rFonts w:ascii="Times New Roman" w:eastAsia="Times New Roman" w:hAnsi="Times New Roman" w:cs="Times New Roman"/>
            <w:color w:val="000000"/>
            <w:sz w:val="28"/>
            <w:szCs w:val="28"/>
            <w:u w:val="single"/>
          </w:rPr>
          <w:t>https://www.prolaps-monitoring.com/</w:t>
        </w:r>
      </w:hyperlink>
      <w:r>
        <w:rPr>
          <w:rFonts w:ascii="Times New Roman" w:eastAsia="Times New Roman" w:hAnsi="Times New Roman" w:cs="Times New Roman"/>
          <w:sz w:val="28"/>
          <w:szCs w:val="28"/>
        </w:rPr>
        <w:t xml:space="preserve">, Приложение Н) [201, стр.388, </w:t>
      </w:r>
      <w:r>
        <w:rPr>
          <w:rFonts w:ascii="Times New Roman" w:eastAsia="Times New Roman" w:hAnsi="Times New Roman" w:cs="Times New Roman"/>
          <w:sz w:val="28"/>
          <w:szCs w:val="28"/>
        </w:rPr>
        <w:t>204,205]:</w:t>
      </w:r>
    </w:p>
    <w:p w:rsidR="000A3797" w:rsidRDefault="00A660E7">
      <w:pPr>
        <w:numPr>
          <w:ilvl w:val="0"/>
          <w:numId w:val="15"/>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контроль массы тела;</w:t>
      </w:r>
    </w:p>
    <w:p w:rsidR="000A3797" w:rsidRDefault="00A660E7">
      <w:pPr>
        <w:numPr>
          <w:ilvl w:val="0"/>
          <w:numId w:val="15"/>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питание, поддерживающее синтез коллагена: белок 1,2 г на 1 кг массы тела; продукты или добавки с содержанием лизина, карнитина, витаминов С, Е, группы В, микроэлементов (кремний, магний, медь, цинк, марганец, селен), железо (с контролем уровня гемоглобина </w:t>
      </w:r>
      <w:r>
        <w:rPr>
          <w:rFonts w:ascii="Times New Roman" w:eastAsia="Times New Roman" w:hAnsi="Times New Roman" w:cs="Times New Roman"/>
          <w:color w:val="000000"/>
          <w:sz w:val="28"/>
          <w:szCs w:val="28"/>
        </w:rPr>
        <w:t>и ферритина в крови, при низком уровне – консультация и лечение терапевта!), кальция и витамина Д 3 (с контролем уровня содержания в крови, при низком уровне – консультация и лечение терапевта!); контроль потребления сахар, женщинам не более 25 г в день, и</w:t>
      </w:r>
      <w:r>
        <w:rPr>
          <w:rFonts w:ascii="Times New Roman" w:eastAsia="Times New Roman" w:hAnsi="Times New Roman" w:cs="Times New Roman"/>
          <w:color w:val="000000"/>
          <w:sz w:val="28"/>
          <w:szCs w:val="28"/>
        </w:rPr>
        <w:t>ли 10% углеводов о суточной калорийности</w:t>
      </w:r>
    </w:p>
    <w:p w:rsidR="000A3797" w:rsidRDefault="00A660E7">
      <w:pPr>
        <w:numPr>
          <w:ilvl w:val="0"/>
          <w:numId w:val="15"/>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Исключить поднятия тяжести и/или ношения тяжести более 5 кг дольше 2 часов;</w:t>
      </w:r>
    </w:p>
    <w:p w:rsidR="000A3797" w:rsidRDefault="00A660E7">
      <w:pPr>
        <w:numPr>
          <w:ilvl w:val="0"/>
          <w:numId w:val="15"/>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Профилактика запоров: питание с содержанием клетчатки  (при необходимости нормализация микрофлоры кишечника  с использованием пробиотиков);</w:t>
      </w:r>
    </w:p>
    <w:p w:rsidR="000A3797" w:rsidRDefault="00A660E7">
      <w:pPr>
        <w:numPr>
          <w:ilvl w:val="0"/>
          <w:numId w:val="15"/>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Профилактика заболеваний, сопровождаемых длительным кашлем</w:t>
      </w:r>
    </w:p>
    <w:p w:rsidR="000A3797" w:rsidRDefault="00A660E7">
      <w:pPr>
        <w:numPr>
          <w:ilvl w:val="0"/>
          <w:numId w:val="15"/>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Осмотр лечащего или оперирующего врача через 2 недели после лечения, далее через 1 месяц, через 3 месяца и через 6 месяцев</w:t>
      </w:r>
    </w:p>
    <w:p w:rsidR="000A3797" w:rsidRDefault="00A660E7">
      <w:pPr>
        <w:spacing w:after="0" w:line="240" w:lineRule="auto"/>
        <w:ind w:firstLine="36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Обоснование схемы упражнений. </w:t>
      </w:r>
      <w:r>
        <w:rPr>
          <w:rFonts w:ascii="Times New Roman" w:eastAsia="Times New Roman" w:hAnsi="Times New Roman" w:cs="Times New Roman"/>
          <w:sz w:val="28"/>
          <w:szCs w:val="28"/>
        </w:rPr>
        <w:t>Мы выбрали тренировку мышц тазового дна в к</w:t>
      </w:r>
      <w:r>
        <w:rPr>
          <w:rFonts w:ascii="Times New Roman" w:eastAsia="Times New Roman" w:hAnsi="Times New Roman" w:cs="Times New Roman"/>
          <w:sz w:val="28"/>
          <w:szCs w:val="28"/>
        </w:rPr>
        <w:t>ачестве реабилитации, чтобы пациенты могли выполнять эти мероприятия дома, в ходе повседневной деятельности. Мы сформировали фокус-группу из женщин (9 человек), не участвовавших в дальнейшем исследовании, до начала исследования [201, стр.389].  Нас интерес</w:t>
      </w:r>
      <w:r>
        <w:rPr>
          <w:rFonts w:ascii="Times New Roman" w:eastAsia="Times New Roman" w:hAnsi="Times New Roman" w:cs="Times New Roman"/>
          <w:sz w:val="28"/>
          <w:szCs w:val="28"/>
        </w:rPr>
        <w:t>овало, какое количество повторений упражнений было наиболее удобным, чтобы пациенты могли выполнять их регулярно. Нашей главной целью было обеспечить высокую приверженность к регулярности выполнения. Вместе мы определили, что схема Борелло – Франс является</w:t>
      </w:r>
      <w:r>
        <w:rPr>
          <w:rFonts w:ascii="Times New Roman" w:eastAsia="Times New Roman" w:hAnsi="Times New Roman" w:cs="Times New Roman"/>
          <w:sz w:val="28"/>
          <w:szCs w:val="28"/>
        </w:rPr>
        <w:t xml:space="preserve"> наиболее подходящей для этой цели [206,207]. Мы взяли его за основу и внесли некоторые изменения [201, стр.389].  В первую неделю мы давали небольшое количество повторений, чтобы не перегружать мышцы после перерыва, так как в процессе 2-х месяцев мы полно</w:t>
      </w:r>
      <w:r>
        <w:rPr>
          <w:rFonts w:ascii="Times New Roman" w:eastAsia="Times New Roman" w:hAnsi="Times New Roman" w:cs="Times New Roman"/>
          <w:sz w:val="28"/>
          <w:szCs w:val="28"/>
        </w:rPr>
        <w:t>стью запретили физическую нагрузку [207]. Затем мы увеличили количество повторений и подходов, придерживаясь принципа перегрузки [92,стр.422]. Оба упражнения направлены на повышение тонуса и выносливости мышц тазового дна [207 стр.17]. Более быстрые сокращ</w:t>
      </w:r>
      <w:r>
        <w:rPr>
          <w:rFonts w:ascii="Times New Roman" w:eastAsia="Times New Roman" w:hAnsi="Times New Roman" w:cs="Times New Roman"/>
          <w:sz w:val="28"/>
          <w:szCs w:val="28"/>
        </w:rPr>
        <w:t xml:space="preserve">ения (3 секунды) для укрепления медленных волокон. Статические упражнения с удержанием в сокращённом состоянии (12 секунд) также усиливают медленно сокращающихся волокна и укрепляют сухожильный центр промежности, поддерживающая роль которого не так хорошо </w:t>
      </w:r>
      <w:r>
        <w:rPr>
          <w:rFonts w:ascii="Times New Roman" w:eastAsia="Times New Roman" w:hAnsi="Times New Roman" w:cs="Times New Roman"/>
          <w:sz w:val="28"/>
          <w:szCs w:val="28"/>
        </w:rPr>
        <w:t>освещена в литературе [208].</w:t>
      </w:r>
    </w:p>
    <w:p w:rsidR="000A3797" w:rsidRDefault="00A660E7">
      <w:pPr>
        <w:spacing w:after="0" w:line="240" w:lineRule="auto"/>
        <w:ind w:firstLine="360"/>
        <w:jc w:val="both"/>
        <w:rPr>
          <w:rFonts w:ascii="Times New Roman" w:eastAsia="Times New Roman" w:hAnsi="Times New Roman" w:cs="Times New Roman"/>
          <w:i/>
          <w:sz w:val="28"/>
          <w:szCs w:val="28"/>
        </w:rPr>
      </w:pPr>
      <w:r>
        <w:rPr>
          <w:rFonts w:ascii="Times New Roman" w:eastAsia="Times New Roman" w:hAnsi="Times New Roman" w:cs="Times New Roman"/>
          <w:sz w:val="24"/>
          <w:szCs w:val="24"/>
        </w:rPr>
        <w:t xml:space="preserve">- </w:t>
      </w:r>
      <w:r>
        <w:rPr>
          <w:rFonts w:ascii="Times New Roman" w:eastAsia="Times New Roman" w:hAnsi="Times New Roman" w:cs="Times New Roman"/>
          <w:b/>
          <w:sz w:val="28"/>
          <w:szCs w:val="28"/>
        </w:rPr>
        <w:t>Статистический анализ.</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Методы проверки нормальности распределения, а также подходы к обработке количественных и категориальных данных, применённые как для сравнительного анализа, так и для оценки в динамике, идентичны ранее о</w:t>
      </w:r>
      <w:r>
        <w:rPr>
          <w:rFonts w:ascii="Times New Roman" w:eastAsia="Times New Roman" w:hAnsi="Times New Roman" w:cs="Times New Roman"/>
          <w:sz w:val="28"/>
          <w:szCs w:val="28"/>
        </w:rPr>
        <w:t>писанным в разделе 2.4. [201, стр.390].</w:t>
      </w:r>
    </w:p>
    <w:p w:rsidR="000A3797" w:rsidRDefault="00A660E7">
      <w:pPr>
        <w:spacing w:after="0" w:line="240" w:lineRule="auto"/>
        <w:ind w:firstLine="360"/>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Для анализа взаимозависимости между исследуемыми признаками был использован коэффициент корреляции Спирмена. Полученные результаты интерпретировались с учётом степени тесноты связи, определяемой на основании шкалы Че</w:t>
      </w:r>
      <w:r>
        <w:rPr>
          <w:rFonts w:ascii="Times New Roman" w:eastAsia="Times New Roman" w:hAnsi="Times New Roman" w:cs="Times New Roman"/>
          <w:sz w:val="28"/>
          <w:szCs w:val="28"/>
        </w:rPr>
        <w:t xml:space="preserve">ддока, что позволило более точно оценить силу и направление корреляционных связей [201, стр.390]. </w:t>
      </w:r>
    </w:p>
    <w:p w:rsidR="000A3797" w:rsidRDefault="00A660E7">
      <w:pPr>
        <w:spacing w:after="0" w:line="240" w:lineRule="auto"/>
        <w:ind w:firstLine="360"/>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Результаты в динамике до и после лечения и определения уровня грамотности оценивали в обеих группах для количественных данных c помощью критериев Уилкоксона </w:t>
      </w:r>
      <w:r>
        <w:rPr>
          <w:rFonts w:ascii="Times New Roman" w:eastAsia="Times New Roman" w:hAnsi="Times New Roman" w:cs="Times New Roman"/>
          <w:sz w:val="28"/>
          <w:szCs w:val="28"/>
        </w:rPr>
        <w:t xml:space="preserve">для распределения отличного от нормального и парного t-критерий Стьюдента для данных, подчиняющихся закону нормального распределения, для номинальных данных - критерий Макнемара [201, стр.390]. </w:t>
      </w:r>
    </w:p>
    <w:p w:rsidR="000A3797" w:rsidRDefault="00A660E7">
      <w:pPr>
        <w:spacing w:after="0" w:line="240" w:lineRule="auto"/>
        <w:ind w:firstLine="360"/>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Для прогнозирование риска формирования пролапса тазовых органов  относительно силы мышц тазового дна был проведен Roc-анализ, установлено порогового значения  в точке cut-off  с определением чувствительности и специфичности. Уровень статистической значимос</w:t>
      </w:r>
      <w:r>
        <w:rPr>
          <w:rFonts w:ascii="Times New Roman" w:eastAsia="Times New Roman" w:hAnsi="Times New Roman" w:cs="Times New Roman"/>
          <w:sz w:val="28"/>
          <w:szCs w:val="28"/>
        </w:rPr>
        <w:t>ти определяли как р</w:t>
      </w:r>
      <m:oMath>
        <m:r>
          <w:rPr>
            <w:rFonts w:ascii="Cambria Math" w:eastAsia="Cambria Math" w:hAnsi="Cambria Math" w:cs="Cambria Math"/>
            <w:sz w:val="28"/>
            <w:szCs w:val="28"/>
          </w:rPr>
          <m:t>&lt;</m:t>
        </m:r>
      </m:oMath>
      <w:r>
        <w:rPr>
          <w:rFonts w:ascii="Times New Roman" w:eastAsia="Times New Roman" w:hAnsi="Times New Roman" w:cs="Times New Roman"/>
          <w:sz w:val="28"/>
          <w:szCs w:val="28"/>
        </w:rPr>
        <w:t>0,05 [201, стр.390].</w:t>
      </w:r>
    </w:p>
    <w:p w:rsidR="000A3797" w:rsidRDefault="000A3797">
      <w:pPr>
        <w:spacing w:after="0" w:line="240" w:lineRule="auto"/>
        <w:ind w:firstLine="708"/>
        <w:jc w:val="both"/>
        <w:rPr>
          <w:rFonts w:ascii="Times New Roman" w:eastAsia="Times New Roman" w:hAnsi="Times New Roman" w:cs="Times New Roman"/>
          <w:sz w:val="28"/>
          <w:szCs w:val="28"/>
        </w:rPr>
      </w:pPr>
    </w:p>
    <w:p w:rsidR="000A3797" w:rsidRDefault="00A660E7">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2.7 Восьмой этап исследования. Методика оценки знаний пациентов с ГП до и после ознакомления с материалами электронного ресурса: Prolaps-monitoring</w:t>
      </w:r>
    </w:p>
    <w:p w:rsidR="000A3797" w:rsidRDefault="000A3797">
      <w:pPr>
        <w:spacing w:after="0" w:line="240" w:lineRule="auto"/>
        <w:jc w:val="both"/>
        <w:rPr>
          <w:rFonts w:ascii="Times New Roman" w:eastAsia="Times New Roman" w:hAnsi="Times New Roman" w:cs="Times New Roman"/>
          <w:b/>
          <w:sz w:val="28"/>
          <w:szCs w:val="28"/>
        </w:rPr>
      </w:pP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Дизайн исследования – поперечное </w:t>
      </w:r>
    </w:p>
    <w:p w:rsidR="000A3797" w:rsidRDefault="00A660E7">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Объем выборки </w:t>
      </w:r>
      <w:r>
        <w:rPr>
          <w:rFonts w:ascii="Times New Roman" w:eastAsia="Times New Roman" w:hAnsi="Times New Roman" w:cs="Times New Roman"/>
          <w:sz w:val="28"/>
          <w:szCs w:val="28"/>
        </w:rPr>
        <w:t>рассчитан описанн</w:t>
      </w:r>
      <w:r>
        <w:rPr>
          <w:rFonts w:ascii="Times New Roman" w:eastAsia="Times New Roman" w:hAnsi="Times New Roman" w:cs="Times New Roman"/>
          <w:sz w:val="28"/>
          <w:szCs w:val="28"/>
        </w:rPr>
        <w:t>ыми методами в разделе  2.2.2</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Материалы:</w:t>
      </w:r>
      <w:r>
        <w:rPr>
          <w:rFonts w:ascii="Times New Roman" w:eastAsia="Times New Roman" w:hAnsi="Times New Roman" w:cs="Times New Roman"/>
          <w:sz w:val="28"/>
          <w:szCs w:val="28"/>
        </w:rPr>
        <w:t xml:space="preserve"> 245 пациентов с генитальным пролапсом</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Пациенты были направлены из следующих поликлиник города: №1, №3, № 4, №12, №13, №15, № 17, ТОО Ls Clinic [199].</w:t>
      </w:r>
    </w:p>
    <w:p w:rsidR="000A3797" w:rsidRDefault="00A660E7">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Методы:</w:t>
      </w:r>
    </w:p>
    <w:p w:rsidR="000A3797" w:rsidRDefault="00A660E7">
      <w:pPr>
        <w:spacing w:after="0"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Вмешательство. Анкетирование</w:t>
      </w:r>
      <w:r>
        <w:rPr>
          <w:rFonts w:ascii="Times New Roman" w:eastAsia="Times New Roman" w:hAnsi="Times New Roman" w:cs="Times New Roman"/>
          <w:sz w:val="28"/>
          <w:szCs w:val="28"/>
        </w:rPr>
        <w:t xml:space="preserve"> проведено с помощью авторского опросника «Оценка знаний о генитальном пролапсе» (Приложение Д) до и после ознакомления с Руководством по генитальному пролапсу для женщин (Әйелдерге арналған жыныстық пролапс бойынша нұсқаулық (авторское свидетельство № 314</w:t>
      </w:r>
      <w:r>
        <w:rPr>
          <w:rFonts w:ascii="Times New Roman" w:eastAsia="Times New Roman" w:hAnsi="Times New Roman" w:cs="Times New Roman"/>
          <w:sz w:val="28"/>
          <w:szCs w:val="28"/>
        </w:rPr>
        <w:t xml:space="preserve">97 от 30.12.22г, Приложение Е) [209].и другими материалами электронного ресурса </w:t>
      </w:r>
      <w:hyperlink r:id="rId12">
        <w:r>
          <w:rPr>
            <w:rFonts w:ascii="Times New Roman" w:eastAsia="Times New Roman" w:hAnsi="Times New Roman" w:cs="Times New Roman"/>
            <w:b/>
            <w:color w:val="000000"/>
            <w:sz w:val="28"/>
            <w:szCs w:val="28"/>
            <w:u w:val="single"/>
          </w:rPr>
          <w:t>https://www.prolaps-monitoring.com</w:t>
        </w:r>
      </w:hyperlink>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 xml:space="preserve">(Приложение Н) </w:t>
      </w:r>
      <w:r>
        <w:rPr>
          <w:rFonts w:ascii="Times New Roman" w:eastAsia="Times New Roman" w:hAnsi="Times New Roman" w:cs="Times New Roman"/>
          <w:sz w:val="28"/>
          <w:szCs w:val="28"/>
        </w:rPr>
        <w:t>[210, стр.187].</w:t>
      </w:r>
      <w:r>
        <w:rPr>
          <w:rFonts w:ascii="Times New Roman" w:eastAsia="Times New Roman" w:hAnsi="Times New Roman" w:cs="Times New Roman"/>
          <w:color w:val="000000"/>
          <w:sz w:val="28"/>
          <w:szCs w:val="28"/>
        </w:rPr>
        <w:t xml:space="preserve">Оценка уровня знаний проводилась дважды с интервалом в две недели. Помимо оценки знаний пациентам было задано еще три вопроса </w:t>
      </w:r>
      <w:r>
        <w:rPr>
          <w:rFonts w:ascii="Times New Roman" w:eastAsia="Times New Roman" w:hAnsi="Times New Roman" w:cs="Times New Roman"/>
          <w:sz w:val="28"/>
          <w:szCs w:val="28"/>
        </w:rPr>
        <w:t xml:space="preserve"> вопроса, касающихся уровня образования, получения информации о пролапсе на уровне ПМСП при первичном обращении, самостоятельного </w:t>
      </w:r>
      <w:r>
        <w:rPr>
          <w:rFonts w:ascii="Times New Roman" w:eastAsia="Times New Roman" w:hAnsi="Times New Roman" w:cs="Times New Roman"/>
          <w:sz w:val="28"/>
          <w:szCs w:val="28"/>
        </w:rPr>
        <w:t>изучения информации об опущении [210, стр. 187]. Мы хотели оценить информированность пациентов при первичном обращении в поликлинику, а также владели ли пациенты какой - либо информацией о ГП в результате самостоятельного поиска информации, чтобы определит</w:t>
      </w:r>
      <w:r>
        <w:rPr>
          <w:rFonts w:ascii="Times New Roman" w:eastAsia="Times New Roman" w:hAnsi="Times New Roman" w:cs="Times New Roman"/>
          <w:sz w:val="28"/>
          <w:szCs w:val="28"/>
        </w:rPr>
        <w:t>ь влияло ли это положительно на уровень их знаний. Затем, через две недели после ознакомление с материалами электронного ресурса мы снова оценили знания, с целью определения влияния электронного ресурса на медицинскую грамотность.</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sz w:val="28"/>
          <w:szCs w:val="28"/>
        </w:rPr>
        <w:t>Пациентам с информирован</w:t>
      </w:r>
      <w:r>
        <w:rPr>
          <w:rFonts w:ascii="Times New Roman" w:eastAsia="Times New Roman" w:hAnsi="Times New Roman" w:cs="Times New Roman"/>
          <w:sz w:val="28"/>
          <w:szCs w:val="28"/>
        </w:rPr>
        <w:t>ного добровольного согласия задано 6 вопросов, состоящих из пунктов посвящены знаниям о пролапсе, за каждый правильно отмеченный пункт начисляется 1 балл, 2 вопроса о пролапсе и его симптомах, максимальное количество баллов – 11; 2 оценивают знания о факто</w:t>
      </w:r>
      <w:r>
        <w:rPr>
          <w:rFonts w:ascii="Times New Roman" w:eastAsia="Times New Roman" w:hAnsi="Times New Roman" w:cs="Times New Roman"/>
          <w:sz w:val="28"/>
          <w:szCs w:val="28"/>
        </w:rPr>
        <w:t>рах риска, максимальное количество баллов – 11 , 2 вопроса профилактики – 8 баллов, Уровень знаний оценивался по шкале с максимальным значением 30 баллов.</w:t>
      </w:r>
    </w:p>
    <w:p w:rsidR="000A3797" w:rsidRDefault="000A3797">
      <w:pPr>
        <w:spacing w:after="0" w:line="240" w:lineRule="auto"/>
        <w:ind w:firstLine="360"/>
        <w:jc w:val="both"/>
        <w:rPr>
          <w:rFonts w:ascii="Times New Roman" w:eastAsia="Times New Roman" w:hAnsi="Times New Roman" w:cs="Times New Roman"/>
          <w:sz w:val="28"/>
          <w:szCs w:val="28"/>
        </w:rPr>
      </w:pP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Статистический анализ: </w:t>
      </w:r>
      <w:r>
        <w:rPr>
          <w:rFonts w:ascii="Times New Roman" w:eastAsia="Times New Roman" w:hAnsi="Times New Roman" w:cs="Times New Roman"/>
          <w:sz w:val="28"/>
          <w:szCs w:val="28"/>
        </w:rPr>
        <w:t xml:space="preserve">выполнен в программе SPSS-statistic 26.0. Для оценки  статистически значимых </w:t>
      </w:r>
      <w:r>
        <w:rPr>
          <w:rFonts w:ascii="Times New Roman" w:eastAsia="Times New Roman" w:hAnsi="Times New Roman" w:cs="Times New Roman"/>
          <w:sz w:val="28"/>
          <w:szCs w:val="28"/>
        </w:rPr>
        <w:t xml:space="preserve">различий уровня  в динамике был применен критерий Уилкоксона. </w:t>
      </w:r>
      <m:oMath>
        <m:r>
          <w:rPr>
            <w:rFonts w:ascii="Cambria Math" w:eastAsia="Cambria Math" w:hAnsi="Cambria Math" w:cs="Cambria Math"/>
            <w:sz w:val="28"/>
            <w:szCs w:val="28"/>
          </w:rPr>
          <m:t>Р-оценка &lt;0,05</m:t>
        </m:r>
      </m:oMath>
      <w:r>
        <w:rPr>
          <w:rFonts w:ascii="Times New Roman" w:eastAsia="Times New Roman" w:hAnsi="Times New Roman" w:cs="Times New Roman"/>
          <w:sz w:val="28"/>
          <w:szCs w:val="28"/>
        </w:rPr>
        <w:t xml:space="preserve"> была принята за критическую [210, стр. 187].</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Взаимосвязь уровня знаний с уровнем образования, получения сведений о пролапсе на уровне ПМСП и от самостоятельного изучения данной пр</w:t>
      </w:r>
      <w:r>
        <w:rPr>
          <w:rFonts w:ascii="Times New Roman" w:eastAsia="Times New Roman" w:hAnsi="Times New Roman" w:cs="Times New Roman"/>
          <w:sz w:val="28"/>
          <w:szCs w:val="28"/>
        </w:rPr>
        <w:t>облемы  оценена по коэффициенту корреляции Спирмена (ККС), с 0,3-0,699 корреляция принята как допустимая, от 0,7 и выше – сильная. Уровень статистической значимости определяли как р</w:t>
      </w:r>
      <m:oMath>
        <m:r>
          <w:rPr>
            <w:rFonts w:ascii="Cambria Math" w:eastAsia="Cambria Math" w:hAnsi="Cambria Math" w:cs="Cambria Math"/>
            <w:sz w:val="28"/>
            <w:szCs w:val="28"/>
          </w:rPr>
          <m:t>&lt;</m:t>
        </m:r>
      </m:oMath>
      <w:r>
        <w:rPr>
          <w:rFonts w:ascii="Times New Roman" w:eastAsia="Times New Roman" w:hAnsi="Times New Roman" w:cs="Times New Roman"/>
          <w:sz w:val="28"/>
          <w:szCs w:val="28"/>
        </w:rPr>
        <w:t>0,05 [210, стр. 187].</w:t>
      </w:r>
    </w:p>
    <w:p w:rsidR="000A3797" w:rsidRDefault="000A3797">
      <w:pPr>
        <w:spacing w:after="0" w:line="240" w:lineRule="auto"/>
        <w:jc w:val="both"/>
        <w:rPr>
          <w:rFonts w:ascii="Times New Roman" w:eastAsia="Times New Roman" w:hAnsi="Times New Roman" w:cs="Times New Roman"/>
          <w:sz w:val="28"/>
          <w:szCs w:val="28"/>
        </w:rPr>
      </w:pPr>
    </w:p>
    <w:p w:rsidR="000A3797" w:rsidRDefault="000A3797">
      <w:pPr>
        <w:spacing w:after="0" w:line="240" w:lineRule="auto"/>
        <w:jc w:val="both"/>
        <w:rPr>
          <w:rFonts w:ascii="Times New Roman" w:eastAsia="Times New Roman" w:hAnsi="Times New Roman" w:cs="Times New Roman"/>
          <w:sz w:val="28"/>
          <w:szCs w:val="28"/>
        </w:rPr>
      </w:pPr>
    </w:p>
    <w:p w:rsidR="000A3797" w:rsidRDefault="000A3797">
      <w:pPr>
        <w:spacing w:after="0" w:line="240" w:lineRule="auto"/>
        <w:jc w:val="both"/>
        <w:rPr>
          <w:rFonts w:ascii="Times New Roman" w:eastAsia="Times New Roman" w:hAnsi="Times New Roman" w:cs="Times New Roman"/>
          <w:sz w:val="28"/>
          <w:szCs w:val="28"/>
        </w:rPr>
      </w:pPr>
    </w:p>
    <w:p w:rsidR="000A3797" w:rsidRDefault="000A3797">
      <w:pPr>
        <w:spacing w:after="0" w:line="240" w:lineRule="auto"/>
        <w:jc w:val="both"/>
        <w:rPr>
          <w:rFonts w:ascii="Times New Roman" w:eastAsia="Times New Roman" w:hAnsi="Times New Roman" w:cs="Times New Roman"/>
          <w:sz w:val="28"/>
          <w:szCs w:val="28"/>
        </w:rPr>
      </w:pPr>
    </w:p>
    <w:p w:rsidR="000A3797" w:rsidRDefault="000A3797">
      <w:pPr>
        <w:spacing w:after="0" w:line="240" w:lineRule="auto"/>
        <w:jc w:val="both"/>
        <w:rPr>
          <w:rFonts w:ascii="Times New Roman" w:eastAsia="Times New Roman" w:hAnsi="Times New Roman" w:cs="Times New Roman"/>
          <w:sz w:val="28"/>
          <w:szCs w:val="28"/>
        </w:rPr>
      </w:pPr>
    </w:p>
    <w:p w:rsidR="000A3797" w:rsidRDefault="000A3797">
      <w:pPr>
        <w:spacing w:after="0" w:line="240" w:lineRule="auto"/>
        <w:jc w:val="both"/>
        <w:rPr>
          <w:rFonts w:ascii="Times New Roman" w:eastAsia="Times New Roman" w:hAnsi="Times New Roman" w:cs="Times New Roman"/>
          <w:sz w:val="28"/>
          <w:szCs w:val="28"/>
        </w:rPr>
      </w:pPr>
    </w:p>
    <w:p w:rsidR="000A3797" w:rsidRDefault="000A3797">
      <w:pPr>
        <w:spacing w:after="0" w:line="240" w:lineRule="auto"/>
        <w:jc w:val="both"/>
        <w:rPr>
          <w:rFonts w:ascii="Times New Roman" w:eastAsia="Times New Roman" w:hAnsi="Times New Roman" w:cs="Times New Roman"/>
          <w:sz w:val="28"/>
          <w:szCs w:val="28"/>
        </w:rPr>
      </w:pPr>
    </w:p>
    <w:p w:rsidR="000A3797" w:rsidRDefault="000A3797">
      <w:pPr>
        <w:spacing w:after="0" w:line="240" w:lineRule="auto"/>
        <w:jc w:val="both"/>
        <w:rPr>
          <w:rFonts w:ascii="Times New Roman" w:eastAsia="Times New Roman" w:hAnsi="Times New Roman" w:cs="Times New Roman"/>
          <w:sz w:val="28"/>
          <w:szCs w:val="28"/>
        </w:rPr>
      </w:pPr>
    </w:p>
    <w:p w:rsidR="000A3797" w:rsidRDefault="000A3797">
      <w:pPr>
        <w:spacing w:after="0" w:line="240" w:lineRule="auto"/>
        <w:jc w:val="both"/>
        <w:rPr>
          <w:rFonts w:ascii="Times New Roman" w:eastAsia="Times New Roman" w:hAnsi="Times New Roman" w:cs="Times New Roman"/>
          <w:sz w:val="28"/>
          <w:szCs w:val="28"/>
        </w:rPr>
      </w:pPr>
    </w:p>
    <w:p w:rsidR="000A3797" w:rsidRDefault="000A3797">
      <w:pPr>
        <w:spacing w:after="0" w:line="240" w:lineRule="auto"/>
        <w:jc w:val="both"/>
        <w:rPr>
          <w:rFonts w:ascii="Times New Roman" w:eastAsia="Times New Roman" w:hAnsi="Times New Roman" w:cs="Times New Roman"/>
          <w:sz w:val="28"/>
          <w:szCs w:val="28"/>
        </w:rPr>
      </w:pPr>
    </w:p>
    <w:p w:rsidR="000A3797" w:rsidRDefault="000A3797">
      <w:pPr>
        <w:spacing w:after="0" w:line="240" w:lineRule="auto"/>
        <w:jc w:val="both"/>
        <w:rPr>
          <w:rFonts w:ascii="Times New Roman" w:eastAsia="Times New Roman" w:hAnsi="Times New Roman" w:cs="Times New Roman"/>
          <w:sz w:val="28"/>
          <w:szCs w:val="28"/>
        </w:rPr>
      </w:pPr>
    </w:p>
    <w:p w:rsidR="000A3797" w:rsidRDefault="000A3797">
      <w:pPr>
        <w:spacing w:after="0" w:line="240" w:lineRule="auto"/>
        <w:jc w:val="both"/>
        <w:rPr>
          <w:rFonts w:ascii="Times New Roman" w:eastAsia="Times New Roman" w:hAnsi="Times New Roman" w:cs="Times New Roman"/>
          <w:sz w:val="28"/>
          <w:szCs w:val="28"/>
        </w:rPr>
      </w:pPr>
    </w:p>
    <w:p w:rsidR="000A3797" w:rsidRDefault="000A3797">
      <w:pPr>
        <w:spacing w:after="0" w:line="240" w:lineRule="auto"/>
        <w:jc w:val="both"/>
        <w:rPr>
          <w:rFonts w:ascii="Times New Roman" w:eastAsia="Times New Roman" w:hAnsi="Times New Roman" w:cs="Times New Roman"/>
          <w:sz w:val="28"/>
          <w:szCs w:val="28"/>
        </w:rPr>
      </w:pPr>
    </w:p>
    <w:p w:rsidR="000A3797" w:rsidRDefault="000A3797">
      <w:pPr>
        <w:spacing w:after="0" w:line="240" w:lineRule="auto"/>
        <w:jc w:val="both"/>
        <w:rPr>
          <w:rFonts w:ascii="Times New Roman" w:eastAsia="Times New Roman" w:hAnsi="Times New Roman" w:cs="Times New Roman"/>
          <w:b/>
          <w:sz w:val="28"/>
          <w:szCs w:val="28"/>
        </w:rPr>
      </w:pPr>
    </w:p>
    <w:p w:rsidR="000A3797" w:rsidRDefault="00A660E7">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 РЕЗУЛЬТАТЫ ИССЛЕДОВАНИЯ</w:t>
      </w:r>
    </w:p>
    <w:p w:rsidR="000A3797" w:rsidRDefault="00A660E7">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3.1 Динамика пролеченных случаев генитального пролапса с 2012-2021гг</w:t>
      </w:r>
    </w:p>
    <w:p w:rsidR="000A3797" w:rsidRDefault="00A660E7">
      <w:pPr>
        <w:spacing w:after="0" w:line="240" w:lineRule="auto"/>
        <w:ind w:firstLine="360"/>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В течение всего исследуемого периода, за исключением 2018 и 2020 годов, наблюдался рост количества пролеченных случаев в Республике Казахстан [192, стр. 278].  Различие в объёмах лечения,</w:t>
      </w:r>
      <w:r>
        <w:rPr>
          <w:rFonts w:ascii="Times New Roman" w:eastAsia="Times New Roman" w:hAnsi="Times New Roman" w:cs="Times New Roman"/>
          <w:sz w:val="28"/>
          <w:szCs w:val="28"/>
          <w:highlight w:val="white"/>
        </w:rPr>
        <w:t xml:space="preserve"> проведённого в 2021 году по сравнению с 2012 годом, оказалось статистически значимым (p&lt;0,001) (Рисунок 1) [192, стр. 278]. В среднем за счёт средств республиканского бюджета ежегодно финансировалось лечение 2665,2 случая (Таблица 5) [192, стр. 278]. Сред</w:t>
      </w:r>
      <w:r>
        <w:rPr>
          <w:rFonts w:ascii="Times New Roman" w:eastAsia="Times New Roman" w:hAnsi="Times New Roman" w:cs="Times New Roman"/>
          <w:sz w:val="28"/>
          <w:szCs w:val="28"/>
          <w:highlight w:val="white"/>
        </w:rPr>
        <w:t>негодовой прирост составлял 561 случай, что эквивалентно 8% в относительных показателях (Таблица 5) [192, стр. 278].</w:t>
      </w:r>
    </w:p>
    <w:p w:rsidR="000A3797" w:rsidRDefault="000A3797">
      <w:pPr>
        <w:spacing w:after="0" w:line="240" w:lineRule="auto"/>
        <w:ind w:firstLine="360"/>
        <w:rPr>
          <w:rFonts w:ascii="Times New Roman" w:eastAsia="Times New Roman" w:hAnsi="Times New Roman" w:cs="Times New Roman"/>
          <w:sz w:val="28"/>
          <w:szCs w:val="28"/>
        </w:rPr>
      </w:pPr>
    </w:p>
    <w:tbl>
      <w:tblPr>
        <w:tblStyle w:val="aa"/>
        <w:tblpPr w:leftFromText="180" w:rightFromText="180" w:vertAnchor="text" w:tblpY="864"/>
        <w:tblW w:w="658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876"/>
        <w:gridCol w:w="993"/>
        <w:gridCol w:w="850"/>
        <w:gridCol w:w="992"/>
        <w:gridCol w:w="851"/>
        <w:gridCol w:w="892"/>
      </w:tblGrid>
      <w:tr w:rsidR="000A3797">
        <w:tc>
          <w:tcPr>
            <w:tcW w:w="1129"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год</w:t>
            </w:r>
          </w:p>
        </w:tc>
        <w:tc>
          <w:tcPr>
            <w:tcW w:w="876"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yi </w:t>
            </w:r>
            <w:r>
              <w:rPr>
                <w:rFonts w:ascii="Times New Roman" w:eastAsia="Times New Roman" w:hAnsi="Times New Roman" w:cs="Times New Roman"/>
                <w:sz w:val="24"/>
                <w:szCs w:val="24"/>
                <w:vertAlign w:val="subscript"/>
              </w:rPr>
              <w:t>(n)</w:t>
            </w:r>
          </w:p>
        </w:tc>
        <w:tc>
          <w:tcPr>
            <w:tcW w:w="993"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ΔY.</w:t>
            </w:r>
          </w:p>
        </w:tc>
        <w:tc>
          <w:tcPr>
            <w:tcW w:w="850"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k</w:t>
            </w:r>
          </w:p>
        </w:tc>
        <w:tc>
          <w:tcPr>
            <w:tcW w:w="992"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K ’</w:t>
            </w:r>
          </w:p>
        </w:tc>
        <w:tc>
          <w:tcPr>
            <w:tcW w:w="851"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K ’’</w:t>
            </w:r>
          </w:p>
        </w:tc>
        <w:tc>
          <w:tcPr>
            <w:tcW w:w="892"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p-value</w:t>
            </w:r>
          </w:p>
        </w:tc>
      </w:tr>
      <w:tr w:rsidR="000A3797">
        <w:tc>
          <w:tcPr>
            <w:tcW w:w="1129"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2012</w:t>
            </w:r>
          </w:p>
        </w:tc>
        <w:tc>
          <w:tcPr>
            <w:tcW w:w="876"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1516</w:t>
            </w:r>
          </w:p>
        </w:tc>
        <w:tc>
          <w:tcPr>
            <w:tcW w:w="993" w:type="dxa"/>
          </w:tcPr>
          <w:p w:rsidR="000A3797" w:rsidRDefault="000A3797">
            <w:pPr>
              <w:jc w:val="center"/>
              <w:rPr>
                <w:rFonts w:ascii="Times New Roman" w:eastAsia="Times New Roman" w:hAnsi="Times New Roman" w:cs="Times New Roman"/>
                <w:sz w:val="24"/>
                <w:szCs w:val="24"/>
              </w:rPr>
            </w:pPr>
          </w:p>
        </w:tc>
        <w:tc>
          <w:tcPr>
            <w:tcW w:w="850"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992"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851"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892" w:type="dxa"/>
            <w:vMerge w:val="restart"/>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r>
      <w:tr w:rsidR="000A3797">
        <w:tc>
          <w:tcPr>
            <w:tcW w:w="1129"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2013</w:t>
            </w:r>
          </w:p>
        </w:tc>
        <w:tc>
          <w:tcPr>
            <w:tcW w:w="876"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1856</w:t>
            </w:r>
          </w:p>
        </w:tc>
        <w:tc>
          <w:tcPr>
            <w:tcW w:w="993"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340</w:t>
            </w:r>
          </w:p>
        </w:tc>
        <w:tc>
          <w:tcPr>
            <w:tcW w:w="850"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1,22</w:t>
            </w:r>
          </w:p>
        </w:tc>
        <w:tc>
          <w:tcPr>
            <w:tcW w:w="992"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122</w:t>
            </w:r>
          </w:p>
        </w:tc>
        <w:tc>
          <w:tcPr>
            <w:tcW w:w="851"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89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129"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2014</w:t>
            </w:r>
          </w:p>
        </w:tc>
        <w:tc>
          <w:tcPr>
            <w:tcW w:w="876"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2079</w:t>
            </w:r>
          </w:p>
        </w:tc>
        <w:tc>
          <w:tcPr>
            <w:tcW w:w="993"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223</w:t>
            </w:r>
          </w:p>
        </w:tc>
        <w:tc>
          <w:tcPr>
            <w:tcW w:w="850"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1,37</w:t>
            </w:r>
          </w:p>
        </w:tc>
        <w:tc>
          <w:tcPr>
            <w:tcW w:w="992"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137</w:t>
            </w:r>
          </w:p>
        </w:tc>
        <w:tc>
          <w:tcPr>
            <w:tcW w:w="851"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37</w:t>
            </w:r>
          </w:p>
        </w:tc>
        <w:tc>
          <w:tcPr>
            <w:tcW w:w="89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129"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2015</w:t>
            </w:r>
          </w:p>
        </w:tc>
        <w:tc>
          <w:tcPr>
            <w:tcW w:w="876"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2352</w:t>
            </w:r>
          </w:p>
        </w:tc>
        <w:tc>
          <w:tcPr>
            <w:tcW w:w="993"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273</w:t>
            </w:r>
          </w:p>
        </w:tc>
        <w:tc>
          <w:tcPr>
            <w:tcW w:w="850"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1,55</w:t>
            </w:r>
          </w:p>
        </w:tc>
        <w:tc>
          <w:tcPr>
            <w:tcW w:w="992"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155</w:t>
            </w:r>
          </w:p>
        </w:tc>
        <w:tc>
          <w:tcPr>
            <w:tcW w:w="851"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55</w:t>
            </w:r>
          </w:p>
        </w:tc>
        <w:tc>
          <w:tcPr>
            <w:tcW w:w="89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129"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2016</w:t>
            </w:r>
          </w:p>
        </w:tc>
        <w:tc>
          <w:tcPr>
            <w:tcW w:w="876"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3109</w:t>
            </w:r>
          </w:p>
        </w:tc>
        <w:tc>
          <w:tcPr>
            <w:tcW w:w="993"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757</w:t>
            </w:r>
          </w:p>
        </w:tc>
        <w:tc>
          <w:tcPr>
            <w:tcW w:w="850"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2,05</w:t>
            </w:r>
          </w:p>
        </w:tc>
        <w:tc>
          <w:tcPr>
            <w:tcW w:w="992"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205</w:t>
            </w:r>
          </w:p>
        </w:tc>
        <w:tc>
          <w:tcPr>
            <w:tcW w:w="851"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105</w:t>
            </w:r>
          </w:p>
        </w:tc>
        <w:tc>
          <w:tcPr>
            <w:tcW w:w="89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129"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2017</w:t>
            </w:r>
          </w:p>
        </w:tc>
        <w:tc>
          <w:tcPr>
            <w:tcW w:w="876"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3414</w:t>
            </w:r>
          </w:p>
        </w:tc>
        <w:tc>
          <w:tcPr>
            <w:tcW w:w="993"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305</w:t>
            </w:r>
          </w:p>
        </w:tc>
        <w:tc>
          <w:tcPr>
            <w:tcW w:w="850"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2,25</w:t>
            </w:r>
          </w:p>
        </w:tc>
        <w:tc>
          <w:tcPr>
            <w:tcW w:w="992"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225</w:t>
            </w:r>
          </w:p>
        </w:tc>
        <w:tc>
          <w:tcPr>
            <w:tcW w:w="851"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125</w:t>
            </w:r>
          </w:p>
        </w:tc>
        <w:tc>
          <w:tcPr>
            <w:tcW w:w="89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129"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2018</w:t>
            </w:r>
          </w:p>
        </w:tc>
        <w:tc>
          <w:tcPr>
            <w:tcW w:w="876"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3221</w:t>
            </w:r>
          </w:p>
        </w:tc>
        <w:tc>
          <w:tcPr>
            <w:tcW w:w="993"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-193</w:t>
            </w:r>
          </w:p>
        </w:tc>
        <w:tc>
          <w:tcPr>
            <w:tcW w:w="850"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2,12</w:t>
            </w:r>
          </w:p>
        </w:tc>
        <w:tc>
          <w:tcPr>
            <w:tcW w:w="992"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212</w:t>
            </w:r>
          </w:p>
        </w:tc>
        <w:tc>
          <w:tcPr>
            <w:tcW w:w="851"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112</w:t>
            </w:r>
          </w:p>
        </w:tc>
        <w:tc>
          <w:tcPr>
            <w:tcW w:w="89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129"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2019</w:t>
            </w:r>
          </w:p>
        </w:tc>
        <w:tc>
          <w:tcPr>
            <w:tcW w:w="876"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3274</w:t>
            </w:r>
          </w:p>
        </w:tc>
        <w:tc>
          <w:tcPr>
            <w:tcW w:w="993"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53</w:t>
            </w:r>
          </w:p>
        </w:tc>
        <w:tc>
          <w:tcPr>
            <w:tcW w:w="850"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2,16</w:t>
            </w:r>
          </w:p>
        </w:tc>
        <w:tc>
          <w:tcPr>
            <w:tcW w:w="992"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216</w:t>
            </w:r>
          </w:p>
        </w:tc>
        <w:tc>
          <w:tcPr>
            <w:tcW w:w="851"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116</w:t>
            </w:r>
          </w:p>
        </w:tc>
        <w:tc>
          <w:tcPr>
            <w:tcW w:w="89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129"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2020</w:t>
            </w:r>
          </w:p>
        </w:tc>
        <w:tc>
          <w:tcPr>
            <w:tcW w:w="876"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2616</w:t>
            </w:r>
          </w:p>
        </w:tc>
        <w:tc>
          <w:tcPr>
            <w:tcW w:w="993"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-658</w:t>
            </w:r>
          </w:p>
        </w:tc>
        <w:tc>
          <w:tcPr>
            <w:tcW w:w="850"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1,73</w:t>
            </w:r>
          </w:p>
        </w:tc>
        <w:tc>
          <w:tcPr>
            <w:tcW w:w="992"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173</w:t>
            </w:r>
          </w:p>
        </w:tc>
        <w:tc>
          <w:tcPr>
            <w:tcW w:w="851"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73</w:t>
            </w:r>
          </w:p>
        </w:tc>
        <w:tc>
          <w:tcPr>
            <w:tcW w:w="89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129"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2021</w:t>
            </w:r>
          </w:p>
        </w:tc>
        <w:tc>
          <w:tcPr>
            <w:tcW w:w="876"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3215</w:t>
            </w:r>
          </w:p>
        </w:tc>
        <w:tc>
          <w:tcPr>
            <w:tcW w:w="993"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599</w:t>
            </w:r>
          </w:p>
        </w:tc>
        <w:tc>
          <w:tcPr>
            <w:tcW w:w="850"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2,12</w:t>
            </w:r>
          </w:p>
        </w:tc>
        <w:tc>
          <w:tcPr>
            <w:tcW w:w="992"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212</w:t>
            </w:r>
          </w:p>
        </w:tc>
        <w:tc>
          <w:tcPr>
            <w:tcW w:w="851"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112</w:t>
            </w:r>
          </w:p>
        </w:tc>
        <w:tc>
          <w:tcPr>
            <w:tcW w:w="89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129" w:type="dxa"/>
          </w:tcPr>
          <w:p w:rsidR="000A3797" w:rsidRDefault="000A3797">
            <w:pPr>
              <w:jc w:val="center"/>
              <w:rPr>
                <w:rFonts w:ascii="Times New Roman" w:eastAsia="Times New Roman" w:hAnsi="Times New Roman" w:cs="Times New Roman"/>
                <w:sz w:val="24"/>
                <w:szCs w:val="24"/>
              </w:rPr>
            </w:pPr>
          </w:p>
        </w:tc>
        <w:tc>
          <w:tcPr>
            <w:tcW w:w="876" w:type="dxa"/>
          </w:tcPr>
          <w:p w:rsidR="000A3797" w:rsidRDefault="000A3797">
            <w:pPr>
              <w:jc w:val="center"/>
              <w:rPr>
                <w:rFonts w:ascii="Times New Roman" w:eastAsia="Times New Roman" w:hAnsi="Times New Roman" w:cs="Times New Roman"/>
                <w:sz w:val="24"/>
                <w:szCs w:val="24"/>
              </w:rPr>
            </w:pPr>
          </w:p>
        </w:tc>
        <w:tc>
          <w:tcPr>
            <w:tcW w:w="993" w:type="dxa"/>
          </w:tcPr>
          <w:p w:rsidR="000A3797" w:rsidRDefault="000A3797">
            <w:pPr>
              <w:jc w:val="center"/>
              <w:rPr>
                <w:rFonts w:ascii="Times New Roman" w:eastAsia="Times New Roman" w:hAnsi="Times New Roman" w:cs="Times New Roman"/>
                <w:sz w:val="24"/>
                <w:szCs w:val="24"/>
              </w:rPr>
            </w:pPr>
          </w:p>
        </w:tc>
        <w:tc>
          <w:tcPr>
            <w:tcW w:w="850" w:type="dxa"/>
          </w:tcPr>
          <w:p w:rsidR="000A3797" w:rsidRDefault="000A3797">
            <w:pPr>
              <w:jc w:val="center"/>
              <w:rPr>
                <w:rFonts w:ascii="Times New Roman" w:eastAsia="Times New Roman" w:hAnsi="Times New Roman" w:cs="Times New Roman"/>
                <w:sz w:val="24"/>
                <w:szCs w:val="24"/>
              </w:rPr>
            </w:pPr>
          </w:p>
        </w:tc>
        <w:tc>
          <w:tcPr>
            <w:tcW w:w="992" w:type="dxa"/>
          </w:tcPr>
          <w:p w:rsidR="000A3797" w:rsidRDefault="000A3797">
            <w:pPr>
              <w:jc w:val="center"/>
              <w:rPr>
                <w:rFonts w:ascii="Times New Roman" w:eastAsia="Times New Roman" w:hAnsi="Times New Roman" w:cs="Times New Roman"/>
                <w:sz w:val="24"/>
                <w:szCs w:val="24"/>
              </w:rPr>
            </w:pPr>
          </w:p>
        </w:tc>
        <w:tc>
          <w:tcPr>
            <w:tcW w:w="851" w:type="dxa"/>
          </w:tcPr>
          <w:p w:rsidR="000A3797" w:rsidRDefault="000A3797">
            <w:pPr>
              <w:jc w:val="center"/>
              <w:rPr>
                <w:rFonts w:ascii="Times New Roman" w:eastAsia="Times New Roman" w:hAnsi="Times New Roman" w:cs="Times New Roman"/>
                <w:sz w:val="24"/>
                <w:szCs w:val="24"/>
              </w:rPr>
            </w:pPr>
          </w:p>
        </w:tc>
        <w:tc>
          <w:tcPr>
            <w:tcW w:w="89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129"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 </w:t>
            </w:r>
            <w:r>
              <w:rPr>
                <w:rFonts w:ascii="Times New Roman" w:eastAsia="Times New Roman" w:hAnsi="Times New Roman" w:cs="Times New Roman"/>
                <w:sz w:val="24"/>
                <w:szCs w:val="24"/>
                <w:vertAlign w:val="subscript"/>
              </w:rPr>
              <w:t>ср (n)</w:t>
            </w:r>
          </w:p>
        </w:tc>
        <w:tc>
          <w:tcPr>
            <w:tcW w:w="876"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2665,2</w:t>
            </w:r>
          </w:p>
        </w:tc>
        <w:tc>
          <w:tcPr>
            <w:tcW w:w="993" w:type="dxa"/>
          </w:tcPr>
          <w:p w:rsidR="000A3797" w:rsidRDefault="000A3797">
            <w:pPr>
              <w:jc w:val="center"/>
              <w:rPr>
                <w:rFonts w:ascii="Times New Roman" w:eastAsia="Times New Roman" w:hAnsi="Times New Roman" w:cs="Times New Roman"/>
                <w:sz w:val="24"/>
                <w:szCs w:val="24"/>
              </w:rPr>
            </w:pPr>
          </w:p>
        </w:tc>
        <w:tc>
          <w:tcPr>
            <w:tcW w:w="850" w:type="dxa"/>
          </w:tcPr>
          <w:p w:rsidR="000A3797" w:rsidRDefault="000A3797">
            <w:pPr>
              <w:jc w:val="center"/>
              <w:rPr>
                <w:rFonts w:ascii="Times New Roman" w:eastAsia="Times New Roman" w:hAnsi="Times New Roman" w:cs="Times New Roman"/>
                <w:sz w:val="24"/>
                <w:szCs w:val="24"/>
              </w:rPr>
            </w:pPr>
          </w:p>
        </w:tc>
        <w:tc>
          <w:tcPr>
            <w:tcW w:w="992" w:type="dxa"/>
          </w:tcPr>
          <w:p w:rsidR="000A3797" w:rsidRDefault="000A3797">
            <w:pPr>
              <w:jc w:val="center"/>
              <w:rPr>
                <w:rFonts w:ascii="Times New Roman" w:eastAsia="Times New Roman" w:hAnsi="Times New Roman" w:cs="Times New Roman"/>
                <w:sz w:val="24"/>
                <w:szCs w:val="24"/>
              </w:rPr>
            </w:pPr>
          </w:p>
        </w:tc>
        <w:tc>
          <w:tcPr>
            <w:tcW w:w="851" w:type="dxa"/>
          </w:tcPr>
          <w:p w:rsidR="000A3797" w:rsidRDefault="000A3797">
            <w:pPr>
              <w:jc w:val="center"/>
              <w:rPr>
                <w:rFonts w:ascii="Times New Roman" w:eastAsia="Times New Roman" w:hAnsi="Times New Roman" w:cs="Times New Roman"/>
                <w:sz w:val="24"/>
                <w:szCs w:val="24"/>
              </w:rPr>
            </w:pPr>
          </w:p>
        </w:tc>
        <w:tc>
          <w:tcPr>
            <w:tcW w:w="89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129"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Δy </w:t>
            </w:r>
            <w:r>
              <w:rPr>
                <w:rFonts w:ascii="Times New Roman" w:eastAsia="Times New Roman" w:hAnsi="Times New Roman" w:cs="Times New Roman"/>
                <w:sz w:val="24"/>
                <w:szCs w:val="24"/>
                <w:vertAlign w:val="subscript"/>
              </w:rPr>
              <w:t>ср</w:t>
            </w:r>
          </w:p>
        </w:tc>
        <w:tc>
          <w:tcPr>
            <w:tcW w:w="876" w:type="dxa"/>
          </w:tcPr>
          <w:p w:rsidR="000A3797" w:rsidRDefault="000A3797">
            <w:pPr>
              <w:jc w:val="center"/>
              <w:rPr>
                <w:rFonts w:ascii="Times New Roman" w:eastAsia="Times New Roman" w:hAnsi="Times New Roman" w:cs="Times New Roman"/>
                <w:sz w:val="24"/>
                <w:szCs w:val="24"/>
              </w:rPr>
            </w:pPr>
          </w:p>
        </w:tc>
        <w:tc>
          <w:tcPr>
            <w:tcW w:w="993"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561</w:t>
            </w:r>
          </w:p>
        </w:tc>
        <w:tc>
          <w:tcPr>
            <w:tcW w:w="850" w:type="dxa"/>
          </w:tcPr>
          <w:p w:rsidR="000A3797" w:rsidRDefault="000A3797">
            <w:pPr>
              <w:jc w:val="center"/>
              <w:rPr>
                <w:rFonts w:ascii="Times New Roman" w:eastAsia="Times New Roman" w:hAnsi="Times New Roman" w:cs="Times New Roman"/>
                <w:sz w:val="24"/>
                <w:szCs w:val="24"/>
              </w:rPr>
            </w:pPr>
          </w:p>
        </w:tc>
        <w:tc>
          <w:tcPr>
            <w:tcW w:w="992" w:type="dxa"/>
          </w:tcPr>
          <w:p w:rsidR="000A3797" w:rsidRDefault="000A3797">
            <w:pPr>
              <w:jc w:val="center"/>
              <w:rPr>
                <w:rFonts w:ascii="Times New Roman" w:eastAsia="Times New Roman" w:hAnsi="Times New Roman" w:cs="Times New Roman"/>
                <w:sz w:val="24"/>
                <w:szCs w:val="24"/>
              </w:rPr>
            </w:pPr>
          </w:p>
        </w:tc>
        <w:tc>
          <w:tcPr>
            <w:tcW w:w="851" w:type="dxa"/>
          </w:tcPr>
          <w:p w:rsidR="000A3797" w:rsidRDefault="000A3797">
            <w:pPr>
              <w:jc w:val="center"/>
              <w:rPr>
                <w:rFonts w:ascii="Times New Roman" w:eastAsia="Times New Roman" w:hAnsi="Times New Roman" w:cs="Times New Roman"/>
                <w:sz w:val="24"/>
                <w:szCs w:val="24"/>
              </w:rPr>
            </w:pPr>
          </w:p>
        </w:tc>
        <w:tc>
          <w:tcPr>
            <w:tcW w:w="89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129"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K ’</w:t>
            </w:r>
            <w:r>
              <w:rPr>
                <w:rFonts w:ascii="Times New Roman" w:eastAsia="Times New Roman" w:hAnsi="Times New Roman" w:cs="Times New Roman"/>
                <w:sz w:val="24"/>
                <w:szCs w:val="24"/>
                <w:vertAlign w:val="subscript"/>
              </w:rPr>
              <w:t xml:space="preserve"> ср (%)</w:t>
            </w:r>
          </w:p>
        </w:tc>
        <w:tc>
          <w:tcPr>
            <w:tcW w:w="876" w:type="dxa"/>
          </w:tcPr>
          <w:p w:rsidR="000A3797" w:rsidRDefault="000A3797">
            <w:pPr>
              <w:jc w:val="center"/>
              <w:rPr>
                <w:rFonts w:ascii="Times New Roman" w:eastAsia="Times New Roman" w:hAnsi="Times New Roman" w:cs="Times New Roman"/>
                <w:sz w:val="24"/>
                <w:szCs w:val="24"/>
              </w:rPr>
            </w:pPr>
          </w:p>
        </w:tc>
        <w:tc>
          <w:tcPr>
            <w:tcW w:w="993" w:type="dxa"/>
          </w:tcPr>
          <w:p w:rsidR="000A3797" w:rsidRDefault="000A3797">
            <w:pPr>
              <w:jc w:val="center"/>
              <w:rPr>
                <w:rFonts w:ascii="Times New Roman" w:eastAsia="Times New Roman" w:hAnsi="Times New Roman" w:cs="Times New Roman"/>
                <w:sz w:val="24"/>
                <w:szCs w:val="24"/>
              </w:rPr>
            </w:pPr>
          </w:p>
        </w:tc>
        <w:tc>
          <w:tcPr>
            <w:tcW w:w="850" w:type="dxa"/>
          </w:tcPr>
          <w:p w:rsidR="000A3797" w:rsidRDefault="000A3797">
            <w:pPr>
              <w:jc w:val="center"/>
              <w:rPr>
                <w:rFonts w:ascii="Times New Roman" w:eastAsia="Times New Roman" w:hAnsi="Times New Roman" w:cs="Times New Roman"/>
                <w:sz w:val="24"/>
                <w:szCs w:val="24"/>
              </w:rPr>
            </w:pPr>
          </w:p>
        </w:tc>
        <w:tc>
          <w:tcPr>
            <w:tcW w:w="992"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108</w:t>
            </w:r>
          </w:p>
        </w:tc>
        <w:tc>
          <w:tcPr>
            <w:tcW w:w="851" w:type="dxa"/>
          </w:tcPr>
          <w:p w:rsidR="000A3797" w:rsidRDefault="000A3797">
            <w:pPr>
              <w:jc w:val="center"/>
              <w:rPr>
                <w:rFonts w:ascii="Times New Roman" w:eastAsia="Times New Roman" w:hAnsi="Times New Roman" w:cs="Times New Roman"/>
                <w:sz w:val="24"/>
                <w:szCs w:val="24"/>
              </w:rPr>
            </w:pPr>
          </w:p>
        </w:tc>
        <w:tc>
          <w:tcPr>
            <w:tcW w:w="89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129"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 ’’ </w:t>
            </w:r>
            <w:r>
              <w:rPr>
                <w:rFonts w:ascii="Times New Roman" w:eastAsia="Times New Roman" w:hAnsi="Times New Roman" w:cs="Times New Roman"/>
                <w:sz w:val="24"/>
                <w:szCs w:val="24"/>
                <w:vertAlign w:val="subscript"/>
              </w:rPr>
              <w:t>ср (%)</w:t>
            </w:r>
          </w:p>
        </w:tc>
        <w:tc>
          <w:tcPr>
            <w:tcW w:w="876" w:type="dxa"/>
          </w:tcPr>
          <w:p w:rsidR="000A3797" w:rsidRDefault="000A3797">
            <w:pPr>
              <w:jc w:val="center"/>
              <w:rPr>
                <w:rFonts w:ascii="Times New Roman" w:eastAsia="Times New Roman" w:hAnsi="Times New Roman" w:cs="Times New Roman"/>
                <w:sz w:val="24"/>
                <w:szCs w:val="24"/>
              </w:rPr>
            </w:pPr>
          </w:p>
        </w:tc>
        <w:tc>
          <w:tcPr>
            <w:tcW w:w="993" w:type="dxa"/>
          </w:tcPr>
          <w:p w:rsidR="000A3797" w:rsidRDefault="000A3797">
            <w:pPr>
              <w:jc w:val="center"/>
              <w:rPr>
                <w:rFonts w:ascii="Times New Roman" w:eastAsia="Times New Roman" w:hAnsi="Times New Roman" w:cs="Times New Roman"/>
                <w:sz w:val="24"/>
                <w:szCs w:val="24"/>
              </w:rPr>
            </w:pPr>
          </w:p>
        </w:tc>
        <w:tc>
          <w:tcPr>
            <w:tcW w:w="850" w:type="dxa"/>
          </w:tcPr>
          <w:p w:rsidR="000A3797" w:rsidRDefault="000A3797">
            <w:pPr>
              <w:jc w:val="center"/>
              <w:rPr>
                <w:rFonts w:ascii="Times New Roman" w:eastAsia="Times New Roman" w:hAnsi="Times New Roman" w:cs="Times New Roman"/>
                <w:sz w:val="24"/>
                <w:szCs w:val="24"/>
              </w:rPr>
            </w:pPr>
          </w:p>
        </w:tc>
        <w:tc>
          <w:tcPr>
            <w:tcW w:w="992" w:type="dxa"/>
          </w:tcPr>
          <w:p w:rsidR="000A3797" w:rsidRDefault="000A3797">
            <w:pPr>
              <w:jc w:val="center"/>
              <w:rPr>
                <w:rFonts w:ascii="Times New Roman" w:eastAsia="Times New Roman" w:hAnsi="Times New Roman" w:cs="Times New Roman"/>
                <w:sz w:val="24"/>
                <w:szCs w:val="24"/>
              </w:rPr>
            </w:pPr>
          </w:p>
        </w:tc>
        <w:tc>
          <w:tcPr>
            <w:tcW w:w="851"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89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6583" w:type="dxa"/>
            <w:gridSpan w:val="7"/>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Yi – пролеченные случаи, ΔY- абсолютный прирост, k- коэффициент роста, K ’ – темп роста, K ’’ – темп прироста</w:t>
            </w:r>
          </w:p>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 </w:t>
            </w:r>
            <w:r>
              <w:rPr>
                <w:rFonts w:ascii="Times New Roman" w:eastAsia="Times New Roman" w:hAnsi="Times New Roman" w:cs="Times New Roman"/>
                <w:sz w:val="24"/>
                <w:szCs w:val="24"/>
                <w:vertAlign w:val="subscript"/>
              </w:rPr>
              <w:t>ср-</w:t>
            </w:r>
            <w:r>
              <w:rPr>
                <w:rFonts w:ascii="Times New Roman" w:eastAsia="Times New Roman" w:hAnsi="Times New Roman" w:cs="Times New Roman"/>
                <w:sz w:val="24"/>
                <w:szCs w:val="24"/>
              </w:rPr>
              <w:t xml:space="preserve"> Средний уровень, Δy </w:t>
            </w:r>
            <w:r>
              <w:rPr>
                <w:rFonts w:ascii="Times New Roman" w:eastAsia="Times New Roman" w:hAnsi="Times New Roman" w:cs="Times New Roman"/>
                <w:sz w:val="24"/>
                <w:szCs w:val="24"/>
                <w:vertAlign w:val="subscript"/>
              </w:rPr>
              <w:t xml:space="preserve">ср- </w:t>
            </w:r>
            <w:r>
              <w:rPr>
                <w:rFonts w:ascii="Times New Roman" w:eastAsia="Times New Roman" w:hAnsi="Times New Roman" w:cs="Times New Roman"/>
                <w:sz w:val="24"/>
                <w:szCs w:val="24"/>
              </w:rPr>
              <w:t xml:space="preserve"> Среднегодовой абсолютный прирост, K ’</w:t>
            </w:r>
            <w:r>
              <w:rPr>
                <w:rFonts w:ascii="Times New Roman" w:eastAsia="Times New Roman" w:hAnsi="Times New Roman" w:cs="Times New Roman"/>
                <w:sz w:val="24"/>
                <w:szCs w:val="24"/>
                <w:vertAlign w:val="subscript"/>
              </w:rPr>
              <w:t xml:space="preserve"> ср </w:t>
            </w:r>
            <w:r>
              <w:rPr>
                <w:rFonts w:ascii="Times New Roman" w:eastAsia="Times New Roman" w:hAnsi="Times New Roman" w:cs="Times New Roman"/>
                <w:sz w:val="24"/>
                <w:szCs w:val="24"/>
              </w:rPr>
              <w:t>- среднегодовой темп роста, k'' - среднегодовой темп прироста</w:t>
            </w:r>
          </w:p>
        </w:tc>
      </w:tr>
    </w:tbl>
    <w:p w:rsidR="000A3797" w:rsidRDefault="00A660E7">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5 - Динамический ряд пролеченных случаев ГП в РК</w:t>
      </w:r>
    </w:p>
    <w:p w:rsidR="000A3797" w:rsidRDefault="000A3797">
      <w:pPr>
        <w:spacing w:after="0" w:line="240" w:lineRule="auto"/>
        <w:rPr>
          <w:rFonts w:ascii="Times New Roman" w:eastAsia="Times New Roman" w:hAnsi="Times New Roman" w:cs="Times New Roman"/>
          <w:sz w:val="28"/>
          <w:szCs w:val="28"/>
        </w:rPr>
      </w:pPr>
    </w:p>
    <w:p w:rsidR="000A3797" w:rsidRDefault="000A3797">
      <w:pPr>
        <w:spacing w:after="0" w:line="240" w:lineRule="auto"/>
        <w:rPr>
          <w:rFonts w:ascii="Times New Roman" w:eastAsia="Times New Roman" w:hAnsi="Times New Roman" w:cs="Times New Roman"/>
          <w:sz w:val="28"/>
          <w:szCs w:val="28"/>
        </w:rPr>
      </w:pPr>
    </w:p>
    <w:p w:rsidR="000A3797" w:rsidRDefault="000A3797">
      <w:pPr>
        <w:spacing w:after="0" w:line="240" w:lineRule="auto"/>
        <w:rPr>
          <w:rFonts w:ascii="Times New Roman" w:eastAsia="Times New Roman" w:hAnsi="Times New Roman" w:cs="Times New Roman"/>
        </w:rPr>
      </w:pPr>
    </w:p>
    <w:p w:rsidR="000A3797" w:rsidRDefault="000A3797">
      <w:pPr>
        <w:spacing w:after="0" w:line="240" w:lineRule="auto"/>
        <w:ind w:firstLine="708"/>
        <w:rPr>
          <w:rFonts w:ascii="Times New Roman" w:eastAsia="Times New Roman" w:hAnsi="Times New Roman" w:cs="Times New Roman"/>
          <w:sz w:val="28"/>
          <w:szCs w:val="28"/>
          <w:highlight w:val="white"/>
        </w:rPr>
      </w:pPr>
    </w:p>
    <w:p w:rsidR="000A3797" w:rsidRDefault="000A3797">
      <w:pPr>
        <w:spacing w:after="0" w:line="240" w:lineRule="auto"/>
        <w:ind w:firstLine="708"/>
        <w:rPr>
          <w:rFonts w:ascii="Times New Roman" w:eastAsia="Times New Roman" w:hAnsi="Times New Roman" w:cs="Times New Roman"/>
          <w:sz w:val="28"/>
          <w:szCs w:val="28"/>
          <w:highlight w:val="white"/>
        </w:rPr>
      </w:pPr>
    </w:p>
    <w:p w:rsidR="000A3797" w:rsidRDefault="000A3797">
      <w:pPr>
        <w:spacing w:after="0" w:line="240" w:lineRule="auto"/>
        <w:ind w:firstLine="708"/>
        <w:rPr>
          <w:rFonts w:ascii="Times New Roman" w:eastAsia="Times New Roman" w:hAnsi="Times New Roman" w:cs="Times New Roman"/>
          <w:sz w:val="28"/>
          <w:szCs w:val="28"/>
          <w:highlight w:val="white"/>
        </w:rPr>
      </w:pPr>
    </w:p>
    <w:p w:rsidR="000A3797" w:rsidRDefault="000A3797">
      <w:pPr>
        <w:spacing w:after="0" w:line="240" w:lineRule="auto"/>
        <w:ind w:firstLine="708"/>
        <w:rPr>
          <w:rFonts w:ascii="Times New Roman" w:eastAsia="Times New Roman" w:hAnsi="Times New Roman" w:cs="Times New Roman"/>
          <w:sz w:val="28"/>
          <w:szCs w:val="28"/>
          <w:highlight w:val="white"/>
        </w:rPr>
      </w:pPr>
    </w:p>
    <w:p w:rsidR="000A3797" w:rsidRDefault="000A3797">
      <w:pPr>
        <w:spacing w:after="0" w:line="240" w:lineRule="auto"/>
        <w:ind w:firstLine="708"/>
        <w:rPr>
          <w:rFonts w:ascii="Times New Roman" w:eastAsia="Times New Roman" w:hAnsi="Times New Roman" w:cs="Times New Roman"/>
          <w:sz w:val="28"/>
          <w:szCs w:val="28"/>
          <w:highlight w:val="white"/>
        </w:rPr>
      </w:pPr>
    </w:p>
    <w:p w:rsidR="000A3797" w:rsidRDefault="000A3797">
      <w:pPr>
        <w:spacing w:after="0" w:line="240" w:lineRule="auto"/>
        <w:ind w:firstLine="708"/>
        <w:rPr>
          <w:rFonts w:ascii="Times New Roman" w:eastAsia="Times New Roman" w:hAnsi="Times New Roman" w:cs="Times New Roman"/>
          <w:sz w:val="28"/>
          <w:szCs w:val="28"/>
          <w:highlight w:val="white"/>
        </w:rPr>
      </w:pPr>
    </w:p>
    <w:p w:rsidR="000A3797" w:rsidRDefault="000A3797">
      <w:pPr>
        <w:spacing w:after="0" w:line="240" w:lineRule="auto"/>
        <w:ind w:firstLine="708"/>
        <w:rPr>
          <w:rFonts w:ascii="Times New Roman" w:eastAsia="Times New Roman" w:hAnsi="Times New Roman" w:cs="Times New Roman"/>
          <w:sz w:val="28"/>
          <w:szCs w:val="28"/>
          <w:highlight w:val="white"/>
        </w:rPr>
      </w:pPr>
    </w:p>
    <w:p w:rsidR="000A3797" w:rsidRDefault="000A3797">
      <w:pPr>
        <w:spacing w:after="0" w:line="240" w:lineRule="auto"/>
        <w:ind w:firstLine="708"/>
        <w:rPr>
          <w:rFonts w:ascii="Times New Roman" w:eastAsia="Times New Roman" w:hAnsi="Times New Roman" w:cs="Times New Roman"/>
          <w:sz w:val="28"/>
          <w:szCs w:val="28"/>
          <w:highlight w:val="white"/>
        </w:rPr>
      </w:pPr>
    </w:p>
    <w:p w:rsidR="000A3797" w:rsidRDefault="000A3797">
      <w:pPr>
        <w:spacing w:after="0" w:line="240" w:lineRule="auto"/>
        <w:ind w:firstLine="708"/>
        <w:rPr>
          <w:rFonts w:ascii="Times New Roman" w:eastAsia="Times New Roman" w:hAnsi="Times New Roman" w:cs="Times New Roman"/>
          <w:sz w:val="28"/>
          <w:szCs w:val="28"/>
          <w:highlight w:val="white"/>
        </w:rPr>
      </w:pPr>
    </w:p>
    <w:p w:rsidR="000A3797" w:rsidRDefault="000A3797">
      <w:pPr>
        <w:spacing w:after="0" w:line="240" w:lineRule="auto"/>
        <w:ind w:firstLine="708"/>
        <w:rPr>
          <w:rFonts w:ascii="Times New Roman" w:eastAsia="Times New Roman" w:hAnsi="Times New Roman" w:cs="Times New Roman"/>
          <w:sz w:val="28"/>
          <w:szCs w:val="28"/>
          <w:highlight w:val="white"/>
        </w:rPr>
      </w:pPr>
    </w:p>
    <w:p w:rsidR="000A3797" w:rsidRDefault="000A3797">
      <w:pPr>
        <w:spacing w:after="0" w:line="240" w:lineRule="auto"/>
        <w:ind w:firstLine="708"/>
        <w:rPr>
          <w:rFonts w:ascii="Times New Roman" w:eastAsia="Times New Roman" w:hAnsi="Times New Roman" w:cs="Times New Roman"/>
          <w:sz w:val="28"/>
          <w:szCs w:val="28"/>
          <w:highlight w:val="white"/>
        </w:rPr>
      </w:pPr>
    </w:p>
    <w:p w:rsidR="000A3797" w:rsidRDefault="000A3797">
      <w:pPr>
        <w:spacing w:after="0" w:line="240" w:lineRule="auto"/>
        <w:ind w:firstLine="708"/>
        <w:rPr>
          <w:rFonts w:ascii="Times New Roman" w:eastAsia="Times New Roman" w:hAnsi="Times New Roman" w:cs="Times New Roman"/>
          <w:sz w:val="28"/>
          <w:szCs w:val="28"/>
          <w:highlight w:val="white"/>
        </w:rPr>
      </w:pPr>
    </w:p>
    <w:p w:rsidR="000A3797" w:rsidRDefault="000A3797">
      <w:pPr>
        <w:spacing w:after="0" w:line="240" w:lineRule="auto"/>
        <w:ind w:firstLine="708"/>
        <w:rPr>
          <w:rFonts w:ascii="Times New Roman" w:eastAsia="Times New Roman" w:hAnsi="Times New Roman" w:cs="Times New Roman"/>
          <w:sz w:val="28"/>
          <w:szCs w:val="28"/>
          <w:highlight w:val="white"/>
        </w:rPr>
      </w:pPr>
    </w:p>
    <w:p w:rsidR="000A3797" w:rsidRDefault="000A3797">
      <w:pPr>
        <w:spacing w:after="0" w:line="240" w:lineRule="auto"/>
        <w:ind w:firstLine="708"/>
        <w:rPr>
          <w:rFonts w:ascii="Times New Roman" w:eastAsia="Times New Roman" w:hAnsi="Times New Roman" w:cs="Times New Roman"/>
          <w:sz w:val="28"/>
          <w:szCs w:val="28"/>
          <w:highlight w:val="white"/>
        </w:rPr>
      </w:pPr>
    </w:p>
    <w:p w:rsidR="000A3797" w:rsidRDefault="000A3797">
      <w:pPr>
        <w:spacing w:after="0" w:line="240" w:lineRule="auto"/>
        <w:ind w:firstLine="708"/>
        <w:rPr>
          <w:rFonts w:ascii="Times New Roman" w:eastAsia="Times New Roman" w:hAnsi="Times New Roman" w:cs="Times New Roman"/>
          <w:sz w:val="28"/>
          <w:szCs w:val="28"/>
          <w:highlight w:val="white"/>
        </w:rPr>
      </w:pPr>
    </w:p>
    <w:p w:rsidR="000A3797" w:rsidRDefault="000A3797">
      <w:pPr>
        <w:spacing w:after="0" w:line="240" w:lineRule="auto"/>
        <w:rPr>
          <w:rFonts w:ascii="Times New Roman" w:eastAsia="Times New Roman" w:hAnsi="Times New Roman" w:cs="Times New Roman"/>
          <w:sz w:val="28"/>
          <w:szCs w:val="28"/>
          <w:highlight w:val="white"/>
        </w:rPr>
      </w:pPr>
    </w:p>
    <w:p w:rsidR="000A3797" w:rsidRDefault="000A3797">
      <w:pPr>
        <w:spacing w:after="0" w:line="240" w:lineRule="auto"/>
        <w:ind w:firstLine="708"/>
        <w:rPr>
          <w:rFonts w:ascii="Times New Roman" w:eastAsia="Times New Roman" w:hAnsi="Times New Roman" w:cs="Times New Roman"/>
          <w:sz w:val="28"/>
          <w:szCs w:val="28"/>
          <w:highlight w:val="white"/>
        </w:rPr>
      </w:pPr>
    </w:p>
    <w:p w:rsidR="000A3797" w:rsidRDefault="000A3797">
      <w:pPr>
        <w:spacing w:after="0" w:line="240" w:lineRule="auto"/>
        <w:ind w:firstLine="708"/>
        <w:rPr>
          <w:rFonts w:ascii="Times New Roman" w:eastAsia="Times New Roman" w:hAnsi="Times New Roman" w:cs="Times New Roman"/>
          <w:sz w:val="28"/>
          <w:szCs w:val="28"/>
          <w:highlight w:val="white"/>
        </w:rPr>
      </w:pPr>
    </w:p>
    <w:p w:rsidR="000A3797" w:rsidRDefault="000A3797">
      <w:pPr>
        <w:spacing w:after="0" w:line="240" w:lineRule="auto"/>
        <w:ind w:firstLine="708"/>
        <w:rPr>
          <w:rFonts w:ascii="Times New Roman" w:eastAsia="Times New Roman" w:hAnsi="Times New Roman" w:cs="Times New Roman"/>
          <w:sz w:val="28"/>
          <w:szCs w:val="28"/>
          <w:highlight w:val="white"/>
        </w:rPr>
      </w:pPr>
    </w:p>
    <w:p w:rsidR="000A3797" w:rsidRDefault="00A660E7">
      <w:pPr>
        <w:spacing w:after="0" w:line="240" w:lineRule="auto"/>
        <w:ind w:firstLine="708"/>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В Алматинской области среднее число пролеченных случаев, финансируемых из республиканского бюджета, составило 79 случаев в год (Таблица 6). Ежегодный прирост показателя составлял 9 случаев, что эквивалентно 0,54% в относительном выражении за десять лет (Та</w:t>
      </w:r>
      <w:r>
        <w:rPr>
          <w:rFonts w:ascii="Times New Roman" w:eastAsia="Times New Roman" w:hAnsi="Times New Roman" w:cs="Times New Roman"/>
          <w:sz w:val="28"/>
          <w:szCs w:val="28"/>
          <w:highlight w:val="white"/>
        </w:rPr>
        <w:t xml:space="preserve">блица 6). [192,стр.278]. Объем пролеченных случаев в Алматинской области увеличивался, за исключением 2015,2016,2017,2019 </w:t>
      </w:r>
      <w:r>
        <w:rPr>
          <w:rFonts w:ascii="Times New Roman" w:eastAsia="Times New Roman" w:hAnsi="Times New Roman" w:cs="Times New Roman"/>
          <w:sz w:val="28"/>
          <w:szCs w:val="28"/>
        </w:rPr>
        <w:t xml:space="preserve">(Рисунок 1) </w:t>
      </w:r>
      <w:r>
        <w:rPr>
          <w:rFonts w:ascii="Times New Roman" w:eastAsia="Times New Roman" w:hAnsi="Times New Roman" w:cs="Times New Roman"/>
          <w:sz w:val="28"/>
          <w:szCs w:val="28"/>
          <w:highlight w:val="white"/>
        </w:rPr>
        <w:t>[192,стр.278]. Увеличение объема пролеченных случаев в 2021 году по сравнению с 2012 годом не было статистически значимым.</w:t>
      </w:r>
      <w:r>
        <w:rPr>
          <w:rFonts w:ascii="Times New Roman" w:eastAsia="Times New Roman" w:hAnsi="Times New Roman" w:cs="Times New Roman"/>
          <w:sz w:val="28"/>
          <w:szCs w:val="28"/>
          <w:highlight w:val="white"/>
        </w:rPr>
        <w:t xml:space="preserve"> </w:t>
      </w:r>
    </w:p>
    <w:p w:rsidR="000A3797" w:rsidRDefault="000A3797">
      <w:pPr>
        <w:spacing w:after="0" w:line="240" w:lineRule="auto"/>
        <w:ind w:firstLine="708"/>
        <w:rPr>
          <w:rFonts w:ascii="Times New Roman" w:eastAsia="Times New Roman" w:hAnsi="Times New Roman" w:cs="Times New Roman"/>
          <w:sz w:val="28"/>
          <w:szCs w:val="28"/>
        </w:rPr>
      </w:pPr>
    </w:p>
    <w:p w:rsidR="000A3797" w:rsidRDefault="000A3797">
      <w:pPr>
        <w:spacing w:after="0" w:line="240" w:lineRule="auto"/>
        <w:rPr>
          <w:rFonts w:ascii="Times New Roman" w:eastAsia="Times New Roman" w:hAnsi="Times New Roman" w:cs="Times New Roman"/>
          <w:sz w:val="28"/>
          <w:szCs w:val="28"/>
        </w:rPr>
      </w:pPr>
    </w:p>
    <w:p w:rsidR="000A3797" w:rsidRDefault="00A660E7">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6 - Динамический ряд пролеченных случаев ГП в Алматинской области</w:t>
      </w:r>
    </w:p>
    <w:p w:rsidR="000A3797" w:rsidRDefault="000A3797">
      <w:pPr>
        <w:spacing w:after="0" w:line="240" w:lineRule="auto"/>
        <w:rPr>
          <w:rFonts w:ascii="Times New Roman" w:eastAsia="Times New Roman" w:hAnsi="Times New Roman" w:cs="Times New Roman"/>
          <w:sz w:val="28"/>
          <w:szCs w:val="28"/>
        </w:rPr>
      </w:pPr>
    </w:p>
    <w:tbl>
      <w:tblPr>
        <w:tblStyle w:val="ab"/>
        <w:tblW w:w="623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8"/>
        <w:gridCol w:w="708"/>
        <w:gridCol w:w="993"/>
        <w:gridCol w:w="850"/>
        <w:gridCol w:w="992"/>
        <w:gridCol w:w="851"/>
        <w:gridCol w:w="851"/>
      </w:tblGrid>
      <w:tr w:rsidR="000A3797">
        <w:tc>
          <w:tcPr>
            <w:tcW w:w="988"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год</w:t>
            </w:r>
          </w:p>
        </w:tc>
        <w:tc>
          <w:tcPr>
            <w:tcW w:w="708"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yi</w:t>
            </w:r>
          </w:p>
        </w:tc>
        <w:tc>
          <w:tcPr>
            <w:tcW w:w="993"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ΔY.</w:t>
            </w:r>
          </w:p>
        </w:tc>
        <w:tc>
          <w:tcPr>
            <w:tcW w:w="850"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k</w:t>
            </w:r>
          </w:p>
        </w:tc>
        <w:tc>
          <w:tcPr>
            <w:tcW w:w="992"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K ’</w:t>
            </w:r>
          </w:p>
        </w:tc>
        <w:tc>
          <w:tcPr>
            <w:tcW w:w="851"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K ’’</w:t>
            </w:r>
          </w:p>
        </w:tc>
        <w:tc>
          <w:tcPr>
            <w:tcW w:w="851"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p-value</w:t>
            </w:r>
          </w:p>
        </w:tc>
      </w:tr>
      <w:tr w:rsidR="000A3797">
        <w:tc>
          <w:tcPr>
            <w:tcW w:w="988"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2012</w:t>
            </w:r>
          </w:p>
        </w:tc>
        <w:tc>
          <w:tcPr>
            <w:tcW w:w="708"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75</w:t>
            </w:r>
          </w:p>
        </w:tc>
        <w:tc>
          <w:tcPr>
            <w:tcW w:w="993" w:type="dxa"/>
          </w:tcPr>
          <w:p w:rsidR="000A3797" w:rsidRDefault="000A3797">
            <w:pPr>
              <w:jc w:val="center"/>
              <w:rPr>
                <w:rFonts w:ascii="Times New Roman" w:eastAsia="Times New Roman" w:hAnsi="Times New Roman" w:cs="Times New Roman"/>
                <w:sz w:val="24"/>
                <w:szCs w:val="24"/>
              </w:rPr>
            </w:pPr>
          </w:p>
        </w:tc>
        <w:tc>
          <w:tcPr>
            <w:tcW w:w="850"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992"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851"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851" w:type="dxa"/>
            <w:vMerge w:val="restart"/>
          </w:tcPr>
          <w:p w:rsidR="000A3797" w:rsidRDefault="000A3797">
            <w:pPr>
              <w:jc w:val="center"/>
              <w:rPr>
                <w:rFonts w:ascii="Times New Roman" w:eastAsia="Times New Roman" w:hAnsi="Times New Roman" w:cs="Times New Roman"/>
                <w:sz w:val="24"/>
                <w:szCs w:val="24"/>
              </w:rPr>
            </w:pPr>
          </w:p>
        </w:tc>
      </w:tr>
      <w:tr w:rsidR="000A3797">
        <w:tc>
          <w:tcPr>
            <w:tcW w:w="988"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2013</w:t>
            </w:r>
          </w:p>
        </w:tc>
        <w:tc>
          <w:tcPr>
            <w:tcW w:w="708"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79</w:t>
            </w:r>
          </w:p>
        </w:tc>
        <w:tc>
          <w:tcPr>
            <w:tcW w:w="993"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850"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1,05</w:t>
            </w:r>
          </w:p>
        </w:tc>
        <w:tc>
          <w:tcPr>
            <w:tcW w:w="992"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105</w:t>
            </w:r>
          </w:p>
        </w:tc>
        <w:tc>
          <w:tcPr>
            <w:tcW w:w="851"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851"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988"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2014</w:t>
            </w:r>
          </w:p>
        </w:tc>
        <w:tc>
          <w:tcPr>
            <w:tcW w:w="708"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90</w:t>
            </w:r>
          </w:p>
        </w:tc>
        <w:tc>
          <w:tcPr>
            <w:tcW w:w="993"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850"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1,20</w:t>
            </w:r>
          </w:p>
        </w:tc>
        <w:tc>
          <w:tcPr>
            <w:tcW w:w="992"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120</w:t>
            </w:r>
          </w:p>
        </w:tc>
        <w:tc>
          <w:tcPr>
            <w:tcW w:w="851"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851"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988"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2015</w:t>
            </w:r>
          </w:p>
        </w:tc>
        <w:tc>
          <w:tcPr>
            <w:tcW w:w="708"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83</w:t>
            </w:r>
          </w:p>
        </w:tc>
        <w:tc>
          <w:tcPr>
            <w:tcW w:w="993"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850"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1,11</w:t>
            </w:r>
          </w:p>
        </w:tc>
        <w:tc>
          <w:tcPr>
            <w:tcW w:w="992"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111</w:t>
            </w:r>
          </w:p>
        </w:tc>
        <w:tc>
          <w:tcPr>
            <w:tcW w:w="851"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851"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988"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2016</w:t>
            </w:r>
          </w:p>
        </w:tc>
        <w:tc>
          <w:tcPr>
            <w:tcW w:w="708"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77</w:t>
            </w:r>
          </w:p>
        </w:tc>
        <w:tc>
          <w:tcPr>
            <w:tcW w:w="993"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850"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1,03</w:t>
            </w:r>
          </w:p>
        </w:tc>
        <w:tc>
          <w:tcPr>
            <w:tcW w:w="992"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103</w:t>
            </w:r>
          </w:p>
        </w:tc>
        <w:tc>
          <w:tcPr>
            <w:tcW w:w="851"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851"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988"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2017</w:t>
            </w:r>
          </w:p>
        </w:tc>
        <w:tc>
          <w:tcPr>
            <w:tcW w:w="708"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69</w:t>
            </w:r>
          </w:p>
        </w:tc>
        <w:tc>
          <w:tcPr>
            <w:tcW w:w="993"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850"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0,92</w:t>
            </w:r>
          </w:p>
        </w:tc>
        <w:tc>
          <w:tcPr>
            <w:tcW w:w="992"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92</w:t>
            </w:r>
          </w:p>
        </w:tc>
        <w:tc>
          <w:tcPr>
            <w:tcW w:w="851"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851"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988"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2018</w:t>
            </w:r>
          </w:p>
        </w:tc>
        <w:tc>
          <w:tcPr>
            <w:tcW w:w="708"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74</w:t>
            </w:r>
          </w:p>
        </w:tc>
        <w:tc>
          <w:tcPr>
            <w:tcW w:w="993"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850"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0,99</w:t>
            </w:r>
          </w:p>
        </w:tc>
        <w:tc>
          <w:tcPr>
            <w:tcW w:w="992"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99</w:t>
            </w:r>
          </w:p>
        </w:tc>
        <w:tc>
          <w:tcPr>
            <w:tcW w:w="851"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851"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988"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2019</w:t>
            </w:r>
          </w:p>
        </w:tc>
        <w:tc>
          <w:tcPr>
            <w:tcW w:w="708"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65</w:t>
            </w:r>
          </w:p>
        </w:tc>
        <w:tc>
          <w:tcPr>
            <w:tcW w:w="993"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850"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0,87</w:t>
            </w:r>
          </w:p>
        </w:tc>
        <w:tc>
          <w:tcPr>
            <w:tcW w:w="992"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87</w:t>
            </w:r>
          </w:p>
        </w:tc>
        <w:tc>
          <w:tcPr>
            <w:tcW w:w="851"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851"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988"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2020</w:t>
            </w:r>
          </w:p>
        </w:tc>
        <w:tc>
          <w:tcPr>
            <w:tcW w:w="708"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69</w:t>
            </w:r>
          </w:p>
        </w:tc>
        <w:tc>
          <w:tcPr>
            <w:tcW w:w="993"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850"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0,92</w:t>
            </w:r>
          </w:p>
        </w:tc>
        <w:tc>
          <w:tcPr>
            <w:tcW w:w="992"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92</w:t>
            </w:r>
          </w:p>
        </w:tc>
        <w:tc>
          <w:tcPr>
            <w:tcW w:w="851"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851"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988"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2021</w:t>
            </w:r>
          </w:p>
        </w:tc>
        <w:tc>
          <w:tcPr>
            <w:tcW w:w="708"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79</w:t>
            </w:r>
          </w:p>
        </w:tc>
        <w:tc>
          <w:tcPr>
            <w:tcW w:w="993"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850"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1,05</w:t>
            </w:r>
          </w:p>
        </w:tc>
        <w:tc>
          <w:tcPr>
            <w:tcW w:w="992"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105</w:t>
            </w:r>
          </w:p>
        </w:tc>
        <w:tc>
          <w:tcPr>
            <w:tcW w:w="851"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851"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988"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 </w:t>
            </w:r>
            <w:r>
              <w:rPr>
                <w:rFonts w:ascii="Times New Roman" w:eastAsia="Times New Roman" w:hAnsi="Times New Roman" w:cs="Times New Roman"/>
                <w:sz w:val="24"/>
                <w:szCs w:val="24"/>
                <w:vertAlign w:val="subscript"/>
              </w:rPr>
              <w:t>ср (n)</w:t>
            </w:r>
          </w:p>
        </w:tc>
        <w:tc>
          <w:tcPr>
            <w:tcW w:w="708"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76</w:t>
            </w:r>
          </w:p>
        </w:tc>
        <w:tc>
          <w:tcPr>
            <w:tcW w:w="993" w:type="dxa"/>
          </w:tcPr>
          <w:p w:rsidR="000A3797" w:rsidRDefault="000A3797">
            <w:pPr>
              <w:jc w:val="center"/>
              <w:rPr>
                <w:rFonts w:ascii="Times New Roman" w:eastAsia="Times New Roman" w:hAnsi="Times New Roman" w:cs="Times New Roman"/>
                <w:sz w:val="24"/>
                <w:szCs w:val="24"/>
              </w:rPr>
            </w:pPr>
          </w:p>
        </w:tc>
        <w:tc>
          <w:tcPr>
            <w:tcW w:w="850" w:type="dxa"/>
          </w:tcPr>
          <w:p w:rsidR="000A3797" w:rsidRDefault="000A3797">
            <w:pPr>
              <w:jc w:val="center"/>
              <w:rPr>
                <w:rFonts w:ascii="Times New Roman" w:eastAsia="Times New Roman" w:hAnsi="Times New Roman" w:cs="Times New Roman"/>
                <w:sz w:val="24"/>
                <w:szCs w:val="24"/>
              </w:rPr>
            </w:pPr>
          </w:p>
        </w:tc>
        <w:tc>
          <w:tcPr>
            <w:tcW w:w="992" w:type="dxa"/>
          </w:tcPr>
          <w:p w:rsidR="000A3797" w:rsidRDefault="000A3797">
            <w:pPr>
              <w:jc w:val="center"/>
              <w:rPr>
                <w:rFonts w:ascii="Times New Roman" w:eastAsia="Times New Roman" w:hAnsi="Times New Roman" w:cs="Times New Roman"/>
                <w:sz w:val="24"/>
                <w:szCs w:val="24"/>
              </w:rPr>
            </w:pPr>
          </w:p>
        </w:tc>
        <w:tc>
          <w:tcPr>
            <w:tcW w:w="851" w:type="dxa"/>
          </w:tcPr>
          <w:p w:rsidR="000A3797" w:rsidRDefault="000A3797">
            <w:pPr>
              <w:jc w:val="center"/>
              <w:rPr>
                <w:rFonts w:ascii="Times New Roman" w:eastAsia="Times New Roman" w:hAnsi="Times New Roman" w:cs="Times New Roman"/>
                <w:sz w:val="24"/>
                <w:szCs w:val="24"/>
              </w:rPr>
            </w:pPr>
          </w:p>
        </w:tc>
        <w:tc>
          <w:tcPr>
            <w:tcW w:w="851"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988"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Δy </w:t>
            </w:r>
            <w:r>
              <w:rPr>
                <w:rFonts w:ascii="Times New Roman" w:eastAsia="Times New Roman" w:hAnsi="Times New Roman" w:cs="Times New Roman"/>
                <w:sz w:val="24"/>
                <w:szCs w:val="24"/>
                <w:vertAlign w:val="subscript"/>
              </w:rPr>
              <w:t>ср</w:t>
            </w:r>
          </w:p>
        </w:tc>
        <w:tc>
          <w:tcPr>
            <w:tcW w:w="708" w:type="dxa"/>
          </w:tcPr>
          <w:p w:rsidR="000A3797" w:rsidRDefault="000A3797">
            <w:pPr>
              <w:jc w:val="center"/>
              <w:rPr>
                <w:rFonts w:ascii="Times New Roman" w:eastAsia="Times New Roman" w:hAnsi="Times New Roman" w:cs="Times New Roman"/>
                <w:sz w:val="24"/>
                <w:szCs w:val="24"/>
              </w:rPr>
            </w:pPr>
          </w:p>
        </w:tc>
        <w:tc>
          <w:tcPr>
            <w:tcW w:w="993"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9,5</w:t>
            </w:r>
          </w:p>
        </w:tc>
        <w:tc>
          <w:tcPr>
            <w:tcW w:w="850" w:type="dxa"/>
          </w:tcPr>
          <w:p w:rsidR="000A3797" w:rsidRDefault="000A3797">
            <w:pPr>
              <w:jc w:val="center"/>
              <w:rPr>
                <w:rFonts w:ascii="Times New Roman" w:eastAsia="Times New Roman" w:hAnsi="Times New Roman" w:cs="Times New Roman"/>
                <w:sz w:val="24"/>
                <w:szCs w:val="24"/>
              </w:rPr>
            </w:pPr>
          </w:p>
        </w:tc>
        <w:tc>
          <w:tcPr>
            <w:tcW w:w="992" w:type="dxa"/>
          </w:tcPr>
          <w:p w:rsidR="000A3797" w:rsidRDefault="000A3797">
            <w:pPr>
              <w:jc w:val="center"/>
              <w:rPr>
                <w:rFonts w:ascii="Times New Roman" w:eastAsia="Times New Roman" w:hAnsi="Times New Roman" w:cs="Times New Roman"/>
                <w:sz w:val="24"/>
                <w:szCs w:val="24"/>
              </w:rPr>
            </w:pPr>
          </w:p>
        </w:tc>
        <w:tc>
          <w:tcPr>
            <w:tcW w:w="851" w:type="dxa"/>
          </w:tcPr>
          <w:p w:rsidR="000A3797" w:rsidRDefault="000A3797">
            <w:pPr>
              <w:jc w:val="center"/>
              <w:rPr>
                <w:rFonts w:ascii="Times New Roman" w:eastAsia="Times New Roman" w:hAnsi="Times New Roman" w:cs="Times New Roman"/>
                <w:sz w:val="24"/>
                <w:szCs w:val="24"/>
              </w:rPr>
            </w:pPr>
          </w:p>
        </w:tc>
        <w:tc>
          <w:tcPr>
            <w:tcW w:w="851"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988"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K ’</w:t>
            </w:r>
            <w:r>
              <w:rPr>
                <w:rFonts w:ascii="Times New Roman" w:eastAsia="Times New Roman" w:hAnsi="Times New Roman" w:cs="Times New Roman"/>
                <w:sz w:val="24"/>
                <w:szCs w:val="24"/>
                <w:vertAlign w:val="subscript"/>
              </w:rPr>
              <w:t xml:space="preserve"> ср(%)</w:t>
            </w:r>
          </w:p>
        </w:tc>
        <w:tc>
          <w:tcPr>
            <w:tcW w:w="708" w:type="dxa"/>
          </w:tcPr>
          <w:p w:rsidR="000A3797" w:rsidRDefault="000A3797">
            <w:pPr>
              <w:jc w:val="center"/>
              <w:rPr>
                <w:rFonts w:ascii="Times New Roman" w:eastAsia="Times New Roman" w:hAnsi="Times New Roman" w:cs="Times New Roman"/>
                <w:sz w:val="24"/>
                <w:szCs w:val="24"/>
              </w:rPr>
            </w:pPr>
          </w:p>
        </w:tc>
        <w:tc>
          <w:tcPr>
            <w:tcW w:w="993" w:type="dxa"/>
          </w:tcPr>
          <w:p w:rsidR="000A3797" w:rsidRDefault="000A3797">
            <w:pPr>
              <w:jc w:val="center"/>
              <w:rPr>
                <w:rFonts w:ascii="Times New Roman" w:eastAsia="Times New Roman" w:hAnsi="Times New Roman" w:cs="Times New Roman"/>
                <w:sz w:val="24"/>
                <w:szCs w:val="24"/>
              </w:rPr>
            </w:pPr>
          </w:p>
        </w:tc>
        <w:tc>
          <w:tcPr>
            <w:tcW w:w="850" w:type="dxa"/>
          </w:tcPr>
          <w:p w:rsidR="000A3797" w:rsidRDefault="000A3797">
            <w:pPr>
              <w:jc w:val="center"/>
              <w:rPr>
                <w:rFonts w:ascii="Times New Roman" w:eastAsia="Times New Roman" w:hAnsi="Times New Roman" w:cs="Times New Roman"/>
                <w:sz w:val="24"/>
                <w:szCs w:val="24"/>
              </w:rPr>
            </w:pPr>
          </w:p>
        </w:tc>
        <w:tc>
          <w:tcPr>
            <w:tcW w:w="992"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100,54</w:t>
            </w:r>
          </w:p>
        </w:tc>
        <w:tc>
          <w:tcPr>
            <w:tcW w:w="851" w:type="dxa"/>
          </w:tcPr>
          <w:p w:rsidR="000A3797" w:rsidRDefault="000A3797">
            <w:pPr>
              <w:jc w:val="center"/>
              <w:rPr>
                <w:rFonts w:ascii="Times New Roman" w:eastAsia="Times New Roman" w:hAnsi="Times New Roman" w:cs="Times New Roman"/>
                <w:sz w:val="24"/>
                <w:szCs w:val="24"/>
              </w:rPr>
            </w:pPr>
          </w:p>
        </w:tc>
        <w:tc>
          <w:tcPr>
            <w:tcW w:w="851"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988"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 ’’ </w:t>
            </w:r>
            <w:r>
              <w:rPr>
                <w:rFonts w:ascii="Times New Roman" w:eastAsia="Times New Roman" w:hAnsi="Times New Roman" w:cs="Times New Roman"/>
                <w:sz w:val="24"/>
                <w:szCs w:val="24"/>
                <w:vertAlign w:val="subscript"/>
              </w:rPr>
              <w:t>ср (%)</w:t>
            </w:r>
          </w:p>
        </w:tc>
        <w:tc>
          <w:tcPr>
            <w:tcW w:w="708" w:type="dxa"/>
          </w:tcPr>
          <w:p w:rsidR="000A3797" w:rsidRDefault="000A3797">
            <w:pPr>
              <w:jc w:val="center"/>
              <w:rPr>
                <w:rFonts w:ascii="Times New Roman" w:eastAsia="Times New Roman" w:hAnsi="Times New Roman" w:cs="Times New Roman"/>
                <w:sz w:val="24"/>
                <w:szCs w:val="24"/>
              </w:rPr>
            </w:pPr>
          </w:p>
        </w:tc>
        <w:tc>
          <w:tcPr>
            <w:tcW w:w="993" w:type="dxa"/>
          </w:tcPr>
          <w:p w:rsidR="000A3797" w:rsidRDefault="000A3797">
            <w:pPr>
              <w:jc w:val="center"/>
              <w:rPr>
                <w:rFonts w:ascii="Times New Roman" w:eastAsia="Times New Roman" w:hAnsi="Times New Roman" w:cs="Times New Roman"/>
                <w:sz w:val="24"/>
                <w:szCs w:val="24"/>
              </w:rPr>
            </w:pPr>
          </w:p>
        </w:tc>
        <w:tc>
          <w:tcPr>
            <w:tcW w:w="850" w:type="dxa"/>
          </w:tcPr>
          <w:p w:rsidR="000A3797" w:rsidRDefault="000A3797">
            <w:pPr>
              <w:jc w:val="center"/>
              <w:rPr>
                <w:rFonts w:ascii="Times New Roman" w:eastAsia="Times New Roman" w:hAnsi="Times New Roman" w:cs="Times New Roman"/>
                <w:sz w:val="24"/>
                <w:szCs w:val="24"/>
              </w:rPr>
            </w:pPr>
          </w:p>
        </w:tc>
        <w:tc>
          <w:tcPr>
            <w:tcW w:w="992" w:type="dxa"/>
          </w:tcPr>
          <w:p w:rsidR="000A3797" w:rsidRDefault="000A3797">
            <w:pPr>
              <w:jc w:val="center"/>
              <w:rPr>
                <w:rFonts w:ascii="Times New Roman" w:eastAsia="Times New Roman" w:hAnsi="Times New Roman" w:cs="Times New Roman"/>
                <w:sz w:val="24"/>
                <w:szCs w:val="24"/>
              </w:rPr>
            </w:pPr>
          </w:p>
        </w:tc>
        <w:tc>
          <w:tcPr>
            <w:tcW w:w="851"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0,54</w:t>
            </w:r>
          </w:p>
        </w:tc>
        <w:tc>
          <w:tcPr>
            <w:tcW w:w="851"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6233" w:type="dxa"/>
            <w:gridSpan w:val="7"/>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Yi – пролеченные случаи, ΔY- абсолютный прирост, k- коэффициент роста, K ’ – темп роста, K ’’ – темп прироста</w:t>
            </w:r>
          </w:p>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 </w:t>
            </w:r>
            <w:r>
              <w:rPr>
                <w:rFonts w:ascii="Times New Roman" w:eastAsia="Times New Roman" w:hAnsi="Times New Roman" w:cs="Times New Roman"/>
                <w:sz w:val="24"/>
                <w:szCs w:val="24"/>
                <w:vertAlign w:val="subscript"/>
              </w:rPr>
              <w:t>ср-</w:t>
            </w:r>
            <w:r>
              <w:rPr>
                <w:rFonts w:ascii="Times New Roman" w:eastAsia="Times New Roman" w:hAnsi="Times New Roman" w:cs="Times New Roman"/>
                <w:sz w:val="24"/>
                <w:szCs w:val="24"/>
              </w:rPr>
              <w:t xml:space="preserve"> Средний уровень, Δy </w:t>
            </w:r>
            <w:r>
              <w:rPr>
                <w:rFonts w:ascii="Times New Roman" w:eastAsia="Times New Roman" w:hAnsi="Times New Roman" w:cs="Times New Roman"/>
                <w:sz w:val="24"/>
                <w:szCs w:val="24"/>
                <w:vertAlign w:val="subscript"/>
              </w:rPr>
              <w:t xml:space="preserve">ср- </w:t>
            </w:r>
            <w:r>
              <w:rPr>
                <w:rFonts w:ascii="Times New Roman" w:eastAsia="Times New Roman" w:hAnsi="Times New Roman" w:cs="Times New Roman"/>
                <w:sz w:val="24"/>
                <w:szCs w:val="24"/>
              </w:rPr>
              <w:t xml:space="preserve"> Среднегодовой абсолютный прирост, K ’</w:t>
            </w:r>
            <w:r>
              <w:rPr>
                <w:rFonts w:ascii="Times New Roman" w:eastAsia="Times New Roman" w:hAnsi="Times New Roman" w:cs="Times New Roman"/>
                <w:sz w:val="24"/>
                <w:szCs w:val="24"/>
                <w:vertAlign w:val="subscript"/>
              </w:rPr>
              <w:t xml:space="preserve"> ср </w:t>
            </w:r>
            <w:r>
              <w:rPr>
                <w:rFonts w:ascii="Times New Roman" w:eastAsia="Times New Roman" w:hAnsi="Times New Roman" w:cs="Times New Roman"/>
                <w:sz w:val="24"/>
                <w:szCs w:val="24"/>
              </w:rPr>
              <w:t>- среднегодовой темп роста, k'' - среднегодовой темп прироста</w:t>
            </w:r>
          </w:p>
        </w:tc>
      </w:tr>
    </w:tbl>
    <w:p w:rsidR="000A3797" w:rsidRDefault="000A3797">
      <w:pPr>
        <w:spacing w:after="0" w:line="240" w:lineRule="auto"/>
        <w:rPr>
          <w:rFonts w:ascii="Times New Roman" w:eastAsia="Times New Roman" w:hAnsi="Times New Roman" w:cs="Times New Roman"/>
        </w:rPr>
      </w:pPr>
    </w:p>
    <w:p w:rsidR="000A3797" w:rsidRDefault="00A660E7">
      <w:pPr>
        <w:spacing w:after="0" w:line="24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городе Алматы на протяжении десяти лет, за исключением 2014, 2018 и 2021 годов, наблюдался устойчивый рост числа пролеченных случаев [192, стр. 278]. Анализ показал статистически значимые различия между объёмами хирургических вмешательств, проведённых в </w:t>
      </w:r>
      <w:r>
        <w:rPr>
          <w:rFonts w:ascii="Times New Roman" w:eastAsia="Times New Roman" w:hAnsi="Times New Roman" w:cs="Times New Roman"/>
          <w:sz w:val="28"/>
          <w:szCs w:val="28"/>
        </w:rPr>
        <w:t>2012 и 2021 годах (p&lt;0,001) (Таблица 7, Рисунок 1) [192, стр. 278]. Среднее количество пролеченных случаев, финансируемых из республиканского бюджета, составляло 438 в год (Таблица 7). Ежегодный прирост составлял 48 случаев, что соответствует 15% в относит</w:t>
      </w:r>
      <w:r>
        <w:rPr>
          <w:rFonts w:ascii="Times New Roman" w:eastAsia="Times New Roman" w:hAnsi="Times New Roman" w:cs="Times New Roman"/>
          <w:sz w:val="28"/>
          <w:szCs w:val="28"/>
        </w:rPr>
        <w:t>ельном выражении (Таблица 7) [192, стр. 278].</w:t>
      </w:r>
    </w:p>
    <w:p w:rsidR="000A3797" w:rsidRDefault="000A3797">
      <w:pPr>
        <w:spacing w:after="0" w:line="240" w:lineRule="auto"/>
        <w:ind w:firstLine="708"/>
        <w:rPr>
          <w:rFonts w:ascii="Times New Roman" w:eastAsia="Times New Roman" w:hAnsi="Times New Roman" w:cs="Times New Roman"/>
          <w:sz w:val="28"/>
          <w:szCs w:val="28"/>
        </w:rPr>
      </w:pPr>
    </w:p>
    <w:p w:rsidR="000A3797" w:rsidRDefault="00A660E7">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7 - Динамический ряд пролеченных случаев ГП в городе Алматы</w:t>
      </w:r>
    </w:p>
    <w:p w:rsidR="000A3797" w:rsidRDefault="000A3797">
      <w:pPr>
        <w:spacing w:after="0" w:line="240" w:lineRule="auto"/>
        <w:rPr>
          <w:rFonts w:ascii="Times New Roman" w:eastAsia="Times New Roman" w:hAnsi="Times New Roman" w:cs="Times New Roman"/>
          <w:sz w:val="28"/>
          <w:szCs w:val="28"/>
        </w:rPr>
      </w:pPr>
    </w:p>
    <w:tbl>
      <w:tblPr>
        <w:tblStyle w:val="ac"/>
        <w:tblW w:w="627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8"/>
        <w:gridCol w:w="708"/>
        <w:gridCol w:w="993"/>
        <w:gridCol w:w="850"/>
        <w:gridCol w:w="992"/>
        <w:gridCol w:w="851"/>
        <w:gridCol w:w="892"/>
      </w:tblGrid>
      <w:tr w:rsidR="000A3797">
        <w:tc>
          <w:tcPr>
            <w:tcW w:w="988"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год</w:t>
            </w:r>
          </w:p>
        </w:tc>
        <w:tc>
          <w:tcPr>
            <w:tcW w:w="708"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yi</w:t>
            </w:r>
          </w:p>
        </w:tc>
        <w:tc>
          <w:tcPr>
            <w:tcW w:w="993"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ΔY.</w:t>
            </w:r>
          </w:p>
        </w:tc>
        <w:tc>
          <w:tcPr>
            <w:tcW w:w="850"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k</w:t>
            </w:r>
          </w:p>
        </w:tc>
        <w:tc>
          <w:tcPr>
            <w:tcW w:w="992"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K ’</w:t>
            </w:r>
          </w:p>
        </w:tc>
        <w:tc>
          <w:tcPr>
            <w:tcW w:w="851"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K ’’</w:t>
            </w:r>
          </w:p>
        </w:tc>
        <w:tc>
          <w:tcPr>
            <w:tcW w:w="892"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p-value</w:t>
            </w:r>
          </w:p>
        </w:tc>
      </w:tr>
      <w:tr w:rsidR="000A3797">
        <w:tc>
          <w:tcPr>
            <w:tcW w:w="988"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08"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993"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850"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992"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851"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892"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r>
      <w:tr w:rsidR="000A3797">
        <w:tc>
          <w:tcPr>
            <w:tcW w:w="988"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2012</w:t>
            </w:r>
          </w:p>
        </w:tc>
        <w:tc>
          <w:tcPr>
            <w:tcW w:w="708"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157</w:t>
            </w:r>
          </w:p>
        </w:tc>
        <w:tc>
          <w:tcPr>
            <w:tcW w:w="993" w:type="dxa"/>
          </w:tcPr>
          <w:p w:rsidR="000A3797" w:rsidRDefault="000A3797">
            <w:pPr>
              <w:jc w:val="center"/>
              <w:rPr>
                <w:rFonts w:ascii="Times New Roman" w:eastAsia="Times New Roman" w:hAnsi="Times New Roman" w:cs="Times New Roman"/>
                <w:sz w:val="24"/>
                <w:szCs w:val="24"/>
              </w:rPr>
            </w:pPr>
          </w:p>
        </w:tc>
        <w:tc>
          <w:tcPr>
            <w:tcW w:w="850"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992"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851"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892" w:type="dxa"/>
            <w:vMerge w:val="restart"/>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r>
      <w:tr w:rsidR="000A3797">
        <w:tc>
          <w:tcPr>
            <w:tcW w:w="988"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2013</w:t>
            </w:r>
          </w:p>
        </w:tc>
        <w:tc>
          <w:tcPr>
            <w:tcW w:w="708"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231</w:t>
            </w:r>
          </w:p>
        </w:tc>
        <w:tc>
          <w:tcPr>
            <w:tcW w:w="993"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74</w:t>
            </w:r>
          </w:p>
        </w:tc>
        <w:tc>
          <w:tcPr>
            <w:tcW w:w="850"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992"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147</w:t>
            </w:r>
          </w:p>
        </w:tc>
        <w:tc>
          <w:tcPr>
            <w:tcW w:w="851"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47</w:t>
            </w:r>
          </w:p>
        </w:tc>
        <w:tc>
          <w:tcPr>
            <w:tcW w:w="89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988"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2014</w:t>
            </w:r>
          </w:p>
        </w:tc>
        <w:tc>
          <w:tcPr>
            <w:tcW w:w="708"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203</w:t>
            </w:r>
          </w:p>
        </w:tc>
        <w:tc>
          <w:tcPr>
            <w:tcW w:w="993"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-28</w:t>
            </w:r>
          </w:p>
        </w:tc>
        <w:tc>
          <w:tcPr>
            <w:tcW w:w="850"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992"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129</w:t>
            </w:r>
          </w:p>
        </w:tc>
        <w:tc>
          <w:tcPr>
            <w:tcW w:w="851"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29</w:t>
            </w:r>
          </w:p>
        </w:tc>
        <w:tc>
          <w:tcPr>
            <w:tcW w:w="89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988"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2015</w:t>
            </w:r>
          </w:p>
        </w:tc>
        <w:tc>
          <w:tcPr>
            <w:tcW w:w="708"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264</w:t>
            </w:r>
          </w:p>
        </w:tc>
        <w:tc>
          <w:tcPr>
            <w:tcW w:w="993"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61</w:t>
            </w:r>
          </w:p>
        </w:tc>
        <w:tc>
          <w:tcPr>
            <w:tcW w:w="850"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992"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168</w:t>
            </w:r>
          </w:p>
        </w:tc>
        <w:tc>
          <w:tcPr>
            <w:tcW w:w="851"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68</w:t>
            </w:r>
          </w:p>
        </w:tc>
        <w:tc>
          <w:tcPr>
            <w:tcW w:w="89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988"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2016</w:t>
            </w:r>
          </w:p>
        </w:tc>
        <w:tc>
          <w:tcPr>
            <w:tcW w:w="708"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568</w:t>
            </w:r>
          </w:p>
        </w:tc>
        <w:tc>
          <w:tcPr>
            <w:tcW w:w="993"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304</w:t>
            </w:r>
          </w:p>
        </w:tc>
        <w:tc>
          <w:tcPr>
            <w:tcW w:w="850"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992"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362</w:t>
            </w:r>
          </w:p>
        </w:tc>
        <w:tc>
          <w:tcPr>
            <w:tcW w:w="851"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262</w:t>
            </w:r>
          </w:p>
        </w:tc>
        <w:tc>
          <w:tcPr>
            <w:tcW w:w="89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988"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2017</w:t>
            </w:r>
          </w:p>
        </w:tc>
        <w:tc>
          <w:tcPr>
            <w:tcW w:w="708"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648</w:t>
            </w:r>
          </w:p>
        </w:tc>
        <w:tc>
          <w:tcPr>
            <w:tcW w:w="993"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80</w:t>
            </w:r>
          </w:p>
        </w:tc>
        <w:tc>
          <w:tcPr>
            <w:tcW w:w="850"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992"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413</w:t>
            </w:r>
          </w:p>
        </w:tc>
        <w:tc>
          <w:tcPr>
            <w:tcW w:w="851"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313</w:t>
            </w:r>
          </w:p>
        </w:tc>
        <w:tc>
          <w:tcPr>
            <w:tcW w:w="892" w:type="dxa"/>
          </w:tcPr>
          <w:p w:rsidR="000A3797" w:rsidRDefault="000A3797">
            <w:pPr>
              <w:jc w:val="center"/>
              <w:rPr>
                <w:rFonts w:ascii="Times New Roman" w:eastAsia="Times New Roman" w:hAnsi="Times New Roman" w:cs="Times New Roman"/>
                <w:sz w:val="24"/>
                <w:szCs w:val="24"/>
              </w:rPr>
            </w:pPr>
          </w:p>
        </w:tc>
      </w:tr>
      <w:tr w:rsidR="000A3797">
        <w:tc>
          <w:tcPr>
            <w:tcW w:w="988"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2018</w:t>
            </w:r>
          </w:p>
        </w:tc>
        <w:tc>
          <w:tcPr>
            <w:tcW w:w="708"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558</w:t>
            </w:r>
          </w:p>
        </w:tc>
        <w:tc>
          <w:tcPr>
            <w:tcW w:w="993"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-90</w:t>
            </w:r>
          </w:p>
        </w:tc>
        <w:tc>
          <w:tcPr>
            <w:tcW w:w="850"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992"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355</w:t>
            </w:r>
          </w:p>
        </w:tc>
        <w:tc>
          <w:tcPr>
            <w:tcW w:w="851"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255</w:t>
            </w:r>
          </w:p>
        </w:tc>
        <w:tc>
          <w:tcPr>
            <w:tcW w:w="892" w:type="dxa"/>
          </w:tcPr>
          <w:p w:rsidR="000A3797" w:rsidRDefault="000A3797">
            <w:pPr>
              <w:jc w:val="center"/>
              <w:rPr>
                <w:rFonts w:ascii="Times New Roman" w:eastAsia="Times New Roman" w:hAnsi="Times New Roman" w:cs="Times New Roman"/>
                <w:sz w:val="24"/>
                <w:szCs w:val="24"/>
              </w:rPr>
            </w:pPr>
          </w:p>
        </w:tc>
      </w:tr>
    </w:tbl>
    <w:p w:rsidR="000A3797" w:rsidRDefault="000A3797">
      <w:pPr>
        <w:rPr>
          <w:rFonts w:ascii="Times New Roman" w:eastAsia="Times New Roman" w:hAnsi="Times New Roman" w:cs="Times New Roman"/>
          <w:sz w:val="28"/>
          <w:szCs w:val="28"/>
        </w:rPr>
      </w:pPr>
    </w:p>
    <w:p w:rsidR="000A3797" w:rsidRDefault="00A660E7">
      <w:pPr>
        <w:rPr>
          <w:rFonts w:ascii="Times New Roman" w:eastAsia="Times New Roman" w:hAnsi="Times New Roman" w:cs="Times New Roman"/>
          <w:sz w:val="28"/>
          <w:szCs w:val="28"/>
        </w:rPr>
      </w:pPr>
      <w:r>
        <w:rPr>
          <w:rFonts w:ascii="Times New Roman" w:eastAsia="Times New Roman" w:hAnsi="Times New Roman" w:cs="Times New Roman"/>
          <w:sz w:val="28"/>
          <w:szCs w:val="28"/>
        </w:rPr>
        <w:t>Продолжение таблицы 7</w:t>
      </w:r>
    </w:p>
    <w:tbl>
      <w:tblPr>
        <w:tblStyle w:val="ad"/>
        <w:tblW w:w="627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8"/>
        <w:gridCol w:w="708"/>
        <w:gridCol w:w="993"/>
        <w:gridCol w:w="850"/>
        <w:gridCol w:w="992"/>
        <w:gridCol w:w="851"/>
        <w:gridCol w:w="892"/>
      </w:tblGrid>
      <w:tr w:rsidR="000A3797">
        <w:tc>
          <w:tcPr>
            <w:tcW w:w="988"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08"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993"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850"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992"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851"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892"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r>
      <w:tr w:rsidR="000A3797">
        <w:tc>
          <w:tcPr>
            <w:tcW w:w="988"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2019</w:t>
            </w:r>
          </w:p>
        </w:tc>
        <w:tc>
          <w:tcPr>
            <w:tcW w:w="708"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576</w:t>
            </w:r>
          </w:p>
        </w:tc>
        <w:tc>
          <w:tcPr>
            <w:tcW w:w="993"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850"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992"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367</w:t>
            </w:r>
          </w:p>
        </w:tc>
        <w:tc>
          <w:tcPr>
            <w:tcW w:w="851"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267</w:t>
            </w:r>
          </w:p>
        </w:tc>
        <w:tc>
          <w:tcPr>
            <w:tcW w:w="892" w:type="dxa"/>
            <w:vMerge w:val="restart"/>
          </w:tcPr>
          <w:p w:rsidR="000A3797" w:rsidRDefault="000A3797">
            <w:pPr>
              <w:jc w:val="center"/>
              <w:rPr>
                <w:rFonts w:ascii="Times New Roman" w:eastAsia="Times New Roman" w:hAnsi="Times New Roman" w:cs="Times New Roman"/>
                <w:sz w:val="24"/>
                <w:szCs w:val="24"/>
              </w:rPr>
            </w:pPr>
          </w:p>
        </w:tc>
      </w:tr>
      <w:tr w:rsidR="000A3797">
        <w:tc>
          <w:tcPr>
            <w:tcW w:w="988"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2020</w:t>
            </w:r>
          </w:p>
        </w:tc>
        <w:tc>
          <w:tcPr>
            <w:tcW w:w="708"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593</w:t>
            </w:r>
          </w:p>
        </w:tc>
        <w:tc>
          <w:tcPr>
            <w:tcW w:w="993"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850"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992"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378</w:t>
            </w:r>
          </w:p>
        </w:tc>
        <w:tc>
          <w:tcPr>
            <w:tcW w:w="851"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278</w:t>
            </w:r>
          </w:p>
        </w:tc>
        <w:tc>
          <w:tcPr>
            <w:tcW w:w="89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988"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2021</w:t>
            </w:r>
          </w:p>
        </w:tc>
        <w:tc>
          <w:tcPr>
            <w:tcW w:w="708"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587</w:t>
            </w:r>
          </w:p>
        </w:tc>
        <w:tc>
          <w:tcPr>
            <w:tcW w:w="993"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850"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992"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374</w:t>
            </w:r>
          </w:p>
        </w:tc>
        <w:tc>
          <w:tcPr>
            <w:tcW w:w="851"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274</w:t>
            </w:r>
          </w:p>
        </w:tc>
        <w:tc>
          <w:tcPr>
            <w:tcW w:w="89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988"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 </w:t>
            </w:r>
            <w:r>
              <w:rPr>
                <w:rFonts w:ascii="Times New Roman" w:eastAsia="Times New Roman" w:hAnsi="Times New Roman" w:cs="Times New Roman"/>
                <w:sz w:val="24"/>
                <w:szCs w:val="24"/>
                <w:vertAlign w:val="subscript"/>
              </w:rPr>
              <w:t>ср (n)</w:t>
            </w:r>
          </w:p>
        </w:tc>
        <w:tc>
          <w:tcPr>
            <w:tcW w:w="708"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438</w:t>
            </w:r>
          </w:p>
        </w:tc>
        <w:tc>
          <w:tcPr>
            <w:tcW w:w="993" w:type="dxa"/>
          </w:tcPr>
          <w:p w:rsidR="000A3797" w:rsidRDefault="000A3797">
            <w:pPr>
              <w:jc w:val="center"/>
              <w:rPr>
                <w:rFonts w:ascii="Times New Roman" w:eastAsia="Times New Roman" w:hAnsi="Times New Roman" w:cs="Times New Roman"/>
                <w:sz w:val="24"/>
                <w:szCs w:val="24"/>
              </w:rPr>
            </w:pPr>
          </w:p>
        </w:tc>
        <w:tc>
          <w:tcPr>
            <w:tcW w:w="850" w:type="dxa"/>
          </w:tcPr>
          <w:p w:rsidR="000A3797" w:rsidRDefault="000A3797">
            <w:pPr>
              <w:jc w:val="center"/>
              <w:rPr>
                <w:rFonts w:ascii="Times New Roman" w:eastAsia="Times New Roman" w:hAnsi="Times New Roman" w:cs="Times New Roman"/>
                <w:sz w:val="24"/>
                <w:szCs w:val="24"/>
              </w:rPr>
            </w:pPr>
          </w:p>
        </w:tc>
        <w:tc>
          <w:tcPr>
            <w:tcW w:w="992" w:type="dxa"/>
          </w:tcPr>
          <w:p w:rsidR="000A3797" w:rsidRDefault="000A3797">
            <w:pPr>
              <w:jc w:val="center"/>
              <w:rPr>
                <w:rFonts w:ascii="Times New Roman" w:eastAsia="Times New Roman" w:hAnsi="Times New Roman" w:cs="Times New Roman"/>
                <w:sz w:val="24"/>
                <w:szCs w:val="24"/>
              </w:rPr>
            </w:pPr>
          </w:p>
        </w:tc>
        <w:tc>
          <w:tcPr>
            <w:tcW w:w="851" w:type="dxa"/>
          </w:tcPr>
          <w:p w:rsidR="000A3797" w:rsidRDefault="000A3797">
            <w:pPr>
              <w:jc w:val="center"/>
              <w:rPr>
                <w:rFonts w:ascii="Times New Roman" w:eastAsia="Times New Roman" w:hAnsi="Times New Roman" w:cs="Times New Roman"/>
                <w:sz w:val="24"/>
                <w:szCs w:val="24"/>
              </w:rPr>
            </w:pPr>
          </w:p>
        </w:tc>
        <w:tc>
          <w:tcPr>
            <w:tcW w:w="89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988"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Δy </w:t>
            </w:r>
            <w:r>
              <w:rPr>
                <w:rFonts w:ascii="Times New Roman" w:eastAsia="Times New Roman" w:hAnsi="Times New Roman" w:cs="Times New Roman"/>
                <w:sz w:val="24"/>
                <w:szCs w:val="24"/>
                <w:vertAlign w:val="subscript"/>
              </w:rPr>
              <w:t>ср</w:t>
            </w:r>
          </w:p>
        </w:tc>
        <w:tc>
          <w:tcPr>
            <w:tcW w:w="708" w:type="dxa"/>
          </w:tcPr>
          <w:p w:rsidR="000A3797" w:rsidRDefault="000A3797">
            <w:pPr>
              <w:jc w:val="center"/>
              <w:rPr>
                <w:rFonts w:ascii="Times New Roman" w:eastAsia="Times New Roman" w:hAnsi="Times New Roman" w:cs="Times New Roman"/>
                <w:sz w:val="24"/>
                <w:szCs w:val="24"/>
              </w:rPr>
            </w:pPr>
          </w:p>
        </w:tc>
        <w:tc>
          <w:tcPr>
            <w:tcW w:w="993"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48</w:t>
            </w:r>
          </w:p>
        </w:tc>
        <w:tc>
          <w:tcPr>
            <w:tcW w:w="850" w:type="dxa"/>
          </w:tcPr>
          <w:p w:rsidR="000A3797" w:rsidRDefault="000A3797">
            <w:pPr>
              <w:jc w:val="center"/>
              <w:rPr>
                <w:rFonts w:ascii="Times New Roman" w:eastAsia="Times New Roman" w:hAnsi="Times New Roman" w:cs="Times New Roman"/>
                <w:sz w:val="24"/>
                <w:szCs w:val="24"/>
              </w:rPr>
            </w:pPr>
          </w:p>
        </w:tc>
        <w:tc>
          <w:tcPr>
            <w:tcW w:w="992" w:type="dxa"/>
          </w:tcPr>
          <w:p w:rsidR="000A3797" w:rsidRDefault="000A3797">
            <w:pPr>
              <w:jc w:val="center"/>
              <w:rPr>
                <w:rFonts w:ascii="Times New Roman" w:eastAsia="Times New Roman" w:hAnsi="Times New Roman" w:cs="Times New Roman"/>
                <w:sz w:val="24"/>
                <w:szCs w:val="24"/>
              </w:rPr>
            </w:pPr>
          </w:p>
        </w:tc>
        <w:tc>
          <w:tcPr>
            <w:tcW w:w="851" w:type="dxa"/>
          </w:tcPr>
          <w:p w:rsidR="000A3797" w:rsidRDefault="000A3797">
            <w:pPr>
              <w:jc w:val="center"/>
              <w:rPr>
                <w:rFonts w:ascii="Times New Roman" w:eastAsia="Times New Roman" w:hAnsi="Times New Roman" w:cs="Times New Roman"/>
                <w:sz w:val="24"/>
                <w:szCs w:val="24"/>
              </w:rPr>
            </w:pPr>
          </w:p>
        </w:tc>
        <w:tc>
          <w:tcPr>
            <w:tcW w:w="89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988"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K ’</w:t>
            </w:r>
            <w:r>
              <w:rPr>
                <w:rFonts w:ascii="Times New Roman" w:eastAsia="Times New Roman" w:hAnsi="Times New Roman" w:cs="Times New Roman"/>
                <w:sz w:val="24"/>
                <w:szCs w:val="24"/>
                <w:vertAlign w:val="subscript"/>
              </w:rPr>
              <w:t xml:space="preserve"> ср(%)</w:t>
            </w:r>
          </w:p>
        </w:tc>
        <w:tc>
          <w:tcPr>
            <w:tcW w:w="708" w:type="dxa"/>
          </w:tcPr>
          <w:p w:rsidR="000A3797" w:rsidRDefault="000A3797">
            <w:pPr>
              <w:jc w:val="center"/>
              <w:rPr>
                <w:rFonts w:ascii="Times New Roman" w:eastAsia="Times New Roman" w:hAnsi="Times New Roman" w:cs="Times New Roman"/>
                <w:sz w:val="24"/>
                <w:szCs w:val="24"/>
              </w:rPr>
            </w:pPr>
          </w:p>
        </w:tc>
        <w:tc>
          <w:tcPr>
            <w:tcW w:w="993" w:type="dxa"/>
          </w:tcPr>
          <w:p w:rsidR="000A3797" w:rsidRDefault="000A3797">
            <w:pPr>
              <w:jc w:val="center"/>
              <w:rPr>
                <w:rFonts w:ascii="Times New Roman" w:eastAsia="Times New Roman" w:hAnsi="Times New Roman" w:cs="Times New Roman"/>
                <w:sz w:val="24"/>
                <w:szCs w:val="24"/>
              </w:rPr>
            </w:pPr>
          </w:p>
        </w:tc>
        <w:tc>
          <w:tcPr>
            <w:tcW w:w="850" w:type="dxa"/>
          </w:tcPr>
          <w:p w:rsidR="000A3797" w:rsidRDefault="000A3797">
            <w:pPr>
              <w:jc w:val="center"/>
              <w:rPr>
                <w:rFonts w:ascii="Times New Roman" w:eastAsia="Times New Roman" w:hAnsi="Times New Roman" w:cs="Times New Roman"/>
                <w:sz w:val="24"/>
                <w:szCs w:val="24"/>
              </w:rPr>
            </w:pPr>
          </w:p>
        </w:tc>
        <w:tc>
          <w:tcPr>
            <w:tcW w:w="992"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115</w:t>
            </w:r>
          </w:p>
        </w:tc>
        <w:tc>
          <w:tcPr>
            <w:tcW w:w="851" w:type="dxa"/>
          </w:tcPr>
          <w:p w:rsidR="000A3797" w:rsidRDefault="000A3797">
            <w:pPr>
              <w:jc w:val="center"/>
              <w:rPr>
                <w:rFonts w:ascii="Times New Roman" w:eastAsia="Times New Roman" w:hAnsi="Times New Roman" w:cs="Times New Roman"/>
                <w:sz w:val="24"/>
                <w:szCs w:val="24"/>
              </w:rPr>
            </w:pPr>
          </w:p>
        </w:tc>
        <w:tc>
          <w:tcPr>
            <w:tcW w:w="89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988"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 ’’ </w:t>
            </w:r>
            <w:r>
              <w:rPr>
                <w:rFonts w:ascii="Times New Roman" w:eastAsia="Times New Roman" w:hAnsi="Times New Roman" w:cs="Times New Roman"/>
                <w:sz w:val="24"/>
                <w:szCs w:val="24"/>
                <w:vertAlign w:val="subscript"/>
              </w:rPr>
              <w:t>ср (%)</w:t>
            </w:r>
          </w:p>
        </w:tc>
        <w:tc>
          <w:tcPr>
            <w:tcW w:w="708" w:type="dxa"/>
          </w:tcPr>
          <w:p w:rsidR="000A3797" w:rsidRDefault="000A3797">
            <w:pPr>
              <w:jc w:val="center"/>
              <w:rPr>
                <w:rFonts w:ascii="Times New Roman" w:eastAsia="Times New Roman" w:hAnsi="Times New Roman" w:cs="Times New Roman"/>
                <w:sz w:val="24"/>
                <w:szCs w:val="24"/>
              </w:rPr>
            </w:pPr>
          </w:p>
        </w:tc>
        <w:tc>
          <w:tcPr>
            <w:tcW w:w="993" w:type="dxa"/>
          </w:tcPr>
          <w:p w:rsidR="000A3797" w:rsidRDefault="000A3797">
            <w:pPr>
              <w:jc w:val="center"/>
              <w:rPr>
                <w:rFonts w:ascii="Times New Roman" w:eastAsia="Times New Roman" w:hAnsi="Times New Roman" w:cs="Times New Roman"/>
                <w:sz w:val="24"/>
                <w:szCs w:val="24"/>
              </w:rPr>
            </w:pPr>
          </w:p>
        </w:tc>
        <w:tc>
          <w:tcPr>
            <w:tcW w:w="850" w:type="dxa"/>
          </w:tcPr>
          <w:p w:rsidR="000A3797" w:rsidRDefault="000A3797">
            <w:pPr>
              <w:jc w:val="center"/>
              <w:rPr>
                <w:rFonts w:ascii="Times New Roman" w:eastAsia="Times New Roman" w:hAnsi="Times New Roman" w:cs="Times New Roman"/>
                <w:sz w:val="24"/>
                <w:szCs w:val="24"/>
              </w:rPr>
            </w:pPr>
          </w:p>
        </w:tc>
        <w:tc>
          <w:tcPr>
            <w:tcW w:w="992" w:type="dxa"/>
          </w:tcPr>
          <w:p w:rsidR="000A3797" w:rsidRDefault="000A3797">
            <w:pPr>
              <w:jc w:val="center"/>
              <w:rPr>
                <w:rFonts w:ascii="Times New Roman" w:eastAsia="Times New Roman" w:hAnsi="Times New Roman" w:cs="Times New Roman"/>
                <w:sz w:val="24"/>
                <w:szCs w:val="24"/>
              </w:rPr>
            </w:pPr>
          </w:p>
        </w:tc>
        <w:tc>
          <w:tcPr>
            <w:tcW w:w="851" w:type="dxa"/>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89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6274" w:type="dxa"/>
            <w:gridSpan w:val="7"/>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Yi – пролеченные случаи, ΔY- абсолютный прирост, k- коэффициент роста, K ’ – темп роста, K ’’ – темп прироста</w:t>
            </w:r>
          </w:p>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 </w:t>
            </w:r>
            <w:r>
              <w:rPr>
                <w:rFonts w:ascii="Times New Roman" w:eastAsia="Times New Roman" w:hAnsi="Times New Roman" w:cs="Times New Roman"/>
                <w:sz w:val="24"/>
                <w:szCs w:val="24"/>
                <w:vertAlign w:val="subscript"/>
              </w:rPr>
              <w:t>ср-</w:t>
            </w:r>
            <w:r>
              <w:rPr>
                <w:rFonts w:ascii="Times New Roman" w:eastAsia="Times New Roman" w:hAnsi="Times New Roman" w:cs="Times New Roman"/>
                <w:sz w:val="24"/>
                <w:szCs w:val="24"/>
              </w:rPr>
              <w:t xml:space="preserve"> Средний уровень, Δy </w:t>
            </w:r>
            <w:r>
              <w:rPr>
                <w:rFonts w:ascii="Times New Roman" w:eastAsia="Times New Roman" w:hAnsi="Times New Roman" w:cs="Times New Roman"/>
                <w:sz w:val="24"/>
                <w:szCs w:val="24"/>
                <w:vertAlign w:val="subscript"/>
              </w:rPr>
              <w:t xml:space="preserve">ср- </w:t>
            </w:r>
            <w:r>
              <w:rPr>
                <w:rFonts w:ascii="Times New Roman" w:eastAsia="Times New Roman" w:hAnsi="Times New Roman" w:cs="Times New Roman"/>
                <w:sz w:val="24"/>
                <w:szCs w:val="24"/>
              </w:rPr>
              <w:t xml:space="preserve"> Среднегодовой абсолютный прирост, K ’</w:t>
            </w:r>
            <w:r>
              <w:rPr>
                <w:rFonts w:ascii="Times New Roman" w:eastAsia="Times New Roman" w:hAnsi="Times New Roman" w:cs="Times New Roman"/>
                <w:sz w:val="24"/>
                <w:szCs w:val="24"/>
                <w:vertAlign w:val="subscript"/>
              </w:rPr>
              <w:t xml:space="preserve"> ср </w:t>
            </w:r>
            <w:r>
              <w:rPr>
                <w:rFonts w:ascii="Times New Roman" w:eastAsia="Times New Roman" w:hAnsi="Times New Roman" w:cs="Times New Roman"/>
                <w:sz w:val="24"/>
                <w:szCs w:val="24"/>
              </w:rPr>
              <w:t>- среднегодовой темп роста, k'' - среднегодовой темп прироста</w:t>
            </w:r>
          </w:p>
        </w:tc>
      </w:tr>
    </w:tbl>
    <w:p w:rsidR="000A3797" w:rsidRDefault="000A3797">
      <w:pPr>
        <w:spacing w:after="0" w:line="240" w:lineRule="auto"/>
        <w:rPr>
          <w:rFonts w:ascii="Times New Roman" w:eastAsia="Times New Roman" w:hAnsi="Times New Roman" w:cs="Times New Roman"/>
        </w:rPr>
      </w:pPr>
    </w:p>
    <w:p w:rsidR="000A3797" w:rsidRDefault="00A660E7">
      <w:pPr>
        <w:spacing w:after="0" w:line="240" w:lineRule="auto"/>
        <w:ind w:firstLine="708"/>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В городе Астана также отмечен рост числа хирургических вмешательств, за исключением 2017, 2018 и 2020 годов [192, стр. 278]. При сравнении показателей 2012 и 2021 годов выявлены статистически значимые изменения (p=0,01) (Таблица 8, Рисунок 1) [192, стр. 27</w:t>
      </w:r>
      <w:r>
        <w:rPr>
          <w:rFonts w:ascii="Times New Roman" w:eastAsia="Times New Roman" w:hAnsi="Times New Roman" w:cs="Times New Roman"/>
          <w:sz w:val="28"/>
          <w:szCs w:val="28"/>
          <w:highlight w:val="white"/>
        </w:rPr>
        <w:t>8]. В среднем ежегодно проводилось 397 операций (Таблица 8), с приростом на 31 случай в год, что составляет 8% в относительном выражении (Таблица 8) [192, стр. 278].</w:t>
      </w:r>
    </w:p>
    <w:p w:rsidR="000A3797" w:rsidRDefault="000A3797">
      <w:pPr>
        <w:spacing w:after="0" w:line="240" w:lineRule="auto"/>
        <w:ind w:firstLine="708"/>
        <w:rPr>
          <w:rFonts w:ascii="Times New Roman" w:eastAsia="Times New Roman" w:hAnsi="Times New Roman" w:cs="Times New Roman"/>
          <w:sz w:val="28"/>
          <w:szCs w:val="28"/>
        </w:rPr>
      </w:pPr>
    </w:p>
    <w:p w:rsidR="000A3797" w:rsidRDefault="00A660E7">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8 - Динамический ряд пролеченных случаев ГП в городе Астана</w:t>
      </w:r>
    </w:p>
    <w:p w:rsidR="000A3797" w:rsidRDefault="000A3797">
      <w:pPr>
        <w:spacing w:after="0" w:line="240" w:lineRule="auto"/>
        <w:rPr>
          <w:rFonts w:ascii="Times New Roman" w:eastAsia="Times New Roman" w:hAnsi="Times New Roman" w:cs="Times New Roman"/>
          <w:sz w:val="28"/>
          <w:szCs w:val="28"/>
        </w:rPr>
      </w:pPr>
    </w:p>
    <w:tbl>
      <w:tblPr>
        <w:tblStyle w:val="ae"/>
        <w:tblW w:w="623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8"/>
        <w:gridCol w:w="708"/>
        <w:gridCol w:w="993"/>
        <w:gridCol w:w="850"/>
        <w:gridCol w:w="992"/>
        <w:gridCol w:w="851"/>
        <w:gridCol w:w="851"/>
      </w:tblGrid>
      <w:tr w:rsidR="000A3797">
        <w:tc>
          <w:tcPr>
            <w:tcW w:w="988" w:type="dxa"/>
            <w:vAlign w:val="bottom"/>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год </w:t>
            </w:r>
          </w:p>
        </w:tc>
        <w:tc>
          <w:tcPr>
            <w:tcW w:w="708" w:type="dxa"/>
            <w:vAlign w:val="bottom"/>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yi</w:t>
            </w:r>
          </w:p>
        </w:tc>
        <w:tc>
          <w:tcPr>
            <w:tcW w:w="993" w:type="dxa"/>
            <w:vAlign w:val="bottom"/>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ΔY.</w:t>
            </w:r>
          </w:p>
        </w:tc>
        <w:tc>
          <w:tcPr>
            <w:tcW w:w="850" w:type="dxa"/>
            <w:vAlign w:val="bottom"/>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k</w:t>
            </w:r>
          </w:p>
        </w:tc>
        <w:tc>
          <w:tcPr>
            <w:tcW w:w="992" w:type="dxa"/>
            <w:vAlign w:val="bottom"/>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K ’</w:t>
            </w:r>
          </w:p>
        </w:tc>
        <w:tc>
          <w:tcPr>
            <w:tcW w:w="851" w:type="dxa"/>
            <w:vAlign w:val="bottom"/>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K ’’</w:t>
            </w:r>
          </w:p>
        </w:tc>
        <w:tc>
          <w:tcPr>
            <w:tcW w:w="851"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p-value</w:t>
            </w:r>
          </w:p>
        </w:tc>
      </w:tr>
      <w:tr w:rsidR="000A3797">
        <w:tc>
          <w:tcPr>
            <w:tcW w:w="988"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2012</w:t>
            </w:r>
          </w:p>
        </w:tc>
        <w:tc>
          <w:tcPr>
            <w:tcW w:w="708"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241</w:t>
            </w:r>
          </w:p>
        </w:tc>
        <w:tc>
          <w:tcPr>
            <w:tcW w:w="993" w:type="dxa"/>
            <w:vAlign w:val="bottom"/>
          </w:tcPr>
          <w:p w:rsidR="000A3797" w:rsidRDefault="000A3797">
            <w:pPr>
              <w:jc w:val="right"/>
              <w:rPr>
                <w:rFonts w:ascii="Times New Roman" w:eastAsia="Times New Roman" w:hAnsi="Times New Roman" w:cs="Times New Roman"/>
                <w:sz w:val="24"/>
                <w:szCs w:val="24"/>
              </w:rPr>
            </w:pPr>
          </w:p>
        </w:tc>
        <w:tc>
          <w:tcPr>
            <w:tcW w:w="850"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992"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851"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851" w:type="dxa"/>
            <w:vMerge w:val="restart"/>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0,01</w:t>
            </w:r>
          </w:p>
        </w:tc>
      </w:tr>
      <w:tr w:rsidR="000A3797">
        <w:tc>
          <w:tcPr>
            <w:tcW w:w="988"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2013</w:t>
            </w:r>
          </w:p>
        </w:tc>
        <w:tc>
          <w:tcPr>
            <w:tcW w:w="708"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292</w:t>
            </w:r>
          </w:p>
        </w:tc>
        <w:tc>
          <w:tcPr>
            <w:tcW w:w="993"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51</w:t>
            </w:r>
          </w:p>
        </w:tc>
        <w:tc>
          <w:tcPr>
            <w:tcW w:w="850"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1,21</w:t>
            </w:r>
          </w:p>
        </w:tc>
        <w:tc>
          <w:tcPr>
            <w:tcW w:w="992"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121</w:t>
            </w:r>
          </w:p>
        </w:tc>
        <w:tc>
          <w:tcPr>
            <w:tcW w:w="851"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851"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988"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2014</w:t>
            </w:r>
          </w:p>
        </w:tc>
        <w:tc>
          <w:tcPr>
            <w:tcW w:w="708"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313</w:t>
            </w:r>
          </w:p>
        </w:tc>
        <w:tc>
          <w:tcPr>
            <w:tcW w:w="993"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850"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1,30</w:t>
            </w:r>
          </w:p>
        </w:tc>
        <w:tc>
          <w:tcPr>
            <w:tcW w:w="992"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130</w:t>
            </w:r>
          </w:p>
        </w:tc>
        <w:tc>
          <w:tcPr>
            <w:tcW w:w="851"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c>
          <w:tcPr>
            <w:tcW w:w="851"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988"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2015</w:t>
            </w:r>
          </w:p>
        </w:tc>
        <w:tc>
          <w:tcPr>
            <w:tcW w:w="708"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349</w:t>
            </w:r>
          </w:p>
        </w:tc>
        <w:tc>
          <w:tcPr>
            <w:tcW w:w="993"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36</w:t>
            </w:r>
          </w:p>
        </w:tc>
        <w:tc>
          <w:tcPr>
            <w:tcW w:w="850"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1,45</w:t>
            </w:r>
          </w:p>
        </w:tc>
        <w:tc>
          <w:tcPr>
            <w:tcW w:w="992"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145</w:t>
            </w:r>
          </w:p>
        </w:tc>
        <w:tc>
          <w:tcPr>
            <w:tcW w:w="851"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45</w:t>
            </w:r>
          </w:p>
        </w:tc>
        <w:tc>
          <w:tcPr>
            <w:tcW w:w="851"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988"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2016</w:t>
            </w:r>
          </w:p>
        </w:tc>
        <w:tc>
          <w:tcPr>
            <w:tcW w:w="708"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476</w:t>
            </w:r>
          </w:p>
        </w:tc>
        <w:tc>
          <w:tcPr>
            <w:tcW w:w="993"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127</w:t>
            </w:r>
          </w:p>
        </w:tc>
        <w:tc>
          <w:tcPr>
            <w:tcW w:w="850"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1,98</w:t>
            </w:r>
          </w:p>
        </w:tc>
        <w:tc>
          <w:tcPr>
            <w:tcW w:w="992"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198</w:t>
            </w:r>
          </w:p>
        </w:tc>
        <w:tc>
          <w:tcPr>
            <w:tcW w:w="851"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98</w:t>
            </w:r>
          </w:p>
        </w:tc>
        <w:tc>
          <w:tcPr>
            <w:tcW w:w="851"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988"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2017</w:t>
            </w:r>
          </w:p>
        </w:tc>
        <w:tc>
          <w:tcPr>
            <w:tcW w:w="708"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467</w:t>
            </w:r>
          </w:p>
        </w:tc>
        <w:tc>
          <w:tcPr>
            <w:tcW w:w="993"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850"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1,94</w:t>
            </w:r>
          </w:p>
        </w:tc>
        <w:tc>
          <w:tcPr>
            <w:tcW w:w="992"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194</w:t>
            </w:r>
          </w:p>
        </w:tc>
        <w:tc>
          <w:tcPr>
            <w:tcW w:w="851"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94</w:t>
            </w:r>
          </w:p>
        </w:tc>
        <w:tc>
          <w:tcPr>
            <w:tcW w:w="851"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988"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2018</w:t>
            </w:r>
          </w:p>
        </w:tc>
        <w:tc>
          <w:tcPr>
            <w:tcW w:w="708"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457</w:t>
            </w:r>
          </w:p>
        </w:tc>
        <w:tc>
          <w:tcPr>
            <w:tcW w:w="993"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850"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1,90</w:t>
            </w:r>
          </w:p>
        </w:tc>
        <w:tc>
          <w:tcPr>
            <w:tcW w:w="992"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190</w:t>
            </w:r>
          </w:p>
        </w:tc>
        <w:tc>
          <w:tcPr>
            <w:tcW w:w="851"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90</w:t>
            </w:r>
          </w:p>
        </w:tc>
        <w:tc>
          <w:tcPr>
            <w:tcW w:w="851"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988"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2019</w:t>
            </w:r>
          </w:p>
        </w:tc>
        <w:tc>
          <w:tcPr>
            <w:tcW w:w="708"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465</w:t>
            </w:r>
          </w:p>
        </w:tc>
        <w:tc>
          <w:tcPr>
            <w:tcW w:w="993"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850"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1,93</w:t>
            </w:r>
          </w:p>
        </w:tc>
        <w:tc>
          <w:tcPr>
            <w:tcW w:w="992"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193</w:t>
            </w:r>
          </w:p>
        </w:tc>
        <w:tc>
          <w:tcPr>
            <w:tcW w:w="851"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93</w:t>
            </w:r>
          </w:p>
        </w:tc>
        <w:tc>
          <w:tcPr>
            <w:tcW w:w="851"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988"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2020</w:t>
            </w:r>
          </w:p>
        </w:tc>
        <w:tc>
          <w:tcPr>
            <w:tcW w:w="708"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389</w:t>
            </w:r>
          </w:p>
        </w:tc>
        <w:tc>
          <w:tcPr>
            <w:tcW w:w="993"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-76</w:t>
            </w:r>
          </w:p>
        </w:tc>
        <w:tc>
          <w:tcPr>
            <w:tcW w:w="850"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1,61</w:t>
            </w:r>
          </w:p>
        </w:tc>
        <w:tc>
          <w:tcPr>
            <w:tcW w:w="992"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161</w:t>
            </w:r>
          </w:p>
        </w:tc>
        <w:tc>
          <w:tcPr>
            <w:tcW w:w="851"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61</w:t>
            </w:r>
          </w:p>
        </w:tc>
        <w:tc>
          <w:tcPr>
            <w:tcW w:w="851"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988"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2021</w:t>
            </w:r>
          </w:p>
        </w:tc>
        <w:tc>
          <w:tcPr>
            <w:tcW w:w="708"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524</w:t>
            </w:r>
          </w:p>
        </w:tc>
        <w:tc>
          <w:tcPr>
            <w:tcW w:w="993"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135</w:t>
            </w:r>
          </w:p>
        </w:tc>
        <w:tc>
          <w:tcPr>
            <w:tcW w:w="850"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2,17</w:t>
            </w:r>
          </w:p>
        </w:tc>
        <w:tc>
          <w:tcPr>
            <w:tcW w:w="992"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217</w:t>
            </w:r>
          </w:p>
        </w:tc>
        <w:tc>
          <w:tcPr>
            <w:tcW w:w="851"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117</w:t>
            </w:r>
          </w:p>
        </w:tc>
        <w:tc>
          <w:tcPr>
            <w:tcW w:w="851"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988" w:type="dxa"/>
            <w:vAlign w:val="bottom"/>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 </w:t>
            </w:r>
            <w:r>
              <w:rPr>
                <w:rFonts w:ascii="Times New Roman" w:eastAsia="Times New Roman" w:hAnsi="Times New Roman" w:cs="Times New Roman"/>
                <w:sz w:val="24"/>
                <w:szCs w:val="24"/>
                <w:vertAlign w:val="subscript"/>
              </w:rPr>
              <w:t>ср (n)</w:t>
            </w:r>
          </w:p>
        </w:tc>
        <w:tc>
          <w:tcPr>
            <w:tcW w:w="708"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397</w:t>
            </w:r>
          </w:p>
        </w:tc>
        <w:tc>
          <w:tcPr>
            <w:tcW w:w="993" w:type="dxa"/>
            <w:vAlign w:val="bottom"/>
          </w:tcPr>
          <w:p w:rsidR="000A3797" w:rsidRDefault="000A3797">
            <w:pPr>
              <w:jc w:val="right"/>
              <w:rPr>
                <w:rFonts w:ascii="Times New Roman" w:eastAsia="Times New Roman" w:hAnsi="Times New Roman" w:cs="Times New Roman"/>
                <w:sz w:val="24"/>
                <w:szCs w:val="24"/>
              </w:rPr>
            </w:pPr>
          </w:p>
        </w:tc>
        <w:tc>
          <w:tcPr>
            <w:tcW w:w="850" w:type="dxa"/>
            <w:vAlign w:val="bottom"/>
          </w:tcPr>
          <w:p w:rsidR="000A3797" w:rsidRDefault="000A3797">
            <w:pPr>
              <w:jc w:val="right"/>
              <w:rPr>
                <w:rFonts w:ascii="Times New Roman" w:eastAsia="Times New Roman" w:hAnsi="Times New Roman" w:cs="Times New Roman"/>
                <w:sz w:val="24"/>
                <w:szCs w:val="24"/>
              </w:rPr>
            </w:pPr>
          </w:p>
        </w:tc>
        <w:tc>
          <w:tcPr>
            <w:tcW w:w="992" w:type="dxa"/>
            <w:vAlign w:val="bottom"/>
          </w:tcPr>
          <w:p w:rsidR="000A3797" w:rsidRDefault="000A3797">
            <w:pPr>
              <w:jc w:val="right"/>
              <w:rPr>
                <w:rFonts w:ascii="Times New Roman" w:eastAsia="Times New Roman" w:hAnsi="Times New Roman" w:cs="Times New Roman"/>
                <w:sz w:val="24"/>
                <w:szCs w:val="24"/>
              </w:rPr>
            </w:pPr>
          </w:p>
        </w:tc>
        <w:tc>
          <w:tcPr>
            <w:tcW w:w="851" w:type="dxa"/>
            <w:vAlign w:val="bottom"/>
          </w:tcPr>
          <w:p w:rsidR="000A3797" w:rsidRDefault="000A3797">
            <w:pPr>
              <w:jc w:val="right"/>
              <w:rPr>
                <w:rFonts w:ascii="Times New Roman" w:eastAsia="Times New Roman" w:hAnsi="Times New Roman" w:cs="Times New Roman"/>
                <w:sz w:val="24"/>
                <w:szCs w:val="24"/>
              </w:rPr>
            </w:pPr>
          </w:p>
        </w:tc>
        <w:tc>
          <w:tcPr>
            <w:tcW w:w="851"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988" w:type="dxa"/>
            <w:vAlign w:val="bottom"/>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Δy </w:t>
            </w:r>
            <w:r>
              <w:rPr>
                <w:rFonts w:ascii="Times New Roman" w:eastAsia="Times New Roman" w:hAnsi="Times New Roman" w:cs="Times New Roman"/>
                <w:sz w:val="24"/>
                <w:szCs w:val="24"/>
                <w:vertAlign w:val="subscript"/>
              </w:rPr>
              <w:t xml:space="preserve">ср </w:t>
            </w:r>
          </w:p>
        </w:tc>
        <w:tc>
          <w:tcPr>
            <w:tcW w:w="708" w:type="dxa"/>
            <w:vAlign w:val="bottom"/>
          </w:tcPr>
          <w:p w:rsidR="000A3797" w:rsidRDefault="000A3797">
            <w:pPr>
              <w:jc w:val="right"/>
              <w:rPr>
                <w:rFonts w:ascii="Times New Roman" w:eastAsia="Times New Roman" w:hAnsi="Times New Roman" w:cs="Times New Roman"/>
                <w:sz w:val="24"/>
                <w:szCs w:val="24"/>
              </w:rPr>
            </w:pPr>
          </w:p>
        </w:tc>
        <w:tc>
          <w:tcPr>
            <w:tcW w:w="993"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31</w:t>
            </w:r>
          </w:p>
        </w:tc>
        <w:tc>
          <w:tcPr>
            <w:tcW w:w="850" w:type="dxa"/>
            <w:vAlign w:val="bottom"/>
          </w:tcPr>
          <w:p w:rsidR="000A3797" w:rsidRDefault="000A3797">
            <w:pPr>
              <w:jc w:val="right"/>
              <w:rPr>
                <w:rFonts w:ascii="Times New Roman" w:eastAsia="Times New Roman" w:hAnsi="Times New Roman" w:cs="Times New Roman"/>
                <w:sz w:val="24"/>
                <w:szCs w:val="24"/>
              </w:rPr>
            </w:pPr>
          </w:p>
        </w:tc>
        <w:tc>
          <w:tcPr>
            <w:tcW w:w="992" w:type="dxa"/>
            <w:vAlign w:val="bottom"/>
          </w:tcPr>
          <w:p w:rsidR="000A3797" w:rsidRDefault="000A3797">
            <w:pPr>
              <w:jc w:val="right"/>
              <w:rPr>
                <w:rFonts w:ascii="Times New Roman" w:eastAsia="Times New Roman" w:hAnsi="Times New Roman" w:cs="Times New Roman"/>
                <w:sz w:val="24"/>
                <w:szCs w:val="24"/>
              </w:rPr>
            </w:pPr>
          </w:p>
        </w:tc>
        <w:tc>
          <w:tcPr>
            <w:tcW w:w="851" w:type="dxa"/>
            <w:vAlign w:val="bottom"/>
          </w:tcPr>
          <w:p w:rsidR="000A3797" w:rsidRDefault="000A3797">
            <w:pPr>
              <w:jc w:val="right"/>
              <w:rPr>
                <w:rFonts w:ascii="Times New Roman" w:eastAsia="Times New Roman" w:hAnsi="Times New Roman" w:cs="Times New Roman"/>
                <w:sz w:val="24"/>
                <w:szCs w:val="24"/>
              </w:rPr>
            </w:pPr>
          </w:p>
        </w:tc>
        <w:tc>
          <w:tcPr>
            <w:tcW w:w="851"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988" w:type="dxa"/>
            <w:vAlign w:val="bottom"/>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K ’</w:t>
            </w:r>
            <w:r>
              <w:rPr>
                <w:rFonts w:ascii="Times New Roman" w:eastAsia="Times New Roman" w:hAnsi="Times New Roman" w:cs="Times New Roman"/>
                <w:sz w:val="24"/>
                <w:szCs w:val="24"/>
                <w:vertAlign w:val="subscript"/>
              </w:rPr>
              <w:t xml:space="preserve"> ср(%)</w:t>
            </w:r>
          </w:p>
        </w:tc>
        <w:tc>
          <w:tcPr>
            <w:tcW w:w="708" w:type="dxa"/>
            <w:vAlign w:val="bottom"/>
          </w:tcPr>
          <w:p w:rsidR="000A3797" w:rsidRDefault="000A3797">
            <w:pPr>
              <w:jc w:val="right"/>
              <w:rPr>
                <w:rFonts w:ascii="Times New Roman" w:eastAsia="Times New Roman" w:hAnsi="Times New Roman" w:cs="Times New Roman"/>
                <w:sz w:val="24"/>
                <w:szCs w:val="24"/>
              </w:rPr>
            </w:pPr>
          </w:p>
        </w:tc>
        <w:tc>
          <w:tcPr>
            <w:tcW w:w="993" w:type="dxa"/>
            <w:vAlign w:val="bottom"/>
          </w:tcPr>
          <w:p w:rsidR="000A3797" w:rsidRDefault="000A3797">
            <w:pPr>
              <w:jc w:val="right"/>
              <w:rPr>
                <w:rFonts w:ascii="Times New Roman" w:eastAsia="Times New Roman" w:hAnsi="Times New Roman" w:cs="Times New Roman"/>
                <w:sz w:val="24"/>
                <w:szCs w:val="24"/>
              </w:rPr>
            </w:pPr>
          </w:p>
        </w:tc>
        <w:tc>
          <w:tcPr>
            <w:tcW w:w="850" w:type="dxa"/>
            <w:vAlign w:val="bottom"/>
          </w:tcPr>
          <w:p w:rsidR="000A3797" w:rsidRDefault="000A3797">
            <w:pPr>
              <w:jc w:val="right"/>
              <w:rPr>
                <w:rFonts w:ascii="Times New Roman" w:eastAsia="Times New Roman" w:hAnsi="Times New Roman" w:cs="Times New Roman"/>
                <w:sz w:val="24"/>
                <w:szCs w:val="24"/>
              </w:rPr>
            </w:pPr>
          </w:p>
        </w:tc>
        <w:tc>
          <w:tcPr>
            <w:tcW w:w="992"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108</w:t>
            </w:r>
          </w:p>
        </w:tc>
        <w:tc>
          <w:tcPr>
            <w:tcW w:w="851" w:type="dxa"/>
            <w:vAlign w:val="bottom"/>
          </w:tcPr>
          <w:p w:rsidR="000A3797" w:rsidRDefault="000A3797">
            <w:pPr>
              <w:jc w:val="right"/>
              <w:rPr>
                <w:rFonts w:ascii="Times New Roman" w:eastAsia="Times New Roman" w:hAnsi="Times New Roman" w:cs="Times New Roman"/>
                <w:sz w:val="24"/>
                <w:szCs w:val="24"/>
              </w:rPr>
            </w:pPr>
          </w:p>
        </w:tc>
        <w:tc>
          <w:tcPr>
            <w:tcW w:w="851"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988" w:type="dxa"/>
            <w:vAlign w:val="bottom"/>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 ’’ </w:t>
            </w:r>
            <w:r>
              <w:rPr>
                <w:rFonts w:ascii="Times New Roman" w:eastAsia="Times New Roman" w:hAnsi="Times New Roman" w:cs="Times New Roman"/>
                <w:sz w:val="24"/>
                <w:szCs w:val="24"/>
                <w:vertAlign w:val="subscript"/>
              </w:rPr>
              <w:t>ср (%)</w:t>
            </w:r>
          </w:p>
        </w:tc>
        <w:tc>
          <w:tcPr>
            <w:tcW w:w="708" w:type="dxa"/>
            <w:vAlign w:val="bottom"/>
          </w:tcPr>
          <w:p w:rsidR="000A3797" w:rsidRDefault="000A3797">
            <w:pPr>
              <w:jc w:val="right"/>
              <w:rPr>
                <w:rFonts w:ascii="Times New Roman" w:eastAsia="Times New Roman" w:hAnsi="Times New Roman" w:cs="Times New Roman"/>
                <w:sz w:val="24"/>
                <w:szCs w:val="24"/>
              </w:rPr>
            </w:pPr>
          </w:p>
        </w:tc>
        <w:tc>
          <w:tcPr>
            <w:tcW w:w="993" w:type="dxa"/>
            <w:vAlign w:val="bottom"/>
          </w:tcPr>
          <w:p w:rsidR="000A3797" w:rsidRDefault="000A3797">
            <w:pPr>
              <w:jc w:val="right"/>
              <w:rPr>
                <w:rFonts w:ascii="Times New Roman" w:eastAsia="Times New Roman" w:hAnsi="Times New Roman" w:cs="Times New Roman"/>
                <w:sz w:val="24"/>
                <w:szCs w:val="24"/>
              </w:rPr>
            </w:pPr>
          </w:p>
        </w:tc>
        <w:tc>
          <w:tcPr>
            <w:tcW w:w="850" w:type="dxa"/>
            <w:vAlign w:val="bottom"/>
          </w:tcPr>
          <w:p w:rsidR="000A3797" w:rsidRDefault="000A3797">
            <w:pPr>
              <w:jc w:val="right"/>
              <w:rPr>
                <w:rFonts w:ascii="Times New Roman" w:eastAsia="Times New Roman" w:hAnsi="Times New Roman" w:cs="Times New Roman"/>
                <w:sz w:val="24"/>
                <w:szCs w:val="24"/>
              </w:rPr>
            </w:pPr>
          </w:p>
        </w:tc>
        <w:tc>
          <w:tcPr>
            <w:tcW w:w="992" w:type="dxa"/>
            <w:vAlign w:val="bottom"/>
          </w:tcPr>
          <w:p w:rsidR="000A3797" w:rsidRDefault="000A3797">
            <w:pPr>
              <w:jc w:val="right"/>
              <w:rPr>
                <w:rFonts w:ascii="Times New Roman" w:eastAsia="Times New Roman" w:hAnsi="Times New Roman" w:cs="Times New Roman"/>
                <w:sz w:val="24"/>
                <w:szCs w:val="24"/>
              </w:rPr>
            </w:pPr>
          </w:p>
        </w:tc>
        <w:tc>
          <w:tcPr>
            <w:tcW w:w="851"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851"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6233" w:type="dxa"/>
            <w:gridSpan w:val="7"/>
            <w:vAlign w:val="bottom"/>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Yi – пролеченные случаи, ΔY- абсолютный прирост, k- коэффициент роста, K ’ – темп роста, K ’’ – темп прироста    </w:t>
            </w:r>
          </w:p>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 </w:t>
            </w:r>
            <w:r>
              <w:rPr>
                <w:rFonts w:ascii="Times New Roman" w:eastAsia="Times New Roman" w:hAnsi="Times New Roman" w:cs="Times New Roman"/>
                <w:sz w:val="24"/>
                <w:szCs w:val="24"/>
                <w:vertAlign w:val="subscript"/>
              </w:rPr>
              <w:t>ср-</w:t>
            </w:r>
            <w:r>
              <w:rPr>
                <w:rFonts w:ascii="Times New Roman" w:eastAsia="Times New Roman" w:hAnsi="Times New Roman" w:cs="Times New Roman"/>
                <w:sz w:val="24"/>
                <w:szCs w:val="24"/>
              </w:rPr>
              <w:t xml:space="preserve"> Средний уровень, Δy </w:t>
            </w:r>
            <w:r>
              <w:rPr>
                <w:rFonts w:ascii="Times New Roman" w:eastAsia="Times New Roman" w:hAnsi="Times New Roman" w:cs="Times New Roman"/>
                <w:sz w:val="24"/>
                <w:szCs w:val="24"/>
                <w:vertAlign w:val="subscript"/>
              </w:rPr>
              <w:t xml:space="preserve">ср- </w:t>
            </w:r>
            <w:r>
              <w:rPr>
                <w:rFonts w:ascii="Times New Roman" w:eastAsia="Times New Roman" w:hAnsi="Times New Roman" w:cs="Times New Roman"/>
                <w:sz w:val="24"/>
                <w:szCs w:val="24"/>
              </w:rPr>
              <w:t xml:space="preserve"> Среднегодовой абсолютный прирост, K ’</w:t>
            </w:r>
            <w:r>
              <w:rPr>
                <w:rFonts w:ascii="Times New Roman" w:eastAsia="Times New Roman" w:hAnsi="Times New Roman" w:cs="Times New Roman"/>
                <w:sz w:val="24"/>
                <w:szCs w:val="24"/>
                <w:vertAlign w:val="subscript"/>
              </w:rPr>
              <w:t xml:space="preserve"> ср </w:t>
            </w:r>
            <w:r>
              <w:rPr>
                <w:rFonts w:ascii="Times New Roman" w:eastAsia="Times New Roman" w:hAnsi="Times New Roman" w:cs="Times New Roman"/>
                <w:sz w:val="24"/>
                <w:szCs w:val="24"/>
              </w:rPr>
              <w:t>- среднегодовой темп роста, k'' - среднегодовой темп прироста</w:t>
            </w:r>
          </w:p>
        </w:tc>
      </w:tr>
    </w:tbl>
    <w:p w:rsidR="000A3797" w:rsidRDefault="000A3797">
      <w:pPr>
        <w:spacing w:after="0" w:line="240" w:lineRule="auto"/>
        <w:rPr>
          <w:rFonts w:ascii="Times New Roman" w:eastAsia="Times New Roman" w:hAnsi="Times New Roman" w:cs="Times New Roman"/>
          <w:sz w:val="28"/>
          <w:szCs w:val="28"/>
        </w:rPr>
      </w:pPr>
    </w:p>
    <w:p w:rsidR="000A3797" w:rsidRDefault="00A660E7">
      <w:pPr>
        <w:spacing w:after="0" w:line="240" w:lineRule="auto"/>
        <w:ind w:firstLine="708"/>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В городе Шымкент также наблюдался статистически значимый рост числа пролеченных случаев, за исключением 2014 года (p&lt;</w:t>
      </w:r>
      <w:r>
        <w:rPr>
          <w:rFonts w:ascii="Times New Roman" w:eastAsia="Times New Roman" w:hAnsi="Times New Roman" w:cs="Times New Roman"/>
          <w:sz w:val="28"/>
          <w:szCs w:val="28"/>
          <w:highlight w:val="white"/>
        </w:rPr>
        <w:t>0,001) (Таблица 9, Рисунок 1) [192, стр. 278]. В среднем ежегодно за счёт средств республиканского бюджета проходило лечение 56 пациентов (Таблица 9), при этом количество случаев увеличивалось на 11 в год, что составляет 19% в относительном выражении (Табл</w:t>
      </w:r>
      <w:r>
        <w:rPr>
          <w:rFonts w:ascii="Times New Roman" w:eastAsia="Times New Roman" w:hAnsi="Times New Roman" w:cs="Times New Roman"/>
          <w:sz w:val="28"/>
          <w:szCs w:val="28"/>
          <w:highlight w:val="white"/>
        </w:rPr>
        <w:t>ица 9) [192, стр. 278].</w:t>
      </w:r>
    </w:p>
    <w:p w:rsidR="000A3797" w:rsidRDefault="000A3797">
      <w:pPr>
        <w:spacing w:after="0" w:line="240" w:lineRule="auto"/>
        <w:ind w:firstLine="708"/>
        <w:rPr>
          <w:rFonts w:ascii="Times New Roman" w:eastAsia="Times New Roman" w:hAnsi="Times New Roman" w:cs="Times New Roman"/>
          <w:sz w:val="28"/>
          <w:szCs w:val="28"/>
          <w:highlight w:val="white"/>
        </w:rPr>
      </w:pPr>
    </w:p>
    <w:p w:rsidR="000A3797" w:rsidRDefault="00A660E7">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9 - Динамический ряд пролеченных случаев ГП в городе Шымкент</w:t>
      </w:r>
    </w:p>
    <w:p w:rsidR="000A3797" w:rsidRDefault="000A3797">
      <w:pPr>
        <w:spacing w:after="0" w:line="240" w:lineRule="auto"/>
        <w:rPr>
          <w:rFonts w:ascii="Times New Roman" w:eastAsia="Times New Roman" w:hAnsi="Times New Roman" w:cs="Times New Roman"/>
          <w:sz w:val="28"/>
          <w:szCs w:val="28"/>
        </w:rPr>
      </w:pPr>
    </w:p>
    <w:tbl>
      <w:tblPr>
        <w:tblStyle w:val="af"/>
        <w:tblW w:w="623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8"/>
        <w:gridCol w:w="708"/>
        <w:gridCol w:w="993"/>
        <w:gridCol w:w="850"/>
        <w:gridCol w:w="992"/>
        <w:gridCol w:w="851"/>
        <w:gridCol w:w="851"/>
      </w:tblGrid>
      <w:tr w:rsidR="000A3797">
        <w:tc>
          <w:tcPr>
            <w:tcW w:w="988" w:type="dxa"/>
            <w:vAlign w:val="bottom"/>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год </w:t>
            </w:r>
          </w:p>
        </w:tc>
        <w:tc>
          <w:tcPr>
            <w:tcW w:w="708" w:type="dxa"/>
            <w:vAlign w:val="bottom"/>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yi</w:t>
            </w:r>
          </w:p>
        </w:tc>
        <w:tc>
          <w:tcPr>
            <w:tcW w:w="993" w:type="dxa"/>
            <w:vAlign w:val="bottom"/>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ΔY.</w:t>
            </w:r>
          </w:p>
        </w:tc>
        <w:tc>
          <w:tcPr>
            <w:tcW w:w="850" w:type="dxa"/>
            <w:vAlign w:val="bottom"/>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k</w:t>
            </w:r>
          </w:p>
        </w:tc>
        <w:tc>
          <w:tcPr>
            <w:tcW w:w="992" w:type="dxa"/>
            <w:vAlign w:val="bottom"/>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K ’</w:t>
            </w:r>
          </w:p>
        </w:tc>
        <w:tc>
          <w:tcPr>
            <w:tcW w:w="851" w:type="dxa"/>
            <w:vAlign w:val="bottom"/>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K ’’</w:t>
            </w:r>
          </w:p>
        </w:tc>
        <w:tc>
          <w:tcPr>
            <w:tcW w:w="851"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p-value</w:t>
            </w:r>
          </w:p>
        </w:tc>
      </w:tr>
      <w:tr w:rsidR="000A3797">
        <w:tc>
          <w:tcPr>
            <w:tcW w:w="988"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2012</w:t>
            </w:r>
          </w:p>
        </w:tc>
        <w:tc>
          <w:tcPr>
            <w:tcW w:w="708"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993" w:type="dxa"/>
            <w:vAlign w:val="bottom"/>
          </w:tcPr>
          <w:p w:rsidR="000A3797" w:rsidRDefault="000A3797">
            <w:pPr>
              <w:jc w:val="right"/>
              <w:rPr>
                <w:rFonts w:ascii="Times New Roman" w:eastAsia="Times New Roman" w:hAnsi="Times New Roman" w:cs="Times New Roman"/>
                <w:sz w:val="24"/>
                <w:szCs w:val="24"/>
              </w:rPr>
            </w:pPr>
          </w:p>
        </w:tc>
        <w:tc>
          <w:tcPr>
            <w:tcW w:w="850"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992"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851"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851" w:type="dxa"/>
            <w:vMerge w:val="restart"/>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0,047</w:t>
            </w:r>
          </w:p>
        </w:tc>
      </w:tr>
      <w:tr w:rsidR="000A3797">
        <w:tc>
          <w:tcPr>
            <w:tcW w:w="988"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2013</w:t>
            </w:r>
          </w:p>
        </w:tc>
        <w:tc>
          <w:tcPr>
            <w:tcW w:w="708"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tc>
        <w:tc>
          <w:tcPr>
            <w:tcW w:w="993"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850"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1,05</w:t>
            </w:r>
          </w:p>
        </w:tc>
        <w:tc>
          <w:tcPr>
            <w:tcW w:w="992"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105</w:t>
            </w:r>
          </w:p>
        </w:tc>
        <w:tc>
          <w:tcPr>
            <w:tcW w:w="851"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851"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988"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2014</w:t>
            </w:r>
          </w:p>
        </w:tc>
        <w:tc>
          <w:tcPr>
            <w:tcW w:w="708"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993"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850"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0,73</w:t>
            </w:r>
          </w:p>
        </w:tc>
        <w:tc>
          <w:tcPr>
            <w:tcW w:w="992"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73</w:t>
            </w:r>
          </w:p>
        </w:tc>
        <w:tc>
          <w:tcPr>
            <w:tcW w:w="851"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-27</w:t>
            </w:r>
          </w:p>
        </w:tc>
        <w:tc>
          <w:tcPr>
            <w:tcW w:w="851"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988"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2015</w:t>
            </w:r>
          </w:p>
        </w:tc>
        <w:tc>
          <w:tcPr>
            <w:tcW w:w="708"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29</w:t>
            </w:r>
          </w:p>
        </w:tc>
        <w:tc>
          <w:tcPr>
            <w:tcW w:w="993"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850"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1,32</w:t>
            </w:r>
          </w:p>
        </w:tc>
        <w:tc>
          <w:tcPr>
            <w:tcW w:w="992"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132</w:t>
            </w:r>
          </w:p>
        </w:tc>
        <w:tc>
          <w:tcPr>
            <w:tcW w:w="851"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c>
          <w:tcPr>
            <w:tcW w:w="851"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988"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2016</w:t>
            </w:r>
          </w:p>
        </w:tc>
        <w:tc>
          <w:tcPr>
            <w:tcW w:w="708"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34</w:t>
            </w:r>
          </w:p>
        </w:tc>
        <w:tc>
          <w:tcPr>
            <w:tcW w:w="993"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850"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1,55</w:t>
            </w:r>
          </w:p>
        </w:tc>
        <w:tc>
          <w:tcPr>
            <w:tcW w:w="992"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155</w:t>
            </w:r>
          </w:p>
        </w:tc>
        <w:tc>
          <w:tcPr>
            <w:tcW w:w="851"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55</w:t>
            </w:r>
          </w:p>
        </w:tc>
        <w:tc>
          <w:tcPr>
            <w:tcW w:w="851"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988"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2017</w:t>
            </w:r>
          </w:p>
        </w:tc>
        <w:tc>
          <w:tcPr>
            <w:tcW w:w="708"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64</w:t>
            </w:r>
          </w:p>
        </w:tc>
        <w:tc>
          <w:tcPr>
            <w:tcW w:w="993"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c>
          <w:tcPr>
            <w:tcW w:w="850"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2,91</w:t>
            </w:r>
          </w:p>
        </w:tc>
        <w:tc>
          <w:tcPr>
            <w:tcW w:w="992"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291</w:t>
            </w:r>
          </w:p>
        </w:tc>
        <w:tc>
          <w:tcPr>
            <w:tcW w:w="851"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191</w:t>
            </w:r>
          </w:p>
        </w:tc>
        <w:tc>
          <w:tcPr>
            <w:tcW w:w="851"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988"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2018</w:t>
            </w:r>
          </w:p>
        </w:tc>
        <w:tc>
          <w:tcPr>
            <w:tcW w:w="708"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65</w:t>
            </w:r>
          </w:p>
        </w:tc>
        <w:tc>
          <w:tcPr>
            <w:tcW w:w="993"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850"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2,95</w:t>
            </w:r>
          </w:p>
        </w:tc>
        <w:tc>
          <w:tcPr>
            <w:tcW w:w="992"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295</w:t>
            </w:r>
          </w:p>
        </w:tc>
        <w:tc>
          <w:tcPr>
            <w:tcW w:w="851"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195</w:t>
            </w:r>
          </w:p>
        </w:tc>
        <w:tc>
          <w:tcPr>
            <w:tcW w:w="851"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988"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2019</w:t>
            </w:r>
          </w:p>
        </w:tc>
        <w:tc>
          <w:tcPr>
            <w:tcW w:w="708"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80</w:t>
            </w:r>
          </w:p>
        </w:tc>
        <w:tc>
          <w:tcPr>
            <w:tcW w:w="993"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850"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3,64</w:t>
            </w:r>
          </w:p>
        </w:tc>
        <w:tc>
          <w:tcPr>
            <w:tcW w:w="992"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364</w:t>
            </w:r>
          </w:p>
        </w:tc>
        <w:tc>
          <w:tcPr>
            <w:tcW w:w="851"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264</w:t>
            </w:r>
          </w:p>
        </w:tc>
        <w:tc>
          <w:tcPr>
            <w:tcW w:w="851"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988"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2020</w:t>
            </w:r>
          </w:p>
        </w:tc>
        <w:tc>
          <w:tcPr>
            <w:tcW w:w="708"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111</w:t>
            </w:r>
          </w:p>
        </w:tc>
        <w:tc>
          <w:tcPr>
            <w:tcW w:w="993"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31</w:t>
            </w:r>
          </w:p>
        </w:tc>
        <w:tc>
          <w:tcPr>
            <w:tcW w:w="850"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5,05</w:t>
            </w:r>
          </w:p>
        </w:tc>
        <w:tc>
          <w:tcPr>
            <w:tcW w:w="992"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505</w:t>
            </w:r>
          </w:p>
        </w:tc>
        <w:tc>
          <w:tcPr>
            <w:tcW w:w="851"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405</w:t>
            </w:r>
          </w:p>
        </w:tc>
        <w:tc>
          <w:tcPr>
            <w:tcW w:w="851"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988"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2021</w:t>
            </w:r>
          </w:p>
        </w:tc>
        <w:tc>
          <w:tcPr>
            <w:tcW w:w="708"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119</w:t>
            </w:r>
          </w:p>
        </w:tc>
        <w:tc>
          <w:tcPr>
            <w:tcW w:w="993"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850"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5,41</w:t>
            </w:r>
          </w:p>
        </w:tc>
        <w:tc>
          <w:tcPr>
            <w:tcW w:w="992"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541</w:t>
            </w:r>
          </w:p>
        </w:tc>
        <w:tc>
          <w:tcPr>
            <w:tcW w:w="851"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441</w:t>
            </w:r>
          </w:p>
        </w:tc>
        <w:tc>
          <w:tcPr>
            <w:tcW w:w="851"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988" w:type="dxa"/>
            <w:vAlign w:val="bottom"/>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 </w:t>
            </w:r>
            <w:r>
              <w:rPr>
                <w:rFonts w:ascii="Times New Roman" w:eastAsia="Times New Roman" w:hAnsi="Times New Roman" w:cs="Times New Roman"/>
                <w:sz w:val="24"/>
                <w:szCs w:val="24"/>
                <w:vertAlign w:val="subscript"/>
              </w:rPr>
              <w:t>ср (n)</w:t>
            </w:r>
          </w:p>
        </w:tc>
        <w:tc>
          <w:tcPr>
            <w:tcW w:w="708"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56</w:t>
            </w:r>
          </w:p>
        </w:tc>
        <w:tc>
          <w:tcPr>
            <w:tcW w:w="993" w:type="dxa"/>
            <w:vAlign w:val="bottom"/>
          </w:tcPr>
          <w:p w:rsidR="000A3797" w:rsidRDefault="000A3797">
            <w:pPr>
              <w:jc w:val="right"/>
              <w:rPr>
                <w:rFonts w:ascii="Times New Roman" w:eastAsia="Times New Roman" w:hAnsi="Times New Roman" w:cs="Times New Roman"/>
                <w:sz w:val="24"/>
                <w:szCs w:val="24"/>
              </w:rPr>
            </w:pPr>
          </w:p>
        </w:tc>
        <w:tc>
          <w:tcPr>
            <w:tcW w:w="850" w:type="dxa"/>
            <w:vAlign w:val="bottom"/>
          </w:tcPr>
          <w:p w:rsidR="000A3797" w:rsidRDefault="000A3797">
            <w:pPr>
              <w:jc w:val="right"/>
              <w:rPr>
                <w:rFonts w:ascii="Times New Roman" w:eastAsia="Times New Roman" w:hAnsi="Times New Roman" w:cs="Times New Roman"/>
                <w:sz w:val="24"/>
                <w:szCs w:val="24"/>
              </w:rPr>
            </w:pPr>
          </w:p>
        </w:tc>
        <w:tc>
          <w:tcPr>
            <w:tcW w:w="992" w:type="dxa"/>
            <w:vAlign w:val="bottom"/>
          </w:tcPr>
          <w:p w:rsidR="000A3797" w:rsidRDefault="000A3797">
            <w:pPr>
              <w:jc w:val="right"/>
              <w:rPr>
                <w:rFonts w:ascii="Times New Roman" w:eastAsia="Times New Roman" w:hAnsi="Times New Roman" w:cs="Times New Roman"/>
                <w:sz w:val="24"/>
                <w:szCs w:val="24"/>
              </w:rPr>
            </w:pPr>
          </w:p>
        </w:tc>
        <w:tc>
          <w:tcPr>
            <w:tcW w:w="851" w:type="dxa"/>
            <w:vAlign w:val="bottom"/>
          </w:tcPr>
          <w:p w:rsidR="000A3797" w:rsidRDefault="000A3797">
            <w:pPr>
              <w:jc w:val="right"/>
              <w:rPr>
                <w:rFonts w:ascii="Times New Roman" w:eastAsia="Times New Roman" w:hAnsi="Times New Roman" w:cs="Times New Roman"/>
                <w:sz w:val="24"/>
                <w:szCs w:val="24"/>
              </w:rPr>
            </w:pPr>
          </w:p>
        </w:tc>
        <w:tc>
          <w:tcPr>
            <w:tcW w:w="851"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988" w:type="dxa"/>
            <w:vAlign w:val="bottom"/>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Δy </w:t>
            </w:r>
            <w:r>
              <w:rPr>
                <w:rFonts w:ascii="Times New Roman" w:eastAsia="Times New Roman" w:hAnsi="Times New Roman" w:cs="Times New Roman"/>
                <w:sz w:val="24"/>
                <w:szCs w:val="24"/>
                <w:vertAlign w:val="subscript"/>
              </w:rPr>
              <w:t xml:space="preserve">ср </w:t>
            </w:r>
          </w:p>
        </w:tc>
        <w:tc>
          <w:tcPr>
            <w:tcW w:w="708" w:type="dxa"/>
            <w:vAlign w:val="bottom"/>
          </w:tcPr>
          <w:p w:rsidR="000A3797" w:rsidRDefault="000A3797">
            <w:pPr>
              <w:jc w:val="right"/>
              <w:rPr>
                <w:rFonts w:ascii="Times New Roman" w:eastAsia="Times New Roman" w:hAnsi="Times New Roman" w:cs="Times New Roman"/>
                <w:sz w:val="24"/>
                <w:szCs w:val="24"/>
              </w:rPr>
            </w:pPr>
          </w:p>
        </w:tc>
        <w:tc>
          <w:tcPr>
            <w:tcW w:w="993"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850" w:type="dxa"/>
            <w:vAlign w:val="bottom"/>
          </w:tcPr>
          <w:p w:rsidR="000A3797" w:rsidRDefault="000A3797">
            <w:pPr>
              <w:jc w:val="right"/>
              <w:rPr>
                <w:rFonts w:ascii="Times New Roman" w:eastAsia="Times New Roman" w:hAnsi="Times New Roman" w:cs="Times New Roman"/>
                <w:sz w:val="24"/>
                <w:szCs w:val="24"/>
              </w:rPr>
            </w:pPr>
          </w:p>
        </w:tc>
        <w:tc>
          <w:tcPr>
            <w:tcW w:w="992" w:type="dxa"/>
            <w:vAlign w:val="bottom"/>
          </w:tcPr>
          <w:p w:rsidR="000A3797" w:rsidRDefault="000A3797">
            <w:pPr>
              <w:jc w:val="right"/>
              <w:rPr>
                <w:rFonts w:ascii="Times New Roman" w:eastAsia="Times New Roman" w:hAnsi="Times New Roman" w:cs="Times New Roman"/>
                <w:sz w:val="24"/>
                <w:szCs w:val="24"/>
              </w:rPr>
            </w:pPr>
          </w:p>
        </w:tc>
        <w:tc>
          <w:tcPr>
            <w:tcW w:w="851" w:type="dxa"/>
            <w:vAlign w:val="bottom"/>
          </w:tcPr>
          <w:p w:rsidR="000A3797" w:rsidRDefault="000A3797">
            <w:pPr>
              <w:jc w:val="right"/>
              <w:rPr>
                <w:rFonts w:ascii="Times New Roman" w:eastAsia="Times New Roman" w:hAnsi="Times New Roman" w:cs="Times New Roman"/>
                <w:sz w:val="24"/>
                <w:szCs w:val="24"/>
              </w:rPr>
            </w:pPr>
          </w:p>
        </w:tc>
        <w:tc>
          <w:tcPr>
            <w:tcW w:w="851"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988" w:type="dxa"/>
            <w:vAlign w:val="bottom"/>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K ’</w:t>
            </w:r>
            <w:r>
              <w:rPr>
                <w:rFonts w:ascii="Times New Roman" w:eastAsia="Times New Roman" w:hAnsi="Times New Roman" w:cs="Times New Roman"/>
                <w:sz w:val="24"/>
                <w:szCs w:val="24"/>
                <w:vertAlign w:val="subscript"/>
              </w:rPr>
              <w:t xml:space="preserve"> ср(%)</w:t>
            </w:r>
          </w:p>
        </w:tc>
        <w:tc>
          <w:tcPr>
            <w:tcW w:w="708" w:type="dxa"/>
            <w:vAlign w:val="bottom"/>
          </w:tcPr>
          <w:p w:rsidR="000A3797" w:rsidRDefault="000A3797">
            <w:pPr>
              <w:jc w:val="right"/>
              <w:rPr>
                <w:rFonts w:ascii="Times New Roman" w:eastAsia="Times New Roman" w:hAnsi="Times New Roman" w:cs="Times New Roman"/>
                <w:sz w:val="24"/>
                <w:szCs w:val="24"/>
              </w:rPr>
            </w:pPr>
          </w:p>
        </w:tc>
        <w:tc>
          <w:tcPr>
            <w:tcW w:w="993" w:type="dxa"/>
            <w:vAlign w:val="bottom"/>
          </w:tcPr>
          <w:p w:rsidR="000A3797" w:rsidRDefault="000A3797">
            <w:pPr>
              <w:jc w:val="right"/>
              <w:rPr>
                <w:rFonts w:ascii="Times New Roman" w:eastAsia="Times New Roman" w:hAnsi="Times New Roman" w:cs="Times New Roman"/>
                <w:sz w:val="24"/>
                <w:szCs w:val="24"/>
              </w:rPr>
            </w:pPr>
          </w:p>
        </w:tc>
        <w:tc>
          <w:tcPr>
            <w:tcW w:w="850" w:type="dxa"/>
            <w:vAlign w:val="bottom"/>
          </w:tcPr>
          <w:p w:rsidR="000A3797" w:rsidRDefault="000A3797">
            <w:pPr>
              <w:jc w:val="right"/>
              <w:rPr>
                <w:rFonts w:ascii="Times New Roman" w:eastAsia="Times New Roman" w:hAnsi="Times New Roman" w:cs="Times New Roman"/>
                <w:sz w:val="24"/>
                <w:szCs w:val="24"/>
              </w:rPr>
            </w:pPr>
          </w:p>
        </w:tc>
        <w:tc>
          <w:tcPr>
            <w:tcW w:w="992"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119</w:t>
            </w:r>
          </w:p>
        </w:tc>
        <w:tc>
          <w:tcPr>
            <w:tcW w:w="851" w:type="dxa"/>
            <w:vAlign w:val="bottom"/>
          </w:tcPr>
          <w:p w:rsidR="000A3797" w:rsidRDefault="000A3797">
            <w:pPr>
              <w:jc w:val="right"/>
              <w:rPr>
                <w:rFonts w:ascii="Times New Roman" w:eastAsia="Times New Roman" w:hAnsi="Times New Roman" w:cs="Times New Roman"/>
                <w:sz w:val="24"/>
                <w:szCs w:val="24"/>
              </w:rPr>
            </w:pPr>
          </w:p>
        </w:tc>
        <w:tc>
          <w:tcPr>
            <w:tcW w:w="851"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988" w:type="dxa"/>
            <w:vAlign w:val="bottom"/>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 ’’ </w:t>
            </w:r>
            <w:r>
              <w:rPr>
                <w:rFonts w:ascii="Times New Roman" w:eastAsia="Times New Roman" w:hAnsi="Times New Roman" w:cs="Times New Roman"/>
                <w:sz w:val="24"/>
                <w:szCs w:val="24"/>
                <w:vertAlign w:val="subscript"/>
              </w:rPr>
              <w:t>ср (%)</w:t>
            </w:r>
          </w:p>
        </w:tc>
        <w:tc>
          <w:tcPr>
            <w:tcW w:w="708" w:type="dxa"/>
            <w:vAlign w:val="bottom"/>
          </w:tcPr>
          <w:p w:rsidR="000A3797" w:rsidRDefault="000A3797">
            <w:pPr>
              <w:jc w:val="right"/>
              <w:rPr>
                <w:rFonts w:ascii="Times New Roman" w:eastAsia="Times New Roman" w:hAnsi="Times New Roman" w:cs="Times New Roman"/>
                <w:sz w:val="24"/>
                <w:szCs w:val="24"/>
              </w:rPr>
            </w:pPr>
          </w:p>
        </w:tc>
        <w:tc>
          <w:tcPr>
            <w:tcW w:w="993" w:type="dxa"/>
            <w:vAlign w:val="bottom"/>
          </w:tcPr>
          <w:p w:rsidR="000A3797" w:rsidRDefault="000A3797">
            <w:pPr>
              <w:jc w:val="right"/>
              <w:rPr>
                <w:rFonts w:ascii="Times New Roman" w:eastAsia="Times New Roman" w:hAnsi="Times New Roman" w:cs="Times New Roman"/>
                <w:sz w:val="24"/>
                <w:szCs w:val="24"/>
              </w:rPr>
            </w:pPr>
          </w:p>
        </w:tc>
        <w:tc>
          <w:tcPr>
            <w:tcW w:w="850" w:type="dxa"/>
            <w:vAlign w:val="bottom"/>
          </w:tcPr>
          <w:p w:rsidR="000A3797" w:rsidRDefault="000A3797">
            <w:pPr>
              <w:jc w:val="right"/>
              <w:rPr>
                <w:rFonts w:ascii="Times New Roman" w:eastAsia="Times New Roman" w:hAnsi="Times New Roman" w:cs="Times New Roman"/>
                <w:sz w:val="24"/>
                <w:szCs w:val="24"/>
              </w:rPr>
            </w:pPr>
          </w:p>
        </w:tc>
        <w:tc>
          <w:tcPr>
            <w:tcW w:w="992" w:type="dxa"/>
            <w:vAlign w:val="bottom"/>
          </w:tcPr>
          <w:p w:rsidR="000A3797" w:rsidRDefault="000A3797">
            <w:pPr>
              <w:jc w:val="right"/>
              <w:rPr>
                <w:rFonts w:ascii="Times New Roman" w:eastAsia="Times New Roman" w:hAnsi="Times New Roman" w:cs="Times New Roman"/>
                <w:sz w:val="24"/>
                <w:szCs w:val="24"/>
              </w:rPr>
            </w:pPr>
          </w:p>
        </w:tc>
        <w:tc>
          <w:tcPr>
            <w:tcW w:w="851" w:type="dxa"/>
            <w:vAlign w:val="bottom"/>
          </w:tcPr>
          <w:p w:rsidR="000A3797" w:rsidRDefault="00A660E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851"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6233" w:type="dxa"/>
            <w:gridSpan w:val="7"/>
            <w:vAlign w:val="bottom"/>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Yi – пролеченные случаи, ΔY- абсолютный прирост, k- коэффициент роста, K ’ – темп роста, K ’’ – темп прироста    </w:t>
            </w:r>
          </w:p>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 </w:t>
            </w:r>
            <w:r>
              <w:rPr>
                <w:rFonts w:ascii="Times New Roman" w:eastAsia="Times New Roman" w:hAnsi="Times New Roman" w:cs="Times New Roman"/>
                <w:sz w:val="24"/>
                <w:szCs w:val="24"/>
                <w:vertAlign w:val="subscript"/>
              </w:rPr>
              <w:t>ср-</w:t>
            </w:r>
            <w:r>
              <w:rPr>
                <w:rFonts w:ascii="Times New Roman" w:eastAsia="Times New Roman" w:hAnsi="Times New Roman" w:cs="Times New Roman"/>
                <w:sz w:val="24"/>
                <w:szCs w:val="24"/>
              </w:rPr>
              <w:t xml:space="preserve"> Средний уровень, Δy </w:t>
            </w:r>
            <w:r>
              <w:rPr>
                <w:rFonts w:ascii="Times New Roman" w:eastAsia="Times New Roman" w:hAnsi="Times New Roman" w:cs="Times New Roman"/>
                <w:sz w:val="24"/>
                <w:szCs w:val="24"/>
                <w:vertAlign w:val="subscript"/>
              </w:rPr>
              <w:t xml:space="preserve">ср- </w:t>
            </w:r>
            <w:r>
              <w:rPr>
                <w:rFonts w:ascii="Times New Roman" w:eastAsia="Times New Roman" w:hAnsi="Times New Roman" w:cs="Times New Roman"/>
                <w:sz w:val="24"/>
                <w:szCs w:val="24"/>
              </w:rPr>
              <w:t xml:space="preserve"> Среднегодовой абсолютный прирост, K ’</w:t>
            </w:r>
            <w:r>
              <w:rPr>
                <w:rFonts w:ascii="Times New Roman" w:eastAsia="Times New Roman" w:hAnsi="Times New Roman" w:cs="Times New Roman"/>
                <w:sz w:val="24"/>
                <w:szCs w:val="24"/>
                <w:vertAlign w:val="subscript"/>
              </w:rPr>
              <w:t xml:space="preserve"> ср </w:t>
            </w:r>
            <w:r>
              <w:rPr>
                <w:rFonts w:ascii="Times New Roman" w:eastAsia="Times New Roman" w:hAnsi="Times New Roman" w:cs="Times New Roman"/>
                <w:sz w:val="24"/>
                <w:szCs w:val="24"/>
              </w:rPr>
              <w:t>- среднегодовой темп роста, k'' - среднегодовой темп прироста</w:t>
            </w:r>
          </w:p>
        </w:tc>
      </w:tr>
    </w:tbl>
    <w:p w:rsidR="000A3797" w:rsidRDefault="000A3797">
      <w:pPr>
        <w:spacing w:after="0" w:line="240" w:lineRule="auto"/>
        <w:rPr>
          <w:rFonts w:ascii="Times New Roman" w:eastAsia="Times New Roman" w:hAnsi="Times New Roman" w:cs="Times New Roman"/>
        </w:rPr>
      </w:pPr>
    </w:p>
    <w:p w:rsidR="000A3797" w:rsidRDefault="00A660E7">
      <w:pPr>
        <w:spacing w:after="0" w:line="24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Коэффициент роста в РК варьировал от 1 до 2,16; в Алматинской области не превышал 1,20; в городе Алматы от 1 до 4, стабильно удерживаясь на 4 с 2016 по 2021, в городе Астана от 1 до 2,17 и в городе Шымкенте от 0,73 до 5 за последние два года (Таблица 5,6,7</w:t>
      </w:r>
      <w:r>
        <w:rPr>
          <w:rFonts w:ascii="Times New Roman" w:eastAsia="Times New Roman" w:hAnsi="Times New Roman" w:cs="Times New Roman"/>
          <w:sz w:val="28"/>
          <w:szCs w:val="28"/>
        </w:rPr>
        <w:t>,8,9). Темп роста в РК варьировал от 100 до 225 %, в Алматинской области от 87 до 120 %, в городе Алматы от 100 до 413 %, в Астане 121 до 198 % в городе Шымкент от 73 до 541 % (Таблица 5,6,7,8,9). Темп прироста В РК составил от 22 до 116 %, в Алматинской о</w:t>
      </w:r>
      <w:r>
        <w:rPr>
          <w:rFonts w:ascii="Times New Roman" w:eastAsia="Times New Roman" w:hAnsi="Times New Roman" w:cs="Times New Roman"/>
          <w:sz w:val="28"/>
          <w:szCs w:val="28"/>
        </w:rPr>
        <w:t>бласти от (-)13 до 20 %, в городе Алматы от 29 до 278 %, в городе Астана от 21 до 117 %, в Шымкенте от (-)27 до 441 %(Таблица 5,6,7,8,9). Максимальный коэффициент роста, темп роста и темп прироста отмечался в городе Алматы, в других регионах, за исключение</w:t>
      </w:r>
      <w:r>
        <w:rPr>
          <w:rFonts w:ascii="Times New Roman" w:eastAsia="Times New Roman" w:hAnsi="Times New Roman" w:cs="Times New Roman"/>
          <w:sz w:val="28"/>
          <w:szCs w:val="28"/>
        </w:rPr>
        <w:t>м Алматинской области также отмечается увеличение показателя в 2 и более раз.</w:t>
      </w:r>
    </w:p>
    <w:p w:rsidR="000A3797" w:rsidRDefault="00A660E7">
      <w:pPr>
        <w:spacing w:after="0" w:line="240" w:lineRule="auto"/>
        <w:rPr>
          <w:rFonts w:ascii="Times New Roman" w:eastAsia="Times New Roman" w:hAnsi="Times New Roman" w:cs="Times New Roman"/>
        </w:rPr>
      </w:pPr>
      <w:r>
        <w:rPr>
          <w:rFonts w:ascii="Times New Roman" w:eastAsia="Times New Roman" w:hAnsi="Times New Roman" w:cs="Times New Roman"/>
          <w:noProof/>
        </w:rPr>
        <w:drawing>
          <wp:inline distT="0" distB="0" distL="0" distR="0">
            <wp:extent cx="6120130" cy="3155421"/>
            <wp:effectExtent l="0" t="0" r="13970" b="698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0A3797" w:rsidRDefault="00A660E7">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 – Динамический ряд пролеченных хирургическим способом случаев генитального пролапса за исследуемый период с 2011 по 2021 года.</w:t>
      </w:r>
    </w:p>
    <w:p w:rsidR="000A3797" w:rsidRDefault="000A3797">
      <w:pPr>
        <w:spacing w:after="0" w:line="240" w:lineRule="auto"/>
        <w:jc w:val="both"/>
        <w:rPr>
          <w:rFonts w:ascii="Times New Roman" w:eastAsia="Times New Roman" w:hAnsi="Times New Roman" w:cs="Times New Roman"/>
          <w:b/>
          <w:sz w:val="28"/>
          <w:szCs w:val="28"/>
        </w:rPr>
      </w:pP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Обсуждение результатов 3.1</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Анализ инфо</w:t>
      </w:r>
      <w:r>
        <w:rPr>
          <w:rFonts w:ascii="Times New Roman" w:eastAsia="Times New Roman" w:hAnsi="Times New Roman" w:cs="Times New Roman"/>
          <w:sz w:val="28"/>
          <w:szCs w:val="28"/>
        </w:rPr>
        <w:t xml:space="preserve">рмации о пролеченных случаях, финансируемых из республиканского бюджета в период с 2012 по 2021 годы, выявил тенденцию к устойчивому росту объёмов оказанной медицинской помощи на протяжении всего исследуемого периода в Республике Казахстан </w:t>
      </w:r>
      <w:r>
        <w:rPr>
          <w:rFonts w:ascii="Times New Roman" w:eastAsia="Times New Roman" w:hAnsi="Times New Roman" w:cs="Times New Roman"/>
          <w:sz w:val="28"/>
          <w:szCs w:val="28"/>
          <w:highlight w:val="white"/>
        </w:rPr>
        <w:t>[192,стр.278].</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Среди всех изученных регионов и городов наиболее высокий уровень лечения был зафиксирован в Алматы, а на втором месте по количеству пролеченных пациентов оказался город Астана </w:t>
      </w:r>
      <w:r>
        <w:rPr>
          <w:rFonts w:ascii="Times New Roman" w:eastAsia="Times New Roman" w:hAnsi="Times New Roman" w:cs="Times New Roman"/>
          <w:sz w:val="28"/>
          <w:szCs w:val="28"/>
          <w:highlight w:val="white"/>
        </w:rPr>
        <w:t>[192,стр.278].</w:t>
      </w:r>
      <w:r>
        <w:rPr>
          <w:rFonts w:ascii="Times New Roman" w:eastAsia="Times New Roman" w:hAnsi="Times New Roman" w:cs="Times New Roman"/>
          <w:sz w:val="28"/>
          <w:szCs w:val="28"/>
        </w:rPr>
        <w:t xml:space="preserve"> Динамика в сторону увеличения отмечается во всех исследуемых реги</w:t>
      </w:r>
      <w:r>
        <w:rPr>
          <w:rFonts w:ascii="Times New Roman" w:eastAsia="Times New Roman" w:hAnsi="Times New Roman" w:cs="Times New Roman"/>
          <w:sz w:val="28"/>
          <w:szCs w:val="28"/>
        </w:rPr>
        <w:t xml:space="preserve">онах: городе Алматы, Астане и городе Шымкенте, только в Алматинской области не наблюдалось статистически значимого увеличения пролеченных случаев при сравнении 2021 года с 2012 </w:t>
      </w:r>
      <w:r>
        <w:rPr>
          <w:rFonts w:ascii="Times New Roman" w:eastAsia="Times New Roman" w:hAnsi="Times New Roman" w:cs="Times New Roman"/>
          <w:sz w:val="28"/>
          <w:szCs w:val="28"/>
          <w:highlight w:val="white"/>
        </w:rPr>
        <w:t>[192,стр.278].</w:t>
      </w:r>
      <w:r>
        <w:rPr>
          <w:rFonts w:ascii="Times New Roman" w:eastAsia="Times New Roman" w:hAnsi="Times New Roman" w:cs="Times New Roman"/>
          <w:sz w:val="28"/>
          <w:szCs w:val="28"/>
        </w:rPr>
        <w:t xml:space="preserve"> К сожалению, данные Республиканского Центра Электронного Здравоо</w:t>
      </w:r>
      <w:r>
        <w:rPr>
          <w:rFonts w:ascii="Times New Roman" w:eastAsia="Times New Roman" w:hAnsi="Times New Roman" w:cs="Times New Roman"/>
          <w:sz w:val="28"/>
          <w:szCs w:val="28"/>
        </w:rPr>
        <w:t xml:space="preserve">хранения не позволяют учесть все проведённые операции, включая платные, и определить количество повторных вмешательств. Однако очевидно, что с каждым годом значение хирургического лечения генитального пролапса возрастае </w:t>
      </w:r>
      <w:r>
        <w:rPr>
          <w:rFonts w:ascii="Times New Roman" w:eastAsia="Times New Roman" w:hAnsi="Times New Roman" w:cs="Times New Roman"/>
          <w:sz w:val="28"/>
          <w:szCs w:val="28"/>
          <w:highlight w:val="white"/>
        </w:rPr>
        <w:t>[192,стр.278].</w:t>
      </w:r>
    </w:p>
    <w:p w:rsidR="000A3797" w:rsidRDefault="000A3797">
      <w:pPr>
        <w:spacing w:after="0" w:line="240" w:lineRule="auto"/>
        <w:jc w:val="both"/>
        <w:rPr>
          <w:rFonts w:ascii="Times New Roman" w:eastAsia="Times New Roman" w:hAnsi="Times New Roman" w:cs="Times New Roman"/>
          <w:sz w:val="28"/>
          <w:szCs w:val="28"/>
        </w:rPr>
      </w:pPr>
    </w:p>
    <w:p w:rsidR="000A3797" w:rsidRDefault="00A660E7">
      <w:pPr>
        <w:numPr>
          <w:ilvl w:val="1"/>
          <w:numId w:val="14"/>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Оценка надежности и </w:t>
      </w:r>
      <w:r>
        <w:rPr>
          <w:rFonts w:ascii="Times New Roman" w:eastAsia="Times New Roman" w:hAnsi="Times New Roman" w:cs="Times New Roman"/>
          <w:b/>
          <w:color w:val="000000"/>
          <w:sz w:val="28"/>
          <w:szCs w:val="28"/>
        </w:rPr>
        <w:t>валидности опросников</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3.2.1 Оценка надежности и валидности авторского опросника «Мониторинг выявления послеоперационных исходов» для пациентов с генитальным пролапсом </w:t>
      </w:r>
    </w:p>
    <w:p w:rsidR="000A3797" w:rsidRDefault="00A660E7">
      <w:pPr>
        <w:spacing w:after="0" w:line="240" w:lineRule="auto"/>
        <w:ind w:firstLine="142"/>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Опросник МВПИ имел приемлемые  показатели внутренней согласованности, Альфа Кронбаха по большинству шкал при обобщенной оценке по двух версиям, а также отдельно для казахского и русского языков (Таблица 10). Структура опросника представлена в главе 2.2.1. </w:t>
      </w:r>
      <w:r>
        <w:rPr>
          <w:rFonts w:ascii="Times New Roman" w:eastAsia="Times New Roman" w:hAnsi="Times New Roman" w:cs="Times New Roman"/>
          <w:sz w:val="28"/>
          <w:szCs w:val="28"/>
        </w:rPr>
        <w:t xml:space="preserve">Домены «Общие сведенья»  и «Лечение и профилактика» не оценены с помощью критерия внутренней согласованности, так не имеют количественной оценки, тогда как шкалу «Сетчатый протез» следует интерпретировать с осторожностью, ввиду того, что вопросы не строго </w:t>
      </w:r>
      <w:r>
        <w:rPr>
          <w:rFonts w:ascii="Times New Roman" w:eastAsia="Times New Roman" w:hAnsi="Times New Roman" w:cs="Times New Roman"/>
          <w:sz w:val="28"/>
          <w:szCs w:val="28"/>
        </w:rPr>
        <w:t>специфичные для эрозии сетки, но тем не менее не могут быть заменены. В целом остальные шкалы являются надежными инструментами оценки. Осуществляемость опросника определялась на основе среднего времени его заполнения, которое составило 11 минут 17 секунд (</w:t>
      </w:r>
      <w:r>
        <w:rPr>
          <w:rFonts w:ascii="Times New Roman" w:eastAsia="Times New Roman" w:hAnsi="Times New Roman" w:cs="Times New Roman"/>
          <w:sz w:val="28"/>
          <w:szCs w:val="28"/>
        </w:rPr>
        <w:t>9 минут— 14 минут 10 секунд) [193, стр. 90]. После внесения корректировок и устранения неясных формулировок затруднений с пониманием вопросов больше не возникало.</w:t>
      </w:r>
    </w:p>
    <w:p w:rsidR="000A3797" w:rsidRDefault="000A3797">
      <w:pPr>
        <w:spacing w:after="0" w:line="240" w:lineRule="auto"/>
        <w:ind w:firstLine="142"/>
        <w:jc w:val="both"/>
        <w:rPr>
          <w:rFonts w:ascii="Times New Roman" w:eastAsia="Times New Roman" w:hAnsi="Times New Roman" w:cs="Times New Roman"/>
          <w:b/>
          <w:sz w:val="28"/>
          <w:szCs w:val="28"/>
        </w:rPr>
      </w:pPr>
    </w:p>
    <w:p w:rsidR="000A3797" w:rsidRDefault="00A660E7">
      <w:pPr>
        <w:spacing w:after="0" w:line="240" w:lineRule="auto"/>
        <w:ind w:lef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Таблица 10 - Критерий внутренней согласованности и воспроизводимость опросника </w:t>
      </w:r>
      <w:r>
        <w:rPr>
          <w:rFonts w:ascii="Times New Roman" w:eastAsia="Times New Roman" w:hAnsi="Times New Roman" w:cs="Times New Roman"/>
          <w:sz w:val="28"/>
          <w:szCs w:val="28"/>
          <w:highlight w:val="white"/>
        </w:rPr>
        <w:t>[193,стр.90].</w:t>
      </w:r>
    </w:p>
    <w:p w:rsidR="000A3797" w:rsidRDefault="000A3797">
      <w:pPr>
        <w:spacing w:after="0" w:line="240" w:lineRule="auto"/>
        <w:ind w:left="142"/>
        <w:jc w:val="both"/>
        <w:rPr>
          <w:rFonts w:ascii="Times New Roman" w:eastAsia="Times New Roman" w:hAnsi="Times New Roman" w:cs="Times New Roman"/>
          <w:sz w:val="28"/>
          <w:szCs w:val="28"/>
        </w:rPr>
      </w:pPr>
    </w:p>
    <w:tbl>
      <w:tblPr>
        <w:tblStyle w:val="af0"/>
        <w:tblW w:w="850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3"/>
        <w:gridCol w:w="3032"/>
        <w:gridCol w:w="1288"/>
        <w:gridCol w:w="1111"/>
        <w:gridCol w:w="1244"/>
        <w:gridCol w:w="1152"/>
      </w:tblGrid>
      <w:tr w:rsidR="000A3797">
        <w:trPr>
          <w:trHeight w:val="255"/>
        </w:trPr>
        <w:tc>
          <w:tcPr>
            <w:tcW w:w="673" w:type="dxa"/>
            <w:vMerge w:val="restart"/>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w:t>
            </w:r>
          </w:p>
        </w:tc>
        <w:tc>
          <w:tcPr>
            <w:tcW w:w="3032" w:type="dxa"/>
            <w:vMerge w:val="restart"/>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Домены</w:t>
            </w:r>
          </w:p>
        </w:tc>
        <w:tc>
          <w:tcPr>
            <w:tcW w:w="1288" w:type="dxa"/>
            <w:vMerge w:val="restart"/>
          </w:tcPr>
          <w:p w:rsidR="000A3797" w:rsidRDefault="00A660E7">
            <w:pPr>
              <w:rPr>
                <w:rFonts w:ascii="Times New Roman" w:eastAsia="Times New Roman" w:hAnsi="Times New Roman" w:cs="Times New Roman"/>
              </w:rPr>
            </w:pPr>
            <w:r>
              <w:rPr>
                <w:rFonts w:ascii="Times New Roman" w:eastAsia="Times New Roman" w:hAnsi="Times New Roman" w:cs="Times New Roman"/>
              </w:rPr>
              <w:t>N вопросов</w:t>
            </w:r>
          </w:p>
        </w:tc>
        <w:tc>
          <w:tcPr>
            <w:tcW w:w="3507" w:type="dxa"/>
            <w:gridSpan w:val="3"/>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 xml:space="preserve">Альфа Кронбаха </w:t>
            </w:r>
          </w:p>
        </w:tc>
      </w:tr>
      <w:tr w:rsidR="000A3797">
        <w:trPr>
          <w:trHeight w:val="255"/>
        </w:trPr>
        <w:tc>
          <w:tcPr>
            <w:tcW w:w="673"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rPr>
            </w:pPr>
          </w:p>
        </w:tc>
        <w:tc>
          <w:tcPr>
            <w:tcW w:w="303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rPr>
            </w:pPr>
          </w:p>
        </w:tc>
        <w:tc>
          <w:tcPr>
            <w:tcW w:w="1288"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rPr>
            </w:pPr>
          </w:p>
        </w:tc>
        <w:tc>
          <w:tcPr>
            <w:tcW w:w="1111"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Общий</w:t>
            </w:r>
          </w:p>
        </w:tc>
        <w:tc>
          <w:tcPr>
            <w:tcW w:w="1244"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Каз.</w:t>
            </w:r>
          </w:p>
        </w:tc>
        <w:tc>
          <w:tcPr>
            <w:tcW w:w="1152"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Рус.</w:t>
            </w:r>
          </w:p>
        </w:tc>
      </w:tr>
      <w:tr w:rsidR="000A3797">
        <w:tc>
          <w:tcPr>
            <w:tcW w:w="673"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1</w:t>
            </w:r>
          </w:p>
        </w:tc>
        <w:tc>
          <w:tcPr>
            <w:tcW w:w="3032"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 xml:space="preserve">Общие сведенья  </w:t>
            </w:r>
          </w:p>
        </w:tc>
        <w:tc>
          <w:tcPr>
            <w:tcW w:w="1288"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3</w:t>
            </w:r>
          </w:p>
        </w:tc>
        <w:tc>
          <w:tcPr>
            <w:tcW w:w="1111"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w:t>
            </w:r>
          </w:p>
        </w:tc>
        <w:tc>
          <w:tcPr>
            <w:tcW w:w="1244"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w:t>
            </w:r>
          </w:p>
        </w:tc>
        <w:tc>
          <w:tcPr>
            <w:tcW w:w="1152"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w:t>
            </w:r>
          </w:p>
        </w:tc>
      </w:tr>
      <w:tr w:rsidR="000A3797">
        <w:tc>
          <w:tcPr>
            <w:tcW w:w="673"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2</w:t>
            </w:r>
          </w:p>
        </w:tc>
        <w:tc>
          <w:tcPr>
            <w:tcW w:w="3032"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Симптомы генитального пролапса</w:t>
            </w:r>
          </w:p>
        </w:tc>
        <w:tc>
          <w:tcPr>
            <w:tcW w:w="1288"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21</w:t>
            </w:r>
          </w:p>
        </w:tc>
        <w:tc>
          <w:tcPr>
            <w:tcW w:w="1111"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0,93</w:t>
            </w:r>
          </w:p>
        </w:tc>
        <w:tc>
          <w:tcPr>
            <w:tcW w:w="1244"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0,89</w:t>
            </w:r>
          </w:p>
        </w:tc>
        <w:tc>
          <w:tcPr>
            <w:tcW w:w="1152"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0,91</w:t>
            </w:r>
          </w:p>
        </w:tc>
      </w:tr>
      <w:tr w:rsidR="000A3797">
        <w:tc>
          <w:tcPr>
            <w:tcW w:w="673"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3</w:t>
            </w:r>
          </w:p>
        </w:tc>
        <w:tc>
          <w:tcPr>
            <w:tcW w:w="3032"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Результат</w:t>
            </w:r>
          </w:p>
        </w:tc>
        <w:tc>
          <w:tcPr>
            <w:tcW w:w="1288"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8</w:t>
            </w:r>
          </w:p>
        </w:tc>
        <w:tc>
          <w:tcPr>
            <w:tcW w:w="1111"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0,82</w:t>
            </w:r>
          </w:p>
        </w:tc>
        <w:tc>
          <w:tcPr>
            <w:tcW w:w="1244"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0,84</w:t>
            </w:r>
          </w:p>
        </w:tc>
        <w:tc>
          <w:tcPr>
            <w:tcW w:w="1152"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0,78</w:t>
            </w:r>
          </w:p>
        </w:tc>
      </w:tr>
      <w:tr w:rsidR="000A3797">
        <w:tc>
          <w:tcPr>
            <w:tcW w:w="673"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4</w:t>
            </w:r>
          </w:p>
        </w:tc>
        <w:tc>
          <w:tcPr>
            <w:tcW w:w="3032"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Тазовые боли</w:t>
            </w:r>
          </w:p>
        </w:tc>
        <w:tc>
          <w:tcPr>
            <w:tcW w:w="1288"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3</w:t>
            </w:r>
          </w:p>
        </w:tc>
        <w:tc>
          <w:tcPr>
            <w:tcW w:w="1111"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0,71</w:t>
            </w:r>
          </w:p>
        </w:tc>
        <w:tc>
          <w:tcPr>
            <w:tcW w:w="1244"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0,76</w:t>
            </w:r>
          </w:p>
        </w:tc>
        <w:tc>
          <w:tcPr>
            <w:tcW w:w="1152"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0,69</w:t>
            </w:r>
          </w:p>
        </w:tc>
      </w:tr>
      <w:tr w:rsidR="000A3797">
        <w:tc>
          <w:tcPr>
            <w:tcW w:w="673"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5</w:t>
            </w:r>
          </w:p>
        </w:tc>
        <w:tc>
          <w:tcPr>
            <w:tcW w:w="3032"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Сетчатый протез</w:t>
            </w:r>
          </w:p>
        </w:tc>
        <w:tc>
          <w:tcPr>
            <w:tcW w:w="1288"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3</w:t>
            </w:r>
          </w:p>
        </w:tc>
        <w:tc>
          <w:tcPr>
            <w:tcW w:w="1111"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0,54</w:t>
            </w:r>
          </w:p>
        </w:tc>
        <w:tc>
          <w:tcPr>
            <w:tcW w:w="1244"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0,57</w:t>
            </w:r>
          </w:p>
        </w:tc>
        <w:tc>
          <w:tcPr>
            <w:tcW w:w="1152"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0,49</w:t>
            </w:r>
          </w:p>
        </w:tc>
      </w:tr>
      <w:tr w:rsidR="000A3797">
        <w:tc>
          <w:tcPr>
            <w:tcW w:w="673"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6</w:t>
            </w:r>
          </w:p>
        </w:tc>
        <w:tc>
          <w:tcPr>
            <w:tcW w:w="3032"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Лечение и профилактика</w:t>
            </w:r>
          </w:p>
        </w:tc>
        <w:tc>
          <w:tcPr>
            <w:tcW w:w="1288"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3</w:t>
            </w:r>
          </w:p>
        </w:tc>
        <w:tc>
          <w:tcPr>
            <w:tcW w:w="1111"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w:t>
            </w:r>
          </w:p>
        </w:tc>
        <w:tc>
          <w:tcPr>
            <w:tcW w:w="1244"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w:t>
            </w:r>
          </w:p>
        </w:tc>
        <w:tc>
          <w:tcPr>
            <w:tcW w:w="1152"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w:t>
            </w:r>
          </w:p>
        </w:tc>
      </w:tr>
    </w:tbl>
    <w:p w:rsidR="000A3797" w:rsidRDefault="000A3797">
      <w:pPr>
        <w:spacing w:after="0" w:line="240" w:lineRule="auto"/>
        <w:jc w:val="both"/>
        <w:rPr>
          <w:rFonts w:ascii="Times New Roman" w:eastAsia="Times New Roman" w:hAnsi="Times New Roman" w:cs="Times New Roman"/>
          <w:b/>
          <w:sz w:val="28"/>
          <w:szCs w:val="28"/>
        </w:rPr>
      </w:pP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оценки конструктивной валидности мы провели корреляционный анализ фактических симптомов пролапса (данные осмотра), установленные врачом при гинекологическом осмотре, и ответов респондентов (данные анкетирования) </w:t>
      </w:r>
      <w:r>
        <w:rPr>
          <w:rFonts w:ascii="Times New Roman" w:eastAsia="Times New Roman" w:hAnsi="Times New Roman" w:cs="Times New Roman"/>
          <w:sz w:val="28"/>
          <w:szCs w:val="28"/>
          <w:highlight w:val="white"/>
        </w:rPr>
        <w:t>[193,стр.90].</w:t>
      </w:r>
      <w:r>
        <w:rPr>
          <w:rFonts w:ascii="Times New Roman" w:eastAsia="Times New Roman" w:hAnsi="Times New Roman" w:cs="Times New Roman"/>
          <w:sz w:val="28"/>
          <w:szCs w:val="28"/>
        </w:rPr>
        <w:t xml:space="preserve"> Корреляция между оцениваемыми данными осмотра и данными анкетирования была сильной – выше 0,7 (Таблица 11), что говорит о хорошем выявляемости симптомов при их наличии </w:t>
      </w:r>
      <w:r>
        <w:rPr>
          <w:rFonts w:ascii="Times New Roman" w:eastAsia="Times New Roman" w:hAnsi="Times New Roman" w:cs="Times New Roman"/>
          <w:sz w:val="28"/>
          <w:szCs w:val="28"/>
          <w:highlight w:val="white"/>
        </w:rPr>
        <w:t>[193,стр.90].</w:t>
      </w:r>
    </w:p>
    <w:p w:rsidR="000A3797" w:rsidRDefault="000A3797">
      <w:pPr>
        <w:spacing w:after="0" w:line="240" w:lineRule="auto"/>
        <w:ind w:left="357" w:firstLine="351"/>
        <w:jc w:val="both"/>
        <w:rPr>
          <w:rFonts w:ascii="Times New Roman" w:eastAsia="Times New Roman" w:hAnsi="Times New Roman" w:cs="Times New Roman"/>
          <w:sz w:val="28"/>
          <w:szCs w:val="28"/>
        </w:rPr>
      </w:pP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11- Конструктивная валидность опросника МВПИ с пом</w:t>
      </w:r>
      <w:r>
        <w:rPr>
          <w:rFonts w:ascii="Times New Roman" w:eastAsia="Times New Roman" w:hAnsi="Times New Roman" w:cs="Times New Roman"/>
          <w:sz w:val="28"/>
          <w:szCs w:val="28"/>
        </w:rPr>
        <w:t xml:space="preserve">ощью определения корреляции между субъективными и объективными данными </w:t>
      </w:r>
      <w:r>
        <w:rPr>
          <w:rFonts w:ascii="Times New Roman" w:eastAsia="Times New Roman" w:hAnsi="Times New Roman" w:cs="Times New Roman"/>
          <w:sz w:val="28"/>
          <w:szCs w:val="28"/>
          <w:highlight w:val="white"/>
        </w:rPr>
        <w:t>[193,стр.90].</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tbl>
      <w:tblPr>
        <w:tblStyle w:val="af1"/>
        <w:tblW w:w="762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18"/>
        <w:gridCol w:w="1985"/>
        <w:gridCol w:w="1984"/>
        <w:gridCol w:w="1134"/>
      </w:tblGrid>
      <w:tr w:rsidR="000A3797">
        <w:tc>
          <w:tcPr>
            <w:tcW w:w="7621" w:type="dxa"/>
            <w:gridSpan w:val="4"/>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rPr>
              <w:t>Стрессовое недержание мочи</w:t>
            </w:r>
          </w:p>
        </w:tc>
      </w:tr>
      <w:tr w:rsidR="000A3797">
        <w:tc>
          <w:tcPr>
            <w:tcW w:w="2518" w:type="dxa"/>
          </w:tcPr>
          <w:p w:rsidR="000A3797" w:rsidRDefault="000A3797">
            <w:pPr>
              <w:ind w:left="142"/>
              <w:jc w:val="center"/>
              <w:rPr>
                <w:rFonts w:ascii="Times New Roman" w:eastAsia="Times New Roman" w:hAnsi="Times New Roman" w:cs="Times New Roman"/>
              </w:rPr>
            </w:pPr>
          </w:p>
        </w:tc>
        <w:tc>
          <w:tcPr>
            <w:tcW w:w="1985" w:type="dxa"/>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rPr>
              <w:t>Данные осмотра</w:t>
            </w:r>
          </w:p>
        </w:tc>
        <w:tc>
          <w:tcPr>
            <w:tcW w:w="1984" w:type="dxa"/>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rPr>
              <w:t>Данные анкеты</w:t>
            </w:r>
          </w:p>
        </w:tc>
        <w:tc>
          <w:tcPr>
            <w:tcW w:w="1134" w:type="dxa"/>
          </w:tcPr>
          <w:p w:rsidR="000A3797" w:rsidRDefault="000A3797">
            <w:pPr>
              <w:ind w:left="142"/>
              <w:jc w:val="center"/>
              <w:rPr>
                <w:rFonts w:ascii="Times New Roman" w:eastAsia="Times New Roman" w:hAnsi="Times New Roman" w:cs="Times New Roman"/>
              </w:rPr>
            </w:pPr>
          </w:p>
        </w:tc>
      </w:tr>
      <w:tr w:rsidR="000A3797">
        <w:tc>
          <w:tcPr>
            <w:tcW w:w="2518" w:type="dxa"/>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rPr>
              <w:t>Данные осмотра</w:t>
            </w:r>
          </w:p>
        </w:tc>
        <w:tc>
          <w:tcPr>
            <w:tcW w:w="1985" w:type="dxa"/>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rPr>
              <w:t>1,0</w:t>
            </w:r>
          </w:p>
        </w:tc>
        <w:tc>
          <w:tcPr>
            <w:tcW w:w="1984" w:type="dxa"/>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rPr>
              <w:t>0,854</w:t>
            </w:r>
          </w:p>
        </w:tc>
        <w:tc>
          <w:tcPr>
            <w:tcW w:w="1134" w:type="dxa"/>
            <w:vMerge w:val="restart"/>
          </w:tcPr>
          <w:p w:rsidR="000A3797" w:rsidRDefault="000A3797">
            <w:pPr>
              <w:ind w:left="142"/>
              <w:jc w:val="center"/>
              <w:rPr>
                <w:rFonts w:ascii="Times New Roman" w:eastAsia="Times New Roman" w:hAnsi="Times New Roman" w:cs="Times New Roman"/>
                <w:highlight w:val="white"/>
              </w:rPr>
            </w:pPr>
          </w:p>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highlight w:val="white"/>
              </w:rPr>
              <w:t>&lt;0,001</w:t>
            </w:r>
          </w:p>
        </w:tc>
      </w:tr>
      <w:tr w:rsidR="000A3797">
        <w:trPr>
          <w:trHeight w:val="349"/>
        </w:trPr>
        <w:tc>
          <w:tcPr>
            <w:tcW w:w="2518" w:type="dxa"/>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rPr>
              <w:t>Данные анкеты</w:t>
            </w:r>
          </w:p>
        </w:tc>
        <w:tc>
          <w:tcPr>
            <w:tcW w:w="1985" w:type="dxa"/>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rPr>
              <w:t>0,854</w:t>
            </w:r>
          </w:p>
        </w:tc>
        <w:tc>
          <w:tcPr>
            <w:tcW w:w="1984" w:type="dxa"/>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rPr>
              <w:t>1,0</w:t>
            </w:r>
          </w:p>
        </w:tc>
        <w:tc>
          <w:tcPr>
            <w:tcW w:w="1134"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rPr>
            </w:pPr>
          </w:p>
        </w:tc>
      </w:tr>
      <w:tr w:rsidR="000A3797">
        <w:tc>
          <w:tcPr>
            <w:tcW w:w="7621" w:type="dxa"/>
            <w:gridSpan w:val="4"/>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rPr>
              <w:t>Учащенное мочеиспускание</w:t>
            </w:r>
          </w:p>
        </w:tc>
      </w:tr>
      <w:tr w:rsidR="000A3797">
        <w:tc>
          <w:tcPr>
            <w:tcW w:w="2518" w:type="dxa"/>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rPr>
              <w:t>Данные осмотра</w:t>
            </w:r>
          </w:p>
        </w:tc>
        <w:tc>
          <w:tcPr>
            <w:tcW w:w="1985" w:type="dxa"/>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rPr>
              <w:t>1,0</w:t>
            </w:r>
          </w:p>
        </w:tc>
        <w:tc>
          <w:tcPr>
            <w:tcW w:w="1984" w:type="dxa"/>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rPr>
              <w:t>0,981</w:t>
            </w:r>
          </w:p>
        </w:tc>
        <w:tc>
          <w:tcPr>
            <w:tcW w:w="1134" w:type="dxa"/>
            <w:vMerge w:val="restart"/>
          </w:tcPr>
          <w:p w:rsidR="000A3797" w:rsidRDefault="000A3797">
            <w:pPr>
              <w:ind w:left="142"/>
              <w:jc w:val="center"/>
              <w:rPr>
                <w:rFonts w:ascii="Times New Roman" w:eastAsia="Times New Roman" w:hAnsi="Times New Roman" w:cs="Times New Roman"/>
                <w:highlight w:val="white"/>
              </w:rPr>
            </w:pPr>
          </w:p>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highlight w:val="white"/>
              </w:rPr>
              <w:t>&lt;0,001</w:t>
            </w:r>
          </w:p>
        </w:tc>
      </w:tr>
      <w:tr w:rsidR="000A3797">
        <w:tc>
          <w:tcPr>
            <w:tcW w:w="2518" w:type="dxa"/>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rPr>
              <w:t>Данные анкеты</w:t>
            </w:r>
          </w:p>
        </w:tc>
        <w:tc>
          <w:tcPr>
            <w:tcW w:w="1985" w:type="dxa"/>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rPr>
              <w:t>0,981</w:t>
            </w:r>
          </w:p>
        </w:tc>
        <w:tc>
          <w:tcPr>
            <w:tcW w:w="1984" w:type="dxa"/>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rPr>
              <w:t>1,0</w:t>
            </w:r>
          </w:p>
        </w:tc>
        <w:tc>
          <w:tcPr>
            <w:tcW w:w="1134"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rPr>
            </w:pPr>
          </w:p>
        </w:tc>
      </w:tr>
      <w:tr w:rsidR="000A3797">
        <w:tc>
          <w:tcPr>
            <w:tcW w:w="7621" w:type="dxa"/>
            <w:gridSpan w:val="4"/>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rPr>
              <w:t>Запор</w:t>
            </w:r>
          </w:p>
        </w:tc>
      </w:tr>
      <w:tr w:rsidR="000A3797">
        <w:tc>
          <w:tcPr>
            <w:tcW w:w="2518" w:type="dxa"/>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rPr>
              <w:t>Данные осмотра</w:t>
            </w:r>
          </w:p>
        </w:tc>
        <w:tc>
          <w:tcPr>
            <w:tcW w:w="1985" w:type="dxa"/>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rPr>
              <w:t>1,0</w:t>
            </w:r>
          </w:p>
        </w:tc>
        <w:tc>
          <w:tcPr>
            <w:tcW w:w="1984" w:type="dxa"/>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rPr>
              <w:t>0,973</w:t>
            </w:r>
          </w:p>
        </w:tc>
        <w:tc>
          <w:tcPr>
            <w:tcW w:w="1134" w:type="dxa"/>
            <w:vMerge w:val="restart"/>
          </w:tcPr>
          <w:p w:rsidR="000A3797" w:rsidRDefault="000A3797">
            <w:pPr>
              <w:ind w:left="142"/>
              <w:jc w:val="center"/>
              <w:rPr>
                <w:rFonts w:ascii="Times New Roman" w:eastAsia="Times New Roman" w:hAnsi="Times New Roman" w:cs="Times New Roman"/>
              </w:rPr>
            </w:pPr>
          </w:p>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highlight w:val="white"/>
              </w:rPr>
              <w:t>&lt;0,001</w:t>
            </w:r>
          </w:p>
        </w:tc>
      </w:tr>
      <w:tr w:rsidR="000A3797">
        <w:tc>
          <w:tcPr>
            <w:tcW w:w="2518" w:type="dxa"/>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rPr>
              <w:t>Данные анкеты</w:t>
            </w:r>
          </w:p>
        </w:tc>
        <w:tc>
          <w:tcPr>
            <w:tcW w:w="1985" w:type="dxa"/>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rPr>
              <w:t>0,973</w:t>
            </w:r>
          </w:p>
        </w:tc>
        <w:tc>
          <w:tcPr>
            <w:tcW w:w="1984" w:type="dxa"/>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rPr>
              <w:t>1,0</w:t>
            </w:r>
          </w:p>
        </w:tc>
        <w:tc>
          <w:tcPr>
            <w:tcW w:w="1134"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rPr>
            </w:pPr>
          </w:p>
        </w:tc>
      </w:tr>
      <w:tr w:rsidR="000A3797">
        <w:tc>
          <w:tcPr>
            <w:tcW w:w="7621" w:type="dxa"/>
            <w:gridSpan w:val="4"/>
          </w:tcPr>
          <w:p w:rsidR="000A3797" w:rsidRDefault="00A660E7">
            <w:pPr>
              <w:ind w:left="142"/>
              <w:jc w:val="center"/>
              <w:rPr>
                <w:rFonts w:ascii="Times New Roman" w:eastAsia="Times New Roman" w:hAnsi="Times New Roman" w:cs="Times New Roman"/>
                <w:highlight w:val="white"/>
              </w:rPr>
            </w:pPr>
            <w:r>
              <w:rPr>
                <w:rFonts w:ascii="Times New Roman" w:eastAsia="Times New Roman" w:hAnsi="Times New Roman" w:cs="Times New Roman"/>
                <w:i/>
                <w:highlight w:val="white"/>
              </w:rPr>
              <w:t>Эрозия протеза</w:t>
            </w:r>
          </w:p>
        </w:tc>
      </w:tr>
      <w:tr w:rsidR="000A3797">
        <w:tc>
          <w:tcPr>
            <w:tcW w:w="2518" w:type="dxa"/>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rPr>
              <w:t>Данные осмотра</w:t>
            </w:r>
          </w:p>
        </w:tc>
        <w:tc>
          <w:tcPr>
            <w:tcW w:w="3969" w:type="dxa"/>
            <w:gridSpan w:val="2"/>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rPr>
              <w:t>1,0</w:t>
            </w:r>
          </w:p>
        </w:tc>
        <w:tc>
          <w:tcPr>
            <w:tcW w:w="1134" w:type="dxa"/>
            <w:vMerge w:val="restart"/>
          </w:tcPr>
          <w:p w:rsidR="000A3797" w:rsidRDefault="000A3797">
            <w:pPr>
              <w:ind w:left="142"/>
              <w:rPr>
                <w:rFonts w:ascii="Times New Roman" w:eastAsia="Times New Roman" w:hAnsi="Times New Roman" w:cs="Times New Roman"/>
                <w:highlight w:val="white"/>
              </w:rPr>
            </w:pPr>
          </w:p>
          <w:p w:rsidR="000A3797" w:rsidRDefault="00A660E7">
            <w:pPr>
              <w:ind w:left="142"/>
              <w:rPr>
                <w:rFonts w:ascii="Times New Roman" w:eastAsia="Times New Roman" w:hAnsi="Times New Roman" w:cs="Times New Roman"/>
                <w:i/>
                <w:highlight w:val="white"/>
              </w:rPr>
            </w:pPr>
            <w:r>
              <w:rPr>
                <w:rFonts w:ascii="Times New Roman" w:eastAsia="Times New Roman" w:hAnsi="Times New Roman" w:cs="Times New Roman"/>
                <w:highlight w:val="white"/>
              </w:rPr>
              <w:t>&lt;0,001</w:t>
            </w:r>
          </w:p>
        </w:tc>
      </w:tr>
      <w:tr w:rsidR="000A3797">
        <w:tc>
          <w:tcPr>
            <w:tcW w:w="2518" w:type="dxa"/>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rPr>
              <w:t>Данные анкеты</w:t>
            </w:r>
          </w:p>
        </w:tc>
        <w:tc>
          <w:tcPr>
            <w:tcW w:w="3969" w:type="dxa"/>
            <w:gridSpan w:val="2"/>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rPr>
              <w:t>1,0</w:t>
            </w:r>
          </w:p>
        </w:tc>
        <w:tc>
          <w:tcPr>
            <w:tcW w:w="1134"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rPr>
            </w:pPr>
          </w:p>
        </w:tc>
      </w:tr>
      <w:tr w:rsidR="000A3797">
        <w:tc>
          <w:tcPr>
            <w:tcW w:w="7621" w:type="dxa"/>
            <w:gridSpan w:val="4"/>
          </w:tcPr>
          <w:p w:rsidR="000A3797" w:rsidRDefault="00A660E7">
            <w:pPr>
              <w:ind w:left="1014"/>
              <w:rPr>
                <w:rFonts w:ascii="Times New Roman" w:eastAsia="Times New Roman" w:hAnsi="Times New Roman" w:cs="Times New Roman"/>
                <w:i/>
                <w:highlight w:val="white"/>
              </w:rPr>
            </w:pPr>
            <w:r>
              <w:rPr>
                <w:rFonts w:ascii="Times New Roman" w:eastAsia="Times New Roman" w:hAnsi="Times New Roman" w:cs="Times New Roman"/>
              </w:rPr>
              <w:t>Выделения из влагалища</w:t>
            </w:r>
          </w:p>
        </w:tc>
      </w:tr>
      <w:tr w:rsidR="000A3797">
        <w:tc>
          <w:tcPr>
            <w:tcW w:w="2518" w:type="dxa"/>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rPr>
              <w:t>Эрозия протеза</w:t>
            </w:r>
          </w:p>
        </w:tc>
        <w:tc>
          <w:tcPr>
            <w:tcW w:w="1985" w:type="dxa"/>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rPr>
              <w:t>1,0</w:t>
            </w:r>
          </w:p>
        </w:tc>
        <w:tc>
          <w:tcPr>
            <w:tcW w:w="1984" w:type="dxa"/>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rPr>
              <w:t>0,832</w:t>
            </w:r>
          </w:p>
        </w:tc>
        <w:tc>
          <w:tcPr>
            <w:tcW w:w="1134" w:type="dxa"/>
            <w:vMerge w:val="restart"/>
          </w:tcPr>
          <w:p w:rsidR="000A3797" w:rsidRDefault="00A660E7">
            <w:pPr>
              <w:ind w:left="142"/>
              <w:rPr>
                <w:rFonts w:ascii="Times New Roman" w:eastAsia="Times New Roman" w:hAnsi="Times New Roman" w:cs="Times New Roman"/>
                <w:i/>
                <w:highlight w:val="white"/>
              </w:rPr>
            </w:pPr>
            <w:r>
              <w:rPr>
                <w:rFonts w:ascii="Times New Roman" w:eastAsia="Times New Roman" w:hAnsi="Times New Roman" w:cs="Times New Roman"/>
                <w:highlight w:val="white"/>
              </w:rPr>
              <w:t>&lt;0,001</w:t>
            </w:r>
          </w:p>
        </w:tc>
      </w:tr>
      <w:tr w:rsidR="000A3797">
        <w:tc>
          <w:tcPr>
            <w:tcW w:w="2518" w:type="dxa"/>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rPr>
              <w:t>Данные анкеты</w:t>
            </w:r>
          </w:p>
        </w:tc>
        <w:tc>
          <w:tcPr>
            <w:tcW w:w="1985" w:type="dxa"/>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rPr>
              <w:t>0,832</w:t>
            </w:r>
          </w:p>
        </w:tc>
        <w:tc>
          <w:tcPr>
            <w:tcW w:w="1984" w:type="dxa"/>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rPr>
              <w:t>1,0</w:t>
            </w:r>
          </w:p>
        </w:tc>
        <w:tc>
          <w:tcPr>
            <w:tcW w:w="1134"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rPr>
            </w:pPr>
          </w:p>
        </w:tc>
      </w:tr>
    </w:tbl>
    <w:p w:rsidR="000A3797" w:rsidRDefault="000A3797">
      <w:pPr>
        <w:spacing w:after="0" w:line="240" w:lineRule="auto"/>
        <w:rPr>
          <w:rFonts w:ascii="Times New Roman" w:eastAsia="Times New Roman" w:hAnsi="Times New Roman" w:cs="Times New Roman"/>
          <w:sz w:val="28"/>
          <w:szCs w:val="28"/>
        </w:rPr>
      </w:pPr>
    </w:p>
    <w:p w:rsidR="000A3797" w:rsidRDefault="00A660E7">
      <w:pPr>
        <w:spacing w:after="0" w:line="240" w:lineRule="auto"/>
        <w:ind w:left="142" w:firstLine="566"/>
        <w:rPr>
          <w:rFonts w:ascii="Times New Roman" w:eastAsia="Times New Roman" w:hAnsi="Times New Roman" w:cs="Times New Roman"/>
          <w:sz w:val="28"/>
          <w:szCs w:val="28"/>
        </w:rPr>
      </w:pPr>
      <w:r>
        <w:rPr>
          <w:rFonts w:ascii="Times New Roman" w:eastAsia="Times New Roman" w:hAnsi="Times New Roman" w:cs="Times New Roman"/>
          <w:sz w:val="28"/>
          <w:szCs w:val="28"/>
        </w:rPr>
        <w:t>В среднем симптомы пролапса возобновлялись в группе осложненного течения через 9,85 месяцев, минимальное время наступления симптомов отмечалось через 2 месяца, максимальное через 48 месяцев, в группе неосложненного течения послеоперационного периода симпто</w:t>
      </w:r>
      <w:r>
        <w:rPr>
          <w:rFonts w:ascii="Times New Roman" w:eastAsia="Times New Roman" w:hAnsi="Times New Roman" w:cs="Times New Roman"/>
          <w:sz w:val="28"/>
          <w:szCs w:val="28"/>
        </w:rPr>
        <w:t xml:space="preserve">мов пролапса не наблюдалось </w:t>
      </w:r>
      <w:r>
        <w:rPr>
          <w:rFonts w:ascii="Times New Roman" w:eastAsia="Times New Roman" w:hAnsi="Times New Roman" w:cs="Times New Roman"/>
          <w:sz w:val="28"/>
          <w:szCs w:val="28"/>
          <w:highlight w:val="white"/>
        </w:rPr>
        <w:t>[193,стр.90].</w:t>
      </w:r>
      <w:r>
        <w:rPr>
          <w:rFonts w:ascii="Times New Roman" w:eastAsia="Times New Roman" w:hAnsi="Times New Roman" w:cs="Times New Roman"/>
          <w:sz w:val="28"/>
          <w:szCs w:val="28"/>
        </w:rPr>
        <w:t xml:space="preserve"> В среднем интерпретация  данных электронной версии опросника врачом – гинекологом составила 77, 6 секунд (±24,3).</w:t>
      </w:r>
    </w:p>
    <w:p w:rsidR="000A3797" w:rsidRDefault="000A3797">
      <w:pPr>
        <w:spacing w:after="0" w:line="240" w:lineRule="auto"/>
        <w:ind w:left="142" w:firstLine="566"/>
        <w:rPr>
          <w:rFonts w:ascii="Times New Roman" w:eastAsia="Times New Roman" w:hAnsi="Times New Roman" w:cs="Times New Roman"/>
          <w:b/>
          <w:smallCaps/>
          <w:sz w:val="28"/>
          <w:szCs w:val="28"/>
        </w:rPr>
      </w:pPr>
    </w:p>
    <w:p w:rsidR="000A3797" w:rsidRDefault="00A660E7">
      <w:pPr>
        <w:spacing w:after="0" w:line="240" w:lineRule="auto"/>
        <w:ind w:left="142" w:firstLine="218"/>
        <w:rPr>
          <w:rFonts w:ascii="Times New Roman" w:eastAsia="Times New Roman" w:hAnsi="Times New Roman" w:cs="Times New Roman"/>
          <w:sz w:val="28"/>
          <w:szCs w:val="28"/>
        </w:rPr>
      </w:pPr>
      <w:r>
        <w:rPr>
          <w:rFonts w:ascii="Times New Roman" w:eastAsia="Times New Roman" w:hAnsi="Times New Roman" w:cs="Times New Roman"/>
          <w:smallCaps/>
          <w:sz w:val="28"/>
          <w:szCs w:val="28"/>
        </w:rPr>
        <w:t>О</w:t>
      </w:r>
      <w:r>
        <w:rPr>
          <w:rFonts w:ascii="Times New Roman" w:eastAsia="Times New Roman" w:hAnsi="Times New Roman" w:cs="Times New Roman"/>
          <w:sz w:val="28"/>
          <w:szCs w:val="28"/>
        </w:rPr>
        <w:t>бсуждение результатов 3.2.2</w:t>
      </w:r>
    </w:p>
    <w:p w:rsidR="000A3797" w:rsidRDefault="00A660E7">
      <w:pPr>
        <w:spacing w:after="0" w:line="240" w:lineRule="auto"/>
        <w:ind w:left="142" w:firstLine="218"/>
        <w:rPr>
          <w:rFonts w:ascii="Times New Roman" w:eastAsia="Times New Roman" w:hAnsi="Times New Roman" w:cs="Times New Roman"/>
          <w:sz w:val="28"/>
          <w:szCs w:val="28"/>
        </w:rPr>
      </w:pPr>
      <w:r>
        <w:rPr>
          <w:rFonts w:ascii="Times New Roman" w:eastAsia="Times New Roman" w:hAnsi="Times New Roman" w:cs="Times New Roman"/>
          <w:sz w:val="28"/>
          <w:szCs w:val="28"/>
        </w:rPr>
        <w:t>Статистическая обработка разработанного нами опросника «Мониторинг послеоперационных исходов, МВПИ» на русском и казахском языках подтвердила его надёжность и валидность [193, стр. 91]. Среднее время заполнения анкеты составило менее 12 минут. В ходе прове</w:t>
      </w:r>
      <w:r>
        <w:rPr>
          <w:rFonts w:ascii="Times New Roman" w:eastAsia="Times New Roman" w:hAnsi="Times New Roman" w:cs="Times New Roman"/>
          <w:sz w:val="28"/>
          <w:szCs w:val="28"/>
        </w:rPr>
        <w:t>рки внешней и содержательной валидности были устранены все формулировки, вызывавшие затруднения у пациентов [193, стр. 91]. Удобство электронной версии опросника упрощает процесс анкетирования и ускоряет интерпретацию результатов. Мы полагаем, что данный и</w:t>
      </w:r>
      <w:r>
        <w:rPr>
          <w:rFonts w:ascii="Times New Roman" w:eastAsia="Times New Roman" w:hAnsi="Times New Roman" w:cs="Times New Roman"/>
          <w:sz w:val="28"/>
          <w:szCs w:val="28"/>
        </w:rPr>
        <w:t>нструмент может успешно применяться в клинической практике для своевременного отслеживания рецидивов и факторов, способствующих их развитию, что позволит оперативно реагировать и предотвращать ухудшение симптоматики [193, стр. 91].</w:t>
      </w:r>
    </w:p>
    <w:p w:rsidR="000A3797" w:rsidRDefault="000A3797">
      <w:pPr>
        <w:spacing w:after="0" w:line="240" w:lineRule="auto"/>
        <w:ind w:left="142" w:firstLine="218"/>
        <w:rPr>
          <w:rFonts w:ascii="Times New Roman" w:eastAsia="Times New Roman" w:hAnsi="Times New Roman" w:cs="Times New Roman"/>
          <w:sz w:val="28"/>
          <w:szCs w:val="28"/>
        </w:rPr>
      </w:pPr>
    </w:p>
    <w:p w:rsidR="000A3797" w:rsidRDefault="00A660E7">
      <w:pPr>
        <w:spacing w:after="0" w:line="240" w:lineRule="auto"/>
        <w:ind w:left="142" w:firstLine="21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3.2.2 Результаты надежности и валидности адаптированного для населения Казахстана специализированного опросника качества жизни P –QOL для генитального пролапса </w:t>
      </w:r>
    </w:p>
    <w:p w:rsidR="000A3797" w:rsidRDefault="000A3797">
      <w:pPr>
        <w:pBdr>
          <w:top w:val="nil"/>
          <w:left w:val="nil"/>
          <w:bottom w:val="nil"/>
          <w:right w:val="nil"/>
          <w:between w:val="nil"/>
        </w:pBdr>
        <w:spacing w:after="0" w:line="240" w:lineRule="auto"/>
        <w:ind w:left="1095"/>
        <w:rPr>
          <w:rFonts w:ascii="Times New Roman" w:eastAsia="Times New Roman" w:hAnsi="Times New Roman" w:cs="Times New Roman"/>
          <w:color w:val="000000"/>
          <w:sz w:val="28"/>
          <w:szCs w:val="28"/>
        </w:rPr>
      </w:pPr>
    </w:p>
    <w:p w:rsidR="000A3797" w:rsidRDefault="00A660E7">
      <w:pPr>
        <w:spacing w:after="0" w:line="240" w:lineRule="auto"/>
        <w:ind w:left="142" w:firstLine="218"/>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Процесс лингвистической адаптации и структура опросника подробно описана в главе 2.2.2. У 71 (</w:t>
      </w:r>
      <w:r>
        <w:rPr>
          <w:rFonts w:ascii="Times New Roman" w:eastAsia="Times New Roman" w:hAnsi="Times New Roman" w:cs="Times New Roman"/>
          <w:sz w:val="28"/>
          <w:szCs w:val="28"/>
        </w:rPr>
        <w:t>87,7 %) женщин с бессимптомным пролапсом наблюдалась I степень по POP-Q, у 10 женщин (12,3%) II степень пролапса. В группе с симптомами пролапса у одной пациентки (0,6%) была I степень пролапса, у 60 пациентов (34,3%) была III степени пролапса, у 114 пацие</w:t>
      </w:r>
      <w:r>
        <w:rPr>
          <w:rFonts w:ascii="Times New Roman" w:eastAsia="Times New Roman" w:hAnsi="Times New Roman" w:cs="Times New Roman"/>
          <w:sz w:val="28"/>
          <w:szCs w:val="28"/>
        </w:rPr>
        <w:t xml:space="preserve">нток (65,1%) IV степень. Отсутствие симптомов наблюдалось только на начальной стадии пролапса </w:t>
      </w:r>
      <w:r>
        <w:rPr>
          <w:rFonts w:ascii="Times New Roman" w:eastAsia="Times New Roman" w:hAnsi="Times New Roman" w:cs="Times New Roman"/>
          <w:sz w:val="28"/>
          <w:szCs w:val="28"/>
          <w:highlight w:val="white"/>
        </w:rPr>
        <w:t>(</w:t>
      </w:r>
      <w:r>
        <w:rPr>
          <w:rFonts w:ascii="Times New Roman" w:eastAsia="Times New Roman" w:hAnsi="Times New Roman" w:cs="Times New Roman"/>
          <w:i/>
          <w:sz w:val="28"/>
          <w:szCs w:val="28"/>
          <w:highlight w:val="white"/>
        </w:rPr>
        <w:t>p</w:t>
      </w:r>
      <w:r>
        <w:rPr>
          <w:rFonts w:ascii="Times New Roman" w:eastAsia="Times New Roman" w:hAnsi="Times New Roman" w:cs="Times New Roman"/>
          <w:sz w:val="28"/>
          <w:szCs w:val="28"/>
          <w:highlight w:val="white"/>
        </w:rPr>
        <w:t> &lt;0,001) [196,стр.23].</w:t>
      </w:r>
    </w:p>
    <w:p w:rsidR="000A3797" w:rsidRDefault="00A660E7">
      <w:pPr>
        <w:spacing w:after="0" w:line="240" w:lineRule="auto"/>
        <w:ind w:left="142" w:firstLine="218"/>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Анализ внутренней согласованности во всех доменах был приемлемым как для обобщенной версии, так и отдельно для русской и казахской версий</w:t>
      </w:r>
      <w:r>
        <w:rPr>
          <w:rFonts w:ascii="Times New Roman" w:eastAsia="Times New Roman" w:hAnsi="Times New Roman" w:cs="Times New Roman"/>
          <w:sz w:val="28"/>
          <w:szCs w:val="28"/>
        </w:rPr>
        <w:t xml:space="preserve">, показатель Альфа Кронбаха был не ниже 0,6, самый низкий отмечался в доменах казахской версии опросника: «Межличностные взаимодействия» (0,654) и русской «Степень выраженности симптомов» (0,612). В других доменах этот показатель был выше 0,9 (Таблица12), </w:t>
      </w:r>
      <w:r>
        <w:rPr>
          <w:rFonts w:ascii="Times New Roman" w:eastAsia="Times New Roman" w:hAnsi="Times New Roman" w:cs="Times New Roman"/>
          <w:sz w:val="28"/>
          <w:szCs w:val="28"/>
        </w:rPr>
        <w:t xml:space="preserve">что снизило общий показатель в этих доменах 0,691 и 0,633 сооответственно  </w:t>
      </w:r>
      <w:r>
        <w:rPr>
          <w:rFonts w:ascii="Times New Roman" w:eastAsia="Times New Roman" w:hAnsi="Times New Roman" w:cs="Times New Roman"/>
          <w:sz w:val="28"/>
          <w:szCs w:val="28"/>
          <w:highlight w:val="white"/>
        </w:rPr>
        <w:t>[196,стр.23]</w:t>
      </w:r>
      <w:r>
        <w:rPr>
          <w:rFonts w:ascii="Times New Roman" w:eastAsia="Times New Roman" w:hAnsi="Times New Roman" w:cs="Times New Roman"/>
          <w:sz w:val="28"/>
          <w:szCs w:val="28"/>
        </w:rPr>
        <w:t>. Индекс надежности повторным тестированием также был высоким во всех доменах в русской, казахской и обобщенной версиях опросника, все значения были выше 0,7, при уровне</w:t>
      </w:r>
      <w:r>
        <w:rPr>
          <w:rFonts w:ascii="Times New Roman" w:eastAsia="Times New Roman" w:hAnsi="Times New Roman" w:cs="Times New Roman"/>
          <w:sz w:val="28"/>
          <w:szCs w:val="28"/>
        </w:rPr>
        <w:t xml:space="preserve"> значимости </w:t>
      </w:r>
      <w:r>
        <w:rPr>
          <w:rFonts w:ascii="Times New Roman" w:eastAsia="Times New Roman" w:hAnsi="Times New Roman" w:cs="Times New Roman"/>
          <w:i/>
          <w:sz w:val="28"/>
          <w:szCs w:val="28"/>
          <w:highlight w:val="white"/>
        </w:rPr>
        <w:t>p</w:t>
      </w:r>
      <w:r>
        <w:rPr>
          <w:rFonts w:ascii="Times New Roman" w:eastAsia="Times New Roman" w:hAnsi="Times New Roman" w:cs="Times New Roman"/>
          <w:sz w:val="28"/>
          <w:szCs w:val="28"/>
          <w:highlight w:val="white"/>
        </w:rPr>
        <w:t> &lt;0,001, что свидетельствует о хорошей воспроизводимости [196,стр.23].</w:t>
      </w:r>
    </w:p>
    <w:p w:rsidR="000A3797" w:rsidRDefault="00A660E7">
      <w:pPr>
        <w:spacing w:after="0" w:line="240" w:lineRule="auto"/>
        <w:ind w:lef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Таблица 12 -  Надежность оценок доменов P- QOL </w:t>
      </w:r>
      <w:r>
        <w:rPr>
          <w:rFonts w:ascii="Times New Roman" w:eastAsia="Times New Roman" w:hAnsi="Times New Roman" w:cs="Times New Roman"/>
          <w:sz w:val="28"/>
          <w:szCs w:val="28"/>
          <w:highlight w:val="white"/>
        </w:rPr>
        <w:t>[196,стр.23]</w:t>
      </w:r>
      <w:r>
        <w:rPr>
          <w:rFonts w:ascii="Times New Roman" w:eastAsia="Times New Roman" w:hAnsi="Times New Roman" w:cs="Times New Roman"/>
          <w:sz w:val="28"/>
          <w:szCs w:val="28"/>
        </w:rPr>
        <w:t xml:space="preserve"> (домены адаптированы из версии Коршунова Е. ПД-КЖ [60, стр. 4])</w:t>
      </w:r>
    </w:p>
    <w:tbl>
      <w:tblPr>
        <w:tblStyle w:val="af2"/>
        <w:tblpPr w:leftFromText="180" w:rightFromText="180" w:vertAnchor="text" w:tblpY="132"/>
        <w:tblW w:w="949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0"/>
        <w:gridCol w:w="850"/>
        <w:gridCol w:w="851"/>
        <w:gridCol w:w="709"/>
        <w:gridCol w:w="850"/>
        <w:gridCol w:w="709"/>
        <w:gridCol w:w="992"/>
        <w:gridCol w:w="851"/>
        <w:gridCol w:w="851"/>
        <w:gridCol w:w="850"/>
      </w:tblGrid>
      <w:tr w:rsidR="000A3797">
        <w:trPr>
          <w:trHeight w:val="383"/>
        </w:trPr>
        <w:tc>
          <w:tcPr>
            <w:tcW w:w="1980" w:type="dxa"/>
            <w:vMerge w:val="restart"/>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Домен</w:t>
            </w:r>
          </w:p>
        </w:tc>
        <w:tc>
          <w:tcPr>
            <w:tcW w:w="4961" w:type="dxa"/>
            <w:gridSpan w:val="6"/>
          </w:tcPr>
          <w:p w:rsidR="000A3797" w:rsidRDefault="00A660E7">
            <w:pPr>
              <w:ind w:left="142"/>
              <w:rPr>
                <w:rFonts w:ascii="Times New Roman" w:eastAsia="Times New Roman" w:hAnsi="Times New Roman" w:cs="Times New Roman"/>
                <w:shd w:val="clear" w:color="auto" w:fill="FFFCF0"/>
              </w:rPr>
            </w:pPr>
            <w:r>
              <w:rPr>
                <w:rFonts w:ascii="Times New Roman" w:eastAsia="Times New Roman" w:hAnsi="Times New Roman" w:cs="Times New Roman"/>
                <w:shd w:val="clear" w:color="auto" w:fill="FFFCF0"/>
              </w:rPr>
              <w:t>Надёжность повторным тестированием, критер</w:t>
            </w:r>
            <w:r>
              <w:rPr>
                <w:rFonts w:ascii="Times New Roman" w:eastAsia="Times New Roman" w:hAnsi="Times New Roman" w:cs="Times New Roman"/>
                <w:shd w:val="clear" w:color="auto" w:fill="FFFCF0"/>
              </w:rPr>
              <w:t>ий корреляции Спирмена</w:t>
            </w:r>
          </w:p>
        </w:tc>
        <w:tc>
          <w:tcPr>
            <w:tcW w:w="2552" w:type="dxa"/>
            <w:gridSpan w:val="3"/>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Альфа Кронбаха</w:t>
            </w:r>
          </w:p>
        </w:tc>
      </w:tr>
      <w:tr w:rsidR="000A3797">
        <w:trPr>
          <w:trHeight w:val="382"/>
        </w:trPr>
        <w:tc>
          <w:tcPr>
            <w:tcW w:w="1980"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rPr>
            </w:pPr>
          </w:p>
        </w:tc>
        <w:tc>
          <w:tcPr>
            <w:tcW w:w="850"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Общ.</w:t>
            </w:r>
          </w:p>
        </w:tc>
        <w:tc>
          <w:tcPr>
            <w:tcW w:w="851"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р</w:t>
            </w:r>
          </w:p>
        </w:tc>
        <w:tc>
          <w:tcPr>
            <w:tcW w:w="709"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Рус</w:t>
            </w:r>
          </w:p>
        </w:tc>
        <w:tc>
          <w:tcPr>
            <w:tcW w:w="850"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р</w:t>
            </w:r>
          </w:p>
        </w:tc>
        <w:tc>
          <w:tcPr>
            <w:tcW w:w="709" w:type="dxa"/>
          </w:tcPr>
          <w:p w:rsidR="000A3797" w:rsidRDefault="00A660E7">
            <w:pPr>
              <w:rPr>
                <w:rFonts w:ascii="Times New Roman" w:eastAsia="Times New Roman" w:hAnsi="Times New Roman" w:cs="Times New Roman"/>
                <w:shd w:val="clear" w:color="auto" w:fill="FFFCF0"/>
              </w:rPr>
            </w:pPr>
            <w:r>
              <w:rPr>
                <w:rFonts w:ascii="Times New Roman" w:eastAsia="Times New Roman" w:hAnsi="Times New Roman" w:cs="Times New Roman"/>
                <w:shd w:val="clear" w:color="auto" w:fill="FFFCF0"/>
              </w:rPr>
              <w:t>Каз</w:t>
            </w:r>
          </w:p>
        </w:tc>
        <w:tc>
          <w:tcPr>
            <w:tcW w:w="992" w:type="dxa"/>
          </w:tcPr>
          <w:p w:rsidR="000A3797" w:rsidRDefault="00A660E7">
            <w:pPr>
              <w:ind w:left="142"/>
              <w:rPr>
                <w:rFonts w:ascii="Times New Roman" w:eastAsia="Times New Roman" w:hAnsi="Times New Roman" w:cs="Times New Roman"/>
                <w:shd w:val="clear" w:color="auto" w:fill="FFFCF0"/>
              </w:rPr>
            </w:pPr>
            <w:r>
              <w:rPr>
                <w:rFonts w:ascii="Times New Roman" w:eastAsia="Times New Roman" w:hAnsi="Times New Roman" w:cs="Times New Roman"/>
                <w:shd w:val="clear" w:color="auto" w:fill="FFFCF0"/>
              </w:rPr>
              <w:t>р</w:t>
            </w:r>
          </w:p>
        </w:tc>
        <w:tc>
          <w:tcPr>
            <w:tcW w:w="851"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Общ</w:t>
            </w:r>
          </w:p>
        </w:tc>
        <w:tc>
          <w:tcPr>
            <w:tcW w:w="851"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Рус.</w:t>
            </w:r>
          </w:p>
        </w:tc>
        <w:tc>
          <w:tcPr>
            <w:tcW w:w="850"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Каз.</w:t>
            </w:r>
          </w:p>
        </w:tc>
      </w:tr>
      <w:tr w:rsidR="000A3797">
        <w:tc>
          <w:tcPr>
            <w:tcW w:w="1980"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Общее сoстояние здоровья [60]</w:t>
            </w:r>
          </w:p>
        </w:tc>
        <w:tc>
          <w:tcPr>
            <w:tcW w:w="850"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0,99</w:t>
            </w:r>
          </w:p>
        </w:tc>
        <w:tc>
          <w:tcPr>
            <w:tcW w:w="851" w:type="dxa"/>
          </w:tcPr>
          <w:p w:rsidR="000A3797" w:rsidRDefault="00A660E7">
            <w:pPr>
              <w:rPr>
                <w:rFonts w:ascii="Times New Roman" w:eastAsia="Times New Roman" w:hAnsi="Times New Roman" w:cs="Times New Roman"/>
              </w:rPr>
            </w:pPr>
            <w:r>
              <w:rPr>
                <w:rFonts w:ascii="Times New Roman" w:eastAsia="Times New Roman" w:hAnsi="Times New Roman" w:cs="Times New Roman"/>
                <w:highlight w:val="white"/>
              </w:rPr>
              <w:t>&lt;0,001</w:t>
            </w:r>
          </w:p>
        </w:tc>
        <w:tc>
          <w:tcPr>
            <w:tcW w:w="709"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0,93</w:t>
            </w:r>
          </w:p>
        </w:tc>
        <w:tc>
          <w:tcPr>
            <w:tcW w:w="850" w:type="dxa"/>
          </w:tcPr>
          <w:p w:rsidR="000A3797" w:rsidRDefault="00A660E7">
            <w:pPr>
              <w:rPr>
                <w:rFonts w:ascii="Times New Roman" w:eastAsia="Times New Roman" w:hAnsi="Times New Roman" w:cs="Times New Roman"/>
              </w:rPr>
            </w:pPr>
            <w:r>
              <w:rPr>
                <w:rFonts w:ascii="Times New Roman" w:eastAsia="Times New Roman" w:hAnsi="Times New Roman" w:cs="Times New Roman"/>
                <w:highlight w:val="white"/>
              </w:rPr>
              <w:t>&lt;0,001</w:t>
            </w:r>
          </w:p>
        </w:tc>
        <w:tc>
          <w:tcPr>
            <w:tcW w:w="709"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0,91</w:t>
            </w:r>
          </w:p>
        </w:tc>
        <w:tc>
          <w:tcPr>
            <w:tcW w:w="992" w:type="dxa"/>
          </w:tcPr>
          <w:p w:rsidR="000A3797" w:rsidRDefault="00A660E7">
            <w:pPr>
              <w:rPr>
                <w:rFonts w:ascii="Times New Roman" w:eastAsia="Times New Roman" w:hAnsi="Times New Roman" w:cs="Times New Roman"/>
              </w:rPr>
            </w:pPr>
            <w:r>
              <w:rPr>
                <w:rFonts w:ascii="Times New Roman" w:eastAsia="Times New Roman" w:hAnsi="Times New Roman" w:cs="Times New Roman"/>
                <w:highlight w:val="white"/>
              </w:rPr>
              <w:t>&lt;0,001</w:t>
            </w:r>
          </w:p>
        </w:tc>
        <w:tc>
          <w:tcPr>
            <w:tcW w:w="851"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w:t>
            </w:r>
          </w:p>
        </w:tc>
        <w:tc>
          <w:tcPr>
            <w:tcW w:w="851"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w:t>
            </w:r>
          </w:p>
        </w:tc>
        <w:tc>
          <w:tcPr>
            <w:tcW w:w="850"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w:t>
            </w:r>
          </w:p>
        </w:tc>
      </w:tr>
      <w:tr w:rsidR="000A3797">
        <w:tc>
          <w:tcPr>
            <w:tcW w:w="1980"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Воздействие симптомов [60]</w:t>
            </w:r>
          </w:p>
        </w:tc>
        <w:tc>
          <w:tcPr>
            <w:tcW w:w="850"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0,99</w:t>
            </w:r>
          </w:p>
        </w:tc>
        <w:tc>
          <w:tcPr>
            <w:tcW w:w="851" w:type="dxa"/>
          </w:tcPr>
          <w:p w:rsidR="000A3797" w:rsidRDefault="00A660E7">
            <w:pPr>
              <w:rPr>
                <w:rFonts w:ascii="Times New Roman" w:eastAsia="Times New Roman" w:hAnsi="Times New Roman" w:cs="Times New Roman"/>
              </w:rPr>
            </w:pPr>
            <w:r>
              <w:rPr>
                <w:rFonts w:ascii="Times New Roman" w:eastAsia="Times New Roman" w:hAnsi="Times New Roman" w:cs="Times New Roman"/>
                <w:highlight w:val="white"/>
              </w:rPr>
              <w:t>&lt;0,001</w:t>
            </w:r>
          </w:p>
        </w:tc>
        <w:tc>
          <w:tcPr>
            <w:tcW w:w="709"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0,94</w:t>
            </w:r>
          </w:p>
        </w:tc>
        <w:tc>
          <w:tcPr>
            <w:tcW w:w="850" w:type="dxa"/>
          </w:tcPr>
          <w:p w:rsidR="000A3797" w:rsidRDefault="00A660E7">
            <w:pPr>
              <w:rPr>
                <w:rFonts w:ascii="Times New Roman" w:eastAsia="Times New Roman" w:hAnsi="Times New Roman" w:cs="Times New Roman"/>
              </w:rPr>
            </w:pPr>
            <w:r>
              <w:rPr>
                <w:rFonts w:ascii="Times New Roman" w:eastAsia="Times New Roman" w:hAnsi="Times New Roman" w:cs="Times New Roman"/>
                <w:highlight w:val="white"/>
              </w:rPr>
              <w:t>&lt;0,001</w:t>
            </w:r>
          </w:p>
        </w:tc>
        <w:tc>
          <w:tcPr>
            <w:tcW w:w="709"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0,83</w:t>
            </w:r>
          </w:p>
        </w:tc>
        <w:tc>
          <w:tcPr>
            <w:tcW w:w="992" w:type="dxa"/>
          </w:tcPr>
          <w:p w:rsidR="000A3797" w:rsidRDefault="00A660E7">
            <w:pPr>
              <w:rPr>
                <w:rFonts w:ascii="Times New Roman" w:eastAsia="Times New Roman" w:hAnsi="Times New Roman" w:cs="Times New Roman"/>
              </w:rPr>
            </w:pPr>
            <w:r>
              <w:rPr>
                <w:rFonts w:ascii="Times New Roman" w:eastAsia="Times New Roman" w:hAnsi="Times New Roman" w:cs="Times New Roman"/>
                <w:highlight w:val="white"/>
              </w:rPr>
              <w:t> &lt;0,001</w:t>
            </w:r>
          </w:p>
        </w:tc>
        <w:tc>
          <w:tcPr>
            <w:tcW w:w="851"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w:t>
            </w:r>
          </w:p>
        </w:tc>
        <w:tc>
          <w:tcPr>
            <w:tcW w:w="851"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w:t>
            </w:r>
          </w:p>
        </w:tc>
        <w:tc>
          <w:tcPr>
            <w:tcW w:w="850"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w:t>
            </w:r>
          </w:p>
        </w:tc>
      </w:tr>
      <w:tr w:rsidR="000A3797">
        <w:tc>
          <w:tcPr>
            <w:tcW w:w="1980"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Симптомы и их восприятие [60]</w:t>
            </w:r>
          </w:p>
        </w:tc>
        <w:tc>
          <w:tcPr>
            <w:tcW w:w="850"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0,96</w:t>
            </w:r>
          </w:p>
        </w:tc>
        <w:tc>
          <w:tcPr>
            <w:tcW w:w="851" w:type="dxa"/>
          </w:tcPr>
          <w:p w:rsidR="000A3797" w:rsidRDefault="00A660E7">
            <w:pPr>
              <w:rPr>
                <w:rFonts w:ascii="Times New Roman" w:eastAsia="Times New Roman" w:hAnsi="Times New Roman" w:cs="Times New Roman"/>
              </w:rPr>
            </w:pPr>
            <w:r>
              <w:rPr>
                <w:rFonts w:ascii="Times New Roman" w:eastAsia="Times New Roman" w:hAnsi="Times New Roman" w:cs="Times New Roman"/>
                <w:highlight w:val="white"/>
              </w:rPr>
              <w:t>&lt;</w:t>
            </w:r>
            <w:r>
              <w:rPr>
                <w:rFonts w:ascii="Times New Roman" w:eastAsia="Times New Roman" w:hAnsi="Times New Roman" w:cs="Times New Roman"/>
                <w:highlight w:val="white"/>
              </w:rPr>
              <w:t>0,001</w:t>
            </w:r>
          </w:p>
        </w:tc>
        <w:tc>
          <w:tcPr>
            <w:tcW w:w="709"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0,92</w:t>
            </w:r>
          </w:p>
        </w:tc>
        <w:tc>
          <w:tcPr>
            <w:tcW w:w="850" w:type="dxa"/>
          </w:tcPr>
          <w:p w:rsidR="000A3797" w:rsidRDefault="00A660E7">
            <w:pPr>
              <w:rPr>
                <w:rFonts w:ascii="Times New Roman" w:eastAsia="Times New Roman" w:hAnsi="Times New Roman" w:cs="Times New Roman"/>
              </w:rPr>
            </w:pPr>
            <w:r>
              <w:rPr>
                <w:rFonts w:ascii="Times New Roman" w:eastAsia="Times New Roman" w:hAnsi="Times New Roman" w:cs="Times New Roman"/>
                <w:highlight w:val="white"/>
              </w:rPr>
              <w:t>&lt;0,001</w:t>
            </w:r>
          </w:p>
        </w:tc>
        <w:tc>
          <w:tcPr>
            <w:tcW w:w="709"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0,84</w:t>
            </w:r>
          </w:p>
        </w:tc>
        <w:tc>
          <w:tcPr>
            <w:tcW w:w="992" w:type="dxa"/>
          </w:tcPr>
          <w:p w:rsidR="000A3797" w:rsidRDefault="00A660E7">
            <w:pPr>
              <w:rPr>
                <w:rFonts w:ascii="Times New Roman" w:eastAsia="Times New Roman" w:hAnsi="Times New Roman" w:cs="Times New Roman"/>
              </w:rPr>
            </w:pPr>
            <w:r>
              <w:rPr>
                <w:rFonts w:ascii="Times New Roman" w:eastAsia="Times New Roman" w:hAnsi="Times New Roman" w:cs="Times New Roman"/>
                <w:highlight w:val="white"/>
              </w:rPr>
              <w:t>&lt;0,001</w:t>
            </w:r>
          </w:p>
        </w:tc>
        <w:tc>
          <w:tcPr>
            <w:tcW w:w="851"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0,917</w:t>
            </w:r>
          </w:p>
        </w:tc>
        <w:tc>
          <w:tcPr>
            <w:tcW w:w="851"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0,912</w:t>
            </w:r>
          </w:p>
        </w:tc>
        <w:tc>
          <w:tcPr>
            <w:tcW w:w="850"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0,911</w:t>
            </w:r>
          </w:p>
        </w:tc>
      </w:tr>
      <w:tr w:rsidR="000A3797">
        <w:tc>
          <w:tcPr>
            <w:tcW w:w="1980"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Рoлевые ограничения [60]</w:t>
            </w:r>
          </w:p>
        </w:tc>
        <w:tc>
          <w:tcPr>
            <w:tcW w:w="850"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0,98</w:t>
            </w:r>
          </w:p>
        </w:tc>
        <w:tc>
          <w:tcPr>
            <w:tcW w:w="851" w:type="dxa"/>
          </w:tcPr>
          <w:p w:rsidR="000A3797" w:rsidRDefault="00A660E7">
            <w:pPr>
              <w:rPr>
                <w:rFonts w:ascii="Times New Roman" w:eastAsia="Times New Roman" w:hAnsi="Times New Roman" w:cs="Times New Roman"/>
              </w:rPr>
            </w:pPr>
            <w:r>
              <w:rPr>
                <w:rFonts w:ascii="Times New Roman" w:eastAsia="Times New Roman" w:hAnsi="Times New Roman" w:cs="Times New Roman"/>
                <w:highlight w:val="white"/>
              </w:rPr>
              <w:t>&lt;0,001</w:t>
            </w:r>
          </w:p>
        </w:tc>
        <w:tc>
          <w:tcPr>
            <w:tcW w:w="709"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0,89</w:t>
            </w:r>
          </w:p>
        </w:tc>
        <w:tc>
          <w:tcPr>
            <w:tcW w:w="850" w:type="dxa"/>
          </w:tcPr>
          <w:p w:rsidR="000A3797" w:rsidRDefault="00A660E7">
            <w:pPr>
              <w:rPr>
                <w:rFonts w:ascii="Times New Roman" w:eastAsia="Times New Roman" w:hAnsi="Times New Roman" w:cs="Times New Roman"/>
              </w:rPr>
            </w:pPr>
            <w:r>
              <w:rPr>
                <w:rFonts w:ascii="Times New Roman" w:eastAsia="Times New Roman" w:hAnsi="Times New Roman" w:cs="Times New Roman"/>
                <w:highlight w:val="white"/>
              </w:rPr>
              <w:t>&lt;0,001</w:t>
            </w:r>
          </w:p>
        </w:tc>
        <w:tc>
          <w:tcPr>
            <w:tcW w:w="709"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0,93</w:t>
            </w:r>
          </w:p>
        </w:tc>
        <w:tc>
          <w:tcPr>
            <w:tcW w:w="992" w:type="dxa"/>
          </w:tcPr>
          <w:p w:rsidR="000A3797" w:rsidRDefault="00A660E7">
            <w:pPr>
              <w:rPr>
                <w:rFonts w:ascii="Times New Roman" w:eastAsia="Times New Roman" w:hAnsi="Times New Roman" w:cs="Times New Roman"/>
              </w:rPr>
            </w:pPr>
            <w:r>
              <w:rPr>
                <w:rFonts w:ascii="Times New Roman" w:eastAsia="Times New Roman" w:hAnsi="Times New Roman" w:cs="Times New Roman"/>
                <w:highlight w:val="white"/>
              </w:rPr>
              <w:t> &lt;0,001</w:t>
            </w:r>
          </w:p>
        </w:tc>
        <w:tc>
          <w:tcPr>
            <w:tcW w:w="851"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0,965</w:t>
            </w:r>
          </w:p>
        </w:tc>
        <w:tc>
          <w:tcPr>
            <w:tcW w:w="851"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0,981</w:t>
            </w:r>
          </w:p>
        </w:tc>
        <w:tc>
          <w:tcPr>
            <w:tcW w:w="850"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0,815</w:t>
            </w:r>
          </w:p>
        </w:tc>
      </w:tr>
      <w:tr w:rsidR="000A3797">
        <w:tc>
          <w:tcPr>
            <w:tcW w:w="1980"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Физическое и социальное ограничение [60]</w:t>
            </w:r>
          </w:p>
        </w:tc>
        <w:tc>
          <w:tcPr>
            <w:tcW w:w="850"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0,98</w:t>
            </w:r>
          </w:p>
        </w:tc>
        <w:tc>
          <w:tcPr>
            <w:tcW w:w="851" w:type="dxa"/>
          </w:tcPr>
          <w:p w:rsidR="000A3797" w:rsidRDefault="00A660E7">
            <w:pPr>
              <w:rPr>
                <w:rFonts w:ascii="Times New Roman" w:eastAsia="Times New Roman" w:hAnsi="Times New Roman" w:cs="Times New Roman"/>
              </w:rPr>
            </w:pPr>
            <w:r>
              <w:rPr>
                <w:rFonts w:ascii="Times New Roman" w:eastAsia="Times New Roman" w:hAnsi="Times New Roman" w:cs="Times New Roman"/>
                <w:highlight w:val="white"/>
              </w:rPr>
              <w:t>&lt;0,001</w:t>
            </w:r>
          </w:p>
        </w:tc>
        <w:tc>
          <w:tcPr>
            <w:tcW w:w="709"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0,88</w:t>
            </w:r>
          </w:p>
        </w:tc>
        <w:tc>
          <w:tcPr>
            <w:tcW w:w="850" w:type="dxa"/>
          </w:tcPr>
          <w:p w:rsidR="000A3797" w:rsidRDefault="00A660E7">
            <w:pPr>
              <w:rPr>
                <w:rFonts w:ascii="Times New Roman" w:eastAsia="Times New Roman" w:hAnsi="Times New Roman" w:cs="Times New Roman"/>
              </w:rPr>
            </w:pPr>
            <w:r>
              <w:rPr>
                <w:rFonts w:ascii="Times New Roman" w:eastAsia="Times New Roman" w:hAnsi="Times New Roman" w:cs="Times New Roman"/>
                <w:highlight w:val="white"/>
              </w:rPr>
              <w:t>&lt;0,001</w:t>
            </w:r>
          </w:p>
        </w:tc>
        <w:tc>
          <w:tcPr>
            <w:tcW w:w="709"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0,98</w:t>
            </w:r>
          </w:p>
        </w:tc>
        <w:tc>
          <w:tcPr>
            <w:tcW w:w="992" w:type="dxa"/>
          </w:tcPr>
          <w:p w:rsidR="000A3797" w:rsidRDefault="00A660E7">
            <w:pPr>
              <w:rPr>
                <w:rFonts w:ascii="Times New Roman" w:eastAsia="Times New Roman" w:hAnsi="Times New Roman" w:cs="Times New Roman"/>
              </w:rPr>
            </w:pPr>
            <w:r>
              <w:rPr>
                <w:rFonts w:ascii="Times New Roman" w:eastAsia="Times New Roman" w:hAnsi="Times New Roman" w:cs="Times New Roman"/>
                <w:highlight w:val="white"/>
              </w:rPr>
              <w:t>&lt;0,001</w:t>
            </w:r>
          </w:p>
        </w:tc>
        <w:tc>
          <w:tcPr>
            <w:tcW w:w="851"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0,813</w:t>
            </w:r>
          </w:p>
        </w:tc>
        <w:tc>
          <w:tcPr>
            <w:tcW w:w="851"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0,891</w:t>
            </w:r>
          </w:p>
        </w:tc>
        <w:tc>
          <w:tcPr>
            <w:tcW w:w="850"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0,747</w:t>
            </w:r>
          </w:p>
        </w:tc>
      </w:tr>
      <w:tr w:rsidR="000A3797">
        <w:tc>
          <w:tcPr>
            <w:tcW w:w="1980"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Межличностные взаимодействия [60]</w:t>
            </w:r>
          </w:p>
        </w:tc>
        <w:tc>
          <w:tcPr>
            <w:tcW w:w="850"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0,96</w:t>
            </w:r>
          </w:p>
        </w:tc>
        <w:tc>
          <w:tcPr>
            <w:tcW w:w="851" w:type="dxa"/>
          </w:tcPr>
          <w:p w:rsidR="000A3797" w:rsidRDefault="00A660E7">
            <w:pPr>
              <w:rPr>
                <w:rFonts w:ascii="Times New Roman" w:eastAsia="Times New Roman" w:hAnsi="Times New Roman" w:cs="Times New Roman"/>
              </w:rPr>
            </w:pPr>
            <w:r>
              <w:rPr>
                <w:rFonts w:ascii="Times New Roman" w:eastAsia="Times New Roman" w:hAnsi="Times New Roman" w:cs="Times New Roman"/>
                <w:highlight w:val="white"/>
              </w:rPr>
              <w:t>&lt;0,001</w:t>
            </w:r>
          </w:p>
        </w:tc>
        <w:tc>
          <w:tcPr>
            <w:tcW w:w="709"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0,98</w:t>
            </w:r>
          </w:p>
        </w:tc>
        <w:tc>
          <w:tcPr>
            <w:tcW w:w="850" w:type="dxa"/>
          </w:tcPr>
          <w:p w:rsidR="000A3797" w:rsidRDefault="00A660E7">
            <w:pPr>
              <w:rPr>
                <w:rFonts w:ascii="Times New Roman" w:eastAsia="Times New Roman" w:hAnsi="Times New Roman" w:cs="Times New Roman"/>
              </w:rPr>
            </w:pPr>
            <w:r>
              <w:rPr>
                <w:rFonts w:ascii="Times New Roman" w:eastAsia="Times New Roman" w:hAnsi="Times New Roman" w:cs="Times New Roman"/>
                <w:highlight w:val="white"/>
              </w:rPr>
              <w:t>&lt;0,001</w:t>
            </w:r>
          </w:p>
        </w:tc>
        <w:tc>
          <w:tcPr>
            <w:tcW w:w="709"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0,81</w:t>
            </w:r>
          </w:p>
        </w:tc>
        <w:tc>
          <w:tcPr>
            <w:tcW w:w="992" w:type="dxa"/>
          </w:tcPr>
          <w:p w:rsidR="000A3797" w:rsidRDefault="00A660E7">
            <w:pPr>
              <w:rPr>
                <w:rFonts w:ascii="Times New Roman" w:eastAsia="Times New Roman" w:hAnsi="Times New Roman" w:cs="Times New Roman"/>
              </w:rPr>
            </w:pPr>
            <w:r>
              <w:rPr>
                <w:rFonts w:ascii="Times New Roman" w:eastAsia="Times New Roman" w:hAnsi="Times New Roman" w:cs="Times New Roman"/>
                <w:highlight w:val="white"/>
              </w:rPr>
              <w:t> &lt;0,001</w:t>
            </w:r>
          </w:p>
        </w:tc>
        <w:tc>
          <w:tcPr>
            <w:tcW w:w="851"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0,691</w:t>
            </w:r>
          </w:p>
        </w:tc>
        <w:tc>
          <w:tcPr>
            <w:tcW w:w="851"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0,742</w:t>
            </w:r>
          </w:p>
        </w:tc>
        <w:tc>
          <w:tcPr>
            <w:tcW w:w="850"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0,654</w:t>
            </w:r>
          </w:p>
        </w:tc>
      </w:tr>
      <w:tr w:rsidR="000A3797">
        <w:tc>
          <w:tcPr>
            <w:tcW w:w="1980"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Эмоциональные проблемы [60]</w:t>
            </w:r>
          </w:p>
        </w:tc>
        <w:tc>
          <w:tcPr>
            <w:tcW w:w="850"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0,98</w:t>
            </w:r>
          </w:p>
        </w:tc>
        <w:tc>
          <w:tcPr>
            <w:tcW w:w="851" w:type="dxa"/>
          </w:tcPr>
          <w:p w:rsidR="000A3797" w:rsidRDefault="00A660E7">
            <w:pPr>
              <w:rPr>
                <w:rFonts w:ascii="Times New Roman" w:eastAsia="Times New Roman" w:hAnsi="Times New Roman" w:cs="Times New Roman"/>
              </w:rPr>
            </w:pPr>
            <w:r>
              <w:rPr>
                <w:rFonts w:ascii="Times New Roman" w:eastAsia="Times New Roman" w:hAnsi="Times New Roman" w:cs="Times New Roman"/>
                <w:highlight w:val="white"/>
              </w:rPr>
              <w:t>&lt;0,001</w:t>
            </w:r>
          </w:p>
        </w:tc>
        <w:tc>
          <w:tcPr>
            <w:tcW w:w="709"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0,99</w:t>
            </w:r>
          </w:p>
        </w:tc>
        <w:tc>
          <w:tcPr>
            <w:tcW w:w="850" w:type="dxa"/>
          </w:tcPr>
          <w:p w:rsidR="000A3797" w:rsidRDefault="00A660E7">
            <w:pPr>
              <w:rPr>
                <w:rFonts w:ascii="Times New Roman" w:eastAsia="Times New Roman" w:hAnsi="Times New Roman" w:cs="Times New Roman"/>
              </w:rPr>
            </w:pPr>
            <w:r>
              <w:rPr>
                <w:rFonts w:ascii="Times New Roman" w:eastAsia="Times New Roman" w:hAnsi="Times New Roman" w:cs="Times New Roman"/>
                <w:highlight w:val="white"/>
              </w:rPr>
              <w:t>&lt;0,001</w:t>
            </w:r>
          </w:p>
        </w:tc>
        <w:tc>
          <w:tcPr>
            <w:tcW w:w="709"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0,88</w:t>
            </w:r>
          </w:p>
        </w:tc>
        <w:tc>
          <w:tcPr>
            <w:tcW w:w="992" w:type="dxa"/>
          </w:tcPr>
          <w:p w:rsidR="000A3797" w:rsidRDefault="00A660E7">
            <w:pPr>
              <w:rPr>
                <w:rFonts w:ascii="Times New Roman" w:eastAsia="Times New Roman" w:hAnsi="Times New Roman" w:cs="Times New Roman"/>
              </w:rPr>
            </w:pPr>
            <w:r>
              <w:rPr>
                <w:rFonts w:ascii="Times New Roman" w:eastAsia="Times New Roman" w:hAnsi="Times New Roman" w:cs="Times New Roman"/>
                <w:highlight w:val="white"/>
              </w:rPr>
              <w:t> &lt;0,001</w:t>
            </w:r>
          </w:p>
        </w:tc>
        <w:tc>
          <w:tcPr>
            <w:tcW w:w="851"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0,973</w:t>
            </w:r>
          </w:p>
        </w:tc>
        <w:tc>
          <w:tcPr>
            <w:tcW w:w="851"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0,992</w:t>
            </w:r>
          </w:p>
        </w:tc>
        <w:tc>
          <w:tcPr>
            <w:tcW w:w="850"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0,847</w:t>
            </w:r>
          </w:p>
        </w:tc>
      </w:tr>
      <w:tr w:rsidR="000A3797">
        <w:tc>
          <w:tcPr>
            <w:tcW w:w="1980"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Нaрушение сна и бодрствования [60]</w:t>
            </w:r>
          </w:p>
        </w:tc>
        <w:tc>
          <w:tcPr>
            <w:tcW w:w="850"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0,97</w:t>
            </w:r>
          </w:p>
        </w:tc>
        <w:tc>
          <w:tcPr>
            <w:tcW w:w="851" w:type="dxa"/>
          </w:tcPr>
          <w:p w:rsidR="000A3797" w:rsidRDefault="00A660E7">
            <w:pPr>
              <w:rPr>
                <w:rFonts w:ascii="Times New Roman" w:eastAsia="Times New Roman" w:hAnsi="Times New Roman" w:cs="Times New Roman"/>
              </w:rPr>
            </w:pPr>
            <w:r>
              <w:rPr>
                <w:rFonts w:ascii="Times New Roman" w:eastAsia="Times New Roman" w:hAnsi="Times New Roman" w:cs="Times New Roman"/>
                <w:highlight w:val="white"/>
              </w:rPr>
              <w:t>&lt;0,001</w:t>
            </w:r>
          </w:p>
        </w:tc>
        <w:tc>
          <w:tcPr>
            <w:tcW w:w="709"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0,91</w:t>
            </w:r>
          </w:p>
        </w:tc>
        <w:tc>
          <w:tcPr>
            <w:tcW w:w="850" w:type="dxa"/>
          </w:tcPr>
          <w:p w:rsidR="000A3797" w:rsidRDefault="00A660E7">
            <w:pPr>
              <w:rPr>
                <w:rFonts w:ascii="Times New Roman" w:eastAsia="Times New Roman" w:hAnsi="Times New Roman" w:cs="Times New Roman"/>
              </w:rPr>
            </w:pPr>
            <w:r>
              <w:rPr>
                <w:rFonts w:ascii="Times New Roman" w:eastAsia="Times New Roman" w:hAnsi="Times New Roman" w:cs="Times New Roman"/>
                <w:highlight w:val="white"/>
              </w:rPr>
              <w:t>&lt;0,001</w:t>
            </w:r>
          </w:p>
        </w:tc>
        <w:tc>
          <w:tcPr>
            <w:tcW w:w="709"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0,89</w:t>
            </w:r>
          </w:p>
        </w:tc>
        <w:tc>
          <w:tcPr>
            <w:tcW w:w="992" w:type="dxa"/>
          </w:tcPr>
          <w:p w:rsidR="000A3797" w:rsidRDefault="00A660E7">
            <w:pPr>
              <w:rPr>
                <w:rFonts w:ascii="Times New Roman" w:eastAsia="Times New Roman" w:hAnsi="Times New Roman" w:cs="Times New Roman"/>
              </w:rPr>
            </w:pPr>
            <w:r>
              <w:rPr>
                <w:rFonts w:ascii="Times New Roman" w:eastAsia="Times New Roman" w:hAnsi="Times New Roman" w:cs="Times New Roman"/>
                <w:highlight w:val="white"/>
              </w:rPr>
              <w:t> &lt;0,001</w:t>
            </w:r>
          </w:p>
        </w:tc>
        <w:tc>
          <w:tcPr>
            <w:tcW w:w="851"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0,933</w:t>
            </w:r>
          </w:p>
        </w:tc>
        <w:tc>
          <w:tcPr>
            <w:tcW w:w="851"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0,975</w:t>
            </w:r>
          </w:p>
        </w:tc>
        <w:tc>
          <w:tcPr>
            <w:tcW w:w="850"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0,846</w:t>
            </w:r>
          </w:p>
        </w:tc>
      </w:tr>
      <w:tr w:rsidR="000A3797">
        <w:tc>
          <w:tcPr>
            <w:tcW w:w="1980"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Степень выраженности симптомов [60]</w:t>
            </w:r>
          </w:p>
        </w:tc>
        <w:tc>
          <w:tcPr>
            <w:tcW w:w="850"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0,84</w:t>
            </w:r>
          </w:p>
        </w:tc>
        <w:tc>
          <w:tcPr>
            <w:tcW w:w="851" w:type="dxa"/>
          </w:tcPr>
          <w:p w:rsidR="000A3797" w:rsidRDefault="00A660E7">
            <w:pPr>
              <w:rPr>
                <w:rFonts w:ascii="Times New Roman" w:eastAsia="Times New Roman" w:hAnsi="Times New Roman" w:cs="Times New Roman"/>
              </w:rPr>
            </w:pPr>
            <w:r>
              <w:rPr>
                <w:rFonts w:ascii="Times New Roman" w:eastAsia="Times New Roman" w:hAnsi="Times New Roman" w:cs="Times New Roman"/>
                <w:highlight w:val="white"/>
              </w:rPr>
              <w:t>&lt;0,001</w:t>
            </w:r>
          </w:p>
        </w:tc>
        <w:tc>
          <w:tcPr>
            <w:tcW w:w="709"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0,78</w:t>
            </w:r>
          </w:p>
        </w:tc>
        <w:tc>
          <w:tcPr>
            <w:tcW w:w="850" w:type="dxa"/>
          </w:tcPr>
          <w:p w:rsidR="000A3797" w:rsidRDefault="00A660E7">
            <w:pPr>
              <w:rPr>
                <w:rFonts w:ascii="Times New Roman" w:eastAsia="Times New Roman" w:hAnsi="Times New Roman" w:cs="Times New Roman"/>
              </w:rPr>
            </w:pPr>
            <w:r>
              <w:rPr>
                <w:rFonts w:ascii="Times New Roman" w:eastAsia="Times New Roman" w:hAnsi="Times New Roman" w:cs="Times New Roman"/>
                <w:highlight w:val="white"/>
              </w:rPr>
              <w:t>&lt;0,001</w:t>
            </w:r>
          </w:p>
        </w:tc>
        <w:tc>
          <w:tcPr>
            <w:tcW w:w="709"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0,94</w:t>
            </w:r>
          </w:p>
        </w:tc>
        <w:tc>
          <w:tcPr>
            <w:tcW w:w="992"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highlight w:val="white"/>
              </w:rPr>
              <w:t>&lt;0,001</w:t>
            </w:r>
          </w:p>
        </w:tc>
        <w:tc>
          <w:tcPr>
            <w:tcW w:w="851"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0,633</w:t>
            </w:r>
          </w:p>
        </w:tc>
        <w:tc>
          <w:tcPr>
            <w:tcW w:w="851"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0,612</w:t>
            </w:r>
          </w:p>
        </w:tc>
        <w:tc>
          <w:tcPr>
            <w:tcW w:w="850"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0,711</w:t>
            </w:r>
          </w:p>
        </w:tc>
      </w:tr>
    </w:tbl>
    <w:p w:rsidR="000A3797" w:rsidRDefault="000A3797">
      <w:pPr>
        <w:spacing w:after="0" w:line="240" w:lineRule="auto"/>
        <w:rPr>
          <w:rFonts w:ascii="Times New Roman" w:eastAsia="Times New Roman" w:hAnsi="Times New Roman" w:cs="Times New Roman"/>
          <w:sz w:val="28"/>
          <w:szCs w:val="28"/>
        </w:rPr>
      </w:pPr>
    </w:p>
    <w:p w:rsidR="000A3797" w:rsidRDefault="00A660E7">
      <w:pPr>
        <w:spacing w:after="0" w:line="240" w:lineRule="auto"/>
        <w:ind w:firstLine="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Конструктивная валидность оценивалась путем корреляции между субъективными жалобами пациентов на симптомы (стрессовое недержание мочи, учащенное мочеиспускание и запоры) и их объективным подтверждением гинекологом при осмотре (p &lt;0,001) (Таблица 13) [196, </w:t>
      </w:r>
      <w:r>
        <w:rPr>
          <w:rFonts w:ascii="Times New Roman" w:eastAsia="Times New Roman" w:hAnsi="Times New Roman" w:cs="Times New Roman"/>
          <w:sz w:val="28"/>
          <w:szCs w:val="28"/>
        </w:rPr>
        <w:t>стр. 23], высокая корреляция указывает на хорошую выявляемость симптомов при их наличии[196, стр. 23].</w:t>
      </w:r>
    </w:p>
    <w:p w:rsidR="000A3797" w:rsidRDefault="000A3797">
      <w:pPr>
        <w:spacing w:after="0" w:line="240" w:lineRule="auto"/>
        <w:ind w:firstLine="142"/>
        <w:jc w:val="both"/>
        <w:rPr>
          <w:rFonts w:ascii="Times New Roman" w:eastAsia="Times New Roman" w:hAnsi="Times New Roman" w:cs="Times New Roman"/>
          <w:sz w:val="28"/>
          <w:szCs w:val="28"/>
        </w:rPr>
      </w:pPr>
    </w:p>
    <w:p w:rsidR="000A3797" w:rsidRDefault="00A660E7">
      <w:pPr>
        <w:spacing w:after="0" w:line="240" w:lineRule="auto"/>
        <w:ind w:firstLine="142"/>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 xml:space="preserve">Таблица 13-  Корреляция наличия объективных симптомов со значениями домена «Симптомы и их восприятие» </w:t>
      </w:r>
      <w:r>
        <w:rPr>
          <w:rFonts w:ascii="Times New Roman" w:eastAsia="Times New Roman" w:hAnsi="Times New Roman" w:cs="Times New Roman"/>
          <w:sz w:val="28"/>
          <w:szCs w:val="28"/>
          <w:highlight w:val="white"/>
        </w:rPr>
        <w:t>[196,стр.23]</w:t>
      </w:r>
    </w:p>
    <w:p w:rsidR="000A3797" w:rsidRDefault="000A3797">
      <w:pPr>
        <w:spacing w:after="0" w:line="240" w:lineRule="auto"/>
        <w:ind w:left="142"/>
        <w:rPr>
          <w:rFonts w:ascii="Times New Roman" w:eastAsia="Times New Roman" w:hAnsi="Times New Roman" w:cs="Times New Roman"/>
          <w:sz w:val="28"/>
          <w:szCs w:val="28"/>
        </w:rPr>
      </w:pPr>
    </w:p>
    <w:tbl>
      <w:tblPr>
        <w:tblStyle w:val="af3"/>
        <w:tblW w:w="577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68"/>
        <w:gridCol w:w="1417"/>
        <w:gridCol w:w="1559"/>
        <w:gridCol w:w="1134"/>
      </w:tblGrid>
      <w:tr w:rsidR="000A3797">
        <w:tc>
          <w:tcPr>
            <w:tcW w:w="4644" w:type="dxa"/>
            <w:gridSpan w:val="3"/>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rPr>
              <w:t>Стрессовое недержание мочи</w:t>
            </w:r>
          </w:p>
        </w:tc>
        <w:tc>
          <w:tcPr>
            <w:tcW w:w="1134" w:type="dxa"/>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rPr>
              <w:t>р</w:t>
            </w:r>
          </w:p>
        </w:tc>
      </w:tr>
      <w:tr w:rsidR="000A3797">
        <w:tc>
          <w:tcPr>
            <w:tcW w:w="1668" w:type="dxa"/>
          </w:tcPr>
          <w:p w:rsidR="000A3797" w:rsidRDefault="000A3797">
            <w:pPr>
              <w:ind w:left="142"/>
              <w:jc w:val="center"/>
              <w:rPr>
                <w:rFonts w:ascii="Times New Roman" w:eastAsia="Times New Roman" w:hAnsi="Times New Roman" w:cs="Times New Roman"/>
              </w:rPr>
            </w:pPr>
          </w:p>
        </w:tc>
        <w:tc>
          <w:tcPr>
            <w:tcW w:w="1417" w:type="dxa"/>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rPr>
              <w:t>объективно</w:t>
            </w:r>
          </w:p>
        </w:tc>
        <w:tc>
          <w:tcPr>
            <w:tcW w:w="1559" w:type="dxa"/>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rPr>
              <w:t>субъективно</w:t>
            </w:r>
          </w:p>
        </w:tc>
        <w:tc>
          <w:tcPr>
            <w:tcW w:w="1134" w:type="dxa"/>
          </w:tcPr>
          <w:p w:rsidR="000A3797" w:rsidRDefault="000A3797">
            <w:pPr>
              <w:ind w:left="142"/>
              <w:jc w:val="center"/>
              <w:rPr>
                <w:rFonts w:ascii="Times New Roman" w:eastAsia="Times New Roman" w:hAnsi="Times New Roman" w:cs="Times New Roman"/>
              </w:rPr>
            </w:pPr>
          </w:p>
        </w:tc>
      </w:tr>
      <w:tr w:rsidR="000A3797">
        <w:tc>
          <w:tcPr>
            <w:tcW w:w="1668" w:type="dxa"/>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rPr>
              <w:t>объективно</w:t>
            </w:r>
          </w:p>
        </w:tc>
        <w:tc>
          <w:tcPr>
            <w:tcW w:w="1417" w:type="dxa"/>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rPr>
              <w:t>1,0</w:t>
            </w:r>
          </w:p>
        </w:tc>
        <w:tc>
          <w:tcPr>
            <w:tcW w:w="1559" w:type="dxa"/>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rPr>
              <w:t>0,982</w:t>
            </w:r>
          </w:p>
        </w:tc>
        <w:tc>
          <w:tcPr>
            <w:tcW w:w="1134" w:type="dxa"/>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highlight w:val="white"/>
              </w:rPr>
              <w:t>&lt;0,001</w:t>
            </w:r>
          </w:p>
        </w:tc>
      </w:tr>
      <w:tr w:rsidR="000A3797">
        <w:trPr>
          <w:trHeight w:val="349"/>
        </w:trPr>
        <w:tc>
          <w:tcPr>
            <w:tcW w:w="1668" w:type="dxa"/>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rPr>
              <w:t>субъективно</w:t>
            </w:r>
          </w:p>
        </w:tc>
        <w:tc>
          <w:tcPr>
            <w:tcW w:w="1417" w:type="dxa"/>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rPr>
              <w:t>0,982</w:t>
            </w:r>
          </w:p>
        </w:tc>
        <w:tc>
          <w:tcPr>
            <w:tcW w:w="1559" w:type="dxa"/>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rPr>
              <w:t>1,0</w:t>
            </w:r>
          </w:p>
        </w:tc>
        <w:tc>
          <w:tcPr>
            <w:tcW w:w="1134" w:type="dxa"/>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highlight w:val="white"/>
              </w:rPr>
              <w:t>&lt;0,001</w:t>
            </w:r>
          </w:p>
        </w:tc>
      </w:tr>
      <w:tr w:rsidR="000A3797">
        <w:tc>
          <w:tcPr>
            <w:tcW w:w="4644" w:type="dxa"/>
            <w:gridSpan w:val="3"/>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rPr>
              <w:t>Учащенное мочеиспускание</w:t>
            </w:r>
          </w:p>
        </w:tc>
        <w:tc>
          <w:tcPr>
            <w:tcW w:w="1134" w:type="dxa"/>
          </w:tcPr>
          <w:p w:rsidR="000A3797" w:rsidRDefault="000A3797">
            <w:pPr>
              <w:ind w:left="142"/>
              <w:jc w:val="center"/>
              <w:rPr>
                <w:rFonts w:ascii="Times New Roman" w:eastAsia="Times New Roman" w:hAnsi="Times New Roman" w:cs="Times New Roman"/>
              </w:rPr>
            </w:pPr>
          </w:p>
        </w:tc>
      </w:tr>
      <w:tr w:rsidR="000A3797">
        <w:tc>
          <w:tcPr>
            <w:tcW w:w="1668" w:type="dxa"/>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rPr>
              <w:t>объективно</w:t>
            </w:r>
          </w:p>
        </w:tc>
        <w:tc>
          <w:tcPr>
            <w:tcW w:w="1417" w:type="dxa"/>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rPr>
              <w:t>1,0</w:t>
            </w:r>
          </w:p>
        </w:tc>
        <w:tc>
          <w:tcPr>
            <w:tcW w:w="1559" w:type="dxa"/>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rPr>
              <w:t>0,977</w:t>
            </w:r>
          </w:p>
        </w:tc>
        <w:tc>
          <w:tcPr>
            <w:tcW w:w="1134" w:type="dxa"/>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highlight w:val="white"/>
              </w:rPr>
              <w:t>&lt;0,001</w:t>
            </w:r>
          </w:p>
        </w:tc>
      </w:tr>
      <w:tr w:rsidR="000A3797">
        <w:tc>
          <w:tcPr>
            <w:tcW w:w="1668" w:type="dxa"/>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rPr>
              <w:t>субъективно</w:t>
            </w:r>
          </w:p>
        </w:tc>
        <w:tc>
          <w:tcPr>
            <w:tcW w:w="1417" w:type="dxa"/>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rPr>
              <w:t>0,977</w:t>
            </w:r>
          </w:p>
        </w:tc>
        <w:tc>
          <w:tcPr>
            <w:tcW w:w="1559" w:type="dxa"/>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rPr>
              <w:t>1,0</w:t>
            </w:r>
          </w:p>
        </w:tc>
        <w:tc>
          <w:tcPr>
            <w:tcW w:w="1134" w:type="dxa"/>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highlight w:val="white"/>
              </w:rPr>
              <w:t>&lt;0,001</w:t>
            </w:r>
          </w:p>
        </w:tc>
      </w:tr>
      <w:tr w:rsidR="000A3797">
        <w:tc>
          <w:tcPr>
            <w:tcW w:w="4644" w:type="dxa"/>
            <w:gridSpan w:val="3"/>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rPr>
              <w:t>Запор</w:t>
            </w:r>
          </w:p>
        </w:tc>
        <w:tc>
          <w:tcPr>
            <w:tcW w:w="1134" w:type="dxa"/>
          </w:tcPr>
          <w:p w:rsidR="000A3797" w:rsidRDefault="000A3797">
            <w:pPr>
              <w:ind w:left="142"/>
              <w:jc w:val="center"/>
              <w:rPr>
                <w:rFonts w:ascii="Times New Roman" w:eastAsia="Times New Roman" w:hAnsi="Times New Roman" w:cs="Times New Roman"/>
              </w:rPr>
            </w:pPr>
          </w:p>
        </w:tc>
      </w:tr>
      <w:tr w:rsidR="000A3797">
        <w:tc>
          <w:tcPr>
            <w:tcW w:w="1668" w:type="dxa"/>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rPr>
              <w:t>объективно</w:t>
            </w:r>
          </w:p>
        </w:tc>
        <w:tc>
          <w:tcPr>
            <w:tcW w:w="1417" w:type="dxa"/>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rPr>
              <w:t>1,0</w:t>
            </w:r>
          </w:p>
        </w:tc>
        <w:tc>
          <w:tcPr>
            <w:tcW w:w="1559" w:type="dxa"/>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rPr>
              <w:t>0,876</w:t>
            </w:r>
          </w:p>
        </w:tc>
        <w:tc>
          <w:tcPr>
            <w:tcW w:w="1134" w:type="dxa"/>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highlight w:val="white"/>
              </w:rPr>
              <w:t>&lt;0,001</w:t>
            </w:r>
          </w:p>
        </w:tc>
      </w:tr>
      <w:tr w:rsidR="000A3797">
        <w:tc>
          <w:tcPr>
            <w:tcW w:w="1668" w:type="dxa"/>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rPr>
              <w:t>субъективно</w:t>
            </w:r>
          </w:p>
        </w:tc>
        <w:tc>
          <w:tcPr>
            <w:tcW w:w="1417" w:type="dxa"/>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rPr>
              <w:t>0,876</w:t>
            </w:r>
          </w:p>
        </w:tc>
        <w:tc>
          <w:tcPr>
            <w:tcW w:w="1559" w:type="dxa"/>
          </w:tcPr>
          <w:p w:rsidR="000A3797" w:rsidRDefault="00A660E7">
            <w:pPr>
              <w:ind w:left="142"/>
              <w:jc w:val="center"/>
              <w:rPr>
                <w:rFonts w:ascii="Times New Roman" w:eastAsia="Times New Roman" w:hAnsi="Times New Roman" w:cs="Times New Roman"/>
              </w:rPr>
            </w:pPr>
            <w:r>
              <w:rPr>
                <w:rFonts w:ascii="Times New Roman" w:eastAsia="Times New Roman" w:hAnsi="Times New Roman" w:cs="Times New Roman"/>
              </w:rPr>
              <w:t>1,0</w:t>
            </w:r>
          </w:p>
        </w:tc>
        <w:tc>
          <w:tcPr>
            <w:tcW w:w="1134"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highlight w:val="white"/>
              </w:rPr>
              <w:t>&lt;0,001</w:t>
            </w:r>
          </w:p>
        </w:tc>
      </w:tr>
    </w:tbl>
    <w:p w:rsidR="000A3797" w:rsidRDefault="00A660E7">
      <w:pPr>
        <w:spacing w:after="0" w:line="240" w:lineRule="auto"/>
        <w:ind w:firstLine="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Корреляция между степенью опущения тазовых органов и значением каждого домена оказалась сильной в 1,2,3,4,7 доменах, что говорит о влиянии более продвинутой степени ГП на качество жизни (Таблица 12) </w:t>
      </w:r>
      <w:r>
        <w:rPr>
          <w:rFonts w:ascii="Times New Roman" w:eastAsia="Times New Roman" w:hAnsi="Times New Roman" w:cs="Times New Roman"/>
          <w:sz w:val="28"/>
          <w:szCs w:val="28"/>
          <w:highlight w:val="white"/>
        </w:rPr>
        <w:t>[194,стр.23]</w:t>
      </w:r>
      <w:r>
        <w:rPr>
          <w:rFonts w:ascii="Times New Roman" w:eastAsia="Times New Roman" w:hAnsi="Times New Roman" w:cs="Times New Roman"/>
          <w:sz w:val="28"/>
          <w:szCs w:val="28"/>
        </w:rPr>
        <w:t>.</w:t>
      </w:r>
    </w:p>
    <w:p w:rsidR="000A3797" w:rsidRDefault="000A3797">
      <w:pPr>
        <w:spacing w:after="0" w:line="240" w:lineRule="auto"/>
        <w:ind w:firstLine="142"/>
        <w:rPr>
          <w:rFonts w:ascii="Times New Roman" w:eastAsia="Times New Roman" w:hAnsi="Times New Roman" w:cs="Times New Roman"/>
          <w:sz w:val="28"/>
          <w:szCs w:val="28"/>
        </w:rPr>
      </w:pPr>
    </w:p>
    <w:p w:rsidR="000A3797" w:rsidRDefault="00A660E7">
      <w:pPr>
        <w:spacing w:after="0" w:line="240" w:lineRule="auto"/>
        <w:ind w:lef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Таблица 12 - Корреляция между доменами и степенью опущения </w:t>
      </w:r>
      <w:r>
        <w:rPr>
          <w:rFonts w:ascii="Times New Roman" w:eastAsia="Times New Roman" w:hAnsi="Times New Roman" w:cs="Times New Roman"/>
          <w:sz w:val="28"/>
          <w:szCs w:val="28"/>
          <w:highlight w:val="white"/>
        </w:rPr>
        <w:t xml:space="preserve">[194,стр.23] </w:t>
      </w:r>
      <w:r>
        <w:rPr>
          <w:rFonts w:ascii="Times New Roman" w:eastAsia="Times New Roman" w:hAnsi="Times New Roman" w:cs="Times New Roman"/>
          <w:sz w:val="28"/>
          <w:szCs w:val="28"/>
        </w:rPr>
        <w:t>(домены адаптированы из версии Коршунова Е. ПД-КЖ [60, стр. 4])</w:t>
      </w:r>
    </w:p>
    <w:p w:rsidR="000A3797" w:rsidRDefault="000A3797">
      <w:pPr>
        <w:spacing w:after="0" w:line="240" w:lineRule="auto"/>
        <w:ind w:left="142"/>
        <w:rPr>
          <w:rFonts w:ascii="Times New Roman" w:eastAsia="Times New Roman" w:hAnsi="Times New Roman" w:cs="Times New Roman"/>
          <w:sz w:val="28"/>
          <w:szCs w:val="28"/>
        </w:rPr>
      </w:pPr>
    </w:p>
    <w:tbl>
      <w:tblPr>
        <w:tblStyle w:val="af4"/>
        <w:tblpPr w:leftFromText="180" w:rightFromText="180" w:vertAnchor="text" w:tblpY="1"/>
        <w:tblW w:w="665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0"/>
        <w:gridCol w:w="1134"/>
        <w:gridCol w:w="1134"/>
      </w:tblGrid>
      <w:tr w:rsidR="000A3797">
        <w:tc>
          <w:tcPr>
            <w:tcW w:w="4390"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домен</w:t>
            </w:r>
          </w:p>
        </w:tc>
        <w:tc>
          <w:tcPr>
            <w:tcW w:w="1134"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Степень опущения</w:t>
            </w:r>
          </w:p>
        </w:tc>
        <w:tc>
          <w:tcPr>
            <w:tcW w:w="1134"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р</w:t>
            </w:r>
          </w:p>
        </w:tc>
      </w:tr>
      <w:tr w:rsidR="000A3797">
        <w:tc>
          <w:tcPr>
            <w:tcW w:w="4390"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Общее состояние здоровья [60]</w:t>
            </w:r>
          </w:p>
        </w:tc>
        <w:tc>
          <w:tcPr>
            <w:tcW w:w="1134"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1,0</w:t>
            </w:r>
          </w:p>
        </w:tc>
        <w:tc>
          <w:tcPr>
            <w:tcW w:w="1134"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highlight w:val="white"/>
              </w:rPr>
              <w:t>0,01</w:t>
            </w:r>
          </w:p>
        </w:tc>
      </w:tr>
      <w:tr w:rsidR="000A3797">
        <w:tc>
          <w:tcPr>
            <w:tcW w:w="4390"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Воздействие симптомов [60]</w:t>
            </w:r>
          </w:p>
        </w:tc>
        <w:tc>
          <w:tcPr>
            <w:tcW w:w="1134"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0,759</w:t>
            </w:r>
          </w:p>
        </w:tc>
        <w:tc>
          <w:tcPr>
            <w:tcW w:w="1134"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highlight w:val="white"/>
              </w:rPr>
              <w:t>0,01</w:t>
            </w:r>
          </w:p>
        </w:tc>
      </w:tr>
      <w:tr w:rsidR="000A3797">
        <w:tc>
          <w:tcPr>
            <w:tcW w:w="4390"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Симптомы и их восприятие [60]</w:t>
            </w:r>
          </w:p>
        </w:tc>
        <w:tc>
          <w:tcPr>
            <w:tcW w:w="1134"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0,724</w:t>
            </w:r>
          </w:p>
        </w:tc>
        <w:tc>
          <w:tcPr>
            <w:tcW w:w="1134"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highlight w:val="white"/>
              </w:rPr>
              <w:t>0,01</w:t>
            </w:r>
          </w:p>
        </w:tc>
      </w:tr>
      <w:tr w:rsidR="000A3797">
        <w:tc>
          <w:tcPr>
            <w:tcW w:w="4390"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Рoлевые ограничения [60]</w:t>
            </w:r>
          </w:p>
        </w:tc>
        <w:tc>
          <w:tcPr>
            <w:tcW w:w="1134"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0,707</w:t>
            </w:r>
          </w:p>
        </w:tc>
        <w:tc>
          <w:tcPr>
            <w:tcW w:w="1134"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highlight w:val="white"/>
              </w:rPr>
              <w:t>0,01</w:t>
            </w:r>
          </w:p>
        </w:tc>
      </w:tr>
      <w:tr w:rsidR="000A3797">
        <w:tc>
          <w:tcPr>
            <w:tcW w:w="4390"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Физическое и социальное ограничения [60]</w:t>
            </w:r>
          </w:p>
        </w:tc>
        <w:tc>
          <w:tcPr>
            <w:tcW w:w="1134"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0,690</w:t>
            </w:r>
          </w:p>
        </w:tc>
        <w:tc>
          <w:tcPr>
            <w:tcW w:w="1134"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highlight w:val="white"/>
              </w:rPr>
              <w:t>0,01</w:t>
            </w:r>
          </w:p>
        </w:tc>
      </w:tr>
      <w:tr w:rsidR="000A3797">
        <w:tc>
          <w:tcPr>
            <w:tcW w:w="4390"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Межличностные взаимодействия [60]</w:t>
            </w:r>
          </w:p>
        </w:tc>
        <w:tc>
          <w:tcPr>
            <w:tcW w:w="1134"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0,550</w:t>
            </w:r>
          </w:p>
        </w:tc>
        <w:tc>
          <w:tcPr>
            <w:tcW w:w="1134"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highlight w:val="white"/>
              </w:rPr>
              <w:t>0,01</w:t>
            </w:r>
          </w:p>
        </w:tc>
      </w:tr>
      <w:tr w:rsidR="000A3797">
        <w:tc>
          <w:tcPr>
            <w:tcW w:w="4390"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Эмоциональные проблемы [60]</w:t>
            </w:r>
          </w:p>
        </w:tc>
        <w:tc>
          <w:tcPr>
            <w:tcW w:w="1134"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0,751</w:t>
            </w:r>
          </w:p>
        </w:tc>
        <w:tc>
          <w:tcPr>
            <w:tcW w:w="1134"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highlight w:val="white"/>
              </w:rPr>
              <w:t>0,01</w:t>
            </w:r>
          </w:p>
        </w:tc>
      </w:tr>
      <w:tr w:rsidR="000A3797">
        <w:tc>
          <w:tcPr>
            <w:tcW w:w="4390"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Нaрушение сна и бодрствования [60]</w:t>
            </w:r>
          </w:p>
        </w:tc>
        <w:tc>
          <w:tcPr>
            <w:tcW w:w="1134"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0,357</w:t>
            </w:r>
          </w:p>
        </w:tc>
        <w:tc>
          <w:tcPr>
            <w:tcW w:w="1134"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highlight w:val="white"/>
              </w:rPr>
              <w:t>0,01</w:t>
            </w:r>
          </w:p>
        </w:tc>
      </w:tr>
      <w:tr w:rsidR="000A3797">
        <w:tc>
          <w:tcPr>
            <w:tcW w:w="4390"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Степень выраженности симптомов [60]</w:t>
            </w:r>
          </w:p>
        </w:tc>
        <w:tc>
          <w:tcPr>
            <w:tcW w:w="1134"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0,568</w:t>
            </w:r>
          </w:p>
        </w:tc>
        <w:tc>
          <w:tcPr>
            <w:tcW w:w="1134"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highlight w:val="white"/>
              </w:rPr>
              <w:t>0,01</w:t>
            </w:r>
          </w:p>
        </w:tc>
      </w:tr>
      <w:tr w:rsidR="000A3797">
        <w:tc>
          <w:tcPr>
            <w:tcW w:w="4390" w:type="dxa"/>
          </w:tcPr>
          <w:p w:rsidR="000A3797" w:rsidRDefault="00A660E7">
            <w:pPr>
              <w:rPr>
                <w:rFonts w:ascii="Times New Roman" w:eastAsia="Times New Roman" w:hAnsi="Times New Roman" w:cs="Times New Roman"/>
              </w:rPr>
            </w:pPr>
            <w:r>
              <w:rPr>
                <w:rFonts w:ascii="Times New Roman" w:eastAsia="Times New Roman" w:hAnsi="Times New Roman" w:cs="Times New Roman"/>
              </w:rPr>
              <w:t>ИОКЖ [60]</w:t>
            </w:r>
          </w:p>
        </w:tc>
        <w:tc>
          <w:tcPr>
            <w:tcW w:w="1134"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rPr>
              <w:t>0,671</w:t>
            </w:r>
          </w:p>
        </w:tc>
        <w:tc>
          <w:tcPr>
            <w:tcW w:w="1134" w:type="dxa"/>
          </w:tcPr>
          <w:p w:rsidR="000A3797" w:rsidRDefault="00A660E7">
            <w:pPr>
              <w:ind w:left="142"/>
              <w:rPr>
                <w:rFonts w:ascii="Times New Roman" w:eastAsia="Times New Roman" w:hAnsi="Times New Roman" w:cs="Times New Roman"/>
              </w:rPr>
            </w:pPr>
            <w:r>
              <w:rPr>
                <w:rFonts w:ascii="Times New Roman" w:eastAsia="Times New Roman" w:hAnsi="Times New Roman" w:cs="Times New Roman"/>
                <w:highlight w:val="white"/>
              </w:rPr>
              <w:t>0,01</w:t>
            </w:r>
          </w:p>
        </w:tc>
      </w:tr>
    </w:tbl>
    <w:p w:rsidR="000A3797" w:rsidRDefault="000A3797">
      <w:pPr>
        <w:spacing w:after="0" w:line="240" w:lineRule="auto"/>
        <w:ind w:left="142"/>
        <w:rPr>
          <w:rFonts w:ascii="Times New Roman" w:eastAsia="Times New Roman" w:hAnsi="Times New Roman" w:cs="Times New Roman"/>
          <w:sz w:val="28"/>
          <w:szCs w:val="28"/>
        </w:rPr>
      </w:pPr>
    </w:p>
    <w:p w:rsidR="000A3797" w:rsidRDefault="000A3797">
      <w:pPr>
        <w:spacing w:after="0" w:line="240" w:lineRule="auto"/>
        <w:ind w:left="142"/>
        <w:rPr>
          <w:rFonts w:ascii="Times New Roman" w:eastAsia="Times New Roman" w:hAnsi="Times New Roman" w:cs="Times New Roman"/>
          <w:sz w:val="28"/>
          <w:szCs w:val="28"/>
        </w:rPr>
      </w:pPr>
    </w:p>
    <w:p w:rsidR="000A3797" w:rsidRDefault="000A3797">
      <w:pPr>
        <w:spacing w:after="0" w:line="240" w:lineRule="auto"/>
        <w:ind w:left="142"/>
        <w:rPr>
          <w:rFonts w:ascii="Times New Roman" w:eastAsia="Times New Roman" w:hAnsi="Times New Roman" w:cs="Times New Roman"/>
          <w:sz w:val="28"/>
          <w:szCs w:val="28"/>
        </w:rPr>
      </w:pPr>
    </w:p>
    <w:p w:rsidR="000A3797" w:rsidRDefault="000A3797">
      <w:pPr>
        <w:spacing w:after="0" w:line="240" w:lineRule="auto"/>
        <w:ind w:left="142"/>
        <w:rPr>
          <w:rFonts w:ascii="Times New Roman" w:eastAsia="Times New Roman" w:hAnsi="Times New Roman" w:cs="Times New Roman"/>
          <w:sz w:val="28"/>
          <w:szCs w:val="28"/>
        </w:rPr>
      </w:pPr>
    </w:p>
    <w:p w:rsidR="000A3797" w:rsidRDefault="000A3797">
      <w:pPr>
        <w:spacing w:after="0" w:line="240" w:lineRule="auto"/>
        <w:ind w:left="142"/>
        <w:rPr>
          <w:rFonts w:ascii="Times New Roman" w:eastAsia="Times New Roman" w:hAnsi="Times New Roman" w:cs="Times New Roman"/>
          <w:sz w:val="28"/>
          <w:szCs w:val="28"/>
        </w:rPr>
      </w:pPr>
    </w:p>
    <w:p w:rsidR="000A3797" w:rsidRDefault="000A3797">
      <w:pPr>
        <w:spacing w:after="0" w:line="240" w:lineRule="auto"/>
        <w:ind w:left="142"/>
        <w:rPr>
          <w:rFonts w:ascii="Times New Roman" w:eastAsia="Times New Roman" w:hAnsi="Times New Roman" w:cs="Times New Roman"/>
          <w:sz w:val="28"/>
          <w:szCs w:val="28"/>
        </w:rPr>
      </w:pPr>
    </w:p>
    <w:p w:rsidR="000A3797" w:rsidRDefault="000A3797">
      <w:pPr>
        <w:spacing w:after="0" w:line="240" w:lineRule="auto"/>
        <w:ind w:left="142"/>
        <w:rPr>
          <w:rFonts w:ascii="Times New Roman" w:eastAsia="Times New Roman" w:hAnsi="Times New Roman" w:cs="Times New Roman"/>
          <w:sz w:val="28"/>
          <w:szCs w:val="28"/>
        </w:rPr>
      </w:pPr>
    </w:p>
    <w:p w:rsidR="000A3797" w:rsidRDefault="000A3797">
      <w:pPr>
        <w:spacing w:after="0" w:line="240" w:lineRule="auto"/>
        <w:ind w:left="142"/>
        <w:rPr>
          <w:rFonts w:ascii="Times New Roman" w:eastAsia="Times New Roman" w:hAnsi="Times New Roman" w:cs="Times New Roman"/>
          <w:sz w:val="28"/>
          <w:szCs w:val="28"/>
        </w:rPr>
      </w:pPr>
    </w:p>
    <w:p w:rsidR="000A3797" w:rsidRDefault="000A3797">
      <w:pPr>
        <w:spacing w:after="0" w:line="240" w:lineRule="auto"/>
        <w:ind w:left="142"/>
        <w:rPr>
          <w:rFonts w:ascii="Times New Roman" w:eastAsia="Times New Roman" w:hAnsi="Times New Roman" w:cs="Times New Roman"/>
          <w:sz w:val="28"/>
          <w:szCs w:val="28"/>
        </w:rPr>
      </w:pPr>
    </w:p>
    <w:p w:rsidR="000A3797" w:rsidRDefault="000A3797">
      <w:pPr>
        <w:spacing w:after="0" w:line="240" w:lineRule="auto"/>
        <w:ind w:left="142"/>
        <w:rPr>
          <w:rFonts w:ascii="Times New Roman" w:eastAsia="Times New Roman" w:hAnsi="Times New Roman" w:cs="Times New Roman"/>
          <w:sz w:val="28"/>
          <w:szCs w:val="28"/>
        </w:rPr>
      </w:pPr>
    </w:p>
    <w:p w:rsidR="000A3797" w:rsidRDefault="000A3797">
      <w:pPr>
        <w:spacing w:after="0" w:line="240" w:lineRule="auto"/>
        <w:rPr>
          <w:rFonts w:ascii="Times New Roman" w:eastAsia="Times New Roman" w:hAnsi="Times New Roman" w:cs="Times New Roman"/>
          <w:sz w:val="28"/>
          <w:szCs w:val="28"/>
        </w:rPr>
      </w:pPr>
    </w:p>
    <w:p w:rsidR="000A3797" w:rsidRDefault="00A660E7">
      <w:pPr>
        <w:spacing w:after="0" w:line="240" w:lineRule="auto"/>
        <w:ind w:left="142"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Нас также интересовала связь суммарного субъективного показателя (т.е. сумма баллов ответов пациентов на вопросы) третьего домена «Симптомы и их восприятие» - индекс дисфункции тазового дна (ИДТД), со значениями остальных доменов. Связь была сильной при ср</w:t>
      </w:r>
      <w:r>
        <w:rPr>
          <w:rFonts w:ascii="Times New Roman" w:eastAsia="Times New Roman" w:hAnsi="Times New Roman" w:cs="Times New Roman"/>
          <w:sz w:val="28"/>
          <w:szCs w:val="28"/>
        </w:rPr>
        <w:t xml:space="preserve">авнении с 1,2,7 доменами и суммарным индексом оценки качества жизни (средняя сумма балов во всех доменах), в остальных доменах 3,4,5,6,8,9 связь была заметной и умеренной (р=0,01) (Таблица 13) </w:t>
      </w:r>
      <w:r>
        <w:rPr>
          <w:rFonts w:ascii="Times New Roman" w:eastAsia="Times New Roman" w:hAnsi="Times New Roman" w:cs="Times New Roman"/>
          <w:sz w:val="28"/>
          <w:szCs w:val="28"/>
          <w:highlight w:val="white"/>
        </w:rPr>
        <w:t>[194,стр.24]</w:t>
      </w:r>
      <w:r>
        <w:rPr>
          <w:rFonts w:ascii="Times New Roman" w:eastAsia="Times New Roman" w:hAnsi="Times New Roman" w:cs="Times New Roman"/>
          <w:sz w:val="28"/>
          <w:szCs w:val="28"/>
        </w:rPr>
        <w:t>. Отметим, что корреляция между ИДТД, т.е. субъекти</w:t>
      </w:r>
      <w:r>
        <w:rPr>
          <w:rFonts w:ascii="Times New Roman" w:eastAsia="Times New Roman" w:hAnsi="Times New Roman" w:cs="Times New Roman"/>
          <w:sz w:val="28"/>
          <w:szCs w:val="28"/>
        </w:rPr>
        <w:t xml:space="preserve">вная оценка пациента и ИОКЖ была выше, чем степени ГП, установленной врачом и ИОКЖ (Таблица 12), что опять же может свидетельствовать о надежности выявления симптомного пролапса с помощью данного опросника </w:t>
      </w:r>
      <w:r>
        <w:rPr>
          <w:rFonts w:ascii="Times New Roman" w:eastAsia="Times New Roman" w:hAnsi="Times New Roman" w:cs="Times New Roman"/>
          <w:sz w:val="28"/>
          <w:szCs w:val="28"/>
          <w:highlight w:val="white"/>
        </w:rPr>
        <w:t>[194,стр.24]</w:t>
      </w:r>
      <w:r>
        <w:rPr>
          <w:rFonts w:ascii="Times New Roman" w:eastAsia="Times New Roman" w:hAnsi="Times New Roman" w:cs="Times New Roman"/>
          <w:sz w:val="28"/>
          <w:szCs w:val="28"/>
        </w:rPr>
        <w:t>.Связь воздействия симптомов с их выра</w:t>
      </w:r>
      <w:r>
        <w:rPr>
          <w:rFonts w:ascii="Times New Roman" w:eastAsia="Times New Roman" w:hAnsi="Times New Roman" w:cs="Times New Roman"/>
          <w:sz w:val="28"/>
          <w:szCs w:val="28"/>
        </w:rPr>
        <w:t>женностью является средней силы (r</w:t>
      </w:r>
      <w:r>
        <w:rPr>
          <w:rFonts w:ascii="Times New Roman" w:eastAsia="Times New Roman" w:hAnsi="Times New Roman" w:cs="Times New Roman"/>
          <w:sz w:val="28"/>
          <w:szCs w:val="28"/>
          <w:vertAlign w:val="subscript"/>
        </w:rPr>
        <w:t xml:space="preserve">xy </w:t>
      </w:r>
      <w:r>
        <w:rPr>
          <w:rFonts w:ascii="Times New Roman" w:eastAsia="Times New Roman" w:hAnsi="Times New Roman" w:cs="Times New Roman"/>
          <w:sz w:val="28"/>
          <w:szCs w:val="28"/>
        </w:rPr>
        <w:t>=0,536),т.е. симптомы незначительной выраженности  могут восприниматься более значимо для пациентов и наоборот (Таблица 13).</w:t>
      </w:r>
    </w:p>
    <w:p w:rsidR="000A3797" w:rsidRDefault="00A660E7">
      <w:pPr>
        <w:spacing w:after="0" w:line="240" w:lineRule="auto"/>
        <w:ind w:lef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Таблица 13 - Корреляция между доменами и уровнем дисфункции тазового дна </w:t>
      </w:r>
      <w:r>
        <w:rPr>
          <w:rFonts w:ascii="Times New Roman" w:eastAsia="Times New Roman" w:hAnsi="Times New Roman" w:cs="Times New Roman"/>
          <w:sz w:val="28"/>
          <w:szCs w:val="28"/>
          <w:highlight w:val="white"/>
        </w:rPr>
        <w:t>[196,стр.24]</w:t>
      </w:r>
      <w:r>
        <w:rPr>
          <w:rFonts w:ascii="Times New Roman" w:eastAsia="Times New Roman" w:hAnsi="Times New Roman" w:cs="Times New Roman"/>
          <w:sz w:val="28"/>
          <w:szCs w:val="28"/>
        </w:rPr>
        <w:t xml:space="preserve"> (домены адаптированы из версии Коршунова Е. ПД-КЖ [60, стр. 4])</w:t>
      </w:r>
    </w:p>
    <w:tbl>
      <w:tblPr>
        <w:tblStyle w:val="af5"/>
        <w:tblW w:w="729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06"/>
        <w:gridCol w:w="2410"/>
        <w:gridCol w:w="779"/>
      </w:tblGrid>
      <w:tr w:rsidR="000A3797">
        <w:tc>
          <w:tcPr>
            <w:tcW w:w="4106" w:type="dxa"/>
          </w:tcPr>
          <w:p w:rsidR="000A3797" w:rsidRDefault="00A660E7">
            <w:pPr>
              <w:ind w:left="14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домен</w:t>
            </w:r>
          </w:p>
        </w:tc>
        <w:tc>
          <w:tcPr>
            <w:tcW w:w="2410"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3 домен (ИДТД)</w:t>
            </w:r>
          </w:p>
        </w:tc>
        <w:tc>
          <w:tcPr>
            <w:tcW w:w="779" w:type="dxa"/>
          </w:tcPr>
          <w:p w:rsidR="000A3797" w:rsidRDefault="00A660E7">
            <w:pPr>
              <w:ind w:left="14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w:t>
            </w:r>
          </w:p>
        </w:tc>
      </w:tr>
      <w:tr w:rsidR="000A3797">
        <w:tc>
          <w:tcPr>
            <w:tcW w:w="4106" w:type="dxa"/>
          </w:tcPr>
          <w:p w:rsidR="000A3797" w:rsidRDefault="00A660E7">
            <w:pPr>
              <w:ind w:left="14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410" w:type="dxa"/>
          </w:tcPr>
          <w:p w:rsidR="000A3797" w:rsidRDefault="00A660E7">
            <w:pPr>
              <w:ind w:left="14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779" w:type="dxa"/>
          </w:tcPr>
          <w:p w:rsidR="000A3797" w:rsidRDefault="00A660E7">
            <w:pPr>
              <w:ind w:left="14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0A3797">
        <w:tc>
          <w:tcPr>
            <w:tcW w:w="4106"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1.Общее состояние здоровья [60</w:t>
            </w:r>
            <w:r>
              <w:rPr>
                <w:rFonts w:ascii="Times New Roman" w:eastAsia="Times New Roman" w:hAnsi="Times New Roman" w:cs="Times New Roman"/>
                <w:sz w:val="24"/>
                <w:szCs w:val="24"/>
                <w:highlight w:val="white"/>
              </w:rPr>
              <w:t>]</w:t>
            </w:r>
          </w:p>
        </w:tc>
        <w:tc>
          <w:tcPr>
            <w:tcW w:w="2410"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0,715</w:t>
            </w:r>
          </w:p>
        </w:tc>
        <w:tc>
          <w:tcPr>
            <w:tcW w:w="779"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0,01</w:t>
            </w:r>
          </w:p>
        </w:tc>
      </w:tr>
      <w:tr w:rsidR="000A3797">
        <w:tc>
          <w:tcPr>
            <w:tcW w:w="4106"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2.Воздействие симптомов [60</w:t>
            </w:r>
            <w:r>
              <w:rPr>
                <w:rFonts w:ascii="Times New Roman" w:eastAsia="Times New Roman" w:hAnsi="Times New Roman" w:cs="Times New Roman"/>
                <w:sz w:val="24"/>
                <w:szCs w:val="24"/>
                <w:highlight w:val="white"/>
              </w:rPr>
              <w:t>]</w:t>
            </w:r>
          </w:p>
        </w:tc>
        <w:tc>
          <w:tcPr>
            <w:tcW w:w="2410"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0,734</w:t>
            </w:r>
          </w:p>
        </w:tc>
        <w:tc>
          <w:tcPr>
            <w:tcW w:w="779"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0,01</w:t>
            </w:r>
          </w:p>
        </w:tc>
      </w:tr>
      <w:tr w:rsidR="000A3797">
        <w:tc>
          <w:tcPr>
            <w:tcW w:w="4106"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4.Рoлевые ограничения [60</w:t>
            </w:r>
            <w:r>
              <w:rPr>
                <w:rFonts w:ascii="Times New Roman" w:eastAsia="Times New Roman" w:hAnsi="Times New Roman" w:cs="Times New Roman"/>
                <w:sz w:val="24"/>
                <w:szCs w:val="24"/>
                <w:highlight w:val="white"/>
              </w:rPr>
              <w:t>]</w:t>
            </w:r>
          </w:p>
        </w:tc>
        <w:tc>
          <w:tcPr>
            <w:tcW w:w="2410"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0,658</w:t>
            </w:r>
          </w:p>
        </w:tc>
        <w:tc>
          <w:tcPr>
            <w:tcW w:w="779"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0,01</w:t>
            </w:r>
          </w:p>
        </w:tc>
      </w:tr>
      <w:tr w:rsidR="000A3797">
        <w:tc>
          <w:tcPr>
            <w:tcW w:w="4106"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5..Физическое и социальное ограничения [60</w:t>
            </w:r>
            <w:r>
              <w:rPr>
                <w:rFonts w:ascii="Times New Roman" w:eastAsia="Times New Roman" w:hAnsi="Times New Roman" w:cs="Times New Roman"/>
                <w:sz w:val="24"/>
                <w:szCs w:val="24"/>
                <w:highlight w:val="white"/>
              </w:rPr>
              <w:t>]</w:t>
            </w:r>
          </w:p>
        </w:tc>
        <w:tc>
          <w:tcPr>
            <w:tcW w:w="2410"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0,618</w:t>
            </w:r>
          </w:p>
        </w:tc>
        <w:tc>
          <w:tcPr>
            <w:tcW w:w="779"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0,01</w:t>
            </w:r>
          </w:p>
        </w:tc>
      </w:tr>
      <w:tr w:rsidR="000A3797">
        <w:tc>
          <w:tcPr>
            <w:tcW w:w="4106"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6.Межличностные взаимодействия [60</w:t>
            </w:r>
            <w:r>
              <w:rPr>
                <w:rFonts w:ascii="Times New Roman" w:eastAsia="Times New Roman" w:hAnsi="Times New Roman" w:cs="Times New Roman"/>
                <w:sz w:val="24"/>
                <w:szCs w:val="24"/>
                <w:highlight w:val="white"/>
              </w:rPr>
              <w:t>]</w:t>
            </w:r>
          </w:p>
        </w:tc>
        <w:tc>
          <w:tcPr>
            <w:tcW w:w="2410"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0,581</w:t>
            </w:r>
          </w:p>
        </w:tc>
        <w:tc>
          <w:tcPr>
            <w:tcW w:w="779"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0,01</w:t>
            </w:r>
          </w:p>
        </w:tc>
      </w:tr>
      <w:tr w:rsidR="000A3797">
        <w:tc>
          <w:tcPr>
            <w:tcW w:w="4106"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7.Эмоциональные проблемы [60</w:t>
            </w:r>
            <w:r>
              <w:rPr>
                <w:rFonts w:ascii="Times New Roman" w:eastAsia="Times New Roman" w:hAnsi="Times New Roman" w:cs="Times New Roman"/>
                <w:sz w:val="24"/>
                <w:szCs w:val="24"/>
                <w:highlight w:val="white"/>
              </w:rPr>
              <w:t>]</w:t>
            </w:r>
          </w:p>
        </w:tc>
        <w:tc>
          <w:tcPr>
            <w:tcW w:w="2410"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0,726</w:t>
            </w:r>
          </w:p>
        </w:tc>
        <w:tc>
          <w:tcPr>
            <w:tcW w:w="779"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0,01</w:t>
            </w:r>
          </w:p>
        </w:tc>
      </w:tr>
    </w:tbl>
    <w:p w:rsidR="000A3797" w:rsidRDefault="000A3797">
      <w:pPr>
        <w:rPr>
          <w:rFonts w:ascii="Times New Roman" w:eastAsia="Times New Roman" w:hAnsi="Times New Roman" w:cs="Times New Roman"/>
          <w:sz w:val="28"/>
          <w:szCs w:val="28"/>
        </w:rPr>
      </w:pPr>
    </w:p>
    <w:p w:rsidR="000A3797" w:rsidRDefault="00A660E7">
      <w:pPr>
        <w:rPr>
          <w:rFonts w:ascii="Times New Roman" w:eastAsia="Times New Roman" w:hAnsi="Times New Roman" w:cs="Times New Roman"/>
          <w:sz w:val="28"/>
          <w:szCs w:val="28"/>
        </w:rPr>
      </w:pPr>
      <w:r>
        <w:rPr>
          <w:rFonts w:ascii="Times New Roman" w:eastAsia="Times New Roman" w:hAnsi="Times New Roman" w:cs="Times New Roman"/>
          <w:sz w:val="28"/>
          <w:szCs w:val="28"/>
        </w:rPr>
        <w:t>Продолжение таблицы 13</w:t>
      </w:r>
    </w:p>
    <w:tbl>
      <w:tblPr>
        <w:tblStyle w:val="af6"/>
        <w:tblW w:w="529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10"/>
        <w:gridCol w:w="1006"/>
        <w:gridCol w:w="779"/>
      </w:tblGrid>
      <w:tr w:rsidR="000A3797">
        <w:tc>
          <w:tcPr>
            <w:tcW w:w="3510"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006"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779" w:type="dxa"/>
          </w:tcPr>
          <w:p w:rsidR="000A3797" w:rsidRDefault="00A660E7">
            <w:pPr>
              <w:ind w:left="142"/>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3</w:t>
            </w:r>
          </w:p>
        </w:tc>
      </w:tr>
      <w:tr w:rsidR="000A3797">
        <w:tc>
          <w:tcPr>
            <w:tcW w:w="351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8.Нaрушение сна и бодрствования </w:t>
            </w:r>
            <w:r>
              <w:rPr>
                <w:rFonts w:ascii="Times New Roman" w:eastAsia="Times New Roman" w:hAnsi="Times New Roman" w:cs="Times New Roman"/>
              </w:rPr>
              <w:t>[60</w:t>
            </w:r>
            <w:r>
              <w:rPr>
                <w:rFonts w:ascii="Times New Roman" w:eastAsia="Times New Roman" w:hAnsi="Times New Roman" w:cs="Times New Roman"/>
                <w:highlight w:val="white"/>
              </w:rPr>
              <w:t>]</w:t>
            </w:r>
          </w:p>
        </w:tc>
        <w:tc>
          <w:tcPr>
            <w:tcW w:w="1006"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0,339</w:t>
            </w:r>
          </w:p>
        </w:tc>
        <w:tc>
          <w:tcPr>
            <w:tcW w:w="779"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0,01</w:t>
            </w:r>
          </w:p>
        </w:tc>
      </w:tr>
      <w:tr w:rsidR="000A3797">
        <w:tc>
          <w:tcPr>
            <w:tcW w:w="351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9.Степень выраженности симптомов </w:t>
            </w:r>
            <w:r>
              <w:rPr>
                <w:rFonts w:ascii="Times New Roman" w:eastAsia="Times New Roman" w:hAnsi="Times New Roman" w:cs="Times New Roman"/>
              </w:rPr>
              <w:t>[60</w:t>
            </w:r>
            <w:r>
              <w:rPr>
                <w:rFonts w:ascii="Times New Roman" w:eastAsia="Times New Roman" w:hAnsi="Times New Roman" w:cs="Times New Roman"/>
                <w:highlight w:val="white"/>
              </w:rPr>
              <w:t>]</w:t>
            </w:r>
          </w:p>
        </w:tc>
        <w:tc>
          <w:tcPr>
            <w:tcW w:w="1006"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0,536</w:t>
            </w:r>
          </w:p>
        </w:tc>
        <w:tc>
          <w:tcPr>
            <w:tcW w:w="779"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0,01</w:t>
            </w:r>
          </w:p>
        </w:tc>
      </w:tr>
      <w:tr w:rsidR="000A3797">
        <w:tc>
          <w:tcPr>
            <w:tcW w:w="351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ИОКЖ </w:t>
            </w:r>
            <w:r>
              <w:rPr>
                <w:rFonts w:ascii="Times New Roman" w:eastAsia="Times New Roman" w:hAnsi="Times New Roman" w:cs="Times New Roman"/>
              </w:rPr>
              <w:t>[60</w:t>
            </w:r>
            <w:r>
              <w:rPr>
                <w:rFonts w:ascii="Times New Roman" w:eastAsia="Times New Roman" w:hAnsi="Times New Roman" w:cs="Times New Roman"/>
                <w:highlight w:val="white"/>
              </w:rPr>
              <w:t>]</w:t>
            </w:r>
          </w:p>
        </w:tc>
        <w:tc>
          <w:tcPr>
            <w:tcW w:w="1006"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0,826</w:t>
            </w:r>
          </w:p>
        </w:tc>
        <w:tc>
          <w:tcPr>
            <w:tcW w:w="779"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0,01</w:t>
            </w:r>
          </w:p>
        </w:tc>
      </w:tr>
    </w:tbl>
    <w:p w:rsidR="000A3797" w:rsidRDefault="00A660E7">
      <w:pPr>
        <w:pBdr>
          <w:top w:val="nil"/>
          <w:left w:val="nil"/>
          <w:bottom w:val="nil"/>
          <w:right w:val="nil"/>
          <w:between w:val="nil"/>
        </w:pBdr>
        <w:shd w:val="clear" w:color="auto" w:fill="FFFFFF"/>
        <w:spacing w:before="280" w:after="28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Суммарные баллы по всем доменам, рассчитанные с помощью U-критерия Манна–Уитни, значительно различались у женщин с симптомами и без симптомов пролапса (р &lt;</w:t>
      </w:r>
      <w:r>
        <w:rPr>
          <w:rFonts w:ascii="Times New Roman" w:eastAsia="Times New Roman" w:hAnsi="Times New Roman" w:cs="Times New Roman"/>
          <w:color w:val="000000"/>
          <w:sz w:val="28"/>
          <w:szCs w:val="28"/>
        </w:rPr>
        <w:t xml:space="preserve">0,001) [196, стр. 24]. При этом 0 баллов указывает на наилучшее качество жизни, а 100 — наихудшее (Таблица 14). У женщин с бессимптомными начальными стадиями пролапса медиана составила 0 баллов по всем доменам, что заметно отличалось от показателей группы </w:t>
      </w:r>
      <w:r>
        <w:rPr>
          <w:rFonts w:ascii="Times New Roman" w:eastAsia="Times New Roman" w:hAnsi="Times New Roman" w:cs="Times New Roman"/>
          <w:color w:val="000000"/>
          <w:sz w:val="28"/>
          <w:szCs w:val="28"/>
        </w:rPr>
        <w:t>с выраженными симптомами пролапса (р &lt;0,001). Это свидетельствует о том, что опросник не всегда подходит для первичного выявления пролапса: бессимптомные стадии можно пропустить, ориентируясь только на результаты анкетирования. Кроме того, его нельзя испол</w:t>
      </w:r>
      <w:r>
        <w:rPr>
          <w:rFonts w:ascii="Times New Roman" w:eastAsia="Times New Roman" w:hAnsi="Times New Roman" w:cs="Times New Roman"/>
          <w:color w:val="000000"/>
          <w:sz w:val="28"/>
          <w:szCs w:val="28"/>
        </w:rPr>
        <w:t>ьзовать вместо осмотра после операции при незначительных рецидивах, которые пациентка может не ощущать, поскольку индекс качества жизни может остаться в норме [196, стр. 25]. Среднее время заполнения анкеты пациентами составило 10,1 минуты, а время интерпр</w:t>
      </w:r>
      <w:r>
        <w:rPr>
          <w:rFonts w:ascii="Times New Roman" w:eastAsia="Times New Roman" w:hAnsi="Times New Roman" w:cs="Times New Roman"/>
          <w:color w:val="000000"/>
          <w:sz w:val="28"/>
          <w:szCs w:val="28"/>
        </w:rPr>
        <w:t>етации врачом автоматизированной версии  чуть более пол минуты, 37,3 секунды, что позволяет экономить время и облегчать процесс расчета баллов по доменам и упрощает интерпретацию. Пропущенных вопросов в девяти доменах не было.</w:t>
      </w:r>
    </w:p>
    <w:p w:rsidR="000A3797" w:rsidRDefault="00A660E7">
      <w:pPr>
        <w:pBdr>
          <w:top w:val="nil"/>
          <w:left w:val="nil"/>
          <w:bottom w:val="nil"/>
          <w:right w:val="nil"/>
          <w:between w:val="nil"/>
        </w:pBdr>
        <w:shd w:val="clear" w:color="auto" w:fill="FFFFFF"/>
        <w:spacing w:before="280" w:after="28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В процессе тестирования анк</w:t>
      </w:r>
      <w:r>
        <w:rPr>
          <w:rFonts w:ascii="Times New Roman" w:eastAsia="Times New Roman" w:hAnsi="Times New Roman" w:cs="Times New Roman"/>
          <w:color w:val="000000"/>
          <w:sz w:val="28"/>
          <w:szCs w:val="28"/>
        </w:rPr>
        <w:t>еты на 20 женщинах на русском и казахском языках были устранены сложные для понимания пункты и термины, после чего все участницы отметили простоту и удобство анкеты [196, стр. 25].</w:t>
      </w:r>
    </w:p>
    <w:p w:rsidR="000A3797" w:rsidRDefault="00A660E7">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Таблица 14 - Различия между группами с симптомами и без симптомов пролапса </w:t>
      </w:r>
      <w:r>
        <w:rPr>
          <w:rFonts w:ascii="Times New Roman" w:eastAsia="Times New Roman" w:hAnsi="Times New Roman" w:cs="Times New Roman"/>
          <w:sz w:val="28"/>
          <w:szCs w:val="28"/>
          <w:highlight w:val="white"/>
        </w:rPr>
        <w:t xml:space="preserve">[196,стр.25] </w:t>
      </w:r>
      <w:r>
        <w:rPr>
          <w:rFonts w:ascii="Times New Roman" w:eastAsia="Times New Roman" w:hAnsi="Times New Roman" w:cs="Times New Roman"/>
          <w:sz w:val="28"/>
          <w:szCs w:val="28"/>
        </w:rPr>
        <w:t>(домены адаптированы из версии Коршунова М. ПД-КЖ [60, стр. 4]</w:t>
      </w:r>
    </w:p>
    <w:tbl>
      <w:tblPr>
        <w:tblStyle w:val="af7"/>
        <w:tblpPr w:leftFromText="180" w:rightFromText="180" w:vertAnchor="page" w:horzAnchor="margin" w:tblpY="11506"/>
        <w:tblW w:w="878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23"/>
        <w:gridCol w:w="1824"/>
        <w:gridCol w:w="2103"/>
        <w:gridCol w:w="1034"/>
      </w:tblGrid>
      <w:tr w:rsidR="000A3797">
        <w:trPr>
          <w:trHeight w:val="259"/>
        </w:trPr>
        <w:tc>
          <w:tcPr>
            <w:tcW w:w="3823" w:type="dxa"/>
            <w:vMerge w:val="restart"/>
            <w:shd w:val="clear" w:color="auto" w:fill="auto"/>
            <w:tcMar>
              <w:top w:w="15" w:type="dxa"/>
              <w:left w:w="108" w:type="dxa"/>
              <w:bottom w:w="0" w:type="dxa"/>
              <w:right w:w="108" w:type="dxa"/>
            </w:tcMar>
          </w:tcPr>
          <w:p w:rsidR="000A3797" w:rsidRDefault="00A660E7">
            <w:pPr>
              <w:shd w:val="clear" w:color="auto" w:fill="FFFFFF"/>
              <w:spacing w:after="0" w:line="240" w:lineRule="auto"/>
              <w:ind w:left="796"/>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домен</w:t>
            </w:r>
          </w:p>
        </w:tc>
        <w:tc>
          <w:tcPr>
            <w:tcW w:w="1824" w:type="dxa"/>
            <w:shd w:val="clear" w:color="auto" w:fill="auto"/>
            <w:tcMar>
              <w:top w:w="15" w:type="dxa"/>
              <w:left w:w="108" w:type="dxa"/>
              <w:bottom w:w="0" w:type="dxa"/>
              <w:right w:w="108" w:type="dxa"/>
            </w:tcMar>
          </w:tcPr>
          <w:p w:rsidR="000A3797" w:rsidRDefault="00A660E7">
            <w:pPr>
              <w:shd w:val="clear" w:color="auto" w:fill="FFFFFF"/>
              <w:spacing w:after="0" w:line="240" w:lineRule="auto"/>
              <w:ind w:left="142"/>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симптомный</w:t>
            </w:r>
          </w:p>
        </w:tc>
        <w:tc>
          <w:tcPr>
            <w:tcW w:w="2103" w:type="dxa"/>
            <w:shd w:val="clear" w:color="auto" w:fill="auto"/>
            <w:tcMar>
              <w:top w:w="15" w:type="dxa"/>
              <w:left w:w="108" w:type="dxa"/>
              <w:bottom w:w="0" w:type="dxa"/>
              <w:right w:w="108" w:type="dxa"/>
            </w:tcMar>
          </w:tcPr>
          <w:p w:rsidR="000A3797" w:rsidRDefault="00A660E7">
            <w:pPr>
              <w:shd w:val="clear" w:color="auto" w:fill="FFFFFF"/>
              <w:spacing w:after="0" w:line="240" w:lineRule="auto"/>
              <w:ind w:left="142"/>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бессимптомный</w:t>
            </w:r>
          </w:p>
        </w:tc>
        <w:tc>
          <w:tcPr>
            <w:tcW w:w="1034" w:type="dxa"/>
            <w:vMerge w:val="restart"/>
            <w:shd w:val="clear" w:color="auto" w:fill="auto"/>
            <w:tcMar>
              <w:top w:w="15" w:type="dxa"/>
              <w:left w:w="108" w:type="dxa"/>
              <w:bottom w:w="0" w:type="dxa"/>
              <w:right w:w="108" w:type="dxa"/>
            </w:tcMar>
          </w:tcPr>
          <w:p w:rsidR="000A3797" w:rsidRDefault="00A660E7">
            <w:pPr>
              <w:shd w:val="clear" w:color="auto" w:fill="FFFFFF"/>
              <w:spacing w:after="0" w:line="240" w:lineRule="auto"/>
              <w:ind w:left="142"/>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p-value</w:t>
            </w:r>
          </w:p>
        </w:tc>
      </w:tr>
      <w:tr w:rsidR="000A3797">
        <w:trPr>
          <w:trHeight w:val="252"/>
        </w:trPr>
        <w:tc>
          <w:tcPr>
            <w:tcW w:w="3823" w:type="dxa"/>
            <w:vMerge/>
            <w:shd w:val="clear" w:color="auto" w:fill="auto"/>
            <w:tcMar>
              <w:top w:w="15" w:type="dxa"/>
              <w:left w:w="108" w:type="dxa"/>
              <w:bottom w:w="0" w:type="dxa"/>
              <w:right w:w="108" w:type="dxa"/>
            </w:tcMar>
          </w:tcPr>
          <w:p w:rsidR="000A3797" w:rsidRDefault="000A3797">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tc>
        <w:tc>
          <w:tcPr>
            <w:tcW w:w="1824" w:type="dxa"/>
            <w:shd w:val="clear" w:color="auto" w:fill="auto"/>
            <w:tcMar>
              <w:top w:w="15" w:type="dxa"/>
              <w:left w:w="108" w:type="dxa"/>
              <w:bottom w:w="0" w:type="dxa"/>
              <w:right w:w="108" w:type="dxa"/>
            </w:tcMar>
          </w:tcPr>
          <w:p w:rsidR="000A3797" w:rsidRDefault="00A660E7">
            <w:pPr>
              <w:shd w:val="clear" w:color="auto" w:fill="FFFFFF"/>
              <w:spacing w:after="0" w:line="240" w:lineRule="auto"/>
              <w:ind w:left="1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Ме(ИКР)</w:t>
            </w:r>
          </w:p>
        </w:tc>
        <w:tc>
          <w:tcPr>
            <w:tcW w:w="2103" w:type="dxa"/>
            <w:shd w:val="clear" w:color="auto" w:fill="auto"/>
            <w:tcMar>
              <w:top w:w="15" w:type="dxa"/>
              <w:left w:w="108" w:type="dxa"/>
              <w:bottom w:w="0" w:type="dxa"/>
              <w:right w:w="108" w:type="dxa"/>
            </w:tcMar>
          </w:tcPr>
          <w:p w:rsidR="000A3797" w:rsidRDefault="00A660E7">
            <w:pPr>
              <w:shd w:val="clear" w:color="auto" w:fill="FFFFFF"/>
              <w:spacing w:after="0" w:line="240" w:lineRule="auto"/>
              <w:ind w:left="1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Ме(ИКР) </w:t>
            </w:r>
          </w:p>
        </w:tc>
        <w:tc>
          <w:tcPr>
            <w:tcW w:w="1034" w:type="dxa"/>
            <w:vMerge/>
            <w:shd w:val="clear" w:color="auto" w:fill="auto"/>
            <w:tcMar>
              <w:top w:w="15" w:type="dxa"/>
              <w:left w:w="108" w:type="dxa"/>
              <w:bottom w:w="0" w:type="dxa"/>
              <w:right w:w="108" w:type="dxa"/>
            </w:tcMar>
          </w:tcPr>
          <w:p w:rsidR="000A3797" w:rsidRDefault="000A3797">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tc>
      </w:tr>
      <w:tr w:rsidR="000A3797">
        <w:trPr>
          <w:trHeight w:val="252"/>
        </w:trPr>
        <w:tc>
          <w:tcPr>
            <w:tcW w:w="3823" w:type="dxa"/>
            <w:shd w:val="clear" w:color="auto" w:fill="auto"/>
            <w:vAlign w:val="center"/>
          </w:tcPr>
          <w:p w:rsidR="000A3797" w:rsidRDefault="00A660E7">
            <w:pPr>
              <w:shd w:val="clear" w:color="auto" w:fill="FFFFFF"/>
              <w:spacing w:after="0" w:line="240" w:lineRule="auto"/>
              <w:ind w:left="79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24" w:type="dxa"/>
            <w:shd w:val="clear" w:color="auto" w:fill="auto"/>
            <w:tcMar>
              <w:top w:w="15" w:type="dxa"/>
              <w:left w:w="108" w:type="dxa"/>
              <w:bottom w:w="0" w:type="dxa"/>
              <w:right w:w="108" w:type="dxa"/>
            </w:tcMar>
          </w:tcPr>
          <w:p w:rsidR="000A3797" w:rsidRDefault="00A660E7">
            <w:pPr>
              <w:shd w:val="clear" w:color="auto" w:fill="FFFFFF"/>
              <w:spacing w:after="0" w:line="240" w:lineRule="auto"/>
              <w:ind w:left="1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2103" w:type="dxa"/>
            <w:shd w:val="clear" w:color="auto" w:fill="auto"/>
            <w:tcMar>
              <w:top w:w="15" w:type="dxa"/>
              <w:left w:w="108" w:type="dxa"/>
              <w:bottom w:w="0" w:type="dxa"/>
              <w:right w:w="108" w:type="dxa"/>
            </w:tcMar>
          </w:tcPr>
          <w:p w:rsidR="000A3797" w:rsidRDefault="00A660E7">
            <w:pPr>
              <w:shd w:val="clear" w:color="auto" w:fill="FFFFFF"/>
              <w:spacing w:after="0" w:line="240" w:lineRule="auto"/>
              <w:ind w:left="1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034" w:type="dxa"/>
            <w:shd w:val="clear" w:color="auto" w:fill="auto"/>
            <w:tcMar>
              <w:top w:w="15" w:type="dxa"/>
              <w:left w:w="108" w:type="dxa"/>
              <w:bottom w:w="0" w:type="dxa"/>
              <w:right w:w="108" w:type="dxa"/>
            </w:tcMar>
          </w:tcPr>
          <w:p w:rsidR="000A3797" w:rsidRDefault="00A660E7">
            <w:pPr>
              <w:shd w:val="clear" w:color="auto" w:fill="FFFFFF"/>
              <w:spacing w:after="0" w:line="240" w:lineRule="auto"/>
              <w:ind w:left="1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r>
      <w:tr w:rsidR="000A3797">
        <w:trPr>
          <w:trHeight w:val="265"/>
        </w:trPr>
        <w:tc>
          <w:tcPr>
            <w:tcW w:w="3823" w:type="dxa"/>
            <w:shd w:val="clear" w:color="auto" w:fill="auto"/>
            <w:tcMar>
              <w:top w:w="15" w:type="dxa"/>
              <w:left w:w="108" w:type="dxa"/>
              <w:bottom w:w="0" w:type="dxa"/>
              <w:right w:w="108" w:type="dxa"/>
            </w:tcMar>
          </w:tcPr>
          <w:p w:rsidR="000A3797" w:rsidRDefault="00A660E7">
            <w:pP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1.Общее состояние здоровья </w:t>
            </w:r>
            <w:r>
              <w:rPr>
                <w:rFonts w:ascii="Times New Roman" w:eastAsia="Times New Roman" w:hAnsi="Times New Roman" w:cs="Times New Roman"/>
                <w:sz w:val="24"/>
                <w:szCs w:val="24"/>
              </w:rPr>
              <w:t>[60</w:t>
            </w:r>
            <w:r>
              <w:rPr>
                <w:rFonts w:ascii="Times New Roman" w:eastAsia="Times New Roman" w:hAnsi="Times New Roman" w:cs="Times New Roman"/>
                <w:sz w:val="24"/>
                <w:szCs w:val="24"/>
                <w:highlight w:val="white"/>
              </w:rPr>
              <w:t>]</w:t>
            </w:r>
          </w:p>
        </w:tc>
        <w:tc>
          <w:tcPr>
            <w:tcW w:w="1824" w:type="dxa"/>
            <w:shd w:val="clear" w:color="auto" w:fill="auto"/>
            <w:tcMar>
              <w:top w:w="15" w:type="dxa"/>
              <w:left w:w="108" w:type="dxa"/>
              <w:bottom w:w="0" w:type="dxa"/>
              <w:right w:w="108" w:type="dxa"/>
            </w:tcMar>
          </w:tcPr>
          <w:p w:rsidR="000A3797" w:rsidRDefault="00A660E7">
            <w:pPr>
              <w:shd w:val="clear" w:color="auto" w:fill="FFFFFF"/>
              <w:spacing w:after="0" w:line="240" w:lineRule="auto"/>
              <w:ind w:left="1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62 (10)</w:t>
            </w:r>
          </w:p>
        </w:tc>
        <w:tc>
          <w:tcPr>
            <w:tcW w:w="2103" w:type="dxa"/>
            <w:shd w:val="clear" w:color="auto" w:fill="auto"/>
            <w:tcMar>
              <w:top w:w="15" w:type="dxa"/>
              <w:left w:w="108" w:type="dxa"/>
              <w:bottom w:w="0" w:type="dxa"/>
              <w:right w:w="108" w:type="dxa"/>
            </w:tcMar>
          </w:tcPr>
          <w:p w:rsidR="000A3797" w:rsidRDefault="00A660E7">
            <w:pPr>
              <w:shd w:val="clear" w:color="auto" w:fill="FFFFFF"/>
              <w:spacing w:after="0" w:line="240" w:lineRule="auto"/>
              <w:ind w:left="1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 (3)</w:t>
            </w:r>
          </w:p>
        </w:tc>
        <w:tc>
          <w:tcPr>
            <w:tcW w:w="1034" w:type="dxa"/>
            <w:shd w:val="clear" w:color="auto" w:fill="auto"/>
            <w:tcMar>
              <w:top w:w="15" w:type="dxa"/>
              <w:left w:w="108" w:type="dxa"/>
              <w:bottom w:w="0" w:type="dxa"/>
              <w:right w:w="108" w:type="dxa"/>
            </w:tcMar>
          </w:tcPr>
          <w:p w:rsidR="000A3797" w:rsidRDefault="00A660E7">
            <w:pPr>
              <w:shd w:val="clear" w:color="auto" w:fill="FFFFFF"/>
              <w:spacing w:after="0" w:line="240" w:lineRule="auto"/>
              <w:ind w:left="1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&lt;0,001</w:t>
            </w:r>
          </w:p>
        </w:tc>
      </w:tr>
      <w:tr w:rsidR="000A3797">
        <w:trPr>
          <w:trHeight w:val="255"/>
        </w:trPr>
        <w:tc>
          <w:tcPr>
            <w:tcW w:w="3823" w:type="dxa"/>
            <w:shd w:val="clear" w:color="auto" w:fill="auto"/>
            <w:tcMar>
              <w:top w:w="15" w:type="dxa"/>
              <w:left w:w="108" w:type="dxa"/>
              <w:bottom w:w="0" w:type="dxa"/>
              <w:right w:w="108" w:type="dxa"/>
            </w:tcMar>
          </w:tcPr>
          <w:p w:rsidR="000A3797" w:rsidRDefault="00A660E7">
            <w:pP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2.Воздействие симптомов </w:t>
            </w:r>
            <w:r>
              <w:rPr>
                <w:rFonts w:ascii="Times New Roman" w:eastAsia="Times New Roman" w:hAnsi="Times New Roman" w:cs="Times New Roman"/>
                <w:sz w:val="24"/>
                <w:szCs w:val="24"/>
              </w:rPr>
              <w:t>[60</w:t>
            </w:r>
            <w:r>
              <w:rPr>
                <w:rFonts w:ascii="Times New Roman" w:eastAsia="Times New Roman" w:hAnsi="Times New Roman" w:cs="Times New Roman"/>
                <w:sz w:val="24"/>
                <w:szCs w:val="24"/>
                <w:highlight w:val="white"/>
              </w:rPr>
              <w:t>]</w:t>
            </w:r>
          </w:p>
        </w:tc>
        <w:tc>
          <w:tcPr>
            <w:tcW w:w="1824" w:type="dxa"/>
            <w:shd w:val="clear" w:color="auto" w:fill="auto"/>
            <w:tcMar>
              <w:top w:w="15" w:type="dxa"/>
              <w:left w:w="108" w:type="dxa"/>
              <w:bottom w:w="0" w:type="dxa"/>
              <w:right w:w="108" w:type="dxa"/>
            </w:tcMar>
          </w:tcPr>
          <w:p w:rsidR="000A3797" w:rsidRDefault="00A660E7">
            <w:pPr>
              <w:shd w:val="clear" w:color="auto" w:fill="FFFFFF"/>
              <w:spacing w:after="0" w:line="240" w:lineRule="auto"/>
              <w:ind w:left="1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71 (11)</w:t>
            </w:r>
          </w:p>
        </w:tc>
        <w:tc>
          <w:tcPr>
            <w:tcW w:w="2103" w:type="dxa"/>
            <w:shd w:val="clear" w:color="auto" w:fill="auto"/>
            <w:tcMar>
              <w:top w:w="15" w:type="dxa"/>
              <w:left w:w="108" w:type="dxa"/>
              <w:bottom w:w="0" w:type="dxa"/>
              <w:right w:w="108" w:type="dxa"/>
            </w:tcMar>
          </w:tcPr>
          <w:p w:rsidR="000A3797" w:rsidRDefault="00A660E7">
            <w:pPr>
              <w:shd w:val="clear" w:color="auto" w:fill="FFFFFF"/>
              <w:spacing w:after="0" w:line="240" w:lineRule="auto"/>
              <w:ind w:left="1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0(0)</w:t>
            </w:r>
          </w:p>
        </w:tc>
        <w:tc>
          <w:tcPr>
            <w:tcW w:w="1034" w:type="dxa"/>
            <w:shd w:val="clear" w:color="auto" w:fill="auto"/>
            <w:tcMar>
              <w:top w:w="15" w:type="dxa"/>
              <w:left w:w="108" w:type="dxa"/>
              <w:bottom w:w="0" w:type="dxa"/>
              <w:right w:w="108" w:type="dxa"/>
            </w:tcMar>
          </w:tcPr>
          <w:p w:rsidR="000A3797" w:rsidRDefault="00A660E7">
            <w:pPr>
              <w:shd w:val="clear" w:color="auto" w:fill="FFFFFF"/>
              <w:spacing w:after="0" w:line="240" w:lineRule="auto"/>
              <w:ind w:left="1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&lt;0,001</w:t>
            </w:r>
          </w:p>
        </w:tc>
      </w:tr>
      <w:tr w:rsidR="000A3797">
        <w:trPr>
          <w:trHeight w:val="273"/>
        </w:trPr>
        <w:tc>
          <w:tcPr>
            <w:tcW w:w="3823" w:type="dxa"/>
            <w:shd w:val="clear" w:color="auto" w:fill="auto"/>
            <w:tcMar>
              <w:top w:w="15" w:type="dxa"/>
              <w:left w:w="108" w:type="dxa"/>
              <w:bottom w:w="0" w:type="dxa"/>
              <w:right w:w="108" w:type="dxa"/>
            </w:tcMar>
          </w:tcPr>
          <w:p w:rsidR="000A3797" w:rsidRDefault="00A660E7">
            <w:pP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3.Симптомы и их восприятие </w:t>
            </w:r>
            <w:r>
              <w:rPr>
                <w:rFonts w:ascii="Times New Roman" w:eastAsia="Times New Roman" w:hAnsi="Times New Roman" w:cs="Times New Roman"/>
                <w:sz w:val="24"/>
                <w:szCs w:val="24"/>
              </w:rPr>
              <w:t>[60</w:t>
            </w:r>
            <w:r>
              <w:rPr>
                <w:rFonts w:ascii="Times New Roman" w:eastAsia="Times New Roman" w:hAnsi="Times New Roman" w:cs="Times New Roman"/>
                <w:sz w:val="24"/>
                <w:szCs w:val="24"/>
                <w:highlight w:val="white"/>
              </w:rPr>
              <w:t>]</w:t>
            </w:r>
          </w:p>
        </w:tc>
        <w:tc>
          <w:tcPr>
            <w:tcW w:w="1824" w:type="dxa"/>
            <w:shd w:val="clear" w:color="auto" w:fill="auto"/>
            <w:tcMar>
              <w:top w:w="15" w:type="dxa"/>
              <w:left w:w="108" w:type="dxa"/>
              <w:bottom w:w="0" w:type="dxa"/>
              <w:right w:w="108" w:type="dxa"/>
            </w:tcMar>
          </w:tcPr>
          <w:p w:rsidR="000A3797" w:rsidRDefault="00A660E7">
            <w:pPr>
              <w:shd w:val="clear" w:color="auto" w:fill="FFFFFF"/>
              <w:spacing w:after="0" w:line="240" w:lineRule="auto"/>
              <w:ind w:left="1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79 (18)</w:t>
            </w:r>
          </w:p>
        </w:tc>
        <w:tc>
          <w:tcPr>
            <w:tcW w:w="2103" w:type="dxa"/>
            <w:shd w:val="clear" w:color="auto" w:fill="auto"/>
            <w:tcMar>
              <w:top w:w="15" w:type="dxa"/>
              <w:left w:w="108" w:type="dxa"/>
              <w:bottom w:w="0" w:type="dxa"/>
              <w:right w:w="108" w:type="dxa"/>
            </w:tcMar>
          </w:tcPr>
          <w:p w:rsidR="000A3797" w:rsidRDefault="00A660E7">
            <w:pPr>
              <w:shd w:val="clear" w:color="auto" w:fill="FFFFFF"/>
              <w:spacing w:after="0" w:line="240" w:lineRule="auto"/>
              <w:ind w:left="1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0(0)</w:t>
            </w:r>
          </w:p>
        </w:tc>
        <w:tc>
          <w:tcPr>
            <w:tcW w:w="1034" w:type="dxa"/>
            <w:shd w:val="clear" w:color="auto" w:fill="auto"/>
            <w:tcMar>
              <w:top w:w="15" w:type="dxa"/>
              <w:left w:w="108" w:type="dxa"/>
              <w:bottom w:w="0" w:type="dxa"/>
              <w:right w:w="108" w:type="dxa"/>
            </w:tcMar>
          </w:tcPr>
          <w:p w:rsidR="000A3797" w:rsidRDefault="00A660E7">
            <w:pPr>
              <w:shd w:val="clear" w:color="auto" w:fill="FFFFFF"/>
              <w:spacing w:after="0" w:line="240" w:lineRule="auto"/>
              <w:ind w:left="1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&lt;0,001</w:t>
            </w:r>
          </w:p>
        </w:tc>
      </w:tr>
      <w:tr w:rsidR="000A3797">
        <w:trPr>
          <w:trHeight w:val="307"/>
        </w:trPr>
        <w:tc>
          <w:tcPr>
            <w:tcW w:w="3823" w:type="dxa"/>
            <w:shd w:val="clear" w:color="auto" w:fill="auto"/>
            <w:tcMar>
              <w:top w:w="15" w:type="dxa"/>
              <w:left w:w="108" w:type="dxa"/>
              <w:bottom w:w="0" w:type="dxa"/>
              <w:right w:w="108" w:type="dxa"/>
            </w:tcMar>
          </w:tcPr>
          <w:p w:rsidR="000A3797" w:rsidRDefault="00A660E7">
            <w:pP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4.Рoлевые ограничения </w:t>
            </w:r>
            <w:r>
              <w:rPr>
                <w:rFonts w:ascii="Times New Roman" w:eastAsia="Times New Roman" w:hAnsi="Times New Roman" w:cs="Times New Roman"/>
                <w:sz w:val="24"/>
                <w:szCs w:val="24"/>
              </w:rPr>
              <w:t>[60</w:t>
            </w:r>
            <w:r>
              <w:rPr>
                <w:rFonts w:ascii="Times New Roman" w:eastAsia="Times New Roman" w:hAnsi="Times New Roman" w:cs="Times New Roman"/>
                <w:sz w:val="24"/>
                <w:szCs w:val="24"/>
                <w:highlight w:val="white"/>
              </w:rPr>
              <w:t>]</w:t>
            </w:r>
          </w:p>
        </w:tc>
        <w:tc>
          <w:tcPr>
            <w:tcW w:w="1824" w:type="dxa"/>
            <w:shd w:val="clear" w:color="auto" w:fill="auto"/>
            <w:tcMar>
              <w:top w:w="15" w:type="dxa"/>
              <w:left w:w="108" w:type="dxa"/>
              <w:bottom w:w="0" w:type="dxa"/>
              <w:right w:w="108" w:type="dxa"/>
            </w:tcMar>
          </w:tcPr>
          <w:p w:rsidR="000A3797" w:rsidRDefault="00A660E7">
            <w:pPr>
              <w:shd w:val="clear" w:color="auto" w:fill="FFFFFF"/>
              <w:spacing w:after="0" w:line="240" w:lineRule="auto"/>
              <w:ind w:left="1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 (9)</w:t>
            </w:r>
          </w:p>
        </w:tc>
        <w:tc>
          <w:tcPr>
            <w:tcW w:w="2103" w:type="dxa"/>
            <w:shd w:val="clear" w:color="auto" w:fill="auto"/>
            <w:tcMar>
              <w:top w:w="15" w:type="dxa"/>
              <w:left w:w="108" w:type="dxa"/>
              <w:bottom w:w="0" w:type="dxa"/>
              <w:right w:w="108" w:type="dxa"/>
            </w:tcMar>
          </w:tcPr>
          <w:p w:rsidR="000A3797" w:rsidRDefault="00A660E7">
            <w:pPr>
              <w:shd w:val="clear" w:color="auto" w:fill="FFFFFF"/>
              <w:spacing w:after="0" w:line="240" w:lineRule="auto"/>
              <w:ind w:left="1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0(0)</w:t>
            </w:r>
          </w:p>
        </w:tc>
        <w:tc>
          <w:tcPr>
            <w:tcW w:w="1034" w:type="dxa"/>
            <w:shd w:val="clear" w:color="auto" w:fill="auto"/>
            <w:tcMar>
              <w:top w:w="15" w:type="dxa"/>
              <w:left w:w="108" w:type="dxa"/>
              <w:bottom w:w="0" w:type="dxa"/>
              <w:right w:w="108" w:type="dxa"/>
            </w:tcMar>
          </w:tcPr>
          <w:p w:rsidR="000A3797" w:rsidRDefault="00A660E7">
            <w:pPr>
              <w:shd w:val="clear" w:color="auto" w:fill="FFFFFF"/>
              <w:spacing w:after="0" w:line="240" w:lineRule="auto"/>
              <w:ind w:left="1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&lt;0,001</w:t>
            </w:r>
          </w:p>
        </w:tc>
      </w:tr>
      <w:tr w:rsidR="000A3797">
        <w:trPr>
          <w:trHeight w:val="343"/>
        </w:trPr>
        <w:tc>
          <w:tcPr>
            <w:tcW w:w="3823" w:type="dxa"/>
            <w:shd w:val="clear" w:color="auto" w:fill="auto"/>
            <w:tcMar>
              <w:top w:w="15" w:type="dxa"/>
              <w:left w:w="108" w:type="dxa"/>
              <w:bottom w:w="0" w:type="dxa"/>
              <w:right w:w="108" w:type="dxa"/>
            </w:tcMar>
          </w:tcPr>
          <w:p w:rsidR="000A3797" w:rsidRDefault="00A660E7">
            <w:pP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5.Физическое и социальное ограничения</w:t>
            </w:r>
            <w:r>
              <w:rPr>
                <w:rFonts w:ascii="Times New Roman" w:eastAsia="Times New Roman" w:hAnsi="Times New Roman" w:cs="Times New Roman"/>
                <w:sz w:val="24"/>
                <w:szCs w:val="24"/>
              </w:rPr>
              <w:t>[60</w:t>
            </w:r>
            <w:r>
              <w:rPr>
                <w:rFonts w:ascii="Times New Roman" w:eastAsia="Times New Roman" w:hAnsi="Times New Roman" w:cs="Times New Roman"/>
                <w:sz w:val="24"/>
                <w:szCs w:val="24"/>
                <w:highlight w:val="white"/>
              </w:rPr>
              <w:t>]</w:t>
            </w:r>
          </w:p>
        </w:tc>
        <w:tc>
          <w:tcPr>
            <w:tcW w:w="1824" w:type="dxa"/>
            <w:shd w:val="clear" w:color="auto" w:fill="auto"/>
            <w:tcMar>
              <w:top w:w="15" w:type="dxa"/>
              <w:left w:w="108" w:type="dxa"/>
              <w:bottom w:w="0" w:type="dxa"/>
              <w:right w:w="108" w:type="dxa"/>
            </w:tcMar>
          </w:tcPr>
          <w:p w:rsidR="000A3797" w:rsidRDefault="00A660E7">
            <w:pPr>
              <w:shd w:val="clear" w:color="auto" w:fill="FFFFFF"/>
              <w:spacing w:after="0" w:line="240" w:lineRule="auto"/>
              <w:ind w:left="1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30(7)</w:t>
            </w:r>
          </w:p>
        </w:tc>
        <w:tc>
          <w:tcPr>
            <w:tcW w:w="2103" w:type="dxa"/>
            <w:shd w:val="clear" w:color="auto" w:fill="auto"/>
            <w:tcMar>
              <w:top w:w="15" w:type="dxa"/>
              <w:left w:w="108" w:type="dxa"/>
              <w:bottom w:w="0" w:type="dxa"/>
              <w:right w:w="108" w:type="dxa"/>
            </w:tcMar>
          </w:tcPr>
          <w:p w:rsidR="000A3797" w:rsidRDefault="00A660E7">
            <w:pPr>
              <w:shd w:val="clear" w:color="auto" w:fill="FFFFFF"/>
              <w:spacing w:after="0" w:line="240" w:lineRule="auto"/>
              <w:ind w:left="1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0(5)</w:t>
            </w:r>
          </w:p>
        </w:tc>
        <w:tc>
          <w:tcPr>
            <w:tcW w:w="1034" w:type="dxa"/>
            <w:shd w:val="clear" w:color="auto" w:fill="auto"/>
            <w:tcMar>
              <w:top w:w="15" w:type="dxa"/>
              <w:left w:w="108" w:type="dxa"/>
              <w:bottom w:w="0" w:type="dxa"/>
              <w:right w:w="108" w:type="dxa"/>
            </w:tcMar>
          </w:tcPr>
          <w:p w:rsidR="000A3797" w:rsidRDefault="00A660E7">
            <w:pPr>
              <w:shd w:val="clear" w:color="auto" w:fill="FFFFFF"/>
              <w:spacing w:after="0" w:line="240" w:lineRule="auto"/>
              <w:ind w:left="1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&lt;0,001</w:t>
            </w:r>
          </w:p>
        </w:tc>
      </w:tr>
      <w:tr w:rsidR="000A3797">
        <w:trPr>
          <w:trHeight w:val="323"/>
        </w:trPr>
        <w:tc>
          <w:tcPr>
            <w:tcW w:w="3823" w:type="dxa"/>
            <w:shd w:val="clear" w:color="auto" w:fill="auto"/>
            <w:tcMar>
              <w:top w:w="15" w:type="dxa"/>
              <w:left w:w="108" w:type="dxa"/>
              <w:bottom w:w="0" w:type="dxa"/>
              <w:right w:w="108" w:type="dxa"/>
            </w:tcMar>
          </w:tcPr>
          <w:p w:rsidR="000A3797" w:rsidRDefault="00A660E7">
            <w:pP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6.Межличностные взаимодействия </w:t>
            </w:r>
            <w:r>
              <w:rPr>
                <w:rFonts w:ascii="Times New Roman" w:eastAsia="Times New Roman" w:hAnsi="Times New Roman" w:cs="Times New Roman"/>
                <w:sz w:val="24"/>
                <w:szCs w:val="24"/>
              </w:rPr>
              <w:t>[60</w:t>
            </w:r>
            <w:r>
              <w:rPr>
                <w:rFonts w:ascii="Times New Roman" w:eastAsia="Times New Roman" w:hAnsi="Times New Roman" w:cs="Times New Roman"/>
                <w:sz w:val="24"/>
                <w:szCs w:val="24"/>
                <w:highlight w:val="white"/>
              </w:rPr>
              <w:t>]</w:t>
            </w:r>
          </w:p>
        </w:tc>
        <w:tc>
          <w:tcPr>
            <w:tcW w:w="1824" w:type="dxa"/>
            <w:shd w:val="clear" w:color="auto" w:fill="auto"/>
            <w:tcMar>
              <w:top w:w="15" w:type="dxa"/>
              <w:left w:w="108" w:type="dxa"/>
              <w:bottom w:w="0" w:type="dxa"/>
              <w:right w:w="108" w:type="dxa"/>
            </w:tcMar>
          </w:tcPr>
          <w:p w:rsidR="000A3797" w:rsidRDefault="00A660E7">
            <w:pPr>
              <w:shd w:val="clear" w:color="auto" w:fill="FFFFFF"/>
              <w:spacing w:after="0" w:line="240" w:lineRule="auto"/>
              <w:ind w:left="1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29(5)</w:t>
            </w:r>
          </w:p>
        </w:tc>
        <w:tc>
          <w:tcPr>
            <w:tcW w:w="2103" w:type="dxa"/>
            <w:shd w:val="clear" w:color="auto" w:fill="auto"/>
            <w:tcMar>
              <w:top w:w="15" w:type="dxa"/>
              <w:left w:w="108" w:type="dxa"/>
              <w:bottom w:w="0" w:type="dxa"/>
              <w:right w:w="108" w:type="dxa"/>
            </w:tcMar>
          </w:tcPr>
          <w:p w:rsidR="000A3797" w:rsidRDefault="00A660E7">
            <w:pPr>
              <w:shd w:val="clear" w:color="auto" w:fill="FFFFFF"/>
              <w:spacing w:after="0" w:line="240" w:lineRule="auto"/>
              <w:ind w:left="1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 (1)</w:t>
            </w:r>
          </w:p>
        </w:tc>
        <w:tc>
          <w:tcPr>
            <w:tcW w:w="1034" w:type="dxa"/>
            <w:shd w:val="clear" w:color="auto" w:fill="auto"/>
            <w:tcMar>
              <w:top w:w="15" w:type="dxa"/>
              <w:left w:w="108" w:type="dxa"/>
              <w:bottom w:w="0" w:type="dxa"/>
              <w:right w:w="108" w:type="dxa"/>
            </w:tcMar>
          </w:tcPr>
          <w:p w:rsidR="000A3797" w:rsidRDefault="00A660E7">
            <w:pPr>
              <w:shd w:val="clear" w:color="auto" w:fill="FFFFFF"/>
              <w:spacing w:after="0" w:line="240" w:lineRule="auto"/>
              <w:ind w:left="1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&lt;0,001</w:t>
            </w:r>
          </w:p>
        </w:tc>
      </w:tr>
    </w:tbl>
    <w:p w:rsidR="000A3797" w:rsidRDefault="000A3797">
      <w:pPr>
        <w:spacing w:after="0" w:line="240" w:lineRule="auto"/>
        <w:jc w:val="both"/>
        <w:rPr>
          <w:rFonts w:ascii="Times New Roman" w:eastAsia="Times New Roman" w:hAnsi="Times New Roman" w:cs="Times New Roman"/>
          <w:b/>
          <w:sz w:val="28"/>
          <w:szCs w:val="28"/>
        </w:rPr>
      </w:pPr>
    </w:p>
    <w:p w:rsidR="000A3797" w:rsidRDefault="000A3797">
      <w:pPr>
        <w:spacing w:after="0" w:line="240" w:lineRule="auto"/>
        <w:ind w:left="142"/>
        <w:jc w:val="both"/>
        <w:rPr>
          <w:rFonts w:ascii="Times New Roman" w:eastAsia="Times New Roman" w:hAnsi="Times New Roman" w:cs="Times New Roman"/>
          <w:b/>
          <w:sz w:val="28"/>
          <w:szCs w:val="28"/>
        </w:rPr>
      </w:pPr>
    </w:p>
    <w:p w:rsidR="000A3797" w:rsidRDefault="000A3797">
      <w:pPr>
        <w:spacing w:after="0" w:line="240" w:lineRule="auto"/>
        <w:ind w:left="142"/>
        <w:jc w:val="both"/>
        <w:rPr>
          <w:rFonts w:ascii="Times New Roman" w:eastAsia="Times New Roman" w:hAnsi="Times New Roman" w:cs="Times New Roman"/>
          <w:b/>
          <w:sz w:val="28"/>
          <w:szCs w:val="28"/>
        </w:rPr>
      </w:pPr>
    </w:p>
    <w:p w:rsidR="000A3797" w:rsidRDefault="000A3797">
      <w:pPr>
        <w:spacing w:after="0" w:line="240" w:lineRule="auto"/>
        <w:ind w:left="142"/>
        <w:jc w:val="both"/>
        <w:rPr>
          <w:rFonts w:ascii="Times New Roman" w:eastAsia="Times New Roman" w:hAnsi="Times New Roman" w:cs="Times New Roman"/>
          <w:b/>
          <w:sz w:val="28"/>
          <w:szCs w:val="28"/>
        </w:rPr>
      </w:pPr>
    </w:p>
    <w:p w:rsidR="000A3797" w:rsidRDefault="000A3797">
      <w:pPr>
        <w:spacing w:after="0" w:line="240" w:lineRule="auto"/>
        <w:ind w:left="142"/>
        <w:jc w:val="both"/>
        <w:rPr>
          <w:rFonts w:ascii="Times New Roman" w:eastAsia="Times New Roman" w:hAnsi="Times New Roman" w:cs="Times New Roman"/>
          <w:b/>
          <w:sz w:val="28"/>
          <w:szCs w:val="28"/>
        </w:rPr>
      </w:pPr>
    </w:p>
    <w:p w:rsidR="000A3797" w:rsidRDefault="000A3797">
      <w:pPr>
        <w:spacing w:after="0" w:line="240" w:lineRule="auto"/>
        <w:jc w:val="both"/>
        <w:rPr>
          <w:rFonts w:ascii="Times New Roman" w:eastAsia="Times New Roman" w:hAnsi="Times New Roman" w:cs="Times New Roman"/>
          <w:b/>
          <w:sz w:val="28"/>
          <w:szCs w:val="28"/>
        </w:rPr>
      </w:pPr>
    </w:p>
    <w:p w:rsidR="000A3797" w:rsidRDefault="000A3797">
      <w:pPr>
        <w:spacing w:after="0" w:line="240" w:lineRule="auto"/>
        <w:ind w:left="142"/>
        <w:jc w:val="both"/>
        <w:rPr>
          <w:rFonts w:ascii="Times New Roman" w:eastAsia="Times New Roman" w:hAnsi="Times New Roman" w:cs="Times New Roman"/>
          <w:sz w:val="28"/>
          <w:szCs w:val="28"/>
        </w:rPr>
      </w:pPr>
    </w:p>
    <w:tbl>
      <w:tblPr>
        <w:tblStyle w:val="af8"/>
        <w:tblpPr w:leftFromText="180" w:rightFromText="180" w:vertAnchor="page" w:horzAnchor="margin" w:tblpY="1659"/>
        <w:tblW w:w="878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77"/>
        <w:gridCol w:w="1770"/>
        <w:gridCol w:w="2103"/>
        <w:gridCol w:w="1034"/>
      </w:tblGrid>
      <w:tr w:rsidR="000A3797">
        <w:trPr>
          <w:trHeight w:val="309"/>
        </w:trPr>
        <w:tc>
          <w:tcPr>
            <w:tcW w:w="3877" w:type="dxa"/>
            <w:shd w:val="clear" w:color="auto" w:fill="auto"/>
            <w:tcMar>
              <w:top w:w="15" w:type="dxa"/>
              <w:left w:w="108" w:type="dxa"/>
              <w:bottom w:w="0" w:type="dxa"/>
              <w:right w:w="108" w:type="dxa"/>
            </w:tcMar>
          </w:tcPr>
          <w:p w:rsidR="000A3797" w:rsidRDefault="00A660E7">
            <w:pPr>
              <w:shd w:val="clear" w:color="auto" w:fill="FFFFFF"/>
              <w:spacing w:after="0" w:line="240" w:lineRule="auto"/>
              <w:ind w:left="1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770" w:type="dxa"/>
            <w:shd w:val="clear" w:color="auto" w:fill="auto"/>
            <w:tcMar>
              <w:top w:w="15" w:type="dxa"/>
              <w:left w:w="108" w:type="dxa"/>
              <w:bottom w:w="0" w:type="dxa"/>
              <w:right w:w="108" w:type="dxa"/>
            </w:tcMar>
          </w:tcPr>
          <w:p w:rsidR="000A3797" w:rsidRDefault="00A660E7">
            <w:pPr>
              <w:shd w:val="clear" w:color="auto" w:fill="FFFFFF"/>
              <w:spacing w:after="0" w:line="240" w:lineRule="auto"/>
              <w:ind w:left="1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2103" w:type="dxa"/>
            <w:shd w:val="clear" w:color="auto" w:fill="auto"/>
            <w:tcMar>
              <w:top w:w="15" w:type="dxa"/>
              <w:left w:w="108" w:type="dxa"/>
              <w:bottom w:w="0" w:type="dxa"/>
              <w:right w:w="108" w:type="dxa"/>
            </w:tcMar>
          </w:tcPr>
          <w:p w:rsidR="000A3797" w:rsidRDefault="00A660E7">
            <w:pPr>
              <w:shd w:val="clear" w:color="auto" w:fill="FFFFFF"/>
              <w:spacing w:after="0" w:line="240" w:lineRule="auto"/>
              <w:ind w:left="1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034" w:type="dxa"/>
            <w:shd w:val="clear" w:color="auto" w:fill="auto"/>
            <w:tcMar>
              <w:top w:w="15" w:type="dxa"/>
              <w:left w:w="108" w:type="dxa"/>
              <w:bottom w:w="0" w:type="dxa"/>
              <w:right w:w="108" w:type="dxa"/>
            </w:tcMar>
          </w:tcPr>
          <w:p w:rsidR="000A3797" w:rsidRDefault="00A660E7">
            <w:pPr>
              <w:shd w:val="clear" w:color="auto" w:fill="FFFFFF"/>
              <w:spacing w:after="0" w:line="240" w:lineRule="auto"/>
              <w:ind w:left="1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r>
      <w:tr w:rsidR="000A3797">
        <w:trPr>
          <w:trHeight w:val="309"/>
        </w:trPr>
        <w:tc>
          <w:tcPr>
            <w:tcW w:w="3877" w:type="dxa"/>
            <w:shd w:val="clear" w:color="auto" w:fill="auto"/>
            <w:tcMar>
              <w:top w:w="15" w:type="dxa"/>
              <w:left w:w="108" w:type="dxa"/>
              <w:bottom w:w="0" w:type="dxa"/>
              <w:right w:w="108" w:type="dxa"/>
            </w:tcMar>
          </w:tcPr>
          <w:p w:rsidR="000A3797" w:rsidRDefault="00A660E7">
            <w:pP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7.Эмоциональные проблемы </w:t>
            </w:r>
            <w:r>
              <w:rPr>
                <w:rFonts w:ascii="Times New Roman" w:eastAsia="Times New Roman" w:hAnsi="Times New Roman" w:cs="Times New Roman"/>
                <w:sz w:val="24"/>
                <w:szCs w:val="24"/>
              </w:rPr>
              <w:t>[60</w:t>
            </w:r>
            <w:r>
              <w:rPr>
                <w:rFonts w:ascii="Times New Roman" w:eastAsia="Times New Roman" w:hAnsi="Times New Roman" w:cs="Times New Roman"/>
                <w:sz w:val="24"/>
                <w:szCs w:val="24"/>
                <w:highlight w:val="white"/>
              </w:rPr>
              <w:t>]</w:t>
            </w:r>
          </w:p>
        </w:tc>
        <w:tc>
          <w:tcPr>
            <w:tcW w:w="1770" w:type="dxa"/>
            <w:shd w:val="clear" w:color="auto" w:fill="auto"/>
            <w:tcMar>
              <w:top w:w="15" w:type="dxa"/>
              <w:left w:w="108" w:type="dxa"/>
              <w:bottom w:w="0" w:type="dxa"/>
              <w:right w:w="108" w:type="dxa"/>
            </w:tcMar>
          </w:tcPr>
          <w:p w:rsidR="000A3797" w:rsidRDefault="00A660E7">
            <w:pPr>
              <w:shd w:val="clear" w:color="auto" w:fill="FFFFFF"/>
              <w:spacing w:after="0" w:line="240" w:lineRule="auto"/>
              <w:ind w:left="1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54(11)</w:t>
            </w:r>
          </w:p>
        </w:tc>
        <w:tc>
          <w:tcPr>
            <w:tcW w:w="2103" w:type="dxa"/>
            <w:shd w:val="clear" w:color="auto" w:fill="auto"/>
            <w:tcMar>
              <w:top w:w="15" w:type="dxa"/>
              <w:left w:w="108" w:type="dxa"/>
              <w:bottom w:w="0" w:type="dxa"/>
              <w:right w:w="108" w:type="dxa"/>
            </w:tcMar>
          </w:tcPr>
          <w:p w:rsidR="000A3797" w:rsidRDefault="00A660E7">
            <w:pPr>
              <w:shd w:val="clear" w:color="auto" w:fill="FFFFFF"/>
              <w:spacing w:after="0" w:line="240" w:lineRule="auto"/>
              <w:ind w:left="1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0(0)</w:t>
            </w:r>
          </w:p>
        </w:tc>
        <w:tc>
          <w:tcPr>
            <w:tcW w:w="1034" w:type="dxa"/>
            <w:shd w:val="clear" w:color="auto" w:fill="auto"/>
            <w:tcMar>
              <w:top w:w="15" w:type="dxa"/>
              <w:left w:w="108" w:type="dxa"/>
              <w:bottom w:w="0" w:type="dxa"/>
              <w:right w:w="108" w:type="dxa"/>
            </w:tcMar>
          </w:tcPr>
          <w:p w:rsidR="000A3797" w:rsidRDefault="00A660E7">
            <w:pPr>
              <w:shd w:val="clear" w:color="auto" w:fill="FFFFFF"/>
              <w:spacing w:after="0" w:line="240" w:lineRule="auto"/>
              <w:ind w:left="1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&lt;0,001</w:t>
            </w:r>
          </w:p>
        </w:tc>
      </w:tr>
      <w:tr w:rsidR="000A3797">
        <w:trPr>
          <w:trHeight w:val="321"/>
        </w:trPr>
        <w:tc>
          <w:tcPr>
            <w:tcW w:w="3877" w:type="dxa"/>
            <w:shd w:val="clear" w:color="auto" w:fill="auto"/>
            <w:tcMar>
              <w:top w:w="15" w:type="dxa"/>
              <w:left w:w="108" w:type="dxa"/>
              <w:bottom w:w="0" w:type="dxa"/>
              <w:right w:w="108" w:type="dxa"/>
            </w:tcMar>
          </w:tcPr>
          <w:p w:rsidR="000A3797" w:rsidRDefault="00A660E7">
            <w:pP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8.Нaрушение сна и бодрствования </w:t>
            </w:r>
            <w:r>
              <w:rPr>
                <w:rFonts w:ascii="Times New Roman" w:eastAsia="Times New Roman" w:hAnsi="Times New Roman" w:cs="Times New Roman"/>
                <w:sz w:val="24"/>
                <w:szCs w:val="24"/>
              </w:rPr>
              <w:t>[60</w:t>
            </w:r>
            <w:r>
              <w:rPr>
                <w:rFonts w:ascii="Times New Roman" w:eastAsia="Times New Roman" w:hAnsi="Times New Roman" w:cs="Times New Roman"/>
                <w:sz w:val="24"/>
                <w:szCs w:val="24"/>
                <w:highlight w:val="white"/>
              </w:rPr>
              <w:t>]</w:t>
            </w:r>
          </w:p>
        </w:tc>
        <w:tc>
          <w:tcPr>
            <w:tcW w:w="1770" w:type="dxa"/>
            <w:shd w:val="clear" w:color="auto" w:fill="auto"/>
            <w:tcMar>
              <w:top w:w="15" w:type="dxa"/>
              <w:left w:w="108" w:type="dxa"/>
              <w:bottom w:w="0" w:type="dxa"/>
              <w:right w:w="108" w:type="dxa"/>
            </w:tcMar>
          </w:tcPr>
          <w:p w:rsidR="000A3797" w:rsidRDefault="00A660E7">
            <w:pPr>
              <w:shd w:val="clear" w:color="auto" w:fill="FFFFFF"/>
              <w:spacing w:after="0" w:line="240" w:lineRule="auto"/>
              <w:ind w:left="1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30(6)</w:t>
            </w:r>
          </w:p>
        </w:tc>
        <w:tc>
          <w:tcPr>
            <w:tcW w:w="2103" w:type="dxa"/>
            <w:shd w:val="clear" w:color="auto" w:fill="auto"/>
            <w:tcMar>
              <w:top w:w="15" w:type="dxa"/>
              <w:left w:w="108" w:type="dxa"/>
              <w:bottom w:w="0" w:type="dxa"/>
              <w:right w:w="108" w:type="dxa"/>
            </w:tcMar>
          </w:tcPr>
          <w:p w:rsidR="000A3797" w:rsidRDefault="00A660E7">
            <w:pPr>
              <w:shd w:val="clear" w:color="auto" w:fill="FFFFFF"/>
              <w:spacing w:after="0" w:line="240" w:lineRule="auto"/>
              <w:ind w:left="1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 (4)</w:t>
            </w:r>
          </w:p>
        </w:tc>
        <w:tc>
          <w:tcPr>
            <w:tcW w:w="1034" w:type="dxa"/>
            <w:shd w:val="clear" w:color="auto" w:fill="auto"/>
            <w:tcMar>
              <w:top w:w="15" w:type="dxa"/>
              <w:left w:w="108" w:type="dxa"/>
              <w:bottom w:w="0" w:type="dxa"/>
              <w:right w:w="108" w:type="dxa"/>
            </w:tcMar>
          </w:tcPr>
          <w:p w:rsidR="000A3797" w:rsidRDefault="00A660E7">
            <w:pPr>
              <w:shd w:val="clear" w:color="auto" w:fill="FFFFFF"/>
              <w:spacing w:after="0" w:line="240" w:lineRule="auto"/>
              <w:ind w:left="1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&lt;0,001</w:t>
            </w:r>
          </w:p>
        </w:tc>
      </w:tr>
      <w:tr w:rsidR="000A3797">
        <w:trPr>
          <w:trHeight w:val="301"/>
        </w:trPr>
        <w:tc>
          <w:tcPr>
            <w:tcW w:w="3877" w:type="dxa"/>
            <w:shd w:val="clear" w:color="auto" w:fill="auto"/>
            <w:tcMar>
              <w:top w:w="15" w:type="dxa"/>
              <w:left w:w="108" w:type="dxa"/>
              <w:bottom w:w="0" w:type="dxa"/>
              <w:right w:w="108" w:type="dxa"/>
            </w:tcMar>
          </w:tcPr>
          <w:p w:rsidR="000A3797" w:rsidRDefault="00A660E7">
            <w:pP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9.Степень выраженности симптомов </w:t>
            </w:r>
            <w:r>
              <w:rPr>
                <w:rFonts w:ascii="Times New Roman" w:eastAsia="Times New Roman" w:hAnsi="Times New Roman" w:cs="Times New Roman"/>
                <w:sz w:val="24"/>
                <w:szCs w:val="24"/>
              </w:rPr>
              <w:t>[60</w:t>
            </w:r>
            <w:r>
              <w:rPr>
                <w:rFonts w:ascii="Times New Roman" w:eastAsia="Times New Roman" w:hAnsi="Times New Roman" w:cs="Times New Roman"/>
                <w:sz w:val="24"/>
                <w:szCs w:val="24"/>
                <w:highlight w:val="white"/>
              </w:rPr>
              <w:t>]</w:t>
            </w:r>
          </w:p>
        </w:tc>
        <w:tc>
          <w:tcPr>
            <w:tcW w:w="1770" w:type="dxa"/>
            <w:shd w:val="clear" w:color="auto" w:fill="auto"/>
            <w:tcMar>
              <w:top w:w="15" w:type="dxa"/>
              <w:left w:w="108" w:type="dxa"/>
              <w:bottom w:w="0" w:type="dxa"/>
              <w:right w:w="108" w:type="dxa"/>
            </w:tcMar>
          </w:tcPr>
          <w:p w:rsidR="000A3797" w:rsidRDefault="00A660E7">
            <w:pPr>
              <w:shd w:val="clear" w:color="auto" w:fill="FFFFFF"/>
              <w:spacing w:after="0" w:line="240" w:lineRule="auto"/>
              <w:ind w:left="1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69(14)</w:t>
            </w:r>
          </w:p>
        </w:tc>
        <w:tc>
          <w:tcPr>
            <w:tcW w:w="2103" w:type="dxa"/>
            <w:shd w:val="clear" w:color="auto" w:fill="auto"/>
            <w:tcMar>
              <w:top w:w="15" w:type="dxa"/>
              <w:left w:w="108" w:type="dxa"/>
              <w:bottom w:w="0" w:type="dxa"/>
              <w:right w:w="108" w:type="dxa"/>
            </w:tcMar>
          </w:tcPr>
          <w:p w:rsidR="000A3797" w:rsidRDefault="00A660E7">
            <w:pPr>
              <w:shd w:val="clear" w:color="auto" w:fill="FFFFFF"/>
              <w:spacing w:after="0" w:line="240" w:lineRule="auto"/>
              <w:ind w:left="1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 (2)</w:t>
            </w:r>
          </w:p>
        </w:tc>
        <w:tc>
          <w:tcPr>
            <w:tcW w:w="1034" w:type="dxa"/>
            <w:shd w:val="clear" w:color="auto" w:fill="auto"/>
            <w:tcMar>
              <w:top w:w="15" w:type="dxa"/>
              <w:left w:w="108" w:type="dxa"/>
              <w:bottom w:w="0" w:type="dxa"/>
              <w:right w:w="108" w:type="dxa"/>
            </w:tcMar>
          </w:tcPr>
          <w:p w:rsidR="000A3797" w:rsidRDefault="00A660E7">
            <w:pPr>
              <w:shd w:val="clear" w:color="auto" w:fill="FFFFFF"/>
              <w:spacing w:after="0" w:line="240" w:lineRule="auto"/>
              <w:ind w:left="1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&lt;0,001</w:t>
            </w:r>
          </w:p>
        </w:tc>
      </w:tr>
      <w:tr w:rsidR="000A3797">
        <w:trPr>
          <w:trHeight w:val="264"/>
        </w:trPr>
        <w:tc>
          <w:tcPr>
            <w:tcW w:w="3877" w:type="dxa"/>
            <w:shd w:val="clear" w:color="auto" w:fill="auto"/>
            <w:tcMar>
              <w:top w:w="15" w:type="dxa"/>
              <w:left w:w="108" w:type="dxa"/>
              <w:bottom w:w="0" w:type="dxa"/>
              <w:right w:w="108" w:type="dxa"/>
            </w:tcMar>
          </w:tcPr>
          <w:p w:rsidR="000A3797" w:rsidRDefault="00A660E7">
            <w:pP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Индекс оценки качества жизни </w:t>
            </w:r>
            <w:r>
              <w:rPr>
                <w:rFonts w:ascii="Times New Roman" w:eastAsia="Times New Roman" w:hAnsi="Times New Roman" w:cs="Times New Roman"/>
                <w:sz w:val="24"/>
                <w:szCs w:val="24"/>
              </w:rPr>
              <w:t>[60</w:t>
            </w:r>
            <w:r>
              <w:rPr>
                <w:rFonts w:ascii="Times New Roman" w:eastAsia="Times New Roman" w:hAnsi="Times New Roman" w:cs="Times New Roman"/>
                <w:sz w:val="24"/>
                <w:szCs w:val="24"/>
                <w:highlight w:val="white"/>
              </w:rPr>
              <w:t>]</w:t>
            </w:r>
          </w:p>
        </w:tc>
        <w:tc>
          <w:tcPr>
            <w:tcW w:w="1770" w:type="dxa"/>
            <w:shd w:val="clear" w:color="auto" w:fill="auto"/>
            <w:tcMar>
              <w:top w:w="15" w:type="dxa"/>
              <w:left w:w="108" w:type="dxa"/>
              <w:bottom w:w="0" w:type="dxa"/>
              <w:right w:w="108" w:type="dxa"/>
            </w:tcMar>
          </w:tcPr>
          <w:p w:rsidR="000A3797" w:rsidRDefault="00A660E7">
            <w:pPr>
              <w:shd w:val="clear" w:color="auto" w:fill="FFFFFF"/>
              <w:spacing w:after="0" w:line="240" w:lineRule="auto"/>
              <w:ind w:left="1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66(14)</w:t>
            </w:r>
          </w:p>
        </w:tc>
        <w:tc>
          <w:tcPr>
            <w:tcW w:w="2103" w:type="dxa"/>
            <w:shd w:val="clear" w:color="auto" w:fill="auto"/>
            <w:tcMar>
              <w:top w:w="15" w:type="dxa"/>
              <w:left w:w="108" w:type="dxa"/>
              <w:bottom w:w="0" w:type="dxa"/>
              <w:right w:w="108" w:type="dxa"/>
            </w:tcMar>
          </w:tcPr>
          <w:p w:rsidR="000A3797" w:rsidRDefault="00A660E7">
            <w:pPr>
              <w:shd w:val="clear" w:color="auto" w:fill="FFFFFF"/>
              <w:spacing w:after="0" w:line="240" w:lineRule="auto"/>
              <w:ind w:left="1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w:t>
            </w:r>
          </w:p>
        </w:tc>
        <w:tc>
          <w:tcPr>
            <w:tcW w:w="1034" w:type="dxa"/>
            <w:shd w:val="clear" w:color="auto" w:fill="auto"/>
            <w:tcMar>
              <w:top w:w="15" w:type="dxa"/>
              <w:left w:w="108" w:type="dxa"/>
              <w:bottom w:w="0" w:type="dxa"/>
              <w:right w:w="108" w:type="dxa"/>
            </w:tcMar>
          </w:tcPr>
          <w:p w:rsidR="000A3797" w:rsidRDefault="00A660E7">
            <w:pPr>
              <w:shd w:val="clear" w:color="auto" w:fill="FFFFFF"/>
              <w:spacing w:after="0" w:line="240" w:lineRule="auto"/>
              <w:ind w:left="1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&lt;0,001</w:t>
            </w:r>
          </w:p>
        </w:tc>
      </w:tr>
      <w:tr w:rsidR="000A3797">
        <w:trPr>
          <w:trHeight w:val="380"/>
        </w:trPr>
        <w:tc>
          <w:tcPr>
            <w:tcW w:w="8784" w:type="dxa"/>
            <w:gridSpan w:val="4"/>
            <w:shd w:val="clear" w:color="auto" w:fill="auto"/>
            <w:tcMar>
              <w:top w:w="15" w:type="dxa"/>
              <w:left w:w="108" w:type="dxa"/>
              <w:bottom w:w="0" w:type="dxa"/>
              <w:right w:w="108" w:type="dxa"/>
            </w:tcMar>
          </w:tcPr>
          <w:p w:rsidR="000A3797" w:rsidRDefault="00A660E7">
            <w:pPr>
              <w:shd w:val="clear" w:color="auto" w:fill="FFFFFF"/>
              <w:spacing w:after="0" w:line="240" w:lineRule="auto"/>
              <w:ind w:left="142"/>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Ме – медиана, ИКР – интерквартильный размах</w:t>
            </w:r>
          </w:p>
        </w:tc>
      </w:tr>
    </w:tbl>
    <w:p w:rsidR="000A3797" w:rsidRDefault="00A660E7">
      <w:pPr>
        <w:rPr>
          <w:rFonts w:ascii="Times New Roman" w:eastAsia="Times New Roman" w:hAnsi="Times New Roman" w:cs="Times New Roman"/>
          <w:sz w:val="28"/>
          <w:szCs w:val="28"/>
        </w:rPr>
      </w:pPr>
      <w:r>
        <w:rPr>
          <w:rFonts w:ascii="Times New Roman" w:eastAsia="Times New Roman" w:hAnsi="Times New Roman" w:cs="Times New Roman"/>
          <w:sz w:val="28"/>
          <w:szCs w:val="28"/>
        </w:rPr>
        <w:t>Продолжение таблицы 14</w:t>
      </w:r>
    </w:p>
    <w:p w:rsidR="000A3797" w:rsidRDefault="000A3797">
      <w:pPr>
        <w:spacing w:after="0" w:line="240" w:lineRule="auto"/>
        <w:jc w:val="both"/>
        <w:rPr>
          <w:rFonts w:ascii="Times New Roman" w:eastAsia="Times New Roman" w:hAnsi="Times New Roman" w:cs="Times New Roman"/>
          <w:b/>
          <w:sz w:val="28"/>
          <w:szCs w:val="28"/>
        </w:rPr>
      </w:pPr>
    </w:p>
    <w:p w:rsidR="000A3797" w:rsidRDefault="000A3797">
      <w:pPr>
        <w:spacing w:after="0" w:line="240" w:lineRule="auto"/>
        <w:ind w:left="142" w:firstLine="566"/>
        <w:jc w:val="both"/>
        <w:rPr>
          <w:rFonts w:ascii="Times New Roman" w:eastAsia="Times New Roman" w:hAnsi="Times New Roman" w:cs="Times New Roman"/>
          <w:sz w:val="28"/>
          <w:szCs w:val="28"/>
        </w:rPr>
      </w:pPr>
    </w:p>
    <w:p w:rsidR="000A3797" w:rsidRDefault="000A3797">
      <w:pPr>
        <w:spacing w:after="0" w:line="240" w:lineRule="auto"/>
        <w:ind w:left="142" w:firstLine="566"/>
        <w:jc w:val="both"/>
        <w:rPr>
          <w:rFonts w:ascii="Times New Roman" w:eastAsia="Times New Roman" w:hAnsi="Times New Roman" w:cs="Times New Roman"/>
          <w:sz w:val="28"/>
          <w:szCs w:val="28"/>
        </w:rPr>
      </w:pPr>
    </w:p>
    <w:p w:rsidR="000A3797" w:rsidRDefault="000A3797">
      <w:pPr>
        <w:spacing w:after="0" w:line="240" w:lineRule="auto"/>
        <w:ind w:left="142" w:firstLine="566"/>
        <w:jc w:val="both"/>
        <w:rPr>
          <w:rFonts w:ascii="Times New Roman" w:eastAsia="Times New Roman" w:hAnsi="Times New Roman" w:cs="Times New Roman"/>
          <w:sz w:val="28"/>
          <w:szCs w:val="28"/>
        </w:rPr>
      </w:pPr>
    </w:p>
    <w:p w:rsidR="000A3797" w:rsidRDefault="000A3797">
      <w:pPr>
        <w:spacing w:after="0" w:line="240" w:lineRule="auto"/>
        <w:ind w:left="142" w:firstLine="566"/>
        <w:jc w:val="both"/>
        <w:rPr>
          <w:rFonts w:ascii="Times New Roman" w:eastAsia="Times New Roman" w:hAnsi="Times New Roman" w:cs="Times New Roman"/>
          <w:sz w:val="28"/>
          <w:szCs w:val="28"/>
        </w:rPr>
      </w:pPr>
    </w:p>
    <w:p w:rsidR="000A3797" w:rsidRDefault="000A3797">
      <w:pPr>
        <w:spacing w:after="0" w:line="240" w:lineRule="auto"/>
        <w:ind w:left="142" w:firstLine="566"/>
        <w:jc w:val="both"/>
        <w:rPr>
          <w:rFonts w:ascii="Times New Roman" w:eastAsia="Times New Roman" w:hAnsi="Times New Roman" w:cs="Times New Roman"/>
          <w:sz w:val="28"/>
          <w:szCs w:val="28"/>
        </w:rPr>
      </w:pPr>
    </w:p>
    <w:p w:rsidR="000A3797" w:rsidRDefault="000A3797">
      <w:pPr>
        <w:spacing w:after="0" w:line="240" w:lineRule="auto"/>
        <w:ind w:left="142" w:firstLine="566"/>
        <w:jc w:val="both"/>
        <w:rPr>
          <w:rFonts w:ascii="Times New Roman" w:eastAsia="Times New Roman" w:hAnsi="Times New Roman" w:cs="Times New Roman"/>
          <w:sz w:val="28"/>
          <w:szCs w:val="28"/>
        </w:rPr>
      </w:pPr>
    </w:p>
    <w:p w:rsidR="000A3797" w:rsidRDefault="000A3797">
      <w:pPr>
        <w:spacing w:after="0" w:line="240" w:lineRule="auto"/>
        <w:ind w:left="142" w:firstLine="566"/>
        <w:jc w:val="both"/>
        <w:rPr>
          <w:rFonts w:ascii="Times New Roman" w:eastAsia="Times New Roman" w:hAnsi="Times New Roman" w:cs="Times New Roman"/>
          <w:sz w:val="28"/>
          <w:szCs w:val="28"/>
        </w:rPr>
      </w:pPr>
    </w:p>
    <w:p w:rsidR="000A3797" w:rsidRDefault="000A3797">
      <w:pPr>
        <w:spacing w:after="0" w:line="240" w:lineRule="auto"/>
        <w:ind w:left="142" w:firstLine="566"/>
        <w:jc w:val="both"/>
        <w:rPr>
          <w:rFonts w:ascii="Times New Roman" w:eastAsia="Times New Roman" w:hAnsi="Times New Roman" w:cs="Times New Roman"/>
          <w:sz w:val="28"/>
          <w:szCs w:val="28"/>
        </w:rPr>
      </w:pPr>
    </w:p>
    <w:p w:rsidR="000A3797" w:rsidRDefault="00A660E7">
      <w:pPr>
        <w:spacing w:after="0" w:line="240" w:lineRule="auto"/>
        <w:ind w:left="142"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Обсуждение результатов 3.2.1</w:t>
      </w:r>
    </w:p>
    <w:p w:rsidR="000A3797" w:rsidRDefault="000A3797">
      <w:pPr>
        <w:spacing w:after="0" w:line="240" w:lineRule="auto"/>
        <w:ind w:firstLine="142"/>
        <w:jc w:val="both"/>
        <w:rPr>
          <w:rFonts w:ascii="Times New Roman" w:eastAsia="Times New Roman" w:hAnsi="Times New Roman" w:cs="Times New Roman"/>
          <w:sz w:val="28"/>
          <w:szCs w:val="28"/>
        </w:rPr>
      </w:pPr>
    </w:p>
    <w:p w:rsidR="000A3797" w:rsidRDefault="00A660E7">
      <w:pPr>
        <w:spacing w:after="0" w:line="240" w:lineRule="auto"/>
        <w:ind w:firstLine="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Казахстанская версия опросника P-QoL продемонстрировала высокую надежность и внутреннюю согласованность, а также оказалась простой для восприятия людьми без медицинского образования. Среднее время на заполнение составило 10,1 минуты, и после адаптации труд</w:t>
      </w:r>
      <w:r>
        <w:rPr>
          <w:rFonts w:ascii="Times New Roman" w:eastAsia="Times New Roman" w:hAnsi="Times New Roman" w:cs="Times New Roman"/>
          <w:sz w:val="28"/>
          <w:szCs w:val="28"/>
        </w:rPr>
        <w:t>ностей с пониманием не возникало. Корреляция между субъективной оценкой пациента и суммарным индексом качества жизни показала более высокую (сильную) связь, чем корреляция с объективной оценкой при гинекологическом осмотре (средняя корреляция). Это указыва</w:t>
      </w:r>
      <w:r>
        <w:rPr>
          <w:rFonts w:ascii="Times New Roman" w:eastAsia="Times New Roman" w:hAnsi="Times New Roman" w:cs="Times New Roman"/>
          <w:sz w:val="28"/>
          <w:szCs w:val="28"/>
        </w:rPr>
        <w:t>ет на хорошую выявляемость симптомов, когда они действительно присутствуют, что делает опросник эффективным инструментом для оценки состояния пациента. Однако использовать опросник для выявления рецидива ГП без объективного осмотра не рекомендуется, как по</w:t>
      </w:r>
      <w:r>
        <w:rPr>
          <w:rFonts w:ascii="Times New Roman" w:eastAsia="Times New Roman" w:hAnsi="Times New Roman" w:cs="Times New Roman"/>
          <w:sz w:val="28"/>
          <w:szCs w:val="28"/>
        </w:rPr>
        <w:t>казал анализ при начальных бессимптомных стадиях качество жизни не меняется.</w:t>
      </w:r>
    </w:p>
    <w:p w:rsidR="000A3797" w:rsidRDefault="00A660E7">
      <w:pPr>
        <w:spacing w:after="0" w:line="240" w:lineRule="auto"/>
        <w:ind w:firstLine="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Автоматизированная версия опросника P-QoL дополнительно упрощает процесс: она позволяет интерпретировать результаты за полминуты, автоматически рассчитывая баллы, что устраняет не</w:t>
      </w:r>
      <w:r>
        <w:rPr>
          <w:rFonts w:ascii="Times New Roman" w:eastAsia="Times New Roman" w:hAnsi="Times New Roman" w:cs="Times New Roman"/>
          <w:sz w:val="28"/>
          <w:szCs w:val="28"/>
        </w:rPr>
        <w:t>обходимость в ручных вычислениях и повышает скорость анализа. Рекомендуется индивидуальная интерпретация, так как незначительные симптомы могут восприниматься пациентами как более выраженные. Даже небольшие отклонения от нормы в доменах симптомов (2, 3 и 9</w:t>
      </w:r>
      <w:r>
        <w:rPr>
          <w:rFonts w:ascii="Times New Roman" w:eastAsia="Times New Roman" w:hAnsi="Times New Roman" w:cs="Times New Roman"/>
          <w:sz w:val="28"/>
          <w:szCs w:val="28"/>
        </w:rPr>
        <w:t>) требуют внимания и могут служить основанием для наблюдения и назначения лечебно-профилактических мероприятий.</w:t>
      </w:r>
    </w:p>
    <w:p w:rsidR="000A3797" w:rsidRDefault="000A3797">
      <w:pPr>
        <w:spacing w:after="0" w:line="240" w:lineRule="auto"/>
        <w:ind w:firstLine="142"/>
        <w:jc w:val="both"/>
        <w:rPr>
          <w:rFonts w:ascii="Times New Roman" w:eastAsia="Times New Roman" w:hAnsi="Times New Roman" w:cs="Times New Roman"/>
          <w:sz w:val="28"/>
          <w:szCs w:val="28"/>
        </w:rPr>
      </w:pPr>
    </w:p>
    <w:p w:rsidR="000A3797" w:rsidRDefault="00A660E7">
      <w:pPr>
        <w:numPr>
          <w:ilvl w:val="1"/>
          <w:numId w:val="14"/>
        </w:num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Результаты динамического мониторинга пациентов после операции по поводу генитального пролапса</w:t>
      </w:r>
    </w:p>
    <w:p w:rsidR="000A3797" w:rsidRDefault="00A660E7">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3.3.1Влияние динамического мониторинга после операции в амбулаторных условиях на формирование рецидива и качество жизни пациентов с генитальным пролапсом </w:t>
      </w:r>
    </w:p>
    <w:p w:rsidR="000A3797" w:rsidRDefault="00A660E7">
      <w:pPr>
        <w:spacing w:after="0" w:line="240" w:lineRule="auto"/>
        <w:ind w:left="142" w:firstLine="21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Обе группы (основная группа с мониторингом и контрольная группа) были сопоставимы по возрасту (р=0.360), периоду менопаузы (р=0.391), количеству родов (р=0.360), (Таблица 15) </w:t>
      </w:r>
      <w:r>
        <w:rPr>
          <w:rFonts w:ascii="Times New Roman" w:eastAsia="Times New Roman" w:hAnsi="Times New Roman" w:cs="Times New Roman"/>
          <w:sz w:val="28"/>
          <w:szCs w:val="28"/>
          <w:highlight w:val="white"/>
        </w:rPr>
        <w:t>[198,стр. 1242].</w:t>
      </w:r>
      <w:r>
        <w:rPr>
          <w:rFonts w:ascii="Times New Roman" w:eastAsia="Times New Roman" w:hAnsi="Times New Roman" w:cs="Times New Roman"/>
          <w:sz w:val="28"/>
          <w:szCs w:val="28"/>
        </w:rPr>
        <w:t xml:space="preserve"> Наличие и степень родового травматизма в анамнезе статистически </w:t>
      </w:r>
      <w:r>
        <w:rPr>
          <w:rFonts w:ascii="Times New Roman" w:eastAsia="Times New Roman" w:hAnsi="Times New Roman" w:cs="Times New Roman"/>
          <w:sz w:val="28"/>
          <w:szCs w:val="28"/>
        </w:rPr>
        <w:t xml:space="preserve">значимо различалась, сила взаимосвязи средняя (р&lt;0.001) (Таблица 15). Структура стадии пролапса до операции статистически не различалась между группами, сила взаимосвязи слабая (p=0.550) (Таблица 15) </w:t>
      </w:r>
      <w:r>
        <w:rPr>
          <w:rFonts w:ascii="Times New Roman" w:eastAsia="Times New Roman" w:hAnsi="Times New Roman" w:cs="Times New Roman"/>
          <w:sz w:val="28"/>
          <w:szCs w:val="28"/>
          <w:highlight w:val="white"/>
        </w:rPr>
        <w:t>[198,стр. 1242]</w:t>
      </w:r>
      <w:r>
        <w:rPr>
          <w:rFonts w:ascii="Times New Roman" w:eastAsia="Times New Roman" w:hAnsi="Times New Roman" w:cs="Times New Roman"/>
          <w:sz w:val="28"/>
          <w:szCs w:val="28"/>
        </w:rPr>
        <w:t xml:space="preserve">. Несмотря на критерии включения, группы </w:t>
      </w:r>
      <w:r>
        <w:rPr>
          <w:rFonts w:ascii="Times New Roman" w:eastAsia="Times New Roman" w:hAnsi="Times New Roman" w:cs="Times New Roman"/>
          <w:sz w:val="28"/>
          <w:szCs w:val="28"/>
        </w:rPr>
        <w:t>все же статистически значимо различались между собой по комбинации применяемых хирургическим методам лечения сила взаимосвязи средняя (р&lt;0.001) и использованию сетчатых протезов, в основной группе 96,2 % в основной, против 83,3% (р&lt;0.001) (Таблица 15). В о</w:t>
      </w:r>
      <w:r>
        <w:rPr>
          <w:rFonts w:ascii="Times New Roman" w:eastAsia="Times New Roman" w:hAnsi="Times New Roman" w:cs="Times New Roman"/>
          <w:sz w:val="28"/>
          <w:szCs w:val="28"/>
        </w:rPr>
        <w:t>сновной группе все пациенты придерживались кратности посещения 1 раз в 6 месяцев, в контрольной группе в 36% случаях пациенты ни разу не были после операции у гинеколога и в 64% посещали менее 1 раза в год при сильной силе взаимосвязи (р&lt;0.001) (Таблица 15</w:t>
      </w:r>
      <w:r>
        <w:rPr>
          <w:rFonts w:ascii="Times New Roman" w:eastAsia="Times New Roman" w:hAnsi="Times New Roman" w:cs="Times New Roman"/>
          <w:sz w:val="28"/>
          <w:szCs w:val="28"/>
        </w:rPr>
        <w:t xml:space="preserve">).  Реабилитационные мероприятия для укрепления мышц тазового дна статистически значимо чаще выполняли в основной группе (упражнения и миостимуляция, р&lt;0.001) (Таблица 15), однако регулярное выполнение отмечалось только в 21.4% случаях, что имело обратную </w:t>
      </w:r>
      <w:r>
        <w:rPr>
          <w:rFonts w:ascii="Times New Roman" w:eastAsia="Times New Roman" w:hAnsi="Times New Roman" w:cs="Times New Roman"/>
          <w:sz w:val="28"/>
          <w:szCs w:val="28"/>
        </w:rPr>
        <w:t>статистически значимую заметную корреляционную связь по шкале Чеддока с возрастом, чем старше был возраст, тем меньше приверженности к выполнению упражнений r</w:t>
      </w:r>
      <w:r>
        <w:rPr>
          <w:rFonts w:ascii="Times New Roman" w:eastAsia="Times New Roman" w:hAnsi="Times New Roman" w:cs="Times New Roman"/>
          <w:sz w:val="28"/>
          <w:szCs w:val="28"/>
          <w:vertAlign w:val="subscript"/>
        </w:rPr>
        <w:t>xy</w:t>
      </w:r>
      <w:r>
        <w:rPr>
          <w:rFonts w:ascii="Times New Roman" w:eastAsia="Times New Roman" w:hAnsi="Times New Roman" w:cs="Times New Roman"/>
          <w:sz w:val="28"/>
          <w:szCs w:val="28"/>
        </w:rPr>
        <w:t xml:space="preserve">=(-)0.720 (р&lt;0.001), (Таблица 15) </w:t>
      </w:r>
      <w:r>
        <w:rPr>
          <w:rFonts w:ascii="Times New Roman" w:eastAsia="Times New Roman" w:hAnsi="Times New Roman" w:cs="Times New Roman"/>
          <w:sz w:val="28"/>
          <w:szCs w:val="28"/>
          <w:highlight w:val="white"/>
        </w:rPr>
        <w:t>[198,стр. 1242]</w:t>
      </w:r>
      <w:r>
        <w:rPr>
          <w:rFonts w:ascii="Times New Roman" w:eastAsia="Times New Roman" w:hAnsi="Times New Roman" w:cs="Times New Roman"/>
          <w:sz w:val="28"/>
          <w:szCs w:val="28"/>
        </w:rPr>
        <w:t>.  В результате динамического мониторинга, мы д</w:t>
      </w:r>
      <w:r>
        <w:rPr>
          <w:rFonts w:ascii="Times New Roman" w:eastAsia="Times New Roman" w:hAnsi="Times New Roman" w:cs="Times New Roman"/>
          <w:sz w:val="28"/>
          <w:szCs w:val="28"/>
        </w:rPr>
        <w:t>остигли того, что уменьшили воздействие факторов риска, в основной группе по сравнению с контрольной, влияние факторов риска статистически значимо отличается от контрольной группы, этим и объясняется такой высокий уровень рецидива среди пациентов, наблюдае</w:t>
      </w:r>
      <w:r>
        <w:rPr>
          <w:rFonts w:ascii="Times New Roman" w:eastAsia="Times New Roman" w:hAnsi="Times New Roman" w:cs="Times New Roman"/>
          <w:sz w:val="28"/>
          <w:szCs w:val="28"/>
        </w:rPr>
        <w:t>мых в организациях ПМСП (Таблица 17). В 97,5% случаях пациенты основной группы не поднимали тяжесть более 5 кг, в контрольной группе только в 66,7%. Ме и ИКР поднятия тяжести составила в группе мониторинга 3,0 (0), против - 4,0 (4), в контрольной (р&lt;0.001)</w:t>
      </w:r>
      <w:r>
        <w:rPr>
          <w:rFonts w:ascii="Times New Roman" w:eastAsia="Times New Roman" w:hAnsi="Times New Roman" w:cs="Times New Roman"/>
          <w:sz w:val="28"/>
          <w:szCs w:val="28"/>
        </w:rPr>
        <w:t xml:space="preserve">, (Таблица 15).  94,8% пациентов перестали употреблять сахар более 25 грамм в день, по сравнению с контрольной группой, где 43,3% превышали суточную норму употребления сахара (р&lt;0.001), (Таблица 15).  Пациенты основной группы придерживались суточной нормы </w:t>
      </w:r>
      <w:r>
        <w:rPr>
          <w:rFonts w:ascii="Times New Roman" w:eastAsia="Times New Roman" w:hAnsi="Times New Roman" w:cs="Times New Roman"/>
          <w:sz w:val="28"/>
          <w:szCs w:val="28"/>
        </w:rPr>
        <w:t>употребления белковой пищи 94,8%, тогда как более 50 % пациентов контрольной группы либо не придерживаются суточной нормы, либо употребляют в редких случаях, различия статистически значимы (р&lt;0.001), (Таблица 15).  Ме и ИКР индекса массы тела в основной гр</w:t>
      </w:r>
      <w:r>
        <w:rPr>
          <w:rFonts w:ascii="Times New Roman" w:eastAsia="Times New Roman" w:hAnsi="Times New Roman" w:cs="Times New Roman"/>
          <w:sz w:val="28"/>
          <w:szCs w:val="28"/>
        </w:rPr>
        <w:t>уппе была статистически значимо меньше 25,15 (2,98) против 26,7 (4,28) (р&lt;0.001), отмечались различия как в повышении массы тела после операции, что чаще встречалось в контрольной группе (6,8% случаев), против 0,47% в основной (р=0,010), так и в снижении м</w:t>
      </w:r>
      <w:r>
        <w:rPr>
          <w:rFonts w:ascii="Times New Roman" w:eastAsia="Times New Roman" w:hAnsi="Times New Roman" w:cs="Times New Roman"/>
          <w:sz w:val="28"/>
          <w:szCs w:val="28"/>
        </w:rPr>
        <w:t>ассы тела в основной группе, но не более 5 кг почти в 20% случаях (р&lt;0.001). В 99,5% случаях в основной группе удалось добиться снижения влияние заболеваний, сопровождаемых длительным кашлем, благодаря междисциплинарному подходу с привлечением других профи</w:t>
      </w:r>
      <w:r>
        <w:rPr>
          <w:rFonts w:ascii="Times New Roman" w:eastAsia="Times New Roman" w:hAnsi="Times New Roman" w:cs="Times New Roman"/>
          <w:sz w:val="28"/>
          <w:szCs w:val="28"/>
        </w:rPr>
        <w:t>льных специалистов, тогда как в контрольной группе этот фактор встречался в 20% случаях, различия статистически значимо (р&lt;0.001), а также в основной группе в 94,5% случаях пациентки не курили, из них некоторые отказались от курения или стали реже курить в</w:t>
      </w:r>
      <w:r>
        <w:rPr>
          <w:rFonts w:ascii="Times New Roman" w:eastAsia="Times New Roman" w:hAnsi="Times New Roman" w:cs="Times New Roman"/>
          <w:sz w:val="28"/>
          <w:szCs w:val="28"/>
        </w:rPr>
        <w:t xml:space="preserve"> 5,7% случаях, тогда как в контрольной группе 25 % респондентов были курящими, различия статистически значимы (р&lt;0.001), сила взаимосвязи сильная ( V-Крамера = 0,512). В результате коррекции лечебных мероприятий, в рузельтате междисциплинарного подхода, у </w:t>
      </w:r>
      <w:r>
        <w:rPr>
          <w:rFonts w:ascii="Times New Roman" w:eastAsia="Times New Roman" w:hAnsi="Times New Roman" w:cs="Times New Roman"/>
          <w:sz w:val="28"/>
          <w:szCs w:val="28"/>
        </w:rPr>
        <w:t>94,8% нормализовался стул, что по сравнению с контрольной группой, где запоры встречались в 29,8% случаях (р&lt;0.001). В контрольной группе фактор тяжелого физического труда встречался в 20% случаях, тогда как в основной все соблюдали режим физической нагруз</w:t>
      </w:r>
      <w:r>
        <w:rPr>
          <w:rFonts w:ascii="Times New Roman" w:eastAsia="Times New Roman" w:hAnsi="Times New Roman" w:cs="Times New Roman"/>
          <w:sz w:val="28"/>
          <w:szCs w:val="28"/>
        </w:rPr>
        <w:t xml:space="preserve">ки (р&lt;0.001) (таблица 15). </w:t>
      </w:r>
    </w:p>
    <w:p w:rsidR="000A3797" w:rsidRDefault="000A3797">
      <w:pPr>
        <w:spacing w:after="0" w:line="240" w:lineRule="auto"/>
        <w:jc w:val="both"/>
        <w:rPr>
          <w:rFonts w:ascii="Times New Roman" w:eastAsia="Times New Roman" w:hAnsi="Times New Roman" w:cs="Times New Roman"/>
          <w:sz w:val="28"/>
          <w:szCs w:val="28"/>
        </w:rPr>
      </w:pPr>
    </w:p>
    <w:p w:rsidR="000A3797" w:rsidRDefault="00A660E7">
      <w:pPr>
        <w:spacing w:after="0" w:line="240" w:lineRule="auto"/>
        <w:ind w:left="142"/>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15 - Данные анамнеза и факторы риска</w:t>
      </w:r>
    </w:p>
    <w:p w:rsidR="000A3797" w:rsidRDefault="000A3797">
      <w:pPr>
        <w:spacing w:after="0" w:line="240" w:lineRule="auto"/>
        <w:ind w:left="142"/>
        <w:jc w:val="both"/>
        <w:rPr>
          <w:rFonts w:ascii="Times New Roman" w:eastAsia="Times New Roman" w:hAnsi="Times New Roman" w:cs="Times New Roman"/>
          <w:sz w:val="24"/>
          <w:szCs w:val="24"/>
        </w:rPr>
      </w:pPr>
    </w:p>
    <w:tbl>
      <w:tblPr>
        <w:tblStyle w:val="af9"/>
        <w:tblW w:w="902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87"/>
        <w:gridCol w:w="1797"/>
        <w:gridCol w:w="635"/>
        <w:gridCol w:w="836"/>
        <w:gridCol w:w="773"/>
        <w:gridCol w:w="14"/>
        <w:gridCol w:w="838"/>
        <w:gridCol w:w="1252"/>
        <w:gridCol w:w="997"/>
      </w:tblGrid>
      <w:tr w:rsidR="000A3797">
        <w:trPr>
          <w:trHeight w:val="211"/>
        </w:trPr>
        <w:tc>
          <w:tcPr>
            <w:tcW w:w="1887"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Оцениваемый критерий</w:t>
            </w:r>
          </w:p>
        </w:tc>
        <w:tc>
          <w:tcPr>
            <w:tcW w:w="1797"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Мера оценки</w:t>
            </w:r>
          </w:p>
        </w:tc>
        <w:tc>
          <w:tcPr>
            <w:tcW w:w="1471" w:type="dxa"/>
            <w:gridSpan w:val="2"/>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Основная группа</w:t>
            </w:r>
          </w:p>
        </w:tc>
        <w:tc>
          <w:tcPr>
            <w:tcW w:w="1625" w:type="dxa"/>
            <w:gridSpan w:val="3"/>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группа N (%)</w:t>
            </w:r>
          </w:p>
        </w:tc>
        <w:tc>
          <w:tcPr>
            <w:tcW w:w="1252"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p-value</w:t>
            </w:r>
          </w:p>
        </w:tc>
        <w:tc>
          <w:tcPr>
            <w:tcW w:w="997"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Effect size</w:t>
            </w:r>
          </w:p>
        </w:tc>
      </w:tr>
      <w:tr w:rsidR="000A3797">
        <w:trPr>
          <w:trHeight w:val="210"/>
        </w:trPr>
        <w:tc>
          <w:tcPr>
            <w:tcW w:w="1887"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97"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635"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87" w:type="dxa"/>
            <w:gridSpan w:val="2"/>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w:t>
            </w:r>
          </w:p>
        </w:tc>
        <w:tc>
          <w:tcPr>
            <w:tcW w:w="838"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25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997"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rPr>
          <w:trHeight w:val="210"/>
        </w:trPr>
        <w:tc>
          <w:tcPr>
            <w:tcW w:w="188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79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635"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787" w:type="dxa"/>
            <w:gridSpan w:val="2"/>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838"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252"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99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r>
      <w:tr w:rsidR="000A3797">
        <w:tc>
          <w:tcPr>
            <w:tcW w:w="1887"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Менопауза</w:t>
            </w:r>
          </w:p>
        </w:tc>
        <w:tc>
          <w:tcPr>
            <w:tcW w:w="179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635"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52 </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24,8%</w:t>
            </w:r>
          </w:p>
        </w:tc>
        <w:tc>
          <w:tcPr>
            <w:tcW w:w="787" w:type="dxa"/>
            <w:gridSpan w:val="2"/>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23 </w:t>
            </w:r>
          </w:p>
        </w:tc>
        <w:tc>
          <w:tcPr>
            <w:tcW w:w="838"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25,6%</w:t>
            </w:r>
          </w:p>
        </w:tc>
        <w:tc>
          <w:tcPr>
            <w:tcW w:w="1252"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0.391***</w:t>
            </w:r>
          </w:p>
        </w:tc>
        <w:tc>
          <w:tcPr>
            <w:tcW w:w="997"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0.100**</w:t>
            </w:r>
          </w:p>
        </w:tc>
      </w:tr>
      <w:tr w:rsidR="000A3797">
        <w:tc>
          <w:tcPr>
            <w:tcW w:w="1887"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9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год и менее</w:t>
            </w:r>
          </w:p>
        </w:tc>
        <w:tc>
          <w:tcPr>
            <w:tcW w:w="635"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28 </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13,3%</w:t>
            </w:r>
          </w:p>
        </w:tc>
        <w:tc>
          <w:tcPr>
            <w:tcW w:w="787" w:type="dxa"/>
            <w:gridSpan w:val="2"/>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10 </w:t>
            </w:r>
          </w:p>
        </w:tc>
        <w:tc>
          <w:tcPr>
            <w:tcW w:w="838"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11,1%</w:t>
            </w:r>
          </w:p>
        </w:tc>
        <w:tc>
          <w:tcPr>
            <w:tcW w:w="125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997"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887"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9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Более 1 года до 5 лет</w:t>
            </w:r>
          </w:p>
        </w:tc>
        <w:tc>
          <w:tcPr>
            <w:tcW w:w="635"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19 </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787" w:type="dxa"/>
            <w:gridSpan w:val="2"/>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14 </w:t>
            </w:r>
          </w:p>
        </w:tc>
        <w:tc>
          <w:tcPr>
            <w:tcW w:w="838"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15,6%</w:t>
            </w:r>
          </w:p>
        </w:tc>
        <w:tc>
          <w:tcPr>
            <w:tcW w:w="125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997"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887"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9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Более 5 лет</w:t>
            </w:r>
          </w:p>
        </w:tc>
        <w:tc>
          <w:tcPr>
            <w:tcW w:w="635"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111 </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52,9%</w:t>
            </w:r>
          </w:p>
        </w:tc>
        <w:tc>
          <w:tcPr>
            <w:tcW w:w="787" w:type="dxa"/>
            <w:gridSpan w:val="2"/>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43 </w:t>
            </w:r>
          </w:p>
        </w:tc>
        <w:tc>
          <w:tcPr>
            <w:tcW w:w="838"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47,8%</w:t>
            </w:r>
          </w:p>
        </w:tc>
        <w:tc>
          <w:tcPr>
            <w:tcW w:w="125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997"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887"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Родовой травматизм</w:t>
            </w:r>
          </w:p>
        </w:tc>
        <w:tc>
          <w:tcPr>
            <w:tcW w:w="179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635"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35 </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16,7%</w:t>
            </w:r>
          </w:p>
        </w:tc>
        <w:tc>
          <w:tcPr>
            <w:tcW w:w="787" w:type="dxa"/>
            <w:gridSpan w:val="2"/>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49 </w:t>
            </w:r>
          </w:p>
        </w:tc>
        <w:tc>
          <w:tcPr>
            <w:tcW w:w="838"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54,4%</w:t>
            </w:r>
          </w:p>
        </w:tc>
        <w:tc>
          <w:tcPr>
            <w:tcW w:w="1252"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997"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0.387 **</w:t>
            </w:r>
          </w:p>
        </w:tc>
      </w:tr>
      <w:tr w:rsidR="000A3797">
        <w:tc>
          <w:tcPr>
            <w:tcW w:w="1887"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9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степень</w:t>
            </w:r>
          </w:p>
        </w:tc>
        <w:tc>
          <w:tcPr>
            <w:tcW w:w="635"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72 </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34,7%</w:t>
            </w:r>
          </w:p>
        </w:tc>
        <w:tc>
          <w:tcPr>
            <w:tcW w:w="787" w:type="dxa"/>
            <w:gridSpan w:val="2"/>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20 </w:t>
            </w:r>
          </w:p>
        </w:tc>
        <w:tc>
          <w:tcPr>
            <w:tcW w:w="838"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22,2%</w:t>
            </w:r>
          </w:p>
        </w:tc>
        <w:tc>
          <w:tcPr>
            <w:tcW w:w="125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997"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887"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9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степень</w:t>
            </w:r>
          </w:p>
        </w:tc>
        <w:tc>
          <w:tcPr>
            <w:tcW w:w="635"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59 </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28,1%</w:t>
            </w:r>
          </w:p>
        </w:tc>
        <w:tc>
          <w:tcPr>
            <w:tcW w:w="787" w:type="dxa"/>
            <w:gridSpan w:val="2"/>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838"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13,3%</w:t>
            </w:r>
          </w:p>
        </w:tc>
        <w:tc>
          <w:tcPr>
            <w:tcW w:w="125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997"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887"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9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степень</w:t>
            </w:r>
          </w:p>
        </w:tc>
        <w:tc>
          <w:tcPr>
            <w:tcW w:w="635"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41 </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19,5%</w:t>
            </w:r>
          </w:p>
        </w:tc>
        <w:tc>
          <w:tcPr>
            <w:tcW w:w="787" w:type="dxa"/>
            <w:gridSpan w:val="2"/>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838"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125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997"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887"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Стадия пролапса до</w:t>
            </w:r>
          </w:p>
        </w:tc>
        <w:tc>
          <w:tcPr>
            <w:tcW w:w="179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степень</w:t>
            </w:r>
          </w:p>
        </w:tc>
        <w:tc>
          <w:tcPr>
            <w:tcW w:w="635"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24 </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11,4%</w:t>
            </w:r>
          </w:p>
        </w:tc>
        <w:tc>
          <w:tcPr>
            <w:tcW w:w="787" w:type="dxa"/>
            <w:gridSpan w:val="2"/>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838"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15,6%</w:t>
            </w:r>
          </w:p>
        </w:tc>
        <w:tc>
          <w:tcPr>
            <w:tcW w:w="1252"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0.550*</w:t>
            </w:r>
          </w:p>
        </w:tc>
        <w:tc>
          <w:tcPr>
            <w:tcW w:w="997"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0.063 **</w:t>
            </w:r>
          </w:p>
        </w:tc>
      </w:tr>
      <w:tr w:rsidR="000A3797">
        <w:tc>
          <w:tcPr>
            <w:tcW w:w="1887"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9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степень</w:t>
            </w:r>
          </w:p>
        </w:tc>
        <w:tc>
          <w:tcPr>
            <w:tcW w:w="635"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152 </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72,4%</w:t>
            </w:r>
          </w:p>
        </w:tc>
        <w:tc>
          <w:tcPr>
            <w:tcW w:w="773"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64</w:t>
            </w:r>
          </w:p>
        </w:tc>
        <w:tc>
          <w:tcPr>
            <w:tcW w:w="852" w:type="dxa"/>
            <w:gridSpan w:val="2"/>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71,1%</w:t>
            </w:r>
          </w:p>
        </w:tc>
        <w:tc>
          <w:tcPr>
            <w:tcW w:w="125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997"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887"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9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степень</w:t>
            </w:r>
          </w:p>
        </w:tc>
        <w:tc>
          <w:tcPr>
            <w:tcW w:w="635"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34 </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16,2%</w:t>
            </w:r>
          </w:p>
        </w:tc>
        <w:tc>
          <w:tcPr>
            <w:tcW w:w="773"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852" w:type="dxa"/>
            <w:gridSpan w:val="2"/>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13,3%</w:t>
            </w:r>
          </w:p>
        </w:tc>
        <w:tc>
          <w:tcPr>
            <w:tcW w:w="125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997"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887"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Регулярность осмотра</w:t>
            </w:r>
          </w:p>
        </w:tc>
        <w:tc>
          <w:tcPr>
            <w:tcW w:w="179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раз в 6 месяцев</w:t>
            </w:r>
          </w:p>
        </w:tc>
        <w:tc>
          <w:tcPr>
            <w:tcW w:w="635"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210</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773"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852" w:type="dxa"/>
            <w:gridSpan w:val="2"/>
          </w:tcPr>
          <w:p w:rsidR="000A3797" w:rsidRDefault="000A3797">
            <w:pPr>
              <w:jc w:val="both"/>
              <w:rPr>
                <w:rFonts w:ascii="Times New Roman" w:eastAsia="Times New Roman" w:hAnsi="Times New Roman" w:cs="Times New Roman"/>
                <w:sz w:val="24"/>
                <w:szCs w:val="24"/>
              </w:rPr>
            </w:pPr>
          </w:p>
        </w:tc>
        <w:tc>
          <w:tcPr>
            <w:tcW w:w="1252"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997"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0,683**</w:t>
            </w:r>
          </w:p>
        </w:tc>
      </w:tr>
      <w:tr w:rsidR="000A3797">
        <w:tc>
          <w:tcPr>
            <w:tcW w:w="1887"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9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Менее 1 раза в год</w:t>
            </w:r>
          </w:p>
        </w:tc>
        <w:tc>
          <w:tcPr>
            <w:tcW w:w="635"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73"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57</w:t>
            </w:r>
          </w:p>
        </w:tc>
        <w:tc>
          <w:tcPr>
            <w:tcW w:w="852" w:type="dxa"/>
            <w:gridSpan w:val="2"/>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63%</w:t>
            </w:r>
          </w:p>
        </w:tc>
        <w:tc>
          <w:tcPr>
            <w:tcW w:w="125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997"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887"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9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 наблюдались</w:t>
            </w:r>
          </w:p>
        </w:tc>
        <w:tc>
          <w:tcPr>
            <w:tcW w:w="635"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73"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33</w:t>
            </w:r>
          </w:p>
        </w:tc>
        <w:tc>
          <w:tcPr>
            <w:tcW w:w="852" w:type="dxa"/>
            <w:gridSpan w:val="2"/>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36%</w:t>
            </w:r>
          </w:p>
        </w:tc>
        <w:tc>
          <w:tcPr>
            <w:tcW w:w="125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997"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887"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операция</w:t>
            </w:r>
          </w:p>
        </w:tc>
        <w:tc>
          <w:tcPr>
            <w:tcW w:w="179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ПФ+ ППВ +ЗПВ</w:t>
            </w:r>
          </w:p>
        </w:tc>
        <w:tc>
          <w:tcPr>
            <w:tcW w:w="635"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58 </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27,6%</w:t>
            </w:r>
          </w:p>
        </w:tc>
        <w:tc>
          <w:tcPr>
            <w:tcW w:w="773"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852" w:type="dxa"/>
            <w:gridSpan w:val="2"/>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23,3%</w:t>
            </w:r>
          </w:p>
        </w:tc>
        <w:tc>
          <w:tcPr>
            <w:tcW w:w="1252"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997"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0.313 **</w:t>
            </w:r>
          </w:p>
        </w:tc>
      </w:tr>
      <w:tr w:rsidR="000A3797">
        <w:tc>
          <w:tcPr>
            <w:tcW w:w="1887"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9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ПФ + ПС+ЗПВ</w:t>
            </w:r>
          </w:p>
        </w:tc>
        <w:tc>
          <w:tcPr>
            <w:tcW w:w="635"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82 </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39%</w:t>
            </w:r>
          </w:p>
        </w:tc>
        <w:tc>
          <w:tcPr>
            <w:tcW w:w="773"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15 </w:t>
            </w:r>
          </w:p>
        </w:tc>
        <w:tc>
          <w:tcPr>
            <w:tcW w:w="852" w:type="dxa"/>
            <w:gridSpan w:val="2"/>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16,7%</w:t>
            </w:r>
          </w:p>
        </w:tc>
        <w:tc>
          <w:tcPr>
            <w:tcW w:w="125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997"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887"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9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ГЭ+ПС+ЗП</w:t>
            </w:r>
          </w:p>
        </w:tc>
        <w:tc>
          <w:tcPr>
            <w:tcW w:w="635"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41 </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19,5%</w:t>
            </w:r>
          </w:p>
        </w:tc>
        <w:tc>
          <w:tcPr>
            <w:tcW w:w="773"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29 </w:t>
            </w:r>
          </w:p>
        </w:tc>
        <w:tc>
          <w:tcPr>
            <w:tcW w:w="852" w:type="dxa"/>
            <w:gridSpan w:val="2"/>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32,2%</w:t>
            </w:r>
          </w:p>
        </w:tc>
        <w:tc>
          <w:tcPr>
            <w:tcW w:w="125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997"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887"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9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ВФ+ ПС+ЗПВ</w:t>
            </w:r>
          </w:p>
        </w:tc>
        <w:tc>
          <w:tcPr>
            <w:tcW w:w="635"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21 </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773"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10 </w:t>
            </w:r>
          </w:p>
        </w:tc>
        <w:tc>
          <w:tcPr>
            <w:tcW w:w="852" w:type="dxa"/>
            <w:gridSpan w:val="2"/>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11,1%</w:t>
            </w:r>
          </w:p>
        </w:tc>
        <w:tc>
          <w:tcPr>
            <w:tcW w:w="125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997"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887"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9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ВФ+ППВ+ЗПВ</w:t>
            </w:r>
          </w:p>
        </w:tc>
        <w:tc>
          <w:tcPr>
            <w:tcW w:w="635"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 </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c>
          <w:tcPr>
            <w:tcW w:w="773"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 </w:t>
            </w:r>
          </w:p>
        </w:tc>
        <w:tc>
          <w:tcPr>
            <w:tcW w:w="852" w:type="dxa"/>
            <w:gridSpan w:val="2"/>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6,7%</w:t>
            </w:r>
          </w:p>
        </w:tc>
        <w:tc>
          <w:tcPr>
            <w:tcW w:w="125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997"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887"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9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ГЭ+ППВ+ЗПВ</w:t>
            </w:r>
          </w:p>
        </w:tc>
        <w:tc>
          <w:tcPr>
            <w:tcW w:w="635"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773"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9 </w:t>
            </w:r>
          </w:p>
        </w:tc>
        <w:tc>
          <w:tcPr>
            <w:tcW w:w="852" w:type="dxa"/>
            <w:gridSpan w:val="2"/>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125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997"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887"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Упражнения</w:t>
            </w:r>
          </w:p>
          <w:p w:rsidR="000A3797" w:rsidRDefault="000A3797">
            <w:pPr>
              <w:jc w:val="both"/>
              <w:rPr>
                <w:rFonts w:ascii="Times New Roman" w:eastAsia="Times New Roman" w:hAnsi="Times New Roman" w:cs="Times New Roman"/>
                <w:sz w:val="24"/>
                <w:szCs w:val="24"/>
              </w:rPr>
            </w:pPr>
          </w:p>
        </w:tc>
        <w:tc>
          <w:tcPr>
            <w:tcW w:w="179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635"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58 </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27,6%</w:t>
            </w:r>
          </w:p>
        </w:tc>
        <w:tc>
          <w:tcPr>
            <w:tcW w:w="773"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80</w:t>
            </w:r>
          </w:p>
        </w:tc>
        <w:tc>
          <w:tcPr>
            <w:tcW w:w="852" w:type="dxa"/>
            <w:gridSpan w:val="2"/>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88,9%</w:t>
            </w:r>
          </w:p>
        </w:tc>
        <w:tc>
          <w:tcPr>
            <w:tcW w:w="1252"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997"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0.565**</w:t>
            </w:r>
          </w:p>
        </w:tc>
      </w:tr>
      <w:tr w:rsidR="000A3797">
        <w:tc>
          <w:tcPr>
            <w:tcW w:w="1887"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9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Менее 1 раза в неделю</w:t>
            </w:r>
          </w:p>
        </w:tc>
        <w:tc>
          <w:tcPr>
            <w:tcW w:w="635"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85 </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40,5%</w:t>
            </w:r>
          </w:p>
        </w:tc>
        <w:tc>
          <w:tcPr>
            <w:tcW w:w="773"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852" w:type="dxa"/>
            <w:gridSpan w:val="2"/>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7,8%</w:t>
            </w:r>
          </w:p>
        </w:tc>
        <w:tc>
          <w:tcPr>
            <w:tcW w:w="125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997"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887"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9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1-2 раза в неделю</w:t>
            </w:r>
          </w:p>
        </w:tc>
        <w:tc>
          <w:tcPr>
            <w:tcW w:w="635"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22 </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10,5%</w:t>
            </w:r>
          </w:p>
        </w:tc>
        <w:tc>
          <w:tcPr>
            <w:tcW w:w="773"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852" w:type="dxa"/>
            <w:gridSpan w:val="2"/>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125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997"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887"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9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 менее 3-х раз в неделю</w:t>
            </w:r>
          </w:p>
        </w:tc>
        <w:tc>
          <w:tcPr>
            <w:tcW w:w="635"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45 </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21,4%</w:t>
            </w:r>
          </w:p>
        </w:tc>
        <w:tc>
          <w:tcPr>
            <w:tcW w:w="773"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w:t>
            </w:r>
          </w:p>
        </w:tc>
        <w:tc>
          <w:tcPr>
            <w:tcW w:w="852" w:type="dxa"/>
            <w:gridSpan w:val="2"/>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125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997"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887"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Миостимуляция</w:t>
            </w:r>
          </w:p>
        </w:tc>
        <w:tc>
          <w:tcPr>
            <w:tcW w:w="179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635"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186 </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88,6%</w:t>
            </w:r>
          </w:p>
        </w:tc>
        <w:tc>
          <w:tcPr>
            <w:tcW w:w="773"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90 </w:t>
            </w:r>
          </w:p>
        </w:tc>
        <w:tc>
          <w:tcPr>
            <w:tcW w:w="852" w:type="dxa"/>
            <w:gridSpan w:val="2"/>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1252"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0.001***</w:t>
            </w:r>
          </w:p>
        </w:tc>
        <w:tc>
          <w:tcPr>
            <w:tcW w:w="997"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0.193 **</w:t>
            </w:r>
          </w:p>
        </w:tc>
      </w:tr>
      <w:tr w:rsidR="000A3797">
        <w:tc>
          <w:tcPr>
            <w:tcW w:w="1887"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9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Да </w:t>
            </w:r>
          </w:p>
        </w:tc>
        <w:tc>
          <w:tcPr>
            <w:tcW w:w="635"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24 </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11,4%</w:t>
            </w:r>
          </w:p>
        </w:tc>
        <w:tc>
          <w:tcPr>
            <w:tcW w:w="773"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852" w:type="dxa"/>
            <w:gridSpan w:val="2"/>
          </w:tcPr>
          <w:p w:rsidR="000A3797" w:rsidRDefault="000A3797">
            <w:pPr>
              <w:jc w:val="both"/>
              <w:rPr>
                <w:rFonts w:ascii="Times New Roman" w:eastAsia="Times New Roman" w:hAnsi="Times New Roman" w:cs="Times New Roman"/>
                <w:sz w:val="24"/>
                <w:szCs w:val="24"/>
              </w:rPr>
            </w:pPr>
          </w:p>
        </w:tc>
        <w:tc>
          <w:tcPr>
            <w:tcW w:w="125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997"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887"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Заместительная гормональная терапия</w:t>
            </w:r>
          </w:p>
        </w:tc>
        <w:tc>
          <w:tcPr>
            <w:tcW w:w="179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635"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208 </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88,6%</w:t>
            </w:r>
          </w:p>
        </w:tc>
        <w:tc>
          <w:tcPr>
            <w:tcW w:w="773"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90 </w:t>
            </w:r>
          </w:p>
        </w:tc>
        <w:tc>
          <w:tcPr>
            <w:tcW w:w="852" w:type="dxa"/>
            <w:gridSpan w:val="2"/>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1252"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0.353***</w:t>
            </w:r>
          </w:p>
        </w:tc>
        <w:tc>
          <w:tcPr>
            <w:tcW w:w="997"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0.054 **</w:t>
            </w:r>
          </w:p>
        </w:tc>
      </w:tr>
      <w:tr w:rsidR="000A3797">
        <w:tc>
          <w:tcPr>
            <w:tcW w:w="1887"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9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Да </w:t>
            </w:r>
          </w:p>
        </w:tc>
        <w:tc>
          <w:tcPr>
            <w:tcW w:w="635"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73"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852" w:type="dxa"/>
            <w:gridSpan w:val="2"/>
          </w:tcPr>
          <w:p w:rsidR="000A3797" w:rsidRDefault="000A3797">
            <w:pPr>
              <w:jc w:val="both"/>
              <w:rPr>
                <w:rFonts w:ascii="Times New Roman" w:eastAsia="Times New Roman" w:hAnsi="Times New Roman" w:cs="Times New Roman"/>
                <w:sz w:val="24"/>
                <w:szCs w:val="24"/>
              </w:rPr>
            </w:pPr>
          </w:p>
        </w:tc>
        <w:tc>
          <w:tcPr>
            <w:tcW w:w="125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997"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bl>
    <w:p w:rsidR="000A3797" w:rsidRDefault="000A3797">
      <w:pPr>
        <w:rPr>
          <w:rFonts w:ascii="Times New Roman" w:eastAsia="Times New Roman" w:hAnsi="Times New Roman" w:cs="Times New Roman"/>
        </w:rPr>
      </w:pPr>
    </w:p>
    <w:tbl>
      <w:tblPr>
        <w:tblStyle w:val="afa"/>
        <w:tblpPr w:leftFromText="180" w:rightFromText="180" w:vertAnchor="page" w:horzAnchor="margin" w:tblpY="1625"/>
        <w:tblW w:w="949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65"/>
        <w:gridCol w:w="1457"/>
        <w:gridCol w:w="996"/>
        <w:gridCol w:w="836"/>
        <w:gridCol w:w="736"/>
        <w:gridCol w:w="836"/>
        <w:gridCol w:w="1253"/>
        <w:gridCol w:w="1412"/>
      </w:tblGrid>
      <w:tr w:rsidR="000A3797">
        <w:tc>
          <w:tcPr>
            <w:tcW w:w="1965"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45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99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7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253"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1412"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r>
      <w:tr w:rsidR="000A3797">
        <w:tc>
          <w:tcPr>
            <w:tcW w:w="1965"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Пессарии </w:t>
            </w:r>
          </w:p>
        </w:tc>
        <w:tc>
          <w:tcPr>
            <w:tcW w:w="145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99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210 </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7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88 </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97,8%</w:t>
            </w:r>
          </w:p>
        </w:tc>
        <w:tc>
          <w:tcPr>
            <w:tcW w:w="1253"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0.030***</w:t>
            </w:r>
          </w:p>
        </w:tc>
        <w:tc>
          <w:tcPr>
            <w:tcW w:w="1412"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0.125 **</w:t>
            </w:r>
          </w:p>
        </w:tc>
      </w:tr>
      <w:tr w:rsidR="000A3797">
        <w:tc>
          <w:tcPr>
            <w:tcW w:w="1965"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45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да</w:t>
            </w:r>
          </w:p>
        </w:tc>
        <w:tc>
          <w:tcPr>
            <w:tcW w:w="99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836" w:type="dxa"/>
          </w:tcPr>
          <w:p w:rsidR="000A3797" w:rsidRDefault="000A3797">
            <w:pPr>
              <w:jc w:val="both"/>
              <w:rPr>
                <w:rFonts w:ascii="Times New Roman" w:eastAsia="Times New Roman" w:hAnsi="Times New Roman" w:cs="Times New Roman"/>
                <w:sz w:val="24"/>
                <w:szCs w:val="24"/>
              </w:rPr>
            </w:pPr>
          </w:p>
        </w:tc>
        <w:tc>
          <w:tcPr>
            <w:tcW w:w="7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1253"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41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965"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Установка сетчатого протеза</w:t>
            </w:r>
          </w:p>
        </w:tc>
        <w:tc>
          <w:tcPr>
            <w:tcW w:w="145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99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8 </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3,8%</w:t>
            </w:r>
          </w:p>
        </w:tc>
        <w:tc>
          <w:tcPr>
            <w:tcW w:w="7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15 </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16,7%</w:t>
            </w:r>
          </w:p>
        </w:tc>
        <w:tc>
          <w:tcPr>
            <w:tcW w:w="1253"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1412"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0.221 **</w:t>
            </w:r>
          </w:p>
        </w:tc>
      </w:tr>
      <w:tr w:rsidR="000A3797">
        <w:tc>
          <w:tcPr>
            <w:tcW w:w="1965"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45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Да </w:t>
            </w:r>
          </w:p>
        </w:tc>
        <w:tc>
          <w:tcPr>
            <w:tcW w:w="99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202 </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96,2%</w:t>
            </w:r>
          </w:p>
        </w:tc>
        <w:tc>
          <w:tcPr>
            <w:tcW w:w="7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75 </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83,3%</w:t>
            </w:r>
          </w:p>
        </w:tc>
        <w:tc>
          <w:tcPr>
            <w:tcW w:w="1253"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41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965"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Поднятие тяжести 5 кг и более</w:t>
            </w:r>
          </w:p>
        </w:tc>
        <w:tc>
          <w:tcPr>
            <w:tcW w:w="145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99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205 </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97,6%</w:t>
            </w:r>
          </w:p>
        </w:tc>
        <w:tc>
          <w:tcPr>
            <w:tcW w:w="7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60</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66,7%</w:t>
            </w:r>
          </w:p>
        </w:tc>
        <w:tc>
          <w:tcPr>
            <w:tcW w:w="1253"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1412"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0,528**</w:t>
            </w:r>
          </w:p>
        </w:tc>
      </w:tr>
      <w:tr w:rsidR="000A3797">
        <w:tc>
          <w:tcPr>
            <w:tcW w:w="1965"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45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Однократно</w:t>
            </w:r>
          </w:p>
        </w:tc>
        <w:tc>
          <w:tcPr>
            <w:tcW w:w="99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 </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7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1253"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41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965"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45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Иногда</w:t>
            </w:r>
          </w:p>
        </w:tc>
        <w:tc>
          <w:tcPr>
            <w:tcW w:w="99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12,2%</w:t>
            </w:r>
          </w:p>
        </w:tc>
        <w:tc>
          <w:tcPr>
            <w:tcW w:w="1253"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41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965"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45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Часто</w:t>
            </w:r>
          </w:p>
        </w:tc>
        <w:tc>
          <w:tcPr>
            <w:tcW w:w="99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1253"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41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965"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Тяжёлая физическая работа</w:t>
            </w:r>
          </w:p>
        </w:tc>
        <w:tc>
          <w:tcPr>
            <w:tcW w:w="145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99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210 (</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7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72</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80%</w:t>
            </w:r>
          </w:p>
        </w:tc>
        <w:tc>
          <w:tcPr>
            <w:tcW w:w="1253"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1412"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0,387  **</w:t>
            </w:r>
          </w:p>
        </w:tc>
      </w:tr>
      <w:tr w:rsidR="000A3797">
        <w:tc>
          <w:tcPr>
            <w:tcW w:w="1965"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45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Однократно</w:t>
            </w:r>
          </w:p>
        </w:tc>
        <w:tc>
          <w:tcPr>
            <w:tcW w:w="99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11,1%</w:t>
            </w:r>
          </w:p>
        </w:tc>
        <w:tc>
          <w:tcPr>
            <w:tcW w:w="1253"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41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965"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45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Иногда</w:t>
            </w:r>
          </w:p>
        </w:tc>
        <w:tc>
          <w:tcPr>
            <w:tcW w:w="99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8,9%</w:t>
            </w:r>
          </w:p>
        </w:tc>
        <w:tc>
          <w:tcPr>
            <w:tcW w:w="1253"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41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965"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45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Постоянно</w:t>
            </w:r>
          </w:p>
        </w:tc>
        <w:tc>
          <w:tcPr>
            <w:tcW w:w="99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1253"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41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965"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Запоры</w:t>
            </w:r>
          </w:p>
        </w:tc>
        <w:tc>
          <w:tcPr>
            <w:tcW w:w="145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99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199 </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94,8%</w:t>
            </w:r>
          </w:p>
        </w:tc>
        <w:tc>
          <w:tcPr>
            <w:tcW w:w="7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63</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70%</w:t>
            </w:r>
          </w:p>
        </w:tc>
        <w:tc>
          <w:tcPr>
            <w:tcW w:w="1253"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1412"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0,353 **</w:t>
            </w:r>
          </w:p>
        </w:tc>
      </w:tr>
      <w:tr w:rsidR="000A3797">
        <w:tc>
          <w:tcPr>
            <w:tcW w:w="1965"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45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Единичные эпизоды</w:t>
            </w:r>
          </w:p>
        </w:tc>
        <w:tc>
          <w:tcPr>
            <w:tcW w:w="99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 </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7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12,2%</w:t>
            </w:r>
          </w:p>
        </w:tc>
        <w:tc>
          <w:tcPr>
            <w:tcW w:w="1253"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41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965"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45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Иногда</w:t>
            </w:r>
          </w:p>
        </w:tc>
        <w:tc>
          <w:tcPr>
            <w:tcW w:w="99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6,7%</w:t>
            </w:r>
          </w:p>
        </w:tc>
        <w:tc>
          <w:tcPr>
            <w:tcW w:w="1253"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41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965"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45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Постоянно</w:t>
            </w:r>
          </w:p>
        </w:tc>
        <w:tc>
          <w:tcPr>
            <w:tcW w:w="99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 </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7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11,1%</w:t>
            </w:r>
          </w:p>
        </w:tc>
        <w:tc>
          <w:tcPr>
            <w:tcW w:w="1253"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41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965" w:type="dxa"/>
            <w:vMerge w:val="restart"/>
          </w:tcPr>
          <w:p w:rsidR="000A3797" w:rsidRDefault="000A3797">
            <w:pPr>
              <w:rPr>
                <w:rFonts w:ascii="Times New Roman" w:eastAsia="Times New Roman" w:hAnsi="Times New Roman" w:cs="Times New Roman"/>
                <w:sz w:val="24"/>
                <w:szCs w:val="24"/>
              </w:rPr>
            </w:pPr>
          </w:p>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Заболевания, сопровождаемые </w:t>
            </w:r>
          </w:p>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длительным кашлем</w:t>
            </w:r>
          </w:p>
        </w:tc>
        <w:tc>
          <w:tcPr>
            <w:tcW w:w="145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99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209 </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99,5%</w:t>
            </w:r>
          </w:p>
        </w:tc>
        <w:tc>
          <w:tcPr>
            <w:tcW w:w="7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73</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81,1%</w:t>
            </w:r>
          </w:p>
        </w:tc>
        <w:tc>
          <w:tcPr>
            <w:tcW w:w="1253"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1412"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0,376 **</w:t>
            </w:r>
          </w:p>
        </w:tc>
      </w:tr>
      <w:tr w:rsidR="000A3797">
        <w:tc>
          <w:tcPr>
            <w:tcW w:w="1965"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45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Единичные эпизоды</w:t>
            </w:r>
          </w:p>
        </w:tc>
        <w:tc>
          <w:tcPr>
            <w:tcW w:w="99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0,47%</w:t>
            </w:r>
          </w:p>
        </w:tc>
        <w:tc>
          <w:tcPr>
            <w:tcW w:w="7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1253"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41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965"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45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редко</w:t>
            </w:r>
          </w:p>
        </w:tc>
        <w:tc>
          <w:tcPr>
            <w:tcW w:w="99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6,7%</w:t>
            </w:r>
          </w:p>
        </w:tc>
        <w:tc>
          <w:tcPr>
            <w:tcW w:w="1253"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41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965"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45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и более раз в год</w:t>
            </w:r>
          </w:p>
        </w:tc>
        <w:tc>
          <w:tcPr>
            <w:tcW w:w="99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1253"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41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965"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Ошибки оказания медицинской помощи (мнение пациентов)</w:t>
            </w:r>
          </w:p>
        </w:tc>
        <w:tc>
          <w:tcPr>
            <w:tcW w:w="145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99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205 </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87,65</w:t>
            </w:r>
          </w:p>
        </w:tc>
        <w:tc>
          <w:tcPr>
            <w:tcW w:w="7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86</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95,6%</w:t>
            </w:r>
          </w:p>
        </w:tc>
        <w:tc>
          <w:tcPr>
            <w:tcW w:w="1253"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0,337***</w:t>
            </w:r>
          </w:p>
        </w:tc>
        <w:tc>
          <w:tcPr>
            <w:tcW w:w="1412"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0,055 **</w:t>
            </w:r>
          </w:p>
        </w:tc>
      </w:tr>
      <w:tr w:rsidR="000A3797">
        <w:tc>
          <w:tcPr>
            <w:tcW w:w="1965"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45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да</w:t>
            </w:r>
          </w:p>
        </w:tc>
        <w:tc>
          <w:tcPr>
            <w:tcW w:w="99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c>
          <w:tcPr>
            <w:tcW w:w="7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4,4%</w:t>
            </w:r>
          </w:p>
        </w:tc>
        <w:tc>
          <w:tcPr>
            <w:tcW w:w="1253"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41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965"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Снижение массы тела на 5 кг и более после операции</w:t>
            </w:r>
          </w:p>
        </w:tc>
        <w:tc>
          <w:tcPr>
            <w:tcW w:w="145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99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169 </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80,5%</w:t>
            </w:r>
          </w:p>
        </w:tc>
        <w:tc>
          <w:tcPr>
            <w:tcW w:w="7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89</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98,9%</w:t>
            </w:r>
          </w:p>
        </w:tc>
        <w:tc>
          <w:tcPr>
            <w:tcW w:w="1253"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1412"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0,356 **</w:t>
            </w:r>
          </w:p>
        </w:tc>
      </w:tr>
      <w:tr w:rsidR="000A3797">
        <w:tc>
          <w:tcPr>
            <w:tcW w:w="1965"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45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 кг и менее</w:t>
            </w:r>
          </w:p>
        </w:tc>
        <w:tc>
          <w:tcPr>
            <w:tcW w:w="99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41</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19,5%</w:t>
            </w:r>
          </w:p>
        </w:tc>
        <w:tc>
          <w:tcPr>
            <w:tcW w:w="7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1253"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41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965"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45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Более 5 кг</w:t>
            </w:r>
          </w:p>
        </w:tc>
        <w:tc>
          <w:tcPr>
            <w:tcW w:w="99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1253"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41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965"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Повышение массы тела после операции</w:t>
            </w:r>
          </w:p>
        </w:tc>
        <w:tc>
          <w:tcPr>
            <w:tcW w:w="145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99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209 </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99,5%</w:t>
            </w:r>
          </w:p>
        </w:tc>
        <w:tc>
          <w:tcPr>
            <w:tcW w:w="7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84</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93,3%</w:t>
            </w:r>
          </w:p>
        </w:tc>
        <w:tc>
          <w:tcPr>
            <w:tcW w:w="1253"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0,010*</w:t>
            </w:r>
          </w:p>
        </w:tc>
        <w:tc>
          <w:tcPr>
            <w:tcW w:w="1412"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0,194 **</w:t>
            </w:r>
          </w:p>
        </w:tc>
      </w:tr>
      <w:tr w:rsidR="000A3797">
        <w:tc>
          <w:tcPr>
            <w:tcW w:w="1965"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45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 более 5 кг</w:t>
            </w:r>
          </w:p>
        </w:tc>
        <w:tc>
          <w:tcPr>
            <w:tcW w:w="99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0,47%</w:t>
            </w:r>
          </w:p>
        </w:tc>
        <w:tc>
          <w:tcPr>
            <w:tcW w:w="7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4,4%</w:t>
            </w:r>
          </w:p>
        </w:tc>
        <w:tc>
          <w:tcPr>
            <w:tcW w:w="1253"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41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965"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45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Более 5 кг</w:t>
            </w:r>
          </w:p>
        </w:tc>
        <w:tc>
          <w:tcPr>
            <w:tcW w:w="99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2,2 %</w:t>
            </w:r>
          </w:p>
        </w:tc>
        <w:tc>
          <w:tcPr>
            <w:tcW w:w="1253"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41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965"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Употребление белковой пищи менее 1,2 грамма на 1 кг веса в день</w:t>
            </w:r>
          </w:p>
        </w:tc>
        <w:tc>
          <w:tcPr>
            <w:tcW w:w="145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99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198 </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94,3 %</w:t>
            </w:r>
          </w:p>
        </w:tc>
        <w:tc>
          <w:tcPr>
            <w:tcW w:w="7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26,7 %</w:t>
            </w:r>
          </w:p>
        </w:tc>
        <w:tc>
          <w:tcPr>
            <w:tcW w:w="1253"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1412"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0,712**</w:t>
            </w:r>
          </w:p>
        </w:tc>
      </w:tr>
      <w:tr w:rsidR="000A3797">
        <w:tc>
          <w:tcPr>
            <w:tcW w:w="1965"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45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Единичные случаи</w:t>
            </w:r>
          </w:p>
        </w:tc>
        <w:tc>
          <w:tcPr>
            <w:tcW w:w="99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9 </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4,3%</w:t>
            </w:r>
          </w:p>
        </w:tc>
        <w:tc>
          <w:tcPr>
            <w:tcW w:w="7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43</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47,8 %</w:t>
            </w:r>
          </w:p>
        </w:tc>
        <w:tc>
          <w:tcPr>
            <w:tcW w:w="1253"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41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965"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45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Иногда</w:t>
            </w:r>
          </w:p>
        </w:tc>
        <w:tc>
          <w:tcPr>
            <w:tcW w:w="99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1,4 %</w:t>
            </w:r>
          </w:p>
        </w:tc>
        <w:tc>
          <w:tcPr>
            <w:tcW w:w="7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10 %</w:t>
            </w:r>
          </w:p>
        </w:tc>
        <w:tc>
          <w:tcPr>
            <w:tcW w:w="1253"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41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965"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45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Часто</w:t>
            </w:r>
          </w:p>
        </w:tc>
        <w:tc>
          <w:tcPr>
            <w:tcW w:w="99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15,6 %</w:t>
            </w:r>
          </w:p>
        </w:tc>
        <w:tc>
          <w:tcPr>
            <w:tcW w:w="1253"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41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965"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Употребление углеводом более 25 грамм в день </w:t>
            </w:r>
          </w:p>
        </w:tc>
        <w:tc>
          <w:tcPr>
            <w:tcW w:w="145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99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198 </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94,8%</w:t>
            </w:r>
          </w:p>
        </w:tc>
        <w:tc>
          <w:tcPr>
            <w:tcW w:w="7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39</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43,3 %</w:t>
            </w:r>
          </w:p>
        </w:tc>
        <w:tc>
          <w:tcPr>
            <w:tcW w:w="1253"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1412"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0,59**</w:t>
            </w:r>
          </w:p>
        </w:tc>
      </w:tr>
      <w:tr w:rsidR="000A3797">
        <w:tc>
          <w:tcPr>
            <w:tcW w:w="1965"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45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Единичные случаи</w:t>
            </w:r>
          </w:p>
        </w:tc>
        <w:tc>
          <w:tcPr>
            <w:tcW w:w="99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10 </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4,8%</w:t>
            </w:r>
          </w:p>
        </w:tc>
        <w:tc>
          <w:tcPr>
            <w:tcW w:w="7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29</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32,2 %</w:t>
            </w:r>
          </w:p>
        </w:tc>
        <w:tc>
          <w:tcPr>
            <w:tcW w:w="1253"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41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bl>
    <w:p w:rsidR="000A3797" w:rsidRDefault="00A660E7">
      <w:pPr>
        <w:spacing w:after="0" w:line="240" w:lineRule="auto"/>
        <w:ind w:lef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Продолжение таблицы 15</w:t>
      </w:r>
    </w:p>
    <w:p w:rsidR="000A3797" w:rsidRDefault="00A660E7">
      <w:pPr>
        <w:spacing w:after="0" w:line="240" w:lineRule="auto"/>
        <w:ind w:lef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Продолжение таблицы 15</w:t>
      </w:r>
    </w:p>
    <w:p w:rsidR="000A3797" w:rsidRDefault="000A3797">
      <w:pPr>
        <w:rPr>
          <w:rFonts w:ascii="Times New Roman" w:eastAsia="Times New Roman" w:hAnsi="Times New Roman" w:cs="Times New Roman"/>
          <w:sz w:val="24"/>
          <w:szCs w:val="24"/>
        </w:rPr>
      </w:pPr>
    </w:p>
    <w:tbl>
      <w:tblPr>
        <w:tblStyle w:val="afb"/>
        <w:tblpPr w:leftFromText="180" w:rightFromText="180" w:vertAnchor="page" w:horzAnchor="margin" w:tblpY="1625"/>
        <w:tblW w:w="949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91"/>
        <w:gridCol w:w="1980"/>
        <w:gridCol w:w="779"/>
        <w:gridCol w:w="836"/>
        <w:gridCol w:w="734"/>
        <w:gridCol w:w="27"/>
        <w:gridCol w:w="810"/>
        <w:gridCol w:w="1240"/>
        <w:gridCol w:w="1394"/>
      </w:tblGrid>
      <w:tr w:rsidR="000A3797">
        <w:tc>
          <w:tcPr>
            <w:tcW w:w="1691"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980"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779"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734"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837" w:type="dxa"/>
            <w:gridSpan w:val="2"/>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240"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1394"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r>
      <w:tr w:rsidR="000A3797">
        <w:tc>
          <w:tcPr>
            <w:tcW w:w="1691" w:type="dxa"/>
            <w:vMerge w:val="restart"/>
          </w:tcPr>
          <w:p w:rsidR="000A3797" w:rsidRDefault="000A3797">
            <w:pPr>
              <w:jc w:val="both"/>
              <w:rPr>
                <w:rFonts w:ascii="Times New Roman" w:eastAsia="Times New Roman" w:hAnsi="Times New Roman" w:cs="Times New Roman"/>
                <w:sz w:val="24"/>
                <w:szCs w:val="24"/>
              </w:rPr>
            </w:pPr>
          </w:p>
        </w:tc>
        <w:tc>
          <w:tcPr>
            <w:tcW w:w="1980"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Иногда</w:t>
            </w:r>
          </w:p>
        </w:tc>
        <w:tc>
          <w:tcPr>
            <w:tcW w:w="779"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tc>
        <w:tc>
          <w:tcPr>
            <w:tcW w:w="734"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837" w:type="dxa"/>
            <w:gridSpan w:val="2"/>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13,3 %</w:t>
            </w:r>
          </w:p>
        </w:tc>
        <w:tc>
          <w:tcPr>
            <w:tcW w:w="1240" w:type="dxa"/>
            <w:vMerge w:val="restart"/>
          </w:tcPr>
          <w:p w:rsidR="000A3797" w:rsidRDefault="000A3797">
            <w:pPr>
              <w:jc w:val="both"/>
              <w:rPr>
                <w:rFonts w:ascii="Times New Roman" w:eastAsia="Times New Roman" w:hAnsi="Times New Roman" w:cs="Times New Roman"/>
                <w:sz w:val="24"/>
                <w:szCs w:val="24"/>
              </w:rPr>
            </w:pPr>
          </w:p>
        </w:tc>
        <w:tc>
          <w:tcPr>
            <w:tcW w:w="1394" w:type="dxa"/>
            <w:vMerge w:val="restart"/>
          </w:tcPr>
          <w:p w:rsidR="000A3797" w:rsidRDefault="000A3797">
            <w:pPr>
              <w:jc w:val="both"/>
              <w:rPr>
                <w:rFonts w:ascii="Times New Roman" w:eastAsia="Times New Roman" w:hAnsi="Times New Roman" w:cs="Times New Roman"/>
                <w:sz w:val="24"/>
                <w:szCs w:val="24"/>
              </w:rPr>
            </w:pPr>
          </w:p>
        </w:tc>
      </w:tr>
      <w:tr w:rsidR="000A3797">
        <w:tc>
          <w:tcPr>
            <w:tcW w:w="1691"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980"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Часто</w:t>
            </w:r>
          </w:p>
        </w:tc>
        <w:tc>
          <w:tcPr>
            <w:tcW w:w="779"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0 </w:t>
            </w:r>
          </w:p>
        </w:tc>
        <w:tc>
          <w:tcPr>
            <w:tcW w:w="734"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837" w:type="dxa"/>
            <w:gridSpan w:val="2"/>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11,1 %</w:t>
            </w:r>
          </w:p>
        </w:tc>
        <w:tc>
          <w:tcPr>
            <w:tcW w:w="1240"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394"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691"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Курение</w:t>
            </w:r>
          </w:p>
        </w:tc>
        <w:tc>
          <w:tcPr>
            <w:tcW w:w="1980"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779"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198</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94,5%</w:t>
            </w:r>
          </w:p>
        </w:tc>
        <w:tc>
          <w:tcPr>
            <w:tcW w:w="734"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67</w:t>
            </w:r>
          </w:p>
        </w:tc>
        <w:tc>
          <w:tcPr>
            <w:tcW w:w="837" w:type="dxa"/>
            <w:gridSpan w:val="2"/>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74,4%</w:t>
            </w:r>
          </w:p>
        </w:tc>
        <w:tc>
          <w:tcPr>
            <w:tcW w:w="1240"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1394"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0,512**</w:t>
            </w:r>
          </w:p>
        </w:tc>
      </w:tr>
      <w:tr w:rsidR="000A3797">
        <w:tc>
          <w:tcPr>
            <w:tcW w:w="1691"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980"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редко</w:t>
            </w:r>
          </w:p>
        </w:tc>
        <w:tc>
          <w:tcPr>
            <w:tcW w:w="779"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w:t>
            </w:r>
          </w:p>
        </w:tc>
        <w:tc>
          <w:tcPr>
            <w:tcW w:w="734"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837" w:type="dxa"/>
            <w:gridSpan w:val="2"/>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1240"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394"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691"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980"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до 5 сигарет/день </w:t>
            </w:r>
          </w:p>
        </w:tc>
        <w:tc>
          <w:tcPr>
            <w:tcW w:w="779"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4,7%</w:t>
            </w:r>
          </w:p>
        </w:tc>
        <w:tc>
          <w:tcPr>
            <w:tcW w:w="734"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837" w:type="dxa"/>
            <w:gridSpan w:val="2"/>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1240"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394"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691"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980"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Пол пачки/день</w:t>
            </w:r>
          </w:p>
        </w:tc>
        <w:tc>
          <w:tcPr>
            <w:tcW w:w="779" w:type="dxa"/>
          </w:tcPr>
          <w:p w:rsidR="000A3797" w:rsidRDefault="000A3797">
            <w:pPr>
              <w:jc w:val="both"/>
              <w:rPr>
                <w:rFonts w:ascii="Times New Roman" w:eastAsia="Times New Roman" w:hAnsi="Times New Roman" w:cs="Times New Roman"/>
                <w:sz w:val="24"/>
                <w:szCs w:val="24"/>
              </w:rPr>
            </w:pPr>
          </w:p>
        </w:tc>
        <w:tc>
          <w:tcPr>
            <w:tcW w:w="836" w:type="dxa"/>
          </w:tcPr>
          <w:p w:rsidR="000A3797" w:rsidRDefault="000A3797">
            <w:pPr>
              <w:jc w:val="both"/>
              <w:rPr>
                <w:rFonts w:ascii="Times New Roman" w:eastAsia="Times New Roman" w:hAnsi="Times New Roman" w:cs="Times New Roman"/>
                <w:sz w:val="24"/>
                <w:szCs w:val="24"/>
              </w:rPr>
            </w:pPr>
          </w:p>
        </w:tc>
        <w:tc>
          <w:tcPr>
            <w:tcW w:w="734"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837" w:type="dxa"/>
            <w:gridSpan w:val="2"/>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3.33%</w:t>
            </w:r>
          </w:p>
        </w:tc>
        <w:tc>
          <w:tcPr>
            <w:tcW w:w="1240"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394"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691"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980"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Пачка /день</w:t>
            </w:r>
          </w:p>
        </w:tc>
        <w:tc>
          <w:tcPr>
            <w:tcW w:w="779" w:type="dxa"/>
          </w:tcPr>
          <w:p w:rsidR="000A3797" w:rsidRDefault="000A3797">
            <w:pPr>
              <w:jc w:val="both"/>
              <w:rPr>
                <w:rFonts w:ascii="Times New Roman" w:eastAsia="Times New Roman" w:hAnsi="Times New Roman" w:cs="Times New Roman"/>
                <w:sz w:val="24"/>
                <w:szCs w:val="24"/>
              </w:rPr>
            </w:pPr>
          </w:p>
        </w:tc>
        <w:tc>
          <w:tcPr>
            <w:tcW w:w="836" w:type="dxa"/>
          </w:tcPr>
          <w:p w:rsidR="000A3797" w:rsidRDefault="000A3797">
            <w:pPr>
              <w:jc w:val="both"/>
              <w:rPr>
                <w:rFonts w:ascii="Times New Roman" w:eastAsia="Times New Roman" w:hAnsi="Times New Roman" w:cs="Times New Roman"/>
                <w:sz w:val="24"/>
                <w:szCs w:val="24"/>
              </w:rPr>
            </w:pPr>
          </w:p>
        </w:tc>
        <w:tc>
          <w:tcPr>
            <w:tcW w:w="734"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837" w:type="dxa"/>
            <w:gridSpan w:val="2"/>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1240"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394"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691" w:type="dxa"/>
          </w:tcPr>
          <w:p w:rsidR="000A3797" w:rsidRDefault="000A3797">
            <w:pPr>
              <w:jc w:val="both"/>
              <w:rPr>
                <w:rFonts w:ascii="Times New Roman" w:eastAsia="Times New Roman" w:hAnsi="Times New Roman" w:cs="Times New Roman"/>
                <w:sz w:val="24"/>
                <w:szCs w:val="24"/>
              </w:rPr>
            </w:pPr>
          </w:p>
        </w:tc>
        <w:tc>
          <w:tcPr>
            <w:tcW w:w="1980" w:type="dxa"/>
          </w:tcPr>
          <w:p w:rsidR="000A3797" w:rsidRDefault="000A3797">
            <w:pPr>
              <w:jc w:val="both"/>
              <w:rPr>
                <w:rFonts w:ascii="Times New Roman" w:eastAsia="Times New Roman" w:hAnsi="Times New Roman" w:cs="Times New Roman"/>
                <w:sz w:val="24"/>
                <w:szCs w:val="24"/>
              </w:rPr>
            </w:pPr>
          </w:p>
        </w:tc>
        <w:tc>
          <w:tcPr>
            <w:tcW w:w="1615" w:type="dxa"/>
            <w:gridSpan w:val="2"/>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Основная группа</w:t>
            </w:r>
          </w:p>
        </w:tc>
        <w:tc>
          <w:tcPr>
            <w:tcW w:w="1571" w:type="dxa"/>
            <w:gridSpan w:val="3"/>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Контрольная группа</w:t>
            </w:r>
          </w:p>
        </w:tc>
        <w:tc>
          <w:tcPr>
            <w:tcW w:w="1240" w:type="dxa"/>
          </w:tcPr>
          <w:p w:rsidR="000A3797" w:rsidRDefault="000A3797">
            <w:pPr>
              <w:jc w:val="both"/>
              <w:rPr>
                <w:rFonts w:ascii="Times New Roman" w:eastAsia="Times New Roman" w:hAnsi="Times New Roman" w:cs="Times New Roman"/>
                <w:sz w:val="24"/>
                <w:szCs w:val="24"/>
              </w:rPr>
            </w:pPr>
          </w:p>
        </w:tc>
        <w:tc>
          <w:tcPr>
            <w:tcW w:w="1394" w:type="dxa"/>
          </w:tcPr>
          <w:p w:rsidR="000A3797" w:rsidRDefault="000A3797">
            <w:pPr>
              <w:jc w:val="both"/>
              <w:rPr>
                <w:rFonts w:ascii="Times New Roman" w:eastAsia="Times New Roman" w:hAnsi="Times New Roman" w:cs="Times New Roman"/>
                <w:sz w:val="24"/>
                <w:szCs w:val="24"/>
              </w:rPr>
            </w:pPr>
          </w:p>
        </w:tc>
      </w:tr>
      <w:tr w:rsidR="000A3797">
        <w:tc>
          <w:tcPr>
            <w:tcW w:w="3671" w:type="dxa"/>
            <w:gridSpan w:val="2"/>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Оцениваемый критерий</w:t>
            </w:r>
          </w:p>
        </w:tc>
        <w:tc>
          <w:tcPr>
            <w:tcW w:w="779"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Ме </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(Q1-Q3)</w:t>
            </w:r>
          </w:p>
        </w:tc>
        <w:tc>
          <w:tcPr>
            <w:tcW w:w="761" w:type="dxa"/>
            <w:gridSpan w:val="2"/>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Ме </w:t>
            </w:r>
          </w:p>
        </w:tc>
        <w:tc>
          <w:tcPr>
            <w:tcW w:w="810"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(Q1-Q3)</w:t>
            </w:r>
          </w:p>
        </w:tc>
        <w:tc>
          <w:tcPr>
            <w:tcW w:w="1240" w:type="dxa"/>
          </w:tcPr>
          <w:p w:rsidR="000A3797" w:rsidRDefault="000A3797">
            <w:pPr>
              <w:jc w:val="both"/>
              <w:rPr>
                <w:rFonts w:ascii="Times New Roman" w:eastAsia="Times New Roman" w:hAnsi="Times New Roman" w:cs="Times New Roman"/>
                <w:sz w:val="24"/>
                <w:szCs w:val="24"/>
              </w:rPr>
            </w:pPr>
          </w:p>
        </w:tc>
        <w:tc>
          <w:tcPr>
            <w:tcW w:w="1394" w:type="dxa"/>
          </w:tcPr>
          <w:p w:rsidR="000A3797" w:rsidRDefault="000A3797">
            <w:pPr>
              <w:jc w:val="both"/>
              <w:rPr>
                <w:rFonts w:ascii="Times New Roman" w:eastAsia="Times New Roman" w:hAnsi="Times New Roman" w:cs="Times New Roman"/>
                <w:sz w:val="24"/>
                <w:szCs w:val="24"/>
              </w:rPr>
            </w:pPr>
          </w:p>
        </w:tc>
      </w:tr>
      <w:tr w:rsidR="000A3797">
        <w:tc>
          <w:tcPr>
            <w:tcW w:w="3671" w:type="dxa"/>
            <w:gridSpan w:val="2"/>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Возраст</w:t>
            </w:r>
          </w:p>
        </w:tc>
        <w:tc>
          <w:tcPr>
            <w:tcW w:w="779"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57.0 </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761" w:type="dxa"/>
            <w:gridSpan w:val="2"/>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54.00 </w:t>
            </w:r>
          </w:p>
        </w:tc>
        <w:tc>
          <w:tcPr>
            <w:tcW w:w="810"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2634" w:type="dxa"/>
            <w:gridSpan w:val="2"/>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0.360****</w:t>
            </w:r>
          </w:p>
        </w:tc>
      </w:tr>
      <w:tr w:rsidR="000A3797">
        <w:tc>
          <w:tcPr>
            <w:tcW w:w="3671" w:type="dxa"/>
            <w:gridSpan w:val="2"/>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Количество родов</w:t>
            </w:r>
          </w:p>
        </w:tc>
        <w:tc>
          <w:tcPr>
            <w:tcW w:w="779"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2, 0 </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61" w:type="dxa"/>
            <w:gridSpan w:val="2"/>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2.0 </w:t>
            </w:r>
          </w:p>
        </w:tc>
        <w:tc>
          <w:tcPr>
            <w:tcW w:w="810"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634" w:type="dxa"/>
            <w:gridSpan w:val="2"/>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0.921****</w:t>
            </w:r>
          </w:p>
        </w:tc>
      </w:tr>
      <w:tr w:rsidR="000A3797">
        <w:tc>
          <w:tcPr>
            <w:tcW w:w="3671" w:type="dxa"/>
            <w:gridSpan w:val="2"/>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Количество лет после операции на момент осмотра</w:t>
            </w:r>
          </w:p>
        </w:tc>
        <w:tc>
          <w:tcPr>
            <w:tcW w:w="779"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6.20 </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61" w:type="dxa"/>
            <w:gridSpan w:val="2"/>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8 </w:t>
            </w:r>
          </w:p>
        </w:tc>
        <w:tc>
          <w:tcPr>
            <w:tcW w:w="810"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634" w:type="dxa"/>
            <w:gridSpan w:val="2"/>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r>
      <w:tr w:rsidR="000A3797">
        <w:tc>
          <w:tcPr>
            <w:tcW w:w="3671" w:type="dxa"/>
            <w:gridSpan w:val="2"/>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ИМТ на момент осмотра</w:t>
            </w:r>
          </w:p>
        </w:tc>
        <w:tc>
          <w:tcPr>
            <w:tcW w:w="779"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25,15</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2,98</w:t>
            </w:r>
          </w:p>
        </w:tc>
        <w:tc>
          <w:tcPr>
            <w:tcW w:w="761" w:type="dxa"/>
            <w:gridSpan w:val="2"/>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26,7</w:t>
            </w:r>
          </w:p>
        </w:tc>
        <w:tc>
          <w:tcPr>
            <w:tcW w:w="810"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4,25</w:t>
            </w:r>
          </w:p>
        </w:tc>
        <w:tc>
          <w:tcPr>
            <w:tcW w:w="2634" w:type="dxa"/>
            <w:gridSpan w:val="2"/>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r>
      <w:tr w:rsidR="000A3797">
        <w:tc>
          <w:tcPr>
            <w:tcW w:w="3671" w:type="dxa"/>
            <w:gridSpan w:val="2"/>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Максимальный подъем тяжести в кг </w:t>
            </w:r>
          </w:p>
        </w:tc>
        <w:tc>
          <w:tcPr>
            <w:tcW w:w="779"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3,0 </w:t>
            </w:r>
          </w:p>
        </w:tc>
        <w:tc>
          <w:tcPr>
            <w:tcW w:w="836"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61" w:type="dxa"/>
            <w:gridSpan w:val="2"/>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4,0</w:t>
            </w:r>
          </w:p>
        </w:tc>
        <w:tc>
          <w:tcPr>
            <w:tcW w:w="810"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2634" w:type="dxa"/>
            <w:gridSpan w:val="2"/>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r>
      <w:tr w:rsidR="000A3797">
        <w:tc>
          <w:tcPr>
            <w:tcW w:w="9491" w:type="dxa"/>
            <w:gridSpan w:val="9"/>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Примечание: Me – медиана, Q1-Q-3 – интерквартильных размах, Хи – квадрат Пирсона*, V – Крамера**, точный критерий Фишера***, U-критерий Манна - Уитни****, ПФ – промонтофиксация, ВФ – вентерофиксация, ГЭ – гистерэктомия, ПС – передняя сетка, ППВ – передняя </w:t>
            </w:r>
            <w:r>
              <w:rPr>
                <w:rFonts w:ascii="Times New Roman" w:eastAsia="Times New Roman" w:hAnsi="Times New Roman" w:cs="Times New Roman"/>
                <w:sz w:val="24"/>
                <w:szCs w:val="24"/>
              </w:rPr>
              <w:t>пластика влагалища, ЗПФ – задняя пластика влагалища.</w:t>
            </w:r>
          </w:p>
          <w:p w:rsidR="000A3797" w:rsidRDefault="000A3797">
            <w:pPr>
              <w:jc w:val="both"/>
              <w:rPr>
                <w:rFonts w:ascii="Times New Roman" w:eastAsia="Times New Roman" w:hAnsi="Times New Roman" w:cs="Times New Roman"/>
                <w:sz w:val="24"/>
                <w:szCs w:val="24"/>
              </w:rPr>
            </w:pPr>
          </w:p>
        </w:tc>
      </w:tr>
    </w:tbl>
    <w:p w:rsidR="000A3797" w:rsidRDefault="00A660E7">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основной группе, где пациенты регулярно наблюдались у врача лабораторные показатели были статистически значимо выше и соответствовали нормальным, тогда как в группе с отсутствием наблюдения после операции отмечался недостаток витамина Д3 и легкая степень</w:t>
      </w:r>
      <w:r>
        <w:rPr>
          <w:rFonts w:ascii="Times New Roman" w:eastAsia="Times New Roman" w:hAnsi="Times New Roman" w:cs="Times New Roman"/>
          <w:sz w:val="28"/>
          <w:szCs w:val="28"/>
        </w:rPr>
        <w:t xml:space="preserve"> анемии (Таблица 16) </w:t>
      </w:r>
      <w:r>
        <w:rPr>
          <w:rFonts w:ascii="Times New Roman" w:eastAsia="Times New Roman" w:hAnsi="Times New Roman" w:cs="Times New Roman"/>
          <w:sz w:val="28"/>
          <w:szCs w:val="28"/>
          <w:highlight w:val="white"/>
        </w:rPr>
        <w:t>[198,стр. 1245]</w:t>
      </w:r>
      <w:r>
        <w:rPr>
          <w:rFonts w:ascii="Times New Roman" w:eastAsia="Times New Roman" w:hAnsi="Times New Roman" w:cs="Times New Roman"/>
          <w:sz w:val="28"/>
          <w:szCs w:val="28"/>
        </w:rPr>
        <w:t>.</w:t>
      </w:r>
    </w:p>
    <w:p w:rsidR="000A3797" w:rsidRDefault="000A3797">
      <w:pPr>
        <w:spacing w:after="0" w:line="240" w:lineRule="auto"/>
        <w:ind w:firstLine="567"/>
        <w:jc w:val="both"/>
        <w:rPr>
          <w:rFonts w:ascii="Times New Roman" w:eastAsia="Times New Roman" w:hAnsi="Times New Roman" w:cs="Times New Roman"/>
          <w:sz w:val="28"/>
          <w:szCs w:val="28"/>
        </w:rPr>
      </w:pPr>
    </w:p>
    <w:p w:rsidR="000A3797" w:rsidRDefault="00A660E7">
      <w:pPr>
        <w:spacing w:after="0" w:line="240" w:lineRule="auto"/>
        <w:ind w:left="142"/>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16 - Лабораторные показатели</w:t>
      </w:r>
    </w:p>
    <w:p w:rsidR="000A3797" w:rsidRDefault="000A3797">
      <w:pPr>
        <w:spacing w:after="0" w:line="240" w:lineRule="auto"/>
        <w:ind w:left="142"/>
        <w:jc w:val="both"/>
        <w:rPr>
          <w:rFonts w:ascii="Times New Roman" w:eastAsia="Times New Roman" w:hAnsi="Times New Roman" w:cs="Times New Roman"/>
          <w:sz w:val="24"/>
          <w:szCs w:val="24"/>
        </w:rPr>
      </w:pPr>
    </w:p>
    <w:tbl>
      <w:tblPr>
        <w:tblStyle w:val="afc"/>
        <w:tblW w:w="807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71"/>
        <w:gridCol w:w="1695"/>
        <w:gridCol w:w="1771"/>
        <w:gridCol w:w="1634"/>
      </w:tblGrid>
      <w:tr w:rsidR="000A3797">
        <w:tc>
          <w:tcPr>
            <w:tcW w:w="2972"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Оцениваемый результат</w:t>
            </w:r>
          </w:p>
        </w:tc>
        <w:tc>
          <w:tcPr>
            <w:tcW w:w="1695"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группа </w:t>
            </w:r>
          </w:p>
        </w:tc>
        <w:tc>
          <w:tcPr>
            <w:tcW w:w="1771"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группа </w:t>
            </w:r>
          </w:p>
        </w:tc>
        <w:tc>
          <w:tcPr>
            <w:tcW w:w="1634"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p-value</w:t>
            </w:r>
          </w:p>
        </w:tc>
      </w:tr>
      <w:tr w:rsidR="000A3797">
        <w:trPr>
          <w:trHeight w:val="70"/>
        </w:trPr>
        <w:tc>
          <w:tcPr>
            <w:tcW w:w="2972"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Гемоглобин, г/л</w:t>
            </w:r>
          </w:p>
        </w:tc>
        <w:tc>
          <w:tcPr>
            <w:tcW w:w="1695"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128.65 (±10.389)</w:t>
            </w:r>
          </w:p>
        </w:tc>
        <w:tc>
          <w:tcPr>
            <w:tcW w:w="1771"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120.01 (±12.047)</w:t>
            </w:r>
          </w:p>
        </w:tc>
        <w:tc>
          <w:tcPr>
            <w:tcW w:w="1634"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r>
      <w:tr w:rsidR="000A3797">
        <w:tc>
          <w:tcPr>
            <w:tcW w:w="2972"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Ферритин, мкг/л</w:t>
            </w:r>
          </w:p>
        </w:tc>
        <w:tc>
          <w:tcPr>
            <w:tcW w:w="1695"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19.52 (±14.15)</w:t>
            </w:r>
          </w:p>
        </w:tc>
        <w:tc>
          <w:tcPr>
            <w:tcW w:w="1771"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12.05 (±10.63)</w:t>
            </w:r>
          </w:p>
        </w:tc>
        <w:tc>
          <w:tcPr>
            <w:tcW w:w="1634"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r>
      <w:tr w:rsidR="000A3797">
        <w:tc>
          <w:tcPr>
            <w:tcW w:w="2972"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Общий кальций. ммоль/л</w:t>
            </w:r>
          </w:p>
        </w:tc>
        <w:tc>
          <w:tcPr>
            <w:tcW w:w="1695"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2.31 (±0.20)</w:t>
            </w:r>
          </w:p>
        </w:tc>
        <w:tc>
          <w:tcPr>
            <w:tcW w:w="1771"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2.30 (±0.26)</w:t>
            </w:r>
          </w:p>
        </w:tc>
        <w:tc>
          <w:tcPr>
            <w:tcW w:w="1634"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0.025****</w:t>
            </w:r>
          </w:p>
        </w:tc>
      </w:tr>
      <w:tr w:rsidR="000A3797">
        <w:tc>
          <w:tcPr>
            <w:tcW w:w="2972"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Витамин D3, нг/мл</w:t>
            </w:r>
          </w:p>
        </w:tc>
        <w:tc>
          <w:tcPr>
            <w:tcW w:w="1695"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36.00 (±9)</w:t>
            </w:r>
          </w:p>
        </w:tc>
        <w:tc>
          <w:tcPr>
            <w:tcW w:w="1771"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26.00 (±11)</w:t>
            </w:r>
          </w:p>
        </w:tc>
        <w:tc>
          <w:tcPr>
            <w:tcW w:w="1634"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r>
      <w:tr w:rsidR="000A3797">
        <w:tc>
          <w:tcPr>
            <w:tcW w:w="8072" w:type="dxa"/>
            <w:gridSpan w:val="4"/>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Примечание: M – среднее, Me –медиана, SD – стандартное отклонение, Q1-Q-3 – интерквартильный размах, U-критерий Манна - Уитни****, t –критерий Стьюдента*****.</w:t>
            </w:r>
          </w:p>
        </w:tc>
      </w:tr>
    </w:tbl>
    <w:p w:rsidR="000A3797" w:rsidRDefault="000A3797">
      <w:pPr>
        <w:spacing w:after="0" w:line="240" w:lineRule="auto"/>
        <w:ind w:left="142"/>
        <w:jc w:val="both"/>
        <w:rPr>
          <w:rFonts w:ascii="Times New Roman" w:eastAsia="Times New Roman" w:hAnsi="Times New Roman" w:cs="Times New Roman"/>
          <w:sz w:val="24"/>
          <w:szCs w:val="24"/>
        </w:rPr>
      </w:pPr>
    </w:p>
    <w:p w:rsidR="000A3797" w:rsidRDefault="00A660E7">
      <w:pPr>
        <w:spacing w:after="0" w:line="240" w:lineRule="auto"/>
        <w:ind w:left="142"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Состояние после операции статистически значимо отличалось в обеих группах, 210 пациенткам основ</w:t>
      </w:r>
      <w:r>
        <w:rPr>
          <w:rFonts w:ascii="Times New Roman" w:eastAsia="Times New Roman" w:hAnsi="Times New Roman" w:cs="Times New Roman"/>
          <w:sz w:val="28"/>
          <w:szCs w:val="28"/>
        </w:rPr>
        <w:t>ной группы стало лучше (100%), в контрольной группе 52 пациентки (57.8%) отметили улучшение состояния, у 30 пациенток (33.3%) было временное улучшение, у 7 пациенток – не изменилось (7.8%) и у 1 стало хуже (1.15), сила взаимосвязи относительно сильная (р&lt;0</w:t>
      </w:r>
      <w:r>
        <w:rPr>
          <w:rFonts w:ascii="Times New Roman" w:eastAsia="Times New Roman" w:hAnsi="Times New Roman" w:cs="Times New Roman"/>
          <w:sz w:val="28"/>
          <w:szCs w:val="28"/>
        </w:rPr>
        <w:t>.001) (Таблица 17).</w:t>
      </w:r>
    </w:p>
    <w:p w:rsidR="000A3797" w:rsidRDefault="00A660E7">
      <w:pPr>
        <w:spacing w:after="0" w:line="240" w:lineRule="auto"/>
        <w:ind w:left="142"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 наличию рецидива (сила взаимосвязи относительно сильная, р&lt;0.001),анатомии рецидива (сила взаимосвязи сильная, р&lt;0.001), симптомам “de novo” (сила взаимосвязи относительно сильная, р&lt;0.001), выраженности симптомов генитального пролап</w:t>
      </w:r>
      <w:r>
        <w:rPr>
          <w:rFonts w:ascii="Times New Roman" w:eastAsia="Times New Roman" w:hAnsi="Times New Roman" w:cs="Times New Roman"/>
          <w:sz w:val="28"/>
          <w:szCs w:val="28"/>
        </w:rPr>
        <w:t xml:space="preserve">са (сила взаимосвязи была сильная, р&lt;0.001), тазовым болям (сила взаимосвязи относительно сильная, р&lt;0.001), ограничению повседневной деятельности после операции, оценённой в месяцах (р&lt;0.001), а также необходимости повторного хирургического вмешательства </w:t>
      </w:r>
      <w:r>
        <w:rPr>
          <w:rFonts w:ascii="Times New Roman" w:eastAsia="Times New Roman" w:hAnsi="Times New Roman" w:cs="Times New Roman"/>
          <w:sz w:val="28"/>
          <w:szCs w:val="28"/>
        </w:rPr>
        <w:t xml:space="preserve">(взаимосвязи относительно сильная, р&lt;0.001) группы статистически значимо различались между собой (Таблица 17) </w:t>
      </w:r>
      <w:r>
        <w:rPr>
          <w:rFonts w:ascii="Times New Roman" w:eastAsia="Times New Roman" w:hAnsi="Times New Roman" w:cs="Times New Roman"/>
          <w:sz w:val="28"/>
          <w:szCs w:val="28"/>
          <w:highlight w:val="white"/>
        </w:rPr>
        <w:t>[198,стр. 1245]</w:t>
      </w:r>
      <w:r>
        <w:rPr>
          <w:rFonts w:ascii="Times New Roman" w:eastAsia="Times New Roman" w:hAnsi="Times New Roman" w:cs="Times New Roman"/>
          <w:sz w:val="28"/>
          <w:szCs w:val="28"/>
        </w:rPr>
        <w:t>. По всем оцениваемым параметрам в группе мониторинга отмечались статистически значимо лучшие отсроченные результаты по сравнению с</w:t>
      </w:r>
      <w:r>
        <w:rPr>
          <w:rFonts w:ascii="Times New Roman" w:eastAsia="Times New Roman" w:hAnsi="Times New Roman" w:cs="Times New Roman"/>
          <w:sz w:val="28"/>
          <w:szCs w:val="28"/>
        </w:rPr>
        <w:t xml:space="preserve"> контрольной группой.</w:t>
      </w:r>
    </w:p>
    <w:p w:rsidR="000A3797" w:rsidRDefault="000A3797">
      <w:pPr>
        <w:spacing w:after="0" w:line="240" w:lineRule="auto"/>
        <w:ind w:left="142"/>
        <w:jc w:val="both"/>
        <w:rPr>
          <w:rFonts w:ascii="Times New Roman" w:eastAsia="Times New Roman" w:hAnsi="Times New Roman" w:cs="Times New Roman"/>
          <w:sz w:val="28"/>
          <w:szCs w:val="28"/>
        </w:rPr>
      </w:pPr>
    </w:p>
    <w:p w:rsidR="000A3797" w:rsidRDefault="00A660E7">
      <w:pPr>
        <w:spacing w:after="0" w:line="240" w:lineRule="auto"/>
        <w:ind w:left="142"/>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17 -</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Исходы длительного мониторинга (не менее 5 лет) по сравнению с отсутствием мониторинга после операции</w:t>
      </w:r>
    </w:p>
    <w:tbl>
      <w:tblPr>
        <w:tblStyle w:val="afd"/>
        <w:tblpPr w:leftFromText="180" w:rightFromText="180" w:vertAnchor="text" w:tblpY="89"/>
        <w:tblW w:w="962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89"/>
        <w:gridCol w:w="1703"/>
        <w:gridCol w:w="719"/>
        <w:gridCol w:w="978"/>
        <w:gridCol w:w="703"/>
        <w:gridCol w:w="983"/>
        <w:gridCol w:w="1513"/>
        <w:gridCol w:w="1139"/>
      </w:tblGrid>
      <w:tr w:rsidR="000A3797">
        <w:trPr>
          <w:trHeight w:val="233"/>
        </w:trPr>
        <w:tc>
          <w:tcPr>
            <w:tcW w:w="1890" w:type="dxa"/>
            <w:vMerge w:val="restart"/>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Оцениваемый результат</w:t>
            </w:r>
          </w:p>
        </w:tc>
        <w:tc>
          <w:tcPr>
            <w:tcW w:w="1703" w:type="dxa"/>
            <w:vMerge w:val="restart"/>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Результат</w:t>
            </w:r>
          </w:p>
        </w:tc>
        <w:tc>
          <w:tcPr>
            <w:tcW w:w="1697" w:type="dxa"/>
            <w:gridSpan w:val="2"/>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Основная группа</w:t>
            </w:r>
          </w:p>
        </w:tc>
        <w:tc>
          <w:tcPr>
            <w:tcW w:w="1686" w:type="dxa"/>
            <w:gridSpan w:val="2"/>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Контрольная группа</w:t>
            </w:r>
          </w:p>
        </w:tc>
        <w:tc>
          <w:tcPr>
            <w:tcW w:w="1513" w:type="dxa"/>
            <w:vMerge w:val="restart"/>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p-value</w:t>
            </w:r>
          </w:p>
        </w:tc>
        <w:tc>
          <w:tcPr>
            <w:tcW w:w="1139" w:type="dxa"/>
            <w:vMerge w:val="restart"/>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Effect size</w:t>
            </w:r>
          </w:p>
        </w:tc>
      </w:tr>
      <w:tr w:rsidR="000A3797">
        <w:trPr>
          <w:trHeight w:val="232"/>
        </w:trPr>
        <w:tc>
          <w:tcPr>
            <w:tcW w:w="1890"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03"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719"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w:t>
            </w:r>
          </w:p>
        </w:tc>
        <w:tc>
          <w:tcPr>
            <w:tcW w:w="9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70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w:t>
            </w:r>
          </w:p>
        </w:tc>
        <w:tc>
          <w:tcPr>
            <w:tcW w:w="98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1513"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139"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rPr>
          <w:trHeight w:val="232"/>
        </w:trPr>
        <w:tc>
          <w:tcPr>
            <w:tcW w:w="1890"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70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719"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9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70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98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51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1139"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r>
      <w:tr w:rsidR="000A3797">
        <w:trPr>
          <w:trHeight w:val="684"/>
        </w:trPr>
        <w:tc>
          <w:tcPr>
            <w:tcW w:w="1890" w:type="dxa"/>
            <w:vMerge w:val="restart"/>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Состояние после операции</w:t>
            </w:r>
          </w:p>
        </w:tc>
        <w:tc>
          <w:tcPr>
            <w:tcW w:w="170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Стало лучше</w:t>
            </w:r>
          </w:p>
        </w:tc>
        <w:tc>
          <w:tcPr>
            <w:tcW w:w="719"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210 </w:t>
            </w:r>
          </w:p>
        </w:tc>
        <w:tc>
          <w:tcPr>
            <w:tcW w:w="9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70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52 </w:t>
            </w:r>
          </w:p>
        </w:tc>
        <w:tc>
          <w:tcPr>
            <w:tcW w:w="98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57,7%</w:t>
            </w:r>
          </w:p>
        </w:tc>
        <w:tc>
          <w:tcPr>
            <w:tcW w:w="1513" w:type="dxa"/>
            <w:vMerge w:val="restart"/>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1139" w:type="dxa"/>
            <w:vMerge w:val="restart"/>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0.582 **</w:t>
            </w:r>
          </w:p>
        </w:tc>
      </w:tr>
      <w:tr w:rsidR="000A3797">
        <w:tc>
          <w:tcPr>
            <w:tcW w:w="1890"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0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Временно улучшилось</w:t>
            </w:r>
          </w:p>
        </w:tc>
        <w:tc>
          <w:tcPr>
            <w:tcW w:w="719"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978" w:type="dxa"/>
          </w:tcPr>
          <w:p w:rsidR="000A3797" w:rsidRDefault="000A3797">
            <w:pPr>
              <w:ind w:left="142"/>
              <w:jc w:val="both"/>
              <w:rPr>
                <w:rFonts w:ascii="Times New Roman" w:eastAsia="Times New Roman" w:hAnsi="Times New Roman" w:cs="Times New Roman"/>
                <w:sz w:val="24"/>
                <w:szCs w:val="24"/>
              </w:rPr>
            </w:pPr>
          </w:p>
        </w:tc>
        <w:tc>
          <w:tcPr>
            <w:tcW w:w="70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c>
          <w:tcPr>
            <w:tcW w:w="98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33,3%</w:t>
            </w:r>
          </w:p>
        </w:tc>
        <w:tc>
          <w:tcPr>
            <w:tcW w:w="1513"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139"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890"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0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 изменилось</w:t>
            </w:r>
          </w:p>
        </w:tc>
        <w:tc>
          <w:tcPr>
            <w:tcW w:w="719"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978" w:type="dxa"/>
          </w:tcPr>
          <w:p w:rsidR="000A3797" w:rsidRDefault="000A3797">
            <w:pPr>
              <w:ind w:left="142"/>
              <w:jc w:val="both"/>
              <w:rPr>
                <w:rFonts w:ascii="Times New Roman" w:eastAsia="Times New Roman" w:hAnsi="Times New Roman" w:cs="Times New Roman"/>
                <w:sz w:val="24"/>
                <w:szCs w:val="24"/>
              </w:rPr>
            </w:pPr>
          </w:p>
        </w:tc>
        <w:tc>
          <w:tcPr>
            <w:tcW w:w="70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98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7,8%</w:t>
            </w:r>
          </w:p>
        </w:tc>
        <w:tc>
          <w:tcPr>
            <w:tcW w:w="1513"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139"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890"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0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Стало хуже</w:t>
            </w:r>
          </w:p>
        </w:tc>
        <w:tc>
          <w:tcPr>
            <w:tcW w:w="719"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978" w:type="dxa"/>
          </w:tcPr>
          <w:p w:rsidR="000A3797" w:rsidRDefault="000A3797">
            <w:pPr>
              <w:ind w:left="142"/>
              <w:jc w:val="both"/>
              <w:rPr>
                <w:rFonts w:ascii="Times New Roman" w:eastAsia="Times New Roman" w:hAnsi="Times New Roman" w:cs="Times New Roman"/>
                <w:sz w:val="24"/>
                <w:szCs w:val="24"/>
              </w:rPr>
            </w:pPr>
          </w:p>
        </w:tc>
        <w:tc>
          <w:tcPr>
            <w:tcW w:w="70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98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1513"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139"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890" w:type="dxa"/>
            <w:vMerge w:val="restart"/>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рецидив</w:t>
            </w:r>
          </w:p>
        </w:tc>
        <w:tc>
          <w:tcPr>
            <w:tcW w:w="170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719"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204</w:t>
            </w:r>
          </w:p>
        </w:tc>
        <w:tc>
          <w:tcPr>
            <w:tcW w:w="9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97,4%</w:t>
            </w:r>
          </w:p>
        </w:tc>
        <w:tc>
          <w:tcPr>
            <w:tcW w:w="70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51</w:t>
            </w:r>
          </w:p>
        </w:tc>
        <w:tc>
          <w:tcPr>
            <w:tcW w:w="98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56,7%</w:t>
            </w:r>
          </w:p>
        </w:tc>
        <w:tc>
          <w:tcPr>
            <w:tcW w:w="1513" w:type="dxa"/>
            <w:vMerge w:val="restart"/>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p w:rsidR="000A3797" w:rsidRDefault="000A3797">
            <w:pPr>
              <w:ind w:left="45"/>
              <w:jc w:val="both"/>
              <w:rPr>
                <w:rFonts w:ascii="Times New Roman" w:eastAsia="Times New Roman" w:hAnsi="Times New Roman" w:cs="Times New Roman"/>
                <w:sz w:val="24"/>
                <w:szCs w:val="24"/>
              </w:rPr>
            </w:pPr>
          </w:p>
        </w:tc>
        <w:tc>
          <w:tcPr>
            <w:tcW w:w="1139" w:type="dxa"/>
            <w:vMerge w:val="restart"/>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0.566**</w:t>
            </w:r>
          </w:p>
        </w:tc>
      </w:tr>
      <w:tr w:rsidR="000A3797">
        <w:tc>
          <w:tcPr>
            <w:tcW w:w="1890"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0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степень</w:t>
            </w:r>
          </w:p>
        </w:tc>
        <w:tc>
          <w:tcPr>
            <w:tcW w:w="719"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9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2,9%</w:t>
            </w:r>
          </w:p>
        </w:tc>
        <w:tc>
          <w:tcPr>
            <w:tcW w:w="70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98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3,3%</w:t>
            </w:r>
          </w:p>
        </w:tc>
        <w:tc>
          <w:tcPr>
            <w:tcW w:w="1513"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139"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890"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0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степень</w:t>
            </w:r>
          </w:p>
        </w:tc>
        <w:tc>
          <w:tcPr>
            <w:tcW w:w="719"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978" w:type="dxa"/>
          </w:tcPr>
          <w:p w:rsidR="000A3797" w:rsidRDefault="000A3797">
            <w:pPr>
              <w:ind w:left="142"/>
              <w:jc w:val="both"/>
              <w:rPr>
                <w:rFonts w:ascii="Times New Roman" w:eastAsia="Times New Roman" w:hAnsi="Times New Roman" w:cs="Times New Roman"/>
                <w:sz w:val="24"/>
                <w:szCs w:val="24"/>
              </w:rPr>
            </w:pPr>
          </w:p>
        </w:tc>
        <w:tc>
          <w:tcPr>
            <w:tcW w:w="70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34</w:t>
            </w:r>
          </w:p>
        </w:tc>
        <w:tc>
          <w:tcPr>
            <w:tcW w:w="98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37,8%</w:t>
            </w:r>
          </w:p>
        </w:tc>
        <w:tc>
          <w:tcPr>
            <w:tcW w:w="1513"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139"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890"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0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степень</w:t>
            </w:r>
          </w:p>
        </w:tc>
        <w:tc>
          <w:tcPr>
            <w:tcW w:w="719"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978" w:type="dxa"/>
          </w:tcPr>
          <w:p w:rsidR="000A3797" w:rsidRDefault="000A3797">
            <w:pPr>
              <w:ind w:left="142"/>
              <w:jc w:val="both"/>
              <w:rPr>
                <w:rFonts w:ascii="Times New Roman" w:eastAsia="Times New Roman" w:hAnsi="Times New Roman" w:cs="Times New Roman"/>
                <w:sz w:val="24"/>
                <w:szCs w:val="24"/>
              </w:rPr>
            </w:pPr>
          </w:p>
        </w:tc>
        <w:tc>
          <w:tcPr>
            <w:tcW w:w="70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98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1513"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139"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890"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0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степень</w:t>
            </w:r>
          </w:p>
        </w:tc>
        <w:tc>
          <w:tcPr>
            <w:tcW w:w="719"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978" w:type="dxa"/>
          </w:tcPr>
          <w:p w:rsidR="000A3797" w:rsidRDefault="000A3797">
            <w:pPr>
              <w:ind w:left="142"/>
              <w:jc w:val="both"/>
              <w:rPr>
                <w:rFonts w:ascii="Times New Roman" w:eastAsia="Times New Roman" w:hAnsi="Times New Roman" w:cs="Times New Roman"/>
                <w:sz w:val="24"/>
                <w:szCs w:val="24"/>
              </w:rPr>
            </w:pPr>
          </w:p>
        </w:tc>
        <w:tc>
          <w:tcPr>
            <w:tcW w:w="70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983" w:type="dxa"/>
          </w:tcPr>
          <w:p w:rsidR="000A3797" w:rsidRDefault="000A3797">
            <w:pPr>
              <w:ind w:left="142"/>
              <w:jc w:val="both"/>
              <w:rPr>
                <w:rFonts w:ascii="Times New Roman" w:eastAsia="Times New Roman" w:hAnsi="Times New Roman" w:cs="Times New Roman"/>
                <w:sz w:val="24"/>
                <w:szCs w:val="24"/>
              </w:rPr>
            </w:pPr>
          </w:p>
        </w:tc>
        <w:tc>
          <w:tcPr>
            <w:tcW w:w="1513"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139"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890" w:type="dxa"/>
            <w:vMerge w:val="restart"/>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Симптомы “de novo”</w:t>
            </w:r>
          </w:p>
        </w:tc>
        <w:tc>
          <w:tcPr>
            <w:tcW w:w="170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719"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210 </w:t>
            </w:r>
          </w:p>
        </w:tc>
        <w:tc>
          <w:tcPr>
            <w:tcW w:w="9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70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58</w:t>
            </w:r>
          </w:p>
        </w:tc>
        <w:tc>
          <w:tcPr>
            <w:tcW w:w="98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64,4%</w:t>
            </w:r>
          </w:p>
        </w:tc>
        <w:tc>
          <w:tcPr>
            <w:tcW w:w="1513" w:type="dxa"/>
            <w:vMerge w:val="restart"/>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1139" w:type="dxa"/>
            <w:vMerge w:val="restart"/>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0.528 **</w:t>
            </w:r>
          </w:p>
        </w:tc>
      </w:tr>
      <w:tr w:rsidR="000A3797">
        <w:tc>
          <w:tcPr>
            <w:tcW w:w="1890"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0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Беспокоят мало </w:t>
            </w:r>
          </w:p>
        </w:tc>
        <w:tc>
          <w:tcPr>
            <w:tcW w:w="719"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978" w:type="dxa"/>
          </w:tcPr>
          <w:p w:rsidR="000A3797" w:rsidRDefault="000A3797">
            <w:pPr>
              <w:ind w:left="142"/>
              <w:jc w:val="both"/>
              <w:rPr>
                <w:rFonts w:ascii="Times New Roman" w:eastAsia="Times New Roman" w:hAnsi="Times New Roman" w:cs="Times New Roman"/>
                <w:sz w:val="24"/>
                <w:szCs w:val="24"/>
              </w:rPr>
            </w:pPr>
          </w:p>
        </w:tc>
        <w:tc>
          <w:tcPr>
            <w:tcW w:w="70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29</w:t>
            </w:r>
          </w:p>
        </w:tc>
        <w:tc>
          <w:tcPr>
            <w:tcW w:w="98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32,2%</w:t>
            </w:r>
          </w:p>
        </w:tc>
        <w:tc>
          <w:tcPr>
            <w:tcW w:w="1513"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139"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890"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0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Умеренные симптомы</w:t>
            </w:r>
          </w:p>
        </w:tc>
        <w:tc>
          <w:tcPr>
            <w:tcW w:w="719"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978" w:type="dxa"/>
          </w:tcPr>
          <w:p w:rsidR="000A3797" w:rsidRDefault="000A3797">
            <w:pPr>
              <w:ind w:left="142"/>
              <w:jc w:val="both"/>
              <w:rPr>
                <w:rFonts w:ascii="Times New Roman" w:eastAsia="Times New Roman" w:hAnsi="Times New Roman" w:cs="Times New Roman"/>
                <w:sz w:val="24"/>
                <w:szCs w:val="24"/>
              </w:rPr>
            </w:pPr>
          </w:p>
        </w:tc>
        <w:tc>
          <w:tcPr>
            <w:tcW w:w="70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98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1513"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139"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890"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0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Выраженные симптомы</w:t>
            </w:r>
          </w:p>
        </w:tc>
        <w:tc>
          <w:tcPr>
            <w:tcW w:w="719"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978" w:type="dxa"/>
          </w:tcPr>
          <w:p w:rsidR="000A3797" w:rsidRDefault="000A3797">
            <w:pPr>
              <w:ind w:left="142"/>
              <w:jc w:val="both"/>
              <w:rPr>
                <w:rFonts w:ascii="Times New Roman" w:eastAsia="Times New Roman" w:hAnsi="Times New Roman" w:cs="Times New Roman"/>
                <w:sz w:val="24"/>
                <w:szCs w:val="24"/>
              </w:rPr>
            </w:pPr>
          </w:p>
        </w:tc>
        <w:tc>
          <w:tcPr>
            <w:tcW w:w="70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98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1513"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139"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890" w:type="dxa"/>
            <w:vMerge w:val="restart"/>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Тазовые боли</w:t>
            </w:r>
          </w:p>
        </w:tc>
        <w:tc>
          <w:tcPr>
            <w:tcW w:w="170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719"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210 </w:t>
            </w:r>
          </w:p>
        </w:tc>
        <w:tc>
          <w:tcPr>
            <w:tcW w:w="978" w:type="dxa"/>
          </w:tcPr>
          <w:p w:rsidR="000A3797" w:rsidRDefault="000A3797">
            <w:pPr>
              <w:ind w:left="142"/>
              <w:jc w:val="both"/>
              <w:rPr>
                <w:rFonts w:ascii="Times New Roman" w:eastAsia="Times New Roman" w:hAnsi="Times New Roman" w:cs="Times New Roman"/>
                <w:sz w:val="24"/>
                <w:szCs w:val="24"/>
              </w:rPr>
            </w:pPr>
          </w:p>
        </w:tc>
        <w:tc>
          <w:tcPr>
            <w:tcW w:w="70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81 </w:t>
            </w:r>
          </w:p>
        </w:tc>
        <w:tc>
          <w:tcPr>
            <w:tcW w:w="98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90%</w:t>
            </w:r>
          </w:p>
        </w:tc>
        <w:tc>
          <w:tcPr>
            <w:tcW w:w="1513" w:type="dxa"/>
            <w:vMerge w:val="restart"/>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1139" w:type="dxa"/>
            <w:vMerge w:val="restart"/>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0.528**</w:t>
            </w:r>
          </w:p>
        </w:tc>
      </w:tr>
      <w:tr w:rsidR="000A3797">
        <w:tc>
          <w:tcPr>
            <w:tcW w:w="1890"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0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Умеренно</w:t>
            </w:r>
          </w:p>
        </w:tc>
        <w:tc>
          <w:tcPr>
            <w:tcW w:w="719"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978" w:type="dxa"/>
          </w:tcPr>
          <w:p w:rsidR="000A3797" w:rsidRDefault="000A3797">
            <w:pPr>
              <w:ind w:left="142"/>
              <w:jc w:val="both"/>
              <w:rPr>
                <w:rFonts w:ascii="Times New Roman" w:eastAsia="Times New Roman" w:hAnsi="Times New Roman" w:cs="Times New Roman"/>
                <w:sz w:val="24"/>
                <w:szCs w:val="24"/>
              </w:rPr>
            </w:pPr>
          </w:p>
        </w:tc>
        <w:tc>
          <w:tcPr>
            <w:tcW w:w="70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 </w:t>
            </w:r>
          </w:p>
        </w:tc>
        <w:tc>
          <w:tcPr>
            <w:tcW w:w="98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6,7%</w:t>
            </w:r>
          </w:p>
        </w:tc>
        <w:tc>
          <w:tcPr>
            <w:tcW w:w="1513"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139"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rPr>
          <w:trHeight w:val="547"/>
        </w:trPr>
        <w:tc>
          <w:tcPr>
            <w:tcW w:w="1890"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0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Значительно</w:t>
            </w:r>
          </w:p>
        </w:tc>
        <w:tc>
          <w:tcPr>
            <w:tcW w:w="719"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978" w:type="dxa"/>
          </w:tcPr>
          <w:p w:rsidR="000A3797" w:rsidRDefault="000A3797">
            <w:pPr>
              <w:ind w:left="142"/>
              <w:jc w:val="both"/>
              <w:rPr>
                <w:rFonts w:ascii="Times New Roman" w:eastAsia="Times New Roman" w:hAnsi="Times New Roman" w:cs="Times New Roman"/>
                <w:sz w:val="24"/>
                <w:szCs w:val="24"/>
              </w:rPr>
            </w:pPr>
          </w:p>
        </w:tc>
        <w:tc>
          <w:tcPr>
            <w:tcW w:w="70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98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3,3%</w:t>
            </w:r>
          </w:p>
        </w:tc>
        <w:tc>
          <w:tcPr>
            <w:tcW w:w="1513"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139"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bl>
    <w:p w:rsidR="000A3797" w:rsidRDefault="000A3797">
      <w:pPr>
        <w:rPr>
          <w:rFonts w:ascii="Times New Roman" w:eastAsia="Times New Roman" w:hAnsi="Times New Roman" w:cs="Times New Roman"/>
        </w:rPr>
      </w:pPr>
    </w:p>
    <w:p w:rsidR="000A3797" w:rsidRDefault="000A3797">
      <w:pPr>
        <w:rPr>
          <w:rFonts w:ascii="Times New Roman" w:eastAsia="Times New Roman" w:hAnsi="Times New Roman" w:cs="Times New Roman"/>
        </w:rPr>
      </w:pPr>
    </w:p>
    <w:p w:rsidR="000A3797" w:rsidRDefault="00A660E7">
      <w:pPr>
        <w:rPr>
          <w:rFonts w:ascii="Times New Roman" w:eastAsia="Times New Roman" w:hAnsi="Times New Roman" w:cs="Times New Roman"/>
          <w:sz w:val="28"/>
          <w:szCs w:val="28"/>
        </w:rPr>
      </w:pPr>
      <w:r>
        <w:rPr>
          <w:rFonts w:ascii="Times New Roman" w:eastAsia="Times New Roman" w:hAnsi="Times New Roman" w:cs="Times New Roman"/>
          <w:sz w:val="28"/>
          <w:szCs w:val="28"/>
        </w:rPr>
        <w:t>Продолжение таблицы 17</w:t>
      </w:r>
    </w:p>
    <w:tbl>
      <w:tblPr>
        <w:tblStyle w:val="afe"/>
        <w:tblpPr w:leftFromText="180" w:rightFromText="180" w:vertAnchor="text" w:tblpY="89"/>
        <w:tblW w:w="962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69"/>
        <w:gridCol w:w="1678"/>
        <w:gridCol w:w="719"/>
        <w:gridCol w:w="978"/>
        <w:gridCol w:w="678"/>
        <w:gridCol w:w="978"/>
        <w:gridCol w:w="1514"/>
        <w:gridCol w:w="1013"/>
      </w:tblGrid>
      <w:tr w:rsidR="000A3797">
        <w:tc>
          <w:tcPr>
            <w:tcW w:w="2070"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6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719"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9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6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9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514"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101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r>
      <w:tr w:rsidR="000A3797">
        <w:tc>
          <w:tcPr>
            <w:tcW w:w="2070" w:type="dxa"/>
            <w:vMerge w:val="restart"/>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Симптомы опущения</w:t>
            </w:r>
          </w:p>
        </w:tc>
        <w:tc>
          <w:tcPr>
            <w:tcW w:w="16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719"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200 </w:t>
            </w:r>
          </w:p>
        </w:tc>
        <w:tc>
          <w:tcPr>
            <w:tcW w:w="9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95,2%</w:t>
            </w:r>
          </w:p>
        </w:tc>
        <w:tc>
          <w:tcPr>
            <w:tcW w:w="6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36</w:t>
            </w:r>
          </w:p>
        </w:tc>
        <w:tc>
          <w:tcPr>
            <w:tcW w:w="9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40%</w:t>
            </w:r>
          </w:p>
        </w:tc>
        <w:tc>
          <w:tcPr>
            <w:tcW w:w="1514" w:type="dxa"/>
            <w:vMerge w:val="restart"/>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1013" w:type="dxa"/>
            <w:vMerge w:val="restart"/>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0.658 **</w:t>
            </w:r>
          </w:p>
        </w:tc>
      </w:tr>
      <w:tr w:rsidR="000A3797">
        <w:tc>
          <w:tcPr>
            <w:tcW w:w="2070"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6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Единичные эпизоды </w:t>
            </w:r>
          </w:p>
        </w:tc>
        <w:tc>
          <w:tcPr>
            <w:tcW w:w="719"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10 </w:t>
            </w:r>
          </w:p>
        </w:tc>
        <w:tc>
          <w:tcPr>
            <w:tcW w:w="9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4,8%</w:t>
            </w:r>
          </w:p>
        </w:tc>
        <w:tc>
          <w:tcPr>
            <w:tcW w:w="6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9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12,2%</w:t>
            </w:r>
          </w:p>
        </w:tc>
        <w:tc>
          <w:tcPr>
            <w:tcW w:w="1514"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013"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2070"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6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Постоянные, беспокоят мало</w:t>
            </w:r>
          </w:p>
        </w:tc>
        <w:tc>
          <w:tcPr>
            <w:tcW w:w="719"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978" w:type="dxa"/>
          </w:tcPr>
          <w:p w:rsidR="000A3797" w:rsidRDefault="000A3797">
            <w:pPr>
              <w:ind w:left="142"/>
              <w:jc w:val="both"/>
              <w:rPr>
                <w:rFonts w:ascii="Times New Roman" w:eastAsia="Times New Roman" w:hAnsi="Times New Roman" w:cs="Times New Roman"/>
                <w:sz w:val="24"/>
                <w:szCs w:val="24"/>
              </w:rPr>
            </w:pPr>
          </w:p>
        </w:tc>
        <w:tc>
          <w:tcPr>
            <w:tcW w:w="6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9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22,2%</w:t>
            </w:r>
          </w:p>
        </w:tc>
        <w:tc>
          <w:tcPr>
            <w:tcW w:w="1514"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013"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2070"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6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Постоянные, беспокоят умеренно</w:t>
            </w:r>
          </w:p>
        </w:tc>
        <w:tc>
          <w:tcPr>
            <w:tcW w:w="719"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978" w:type="dxa"/>
          </w:tcPr>
          <w:p w:rsidR="000A3797" w:rsidRDefault="000A3797">
            <w:pPr>
              <w:ind w:left="142"/>
              <w:jc w:val="both"/>
              <w:rPr>
                <w:rFonts w:ascii="Times New Roman" w:eastAsia="Times New Roman" w:hAnsi="Times New Roman" w:cs="Times New Roman"/>
                <w:sz w:val="24"/>
                <w:szCs w:val="24"/>
              </w:rPr>
            </w:pPr>
          </w:p>
        </w:tc>
        <w:tc>
          <w:tcPr>
            <w:tcW w:w="6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9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21,1%</w:t>
            </w:r>
          </w:p>
        </w:tc>
        <w:tc>
          <w:tcPr>
            <w:tcW w:w="1514"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013"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2070"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6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Постоянные, беспокоят значительно</w:t>
            </w:r>
          </w:p>
        </w:tc>
        <w:tc>
          <w:tcPr>
            <w:tcW w:w="719"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978" w:type="dxa"/>
          </w:tcPr>
          <w:p w:rsidR="000A3797" w:rsidRDefault="000A3797">
            <w:pPr>
              <w:ind w:left="142"/>
              <w:jc w:val="both"/>
              <w:rPr>
                <w:rFonts w:ascii="Times New Roman" w:eastAsia="Times New Roman" w:hAnsi="Times New Roman" w:cs="Times New Roman"/>
                <w:sz w:val="24"/>
                <w:szCs w:val="24"/>
              </w:rPr>
            </w:pPr>
          </w:p>
        </w:tc>
        <w:tc>
          <w:tcPr>
            <w:tcW w:w="6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9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4,4%</w:t>
            </w:r>
          </w:p>
        </w:tc>
        <w:tc>
          <w:tcPr>
            <w:tcW w:w="1514"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013"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2070" w:type="dxa"/>
            <w:vMerge w:val="restart"/>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Анатомия рецидива</w:t>
            </w:r>
          </w:p>
        </w:tc>
        <w:tc>
          <w:tcPr>
            <w:tcW w:w="16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719"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204 </w:t>
            </w:r>
          </w:p>
        </w:tc>
        <w:tc>
          <w:tcPr>
            <w:tcW w:w="9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97,1%</w:t>
            </w:r>
          </w:p>
        </w:tc>
        <w:tc>
          <w:tcPr>
            <w:tcW w:w="6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51</w:t>
            </w:r>
          </w:p>
        </w:tc>
        <w:tc>
          <w:tcPr>
            <w:tcW w:w="9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56,7%</w:t>
            </w:r>
          </w:p>
        </w:tc>
        <w:tc>
          <w:tcPr>
            <w:tcW w:w="1514" w:type="dxa"/>
            <w:vMerge w:val="restart"/>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1013" w:type="dxa"/>
            <w:vMerge w:val="restart"/>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0.525 **</w:t>
            </w:r>
          </w:p>
        </w:tc>
      </w:tr>
      <w:tr w:rsidR="000A3797">
        <w:tc>
          <w:tcPr>
            <w:tcW w:w="2070"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6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Цистоцеле</w:t>
            </w:r>
          </w:p>
        </w:tc>
        <w:tc>
          <w:tcPr>
            <w:tcW w:w="719"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 </w:t>
            </w:r>
          </w:p>
        </w:tc>
        <w:tc>
          <w:tcPr>
            <w:tcW w:w="9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6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c>
          <w:tcPr>
            <w:tcW w:w="9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26,7%</w:t>
            </w:r>
          </w:p>
        </w:tc>
        <w:tc>
          <w:tcPr>
            <w:tcW w:w="1514"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013"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2070"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6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Ректоцеле</w:t>
            </w:r>
          </w:p>
        </w:tc>
        <w:tc>
          <w:tcPr>
            <w:tcW w:w="719"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978" w:type="dxa"/>
          </w:tcPr>
          <w:p w:rsidR="000A3797" w:rsidRDefault="000A3797">
            <w:pPr>
              <w:ind w:left="142"/>
              <w:jc w:val="both"/>
              <w:rPr>
                <w:rFonts w:ascii="Times New Roman" w:eastAsia="Times New Roman" w:hAnsi="Times New Roman" w:cs="Times New Roman"/>
                <w:sz w:val="24"/>
                <w:szCs w:val="24"/>
              </w:rPr>
            </w:pPr>
          </w:p>
        </w:tc>
        <w:tc>
          <w:tcPr>
            <w:tcW w:w="6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9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8,9%</w:t>
            </w:r>
          </w:p>
        </w:tc>
        <w:tc>
          <w:tcPr>
            <w:tcW w:w="1514"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013"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2070"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6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Верхушка</w:t>
            </w:r>
          </w:p>
        </w:tc>
        <w:tc>
          <w:tcPr>
            <w:tcW w:w="719"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w:t>
            </w:r>
          </w:p>
        </w:tc>
        <w:tc>
          <w:tcPr>
            <w:tcW w:w="9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6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9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5,6%</w:t>
            </w:r>
          </w:p>
        </w:tc>
        <w:tc>
          <w:tcPr>
            <w:tcW w:w="1514"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013"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2070"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6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Полный</w:t>
            </w:r>
          </w:p>
        </w:tc>
        <w:tc>
          <w:tcPr>
            <w:tcW w:w="719"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978" w:type="dxa"/>
          </w:tcPr>
          <w:p w:rsidR="000A3797" w:rsidRDefault="000A3797">
            <w:pPr>
              <w:ind w:left="142"/>
              <w:jc w:val="both"/>
              <w:rPr>
                <w:rFonts w:ascii="Times New Roman" w:eastAsia="Times New Roman" w:hAnsi="Times New Roman" w:cs="Times New Roman"/>
                <w:sz w:val="24"/>
                <w:szCs w:val="24"/>
              </w:rPr>
            </w:pPr>
          </w:p>
        </w:tc>
        <w:tc>
          <w:tcPr>
            <w:tcW w:w="6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9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1514"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013"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2070" w:type="dxa"/>
            <w:vMerge w:val="restart"/>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Симптомы эрозии сетки</w:t>
            </w:r>
          </w:p>
          <w:p w:rsidR="000A3797" w:rsidRDefault="000A3797">
            <w:pPr>
              <w:jc w:val="both"/>
              <w:rPr>
                <w:rFonts w:ascii="Times New Roman" w:eastAsia="Times New Roman" w:hAnsi="Times New Roman" w:cs="Times New Roman"/>
                <w:sz w:val="24"/>
                <w:szCs w:val="24"/>
              </w:rPr>
            </w:pPr>
          </w:p>
        </w:tc>
        <w:tc>
          <w:tcPr>
            <w:tcW w:w="16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719"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210</w:t>
            </w:r>
          </w:p>
        </w:tc>
        <w:tc>
          <w:tcPr>
            <w:tcW w:w="9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210</w:t>
            </w:r>
          </w:p>
        </w:tc>
        <w:tc>
          <w:tcPr>
            <w:tcW w:w="6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81 </w:t>
            </w:r>
          </w:p>
        </w:tc>
        <w:tc>
          <w:tcPr>
            <w:tcW w:w="9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90%</w:t>
            </w:r>
          </w:p>
        </w:tc>
        <w:tc>
          <w:tcPr>
            <w:tcW w:w="1514" w:type="dxa"/>
            <w:vMerge w:val="restart"/>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1013" w:type="dxa"/>
            <w:vMerge w:val="restart"/>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0.269 **</w:t>
            </w:r>
          </w:p>
        </w:tc>
      </w:tr>
      <w:tr w:rsidR="000A3797">
        <w:tc>
          <w:tcPr>
            <w:tcW w:w="2070"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6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Единичные эпизоды</w:t>
            </w:r>
          </w:p>
        </w:tc>
        <w:tc>
          <w:tcPr>
            <w:tcW w:w="719"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978" w:type="dxa"/>
          </w:tcPr>
          <w:p w:rsidR="000A3797" w:rsidRDefault="000A3797">
            <w:pPr>
              <w:ind w:left="142"/>
              <w:jc w:val="both"/>
              <w:rPr>
                <w:rFonts w:ascii="Times New Roman" w:eastAsia="Times New Roman" w:hAnsi="Times New Roman" w:cs="Times New Roman"/>
                <w:sz w:val="24"/>
                <w:szCs w:val="24"/>
              </w:rPr>
            </w:pPr>
          </w:p>
        </w:tc>
        <w:tc>
          <w:tcPr>
            <w:tcW w:w="6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9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1514"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013"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2070"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6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Иногда</w:t>
            </w:r>
          </w:p>
        </w:tc>
        <w:tc>
          <w:tcPr>
            <w:tcW w:w="719"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978" w:type="dxa"/>
          </w:tcPr>
          <w:p w:rsidR="000A3797" w:rsidRDefault="000A3797">
            <w:pPr>
              <w:ind w:left="142"/>
              <w:jc w:val="both"/>
              <w:rPr>
                <w:rFonts w:ascii="Times New Roman" w:eastAsia="Times New Roman" w:hAnsi="Times New Roman" w:cs="Times New Roman"/>
                <w:sz w:val="24"/>
                <w:szCs w:val="24"/>
              </w:rPr>
            </w:pPr>
          </w:p>
        </w:tc>
        <w:tc>
          <w:tcPr>
            <w:tcW w:w="6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9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4,4%</w:t>
            </w:r>
          </w:p>
        </w:tc>
        <w:tc>
          <w:tcPr>
            <w:tcW w:w="1514"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013"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2070"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6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Постоянно</w:t>
            </w:r>
          </w:p>
        </w:tc>
        <w:tc>
          <w:tcPr>
            <w:tcW w:w="719"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978" w:type="dxa"/>
          </w:tcPr>
          <w:p w:rsidR="000A3797" w:rsidRDefault="000A3797">
            <w:pPr>
              <w:ind w:left="142"/>
              <w:jc w:val="both"/>
              <w:rPr>
                <w:rFonts w:ascii="Times New Roman" w:eastAsia="Times New Roman" w:hAnsi="Times New Roman" w:cs="Times New Roman"/>
                <w:sz w:val="24"/>
                <w:szCs w:val="24"/>
              </w:rPr>
            </w:pPr>
          </w:p>
        </w:tc>
        <w:tc>
          <w:tcPr>
            <w:tcW w:w="6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9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4,4%</w:t>
            </w:r>
          </w:p>
        </w:tc>
        <w:tc>
          <w:tcPr>
            <w:tcW w:w="1514"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013"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rPr>
          <w:trHeight w:val="547"/>
        </w:trPr>
        <w:tc>
          <w:tcPr>
            <w:tcW w:w="2070" w:type="dxa"/>
            <w:vMerge w:val="restart"/>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Требует вмешательства</w:t>
            </w:r>
          </w:p>
        </w:tc>
        <w:tc>
          <w:tcPr>
            <w:tcW w:w="16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719"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210 </w:t>
            </w:r>
          </w:p>
        </w:tc>
        <w:tc>
          <w:tcPr>
            <w:tcW w:w="9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6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52 </w:t>
            </w:r>
          </w:p>
        </w:tc>
        <w:tc>
          <w:tcPr>
            <w:tcW w:w="9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57,8%</w:t>
            </w:r>
          </w:p>
        </w:tc>
        <w:tc>
          <w:tcPr>
            <w:tcW w:w="1514" w:type="dxa"/>
            <w:vMerge w:val="restart"/>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1013" w:type="dxa"/>
            <w:vMerge w:val="restart"/>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0.582 **</w:t>
            </w:r>
          </w:p>
        </w:tc>
      </w:tr>
      <w:tr w:rsidR="000A3797">
        <w:trPr>
          <w:trHeight w:val="547"/>
        </w:trPr>
        <w:tc>
          <w:tcPr>
            <w:tcW w:w="2070"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6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Да</w:t>
            </w:r>
          </w:p>
        </w:tc>
        <w:tc>
          <w:tcPr>
            <w:tcW w:w="719"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978" w:type="dxa"/>
          </w:tcPr>
          <w:p w:rsidR="000A3797" w:rsidRDefault="000A3797">
            <w:pPr>
              <w:ind w:left="142"/>
              <w:jc w:val="both"/>
              <w:rPr>
                <w:rFonts w:ascii="Times New Roman" w:eastAsia="Times New Roman" w:hAnsi="Times New Roman" w:cs="Times New Roman"/>
                <w:sz w:val="24"/>
                <w:szCs w:val="24"/>
              </w:rPr>
            </w:pPr>
          </w:p>
        </w:tc>
        <w:tc>
          <w:tcPr>
            <w:tcW w:w="6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38</w:t>
            </w:r>
          </w:p>
        </w:tc>
        <w:tc>
          <w:tcPr>
            <w:tcW w:w="9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42,2%</w:t>
            </w:r>
          </w:p>
        </w:tc>
        <w:tc>
          <w:tcPr>
            <w:tcW w:w="1514"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013"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rPr>
          <w:trHeight w:val="547"/>
        </w:trPr>
        <w:tc>
          <w:tcPr>
            <w:tcW w:w="2070" w:type="dxa"/>
            <w:vMerge w:val="restart"/>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Иссечение эрозии сетки</w:t>
            </w:r>
          </w:p>
        </w:tc>
        <w:tc>
          <w:tcPr>
            <w:tcW w:w="16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719"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205 </w:t>
            </w:r>
          </w:p>
        </w:tc>
        <w:tc>
          <w:tcPr>
            <w:tcW w:w="9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97,6%</w:t>
            </w:r>
          </w:p>
        </w:tc>
        <w:tc>
          <w:tcPr>
            <w:tcW w:w="6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88 </w:t>
            </w:r>
          </w:p>
        </w:tc>
        <w:tc>
          <w:tcPr>
            <w:tcW w:w="9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97,8%</w:t>
            </w:r>
          </w:p>
        </w:tc>
        <w:tc>
          <w:tcPr>
            <w:tcW w:w="1514" w:type="dxa"/>
            <w:vMerge w:val="restart"/>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0.933***</w:t>
            </w:r>
          </w:p>
        </w:tc>
        <w:tc>
          <w:tcPr>
            <w:tcW w:w="1013" w:type="dxa"/>
            <w:vMerge w:val="restart"/>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0.005 **</w:t>
            </w:r>
          </w:p>
        </w:tc>
      </w:tr>
      <w:tr w:rsidR="000A3797">
        <w:trPr>
          <w:trHeight w:val="547"/>
        </w:trPr>
        <w:tc>
          <w:tcPr>
            <w:tcW w:w="2070"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6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да</w:t>
            </w:r>
          </w:p>
        </w:tc>
        <w:tc>
          <w:tcPr>
            <w:tcW w:w="719"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 </w:t>
            </w:r>
          </w:p>
        </w:tc>
        <w:tc>
          <w:tcPr>
            <w:tcW w:w="9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c>
          <w:tcPr>
            <w:tcW w:w="6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w:t>
            </w:r>
          </w:p>
        </w:tc>
        <w:tc>
          <w:tcPr>
            <w:tcW w:w="9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1514"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013"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rPr>
          <w:trHeight w:val="547"/>
        </w:trPr>
        <w:tc>
          <w:tcPr>
            <w:tcW w:w="2070"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Количественные переменные</w:t>
            </w:r>
          </w:p>
        </w:tc>
        <w:tc>
          <w:tcPr>
            <w:tcW w:w="16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Ме (Q1-Q3)</w:t>
            </w:r>
          </w:p>
        </w:tc>
        <w:tc>
          <w:tcPr>
            <w:tcW w:w="719"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Ме </w:t>
            </w:r>
          </w:p>
        </w:tc>
        <w:tc>
          <w:tcPr>
            <w:tcW w:w="9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(Q1-Q3)</w:t>
            </w:r>
          </w:p>
        </w:tc>
        <w:tc>
          <w:tcPr>
            <w:tcW w:w="6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Ме </w:t>
            </w:r>
          </w:p>
        </w:tc>
        <w:tc>
          <w:tcPr>
            <w:tcW w:w="9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(Q1-Q3)</w:t>
            </w:r>
          </w:p>
        </w:tc>
        <w:tc>
          <w:tcPr>
            <w:tcW w:w="1514"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1013" w:type="dxa"/>
          </w:tcPr>
          <w:p w:rsidR="000A3797" w:rsidRDefault="000A3797">
            <w:pPr>
              <w:ind w:left="142"/>
              <w:jc w:val="both"/>
              <w:rPr>
                <w:rFonts w:ascii="Times New Roman" w:eastAsia="Times New Roman" w:hAnsi="Times New Roman" w:cs="Times New Roman"/>
                <w:sz w:val="24"/>
                <w:szCs w:val="24"/>
              </w:rPr>
            </w:pPr>
          </w:p>
        </w:tc>
      </w:tr>
      <w:tr w:rsidR="000A3797">
        <w:trPr>
          <w:trHeight w:val="547"/>
        </w:trPr>
        <w:tc>
          <w:tcPr>
            <w:tcW w:w="2070"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Ограничения повседневной деятельности (время в месяцах после операции)</w:t>
            </w:r>
          </w:p>
        </w:tc>
        <w:tc>
          <w:tcPr>
            <w:tcW w:w="16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Ме (Q1-Q3)</w:t>
            </w:r>
          </w:p>
        </w:tc>
        <w:tc>
          <w:tcPr>
            <w:tcW w:w="719"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6.0 (0)</w:t>
            </w:r>
          </w:p>
        </w:tc>
        <w:tc>
          <w:tcPr>
            <w:tcW w:w="978" w:type="dxa"/>
          </w:tcPr>
          <w:p w:rsidR="000A3797" w:rsidRDefault="000A3797">
            <w:pPr>
              <w:ind w:left="142"/>
              <w:jc w:val="both"/>
              <w:rPr>
                <w:rFonts w:ascii="Times New Roman" w:eastAsia="Times New Roman" w:hAnsi="Times New Roman" w:cs="Times New Roman"/>
                <w:sz w:val="24"/>
                <w:szCs w:val="24"/>
              </w:rPr>
            </w:pPr>
          </w:p>
        </w:tc>
        <w:tc>
          <w:tcPr>
            <w:tcW w:w="6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6.0 </w:t>
            </w:r>
          </w:p>
        </w:tc>
        <w:tc>
          <w:tcPr>
            <w:tcW w:w="978"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1514"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1013" w:type="dxa"/>
          </w:tcPr>
          <w:p w:rsidR="000A3797" w:rsidRDefault="000A3797">
            <w:pPr>
              <w:ind w:left="142"/>
              <w:jc w:val="both"/>
              <w:rPr>
                <w:rFonts w:ascii="Times New Roman" w:eastAsia="Times New Roman" w:hAnsi="Times New Roman" w:cs="Times New Roman"/>
                <w:sz w:val="24"/>
                <w:szCs w:val="24"/>
              </w:rPr>
            </w:pPr>
          </w:p>
        </w:tc>
      </w:tr>
      <w:tr w:rsidR="000A3797">
        <w:trPr>
          <w:trHeight w:val="547"/>
        </w:trPr>
        <w:tc>
          <w:tcPr>
            <w:tcW w:w="9628" w:type="dxa"/>
            <w:gridSpan w:val="8"/>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Примечание: Me – median, Q1-Q-3 – interquartile range, Хи-квадрат Пирсона*, V-Крамера**, точный критерий Фишера***, Mann-Whitney U-test****.</w:t>
            </w:r>
          </w:p>
          <w:p w:rsidR="000A3797" w:rsidRDefault="000A3797">
            <w:pPr>
              <w:jc w:val="both"/>
              <w:rPr>
                <w:rFonts w:ascii="Times New Roman" w:eastAsia="Times New Roman" w:hAnsi="Times New Roman" w:cs="Times New Roman"/>
                <w:sz w:val="24"/>
                <w:szCs w:val="24"/>
              </w:rPr>
            </w:pPr>
          </w:p>
        </w:tc>
      </w:tr>
    </w:tbl>
    <w:p w:rsidR="000A3797" w:rsidRDefault="000A3797">
      <w:pPr>
        <w:spacing w:after="0" w:line="240" w:lineRule="auto"/>
        <w:jc w:val="both"/>
        <w:rPr>
          <w:rFonts w:ascii="Times New Roman" w:eastAsia="Times New Roman" w:hAnsi="Times New Roman" w:cs="Times New Roman"/>
          <w:sz w:val="28"/>
          <w:szCs w:val="28"/>
        </w:rPr>
      </w:pPr>
    </w:p>
    <w:p w:rsidR="000A3797" w:rsidRDefault="000A3797">
      <w:pPr>
        <w:spacing w:after="0" w:line="240" w:lineRule="auto"/>
        <w:jc w:val="both"/>
        <w:rPr>
          <w:rFonts w:ascii="Times New Roman" w:eastAsia="Times New Roman" w:hAnsi="Times New Roman" w:cs="Times New Roman"/>
          <w:sz w:val="28"/>
          <w:szCs w:val="28"/>
        </w:rPr>
      </w:pPr>
    </w:p>
    <w:p w:rsidR="000A3797" w:rsidRDefault="00A660E7">
      <w:pPr>
        <w:spacing w:after="0" w:line="24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Шкала качества жизни статистически значимо различалась в обеих группах, в основной группе никто из пациентов не достиг показателя качества жизни выше медианного,т.е. уровень качества жизни был выше среднего. В основной группе показатели медианы качества жи</w:t>
      </w:r>
      <w:r>
        <w:rPr>
          <w:rFonts w:ascii="Times New Roman" w:eastAsia="Times New Roman" w:hAnsi="Times New Roman" w:cs="Times New Roman"/>
          <w:sz w:val="28"/>
          <w:szCs w:val="28"/>
        </w:rPr>
        <w:t>зни были равны 0, за исключением домена «Воздействие симптомов» и «Степень выраженности симптомов», демонстрирующих наличие единичных симптомов слабой выраженности (Таблица 18). Тогда как в контрольной группе общее состояние было выше медианного показателя</w:t>
      </w:r>
      <w:r>
        <w:rPr>
          <w:rFonts w:ascii="Times New Roman" w:eastAsia="Times New Roman" w:hAnsi="Times New Roman" w:cs="Times New Roman"/>
          <w:sz w:val="28"/>
          <w:szCs w:val="28"/>
        </w:rPr>
        <w:t xml:space="preserve">  наблюдалось у 3 трети пациентов (31%), по второму домену у 35%, симптомов и их восприятий у 29%, ролевые ограничения у 18%, физические и социальные ограничения у 27%, нарушения межличностных взаимодействий у 25%, эмоциональные проблемы у 27%, нарушение с</w:t>
      </w:r>
      <w:r>
        <w:rPr>
          <w:rFonts w:ascii="Times New Roman" w:eastAsia="Times New Roman" w:hAnsi="Times New Roman" w:cs="Times New Roman"/>
          <w:sz w:val="28"/>
          <w:szCs w:val="28"/>
        </w:rPr>
        <w:t xml:space="preserve">на и бодрствования у 3% и высокая степень выраженности симптомов у 31%, т.е. в наблюдаемых случаях уровень качества жизни отмечался как ниже среднего, различия статистически значимы  (названия доменов адаптированы из версии Коршунова М. ПД-КЖ [60, стр. 4] </w:t>
      </w:r>
      <w:r>
        <w:rPr>
          <w:rFonts w:ascii="Times New Roman" w:eastAsia="Times New Roman" w:hAnsi="Times New Roman" w:cs="Times New Roman"/>
          <w:sz w:val="28"/>
          <w:szCs w:val="28"/>
        </w:rPr>
        <w:t>(Таблица 18).</w:t>
      </w:r>
    </w:p>
    <w:p w:rsidR="000A3797" w:rsidRDefault="000A3797">
      <w:pPr>
        <w:spacing w:after="0" w:line="240" w:lineRule="auto"/>
        <w:ind w:left="142"/>
        <w:jc w:val="both"/>
        <w:rPr>
          <w:rFonts w:ascii="Times New Roman" w:eastAsia="Times New Roman" w:hAnsi="Times New Roman" w:cs="Times New Roman"/>
          <w:sz w:val="28"/>
          <w:szCs w:val="28"/>
        </w:rPr>
      </w:pPr>
    </w:p>
    <w:p w:rsidR="000A3797" w:rsidRDefault="00A660E7">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18 – Сравнительная оценка качества жизни пациентов, которые были под постоянным наблюдением врача (не менее 5 лет)  по сравнению с пациентами, которые нигде не наблюдались (домены адаптированы из версии Коршунова М. ПД-КЖ [60, стр. 4</w:t>
      </w:r>
      <w:r>
        <w:rPr>
          <w:rFonts w:ascii="Times New Roman" w:eastAsia="Times New Roman" w:hAnsi="Times New Roman" w:cs="Times New Roman"/>
          <w:sz w:val="28"/>
          <w:szCs w:val="28"/>
        </w:rPr>
        <w:t>]</w:t>
      </w:r>
    </w:p>
    <w:p w:rsidR="000A3797" w:rsidRDefault="000A3797">
      <w:pPr>
        <w:spacing w:after="0" w:line="240" w:lineRule="auto"/>
        <w:rPr>
          <w:rFonts w:ascii="Times New Roman" w:eastAsia="Times New Roman" w:hAnsi="Times New Roman" w:cs="Times New Roman"/>
          <w:sz w:val="28"/>
          <w:szCs w:val="28"/>
        </w:rPr>
      </w:pPr>
    </w:p>
    <w:tbl>
      <w:tblPr>
        <w:tblStyle w:val="aff"/>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52"/>
        <w:gridCol w:w="1276"/>
        <w:gridCol w:w="1559"/>
        <w:gridCol w:w="1417"/>
        <w:gridCol w:w="1560"/>
        <w:gridCol w:w="992"/>
      </w:tblGrid>
      <w:tr w:rsidR="000A3797">
        <w:tc>
          <w:tcPr>
            <w:tcW w:w="2552" w:type="dxa"/>
            <w:vMerge w:val="restart"/>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домен</w:t>
            </w:r>
          </w:p>
        </w:tc>
        <w:tc>
          <w:tcPr>
            <w:tcW w:w="2835" w:type="dxa"/>
            <w:gridSpan w:val="2"/>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До</w:t>
            </w:r>
          </w:p>
        </w:tc>
        <w:tc>
          <w:tcPr>
            <w:tcW w:w="2977" w:type="dxa"/>
            <w:gridSpan w:val="2"/>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После</w:t>
            </w:r>
          </w:p>
        </w:tc>
        <w:tc>
          <w:tcPr>
            <w:tcW w:w="992" w:type="dxa"/>
            <w:vMerge w:val="restart"/>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p-value</w:t>
            </w:r>
          </w:p>
        </w:tc>
      </w:tr>
      <w:tr w:rsidR="000A3797">
        <w:tc>
          <w:tcPr>
            <w:tcW w:w="255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276"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Основная группа</w:t>
            </w:r>
          </w:p>
        </w:tc>
        <w:tc>
          <w:tcPr>
            <w:tcW w:w="1559"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Показатель распространенности качества жизни выше медианного показателя (%)</w:t>
            </w:r>
          </w:p>
        </w:tc>
        <w:tc>
          <w:tcPr>
            <w:tcW w:w="1417"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Контрольная группа</w:t>
            </w:r>
          </w:p>
        </w:tc>
        <w:tc>
          <w:tcPr>
            <w:tcW w:w="156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Показатель распространенности качества жизни выше медианного показателя (%)</w:t>
            </w:r>
          </w:p>
        </w:tc>
        <w:tc>
          <w:tcPr>
            <w:tcW w:w="99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255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276"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Ме (Q1-Q-3)</w:t>
            </w:r>
          </w:p>
          <w:p w:rsidR="000A3797" w:rsidRDefault="000A3797">
            <w:pPr>
              <w:ind w:left="142"/>
              <w:rPr>
                <w:rFonts w:ascii="Times New Roman" w:eastAsia="Times New Roman" w:hAnsi="Times New Roman" w:cs="Times New Roman"/>
                <w:sz w:val="24"/>
                <w:szCs w:val="24"/>
              </w:rPr>
            </w:pPr>
          </w:p>
        </w:tc>
        <w:tc>
          <w:tcPr>
            <w:tcW w:w="1559" w:type="dxa"/>
          </w:tcPr>
          <w:p w:rsidR="000A3797" w:rsidRDefault="000A3797">
            <w:pPr>
              <w:ind w:left="142"/>
              <w:rPr>
                <w:rFonts w:ascii="Times New Roman" w:eastAsia="Times New Roman" w:hAnsi="Times New Roman" w:cs="Times New Roman"/>
                <w:sz w:val="24"/>
                <w:szCs w:val="24"/>
              </w:rPr>
            </w:pPr>
          </w:p>
        </w:tc>
        <w:tc>
          <w:tcPr>
            <w:tcW w:w="1417"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Ме (Q1-Q-3)</w:t>
            </w:r>
          </w:p>
          <w:p w:rsidR="000A3797" w:rsidRDefault="000A3797">
            <w:pPr>
              <w:ind w:left="142"/>
              <w:rPr>
                <w:rFonts w:ascii="Times New Roman" w:eastAsia="Times New Roman" w:hAnsi="Times New Roman" w:cs="Times New Roman"/>
                <w:sz w:val="24"/>
                <w:szCs w:val="24"/>
              </w:rPr>
            </w:pPr>
          </w:p>
        </w:tc>
        <w:tc>
          <w:tcPr>
            <w:tcW w:w="1560"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Ме(Q1-Q-3) </w:t>
            </w:r>
          </w:p>
        </w:tc>
        <w:tc>
          <w:tcPr>
            <w:tcW w:w="99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2552"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276"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559"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417"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560"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992"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r>
      <w:tr w:rsidR="000A3797">
        <w:tc>
          <w:tcPr>
            <w:tcW w:w="255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Общее состояние здоровья </w:t>
            </w:r>
            <w:r>
              <w:rPr>
                <w:rFonts w:ascii="Times New Roman" w:eastAsia="Times New Roman" w:hAnsi="Times New Roman" w:cs="Times New Roman"/>
              </w:rPr>
              <w:t>[60]</w:t>
            </w:r>
          </w:p>
        </w:tc>
        <w:tc>
          <w:tcPr>
            <w:tcW w:w="1276"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0 (6)</w:t>
            </w:r>
          </w:p>
        </w:tc>
        <w:tc>
          <w:tcPr>
            <w:tcW w:w="1559"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1417"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32 (18)</w:t>
            </w:r>
          </w:p>
        </w:tc>
        <w:tc>
          <w:tcPr>
            <w:tcW w:w="1560"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25 (31%)</w:t>
            </w:r>
          </w:p>
        </w:tc>
        <w:tc>
          <w:tcPr>
            <w:tcW w:w="992"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r>
      <w:tr w:rsidR="000A3797">
        <w:tc>
          <w:tcPr>
            <w:tcW w:w="255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Воздействие симптомов </w:t>
            </w:r>
            <w:r>
              <w:rPr>
                <w:rFonts w:ascii="Times New Roman" w:eastAsia="Times New Roman" w:hAnsi="Times New Roman" w:cs="Times New Roman"/>
              </w:rPr>
              <w:t>[60]</w:t>
            </w:r>
          </w:p>
        </w:tc>
        <w:tc>
          <w:tcPr>
            <w:tcW w:w="1276"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2 (6)</w:t>
            </w:r>
          </w:p>
        </w:tc>
        <w:tc>
          <w:tcPr>
            <w:tcW w:w="1559"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1417"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28 (15)</w:t>
            </w:r>
          </w:p>
        </w:tc>
        <w:tc>
          <w:tcPr>
            <w:tcW w:w="1560"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28 (35%)</w:t>
            </w:r>
          </w:p>
        </w:tc>
        <w:tc>
          <w:tcPr>
            <w:tcW w:w="992"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r>
      <w:tr w:rsidR="000A3797">
        <w:tc>
          <w:tcPr>
            <w:tcW w:w="255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Симптомы и их восприятие </w:t>
            </w:r>
            <w:r>
              <w:rPr>
                <w:rFonts w:ascii="Times New Roman" w:eastAsia="Times New Roman" w:hAnsi="Times New Roman" w:cs="Times New Roman"/>
              </w:rPr>
              <w:t>[60]</w:t>
            </w:r>
          </w:p>
        </w:tc>
        <w:tc>
          <w:tcPr>
            <w:tcW w:w="1276"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0 (4)</w:t>
            </w:r>
          </w:p>
        </w:tc>
        <w:tc>
          <w:tcPr>
            <w:tcW w:w="1559"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1417"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14 (10)</w:t>
            </w:r>
          </w:p>
        </w:tc>
        <w:tc>
          <w:tcPr>
            <w:tcW w:w="1560"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24 (29%)</w:t>
            </w:r>
          </w:p>
        </w:tc>
        <w:tc>
          <w:tcPr>
            <w:tcW w:w="992"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r>
      <w:tr w:rsidR="000A3797">
        <w:tc>
          <w:tcPr>
            <w:tcW w:w="255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Рoлевые ограничения </w:t>
            </w:r>
            <w:r>
              <w:rPr>
                <w:rFonts w:ascii="Times New Roman" w:eastAsia="Times New Roman" w:hAnsi="Times New Roman" w:cs="Times New Roman"/>
              </w:rPr>
              <w:t>[60]</w:t>
            </w:r>
          </w:p>
        </w:tc>
        <w:tc>
          <w:tcPr>
            <w:tcW w:w="1276"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1559"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1417"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8 (4)</w:t>
            </w:r>
          </w:p>
        </w:tc>
        <w:tc>
          <w:tcPr>
            <w:tcW w:w="1560"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14 (18%)</w:t>
            </w:r>
          </w:p>
        </w:tc>
        <w:tc>
          <w:tcPr>
            <w:tcW w:w="992"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r>
      <w:tr w:rsidR="000A3797">
        <w:tc>
          <w:tcPr>
            <w:tcW w:w="255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Физическое и социальное ограничения </w:t>
            </w:r>
            <w:r>
              <w:rPr>
                <w:rFonts w:ascii="Times New Roman" w:eastAsia="Times New Roman" w:hAnsi="Times New Roman" w:cs="Times New Roman"/>
              </w:rPr>
              <w:t>[60]</w:t>
            </w:r>
          </w:p>
        </w:tc>
        <w:tc>
          <w:tcPr>
            <w:tcW w:w="1276"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1559"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1417"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15 (5)</w:t>
            </w:r>
          </w:p>
        </w:tc>
        <w:tc>
          <w:tcPr>
            <w:tcW w:w="1560"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21 (27%)</w:t>
            </w:r>
          </w:p>
        </w:tc>
        <w:tc>
          <w:tcPr>
            <w:tcW w:w="992"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r>
      <w:tr w:rsidR="000A3797">
        <w:tc>
          <w:tcPr>
            <w:tcW w:w="255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Межличностные взаимодействия </w:t>
            </w:r>
            <w:r>
              <w:rPr>
                <w:rFonts w:ascii="Times New Roman" w:eastAsia="Times New Roman" w:hAnsi="Times New Roman" w:cs="Times New Roman"/>
              </w:rPr>
              <w:t>[60]</w:t>
            </w:r>
          </w:p>
        </w:tc>
        <w:tc>
          <w:tcPr>
            <w:tcW w:w="1276"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0(4)</w:t>
            </w:r>
          </w:p>
        </w:tc>
        <w:tc>
          <w:tcPr>
            <w:tcW w:w="1559"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1417"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10 (4)</w:t>
            </w:r>
          </w:p>
        </w:tc>
        <w:tc>
          <w:tcPr>
            <w:tcW w:w="1560"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20 (25%)</w:t>
            </w:r>
          </w:p>
        </w:tc>
        <w:tc>
          <w:tcPr>
            <w:tcW w:w="992"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r>
    </w:tbl>
    <w:p w:rsidR="000A3797" w:rsidRDefault="00A660E7">
      <w:pPr>
        <w:rPr>
          <w:rFonts w:ascii="Times New Roman" w:eastAsia="Times New Roman" w:hAnsi="Times New Roman" w:cs="Times New Roman"/>
          <w:sz w:val="28"/>
          <w:szCs w:val="28"/>
        </w:rPr>
      </w:pPr>
      <w:r>
        <w:rPr>
          <w:rFonts w:ascii="Times New Roman" w:eastAsia="Times New Roman" w:hAnsi="Times New Roman" w:cs="Times New Roman"/>
          <w:sz w:val="28"/>
          <w:szCs w:val="28"/>
        </w:rPr>
        <w:t>Продолжение таблицы 18</w:t>
      </w:r>
    </w:p>
    <w:tbl>
      <w:tblPr>
        <w:tblStyle w:val="aff0"/>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52"/>
        <w:gridCol w:w="1276"/>
        <w:gridCol w:w="1559"/>
        <w:gridCol w:w="1417"/>
        <w:gridCol w:w="1560"/>
        <w:gridCol w:w="992"/>
      </w:tblGrid>
      <w:tr w:rsidR="000A3797">
        <w:tc>
          <w:tcPr>
            <w:tcW w:w="2552"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276"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559"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417"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560"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992"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r>
      <w:tr w:rsidR="000A3797">
        <w:tc>
          <w:tcPr>
            <w:tcW w:w="255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Эмоциональные проблемы </w:t>
            </w:r>
            <w:r>
              <w:rPr>
                <w:rFonts w:ascii="Times New Roman" w:eastAsia="Times New Roman" w:hAnsi="Times New Roman" w:cs="Times New Roman"/>
              </w:rPr>
              <w:t>[60]</w:t>
            </w:r>
          </w:p>
        </w:tc>
        <w:tc>
          <w:tcPr>
            <w:tcW w:w="1276"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0(2)</w:t>
            </w:r>
          </w:p>
        </w:tc>
        <w:tc>
          <w:tcPr>
            <w:tcW w:w="1559"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1417"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21 (12)</w:t>
            </w:r>
          </w:p>
        </w:tc>
        <w:tc>
          <w:tcPr>
            <w:tcW w:w="1560"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21(27%)</w:t>
            </w:r>
          </w:p>
        </w:tc>
        <w:tc>
          <w:tcPr>
            <w:tcW w:w="992"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r>
      <w:tr w:rsidR="000A3797">
        <w:tc>
          <w:tcPr>
            <w:tcW w:w="255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Нaрушение сна и бодрствования </w:t>
            </w:r>
            <w:r>
              <w:rPr>
                <w:rFonts w:ascii="Times New Roman" w:eastAsia="Times New Roman" w:hAnsi="Times New Roman" w:cs="Times New Roman"/>
              </w:rPr>
              <w:t>[60]</w:t>
            </w:r>
          </w:p>
        </w:tc>
        <w:tc>
          <w:tcPr>
            <w:tcW w:w="1276"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0 (0)</w:t>
            </w:r>
          </w:p>
        </w:tc>
        <w:tc>
          <w:tcPr>
            <w:tcW w:w="1559"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1417"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12 (7)</w:t>
            </w:r>
          </w:p>
        </w:tc>
        <w:tc>
          <w:tcPr>
            <w:tcW w:w="1560"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2 (3%)</w:t>
            </w:r>
          </w:p>
        </w:tc>
        <w:tc>
          <w:tcPr>
            <w:tcW w:w="992"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r>
      <w:tr w:rsidR="000A3797">
        <w:tc>
          <w:tcPr>
            <w:tcW w:w="255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Степень выраженности симптомов </w:t>
            </w:r>
            <w:r>
              <w:rPr>
                <w:rFonts w:ascii="Times New Roman" w:eastAsia="Times New Roman" w:hAnsi="Times New Roman" w:cs="Times New Roman"/>
              </w:rPr>
              <w:t>[60]</w:t>
            </w:r>
          </w:p>
        </w:tc>
        <w:tc>
          <w:tcPr>
            <w:tcW w:w="1276"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2 (7)</w:t>
            </w:r>
          </w:p>
        </w:tc>
        <w:tc>
          <w:tcPr>
            <w:tcW w:w="1559"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1417"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25 (12)</w:t>
            </w:r>
          </w:p>
        </w:tc>
        <w:tc>
          <w:tcPr>
            <w:tcW w:w="1560"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25 (31%)</w:t>
            </w:r>
          </w:p>
        </w:tc>
        <w:tc>
          <w:tcPr>
            <w:tcW w:w="992"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r>
    </w:tbl>
    <w:p w:rsidR="000A3797" w:rsidRDefault="000A3797">
      <w:pPr>
        <w:spacing w:after="0" w:line="240" w:lineRule="auto"/>
        <w:ind w:left="142"/>
        <w:jc w:val="both"/>
        <w:rPr>
          <w:rFonts w:ascii="Times New Roman" w:eastAsia="Times New Roman" w:hAnsi="Times New Roman" w:cs="Times New Roman"/>
          <w:sz w:val="28"/>
          <w:szCs w:val="28"/>
        </w:rPr>
      </w:pPr>
    </w:p>
    <w:p w:rsidR="000A3797" w:rsidRDefault="00A660E7">
      <w:pPr>
        <w:pBdr>
          <w:top w:val="nil"/>
          <w:left w:val="nil"/>
          <w:bottom w:val="nil"/>
          <w:right w:val="nil"/>
          <w:between w:val="nil"/>
        </w:pBdr>
        <w:spacing w:after="0" w:line="240" w:lineRule="auto"/>
        <w:ind w:left="50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3.3.2 Предикторы рецидива генитального пролапса после операции, прогностические модели оценки риска</w:t>
      </w:r>
    </w:p>
    <w:p w:rsidR="000A3797" w:rsidRDefault="000A3797">
      <w:pPr>
        <w:spacing w:after="0" w:line="240" w:lineRule="auto"/>
        <w:ind w:left="142"/>
        <w:jc w:val="both"/>
        <w:rPr>
          <w:rFonts w:ascii="Times New Roman" w:eastAsia="Times New Roman" w:hAnsi="Times New Roman" w:cs="Times New Roman"/>
          <w:sz w:val="28"/>
          <w:szCs w:val="28"/>
        </w:rPr>
      </w:pPr>
    </w:p>
    <w:p w:rsidR="000A3797" w:rsidRDefault="00A660E7">
      <w:pPr>
        <w:spacing w:after="0" w:line="240" w:lineRule="auto"/>
        <w:ind w:left="142"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Нами определено пороговое значение допустимого поднятия тяжести в кг. Площадь под ROC-кривой, соответствующей взаимосвязи риска развития рецидива генитального пролапса и поднятия тяжести в кг составила 0.836</w:t>
      </w:r>
      <m:oMath>
        <m:r>
          <w:rPr>
            <w:rFonts w:ascii="Cambria Math" w:hAnsi="Cambria Math"/>
          </w:rPr>
          <m:t>±</m:t>
        </m:r>
      </m:oMath>
      <w:r>
        <w:rPr>
          <w:rFonts w:ascii="Times New Roman" w:eastAsia="Times New Roman" w:hAnsi="Times New Roman" w:cs="Times New Roman"/>
          <w:sz w:val="28"/>
          <w:szCs w:val="28"/>
        </w:rPr>
        <w:t>0.043 с 95% ДИ: 0.751-0.922 (Рисунок 2). Получен</w:t>
      </w:r>
      <w:r>
        <w:rPr>
          <w:rFonts w:ascii="Times New Roman" w:eastAsia="Times New Roman" w:hAnsi="Times New Roman" w:cs="Times New Roman"/>
          <w:sz w:val="28"/>
          <w:szCs w:val="28"/>
        </w:rPr>
        <w:t>ная модель была статистически значимой (р&lt;0.001).</w:t>
      </w:r>
    </w:p>
    <w:p w:rsidR="000A3797" w:rsidRDefault="000A3797">
      <w:pPr>
        <w:spacing w:after="0" w:line="240" w:lineRule="auto"/>
        <w:ind w:left="142" w:firstLine="566"/>
        <w:jc w:val="both"/>
        <w:rPr>
          <w:rFonts w:ascii="Times New Roman" w:eastAsia="Times New Roman" w:hAnsi="Times New Roman" w:cs="Times New Roman"/>
          <w:sz w:val="28"/>
          <w:szCs w:val="28"/>
        </w:rPr>
      </w:pPr>
    </w:p>
    <w:p w:rsidR="000A3797" w:rsidRDefault="00A660E7">
      <w:pPr>
        <w:spacing w:after="0" w:line="240" w:lineRule="auto"/>
        <w:ind w:left="142"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Пороговое значение допустимого поднятия тяжести в кг в точке cut-off равно 4.75 кг. При превышающем данное допустимое значение поднятия тяжести будет увеличиваться риск рецидива. Чувствительность и специфи</w:t>
      </w:r>
      <w:r>
        <w:rPr>
          <w:rFonts w:ascii="Times New Roman" w:eastAsia="Times New Roman" w:hAnsi="Times New Roman" w:cs="Times New Roman"/>
          <w:sz w:val="28"/>
          <w:szCs w:val="28"/>
        </w:rPr>
        <w:t>чность метода составила 67.4% и 95.3% соответственно.</w:t>
      </w:r>
    </w:p>
    <w:p w:rsidR="000A3797" w:rsidRDefault="00A660E7">
      <w:pPr>
        <w:spacing w:after="0" w:line="240" w:lineRule="auto"/>
        <w:ind w:left="142"/>
        <w:jc w:val="center"/>
        <w:rPr>
          <w:rFonts w:ascii="Times New Roman" w:eastAsia="Times New Roman" w:hAnsi="Times New Roman" w:cs="Times New Roman"/>
          <w:sz w:val="28"/>
          <w:szCs w:val="28"/>
        </w:rPr>
      </w:pPr>
      <w:r>
        <w:rPr>
          <w:rFonts w:ascii="Times New Roman" w:eastAsia="Times New Roman" w:hAnsi="Times New Roman" w:cs="Times New Roman"/>
          <w:noProof/>
          <w:sz w:val="24"/>
          <w:szCs w:val="24"/>
        </w:rPr>
        <w:drawing>
          <wp:inline distT="0" distB="0" distL="0" distR="0">
            <wp:extent cx="5972175" cy="3305175"/>
            <wp:effectExtent l="0" t="0" r="0" b="0"/>
            <wp:docPr id="60"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4"/>
                    <a:srcRect/>
                    <a:stretch>
                      <a:fillRect/>
                    </a:stretch>
                  </pic:blipFill>
                  <pic:spPr>
                    <a:xfrm>
                      <a:off x="0" y="0"/>
                      <a:ext cx="5972175" cy="3305175"/>
                    </a:xfrm>
                    <a:prstGeom prst="rect">
                      <a:avLst/>
                    </a:prstGeom>
                    <a:ln/>
                  </pic:spPr>
                </pic:pic>
              </a:graphicData>
            </a:graphic>
          </wp:inline>
        </w:drawing>
      </w:r>
      <w:r>
        <w:rPr>
          <w:rFonts w:ascii="Times New Roman" w:eastAsia="Times New Roman" w:hAnsi="Times New Roman" w:cs="Times New Roman"/>
          <w:b/>
          <w:sz w:val="28"/>
          <w:szCs w:val="28"/>
        </w:rPr>
        <w:t xml:space="preserve"> Рисунок 2 -</w:t>
      </w:r>
      <w:r>
        <w:rPr>
          <w:rFonts w:ascii="Times New Roman" w:eastAsia="Times New Roman" w:hAnsi="Times New Roman" w:cs="Times New Roman"/>
          <w:sz w:val="28"/>
          <w:szCs w:val="28"/>
        </w:rPr>
        <w:t xml:space="preserve"> Взаимосвязь риска развития рецидива генитального пролапса и поднятия тяжести в кг </w:t>
      </w:r>
      <w:r>
        <w:rPr>
          <w:rFonts w:ascii="Times New Roman" w:eastAsia="Times New Roman" w:hAnsi="Times New Roman" w:cs="Times New Roman"/>
          <w:sz w:val="28"/>
          <w:szCs w:val="28"/>
          <w:highlight w:val="white"/>
        </w:rPr>
        <w:t>[198,стр. 1245]</w:t>
      </w:r>
      <w:r>
        <w:rPr>
          <w:rFonts w:ascii="Times New Roman" w:eastAsia="Times New Roman" w:hAnsi="Times New Roman" w:cs="Times New Roman"/>
          <w:sz w:val="28"/>
          <w:szCs w:val="28"/>
        </w:rPr>
        <w:t>.</w:t>
      </w:r>
    </w:p>
    <w:p w:rsidR="000A3797" w:rsidRDefault="000A3797">
      <w:pPr>
        <w:spacing w:after="0" w:line="240" w:lineRule="auto"/>
        <w:ind w:left="142"/>
        <w:jc w:val="center"/>
        <w:rPr>
          <w:rFonts w:ascii="Times New Roman" w:eastAsia="Times New Roman" w:hAnsi="Times New Roman" w:cs="Times New Roman"/>
          <w:sz w:val="28"/>
          <w:szCs w:val="28"/>
        </w:rPr>
      </w:pPr>
    </w:p>
    <w:p w:rsidR="000A3797" w:rsidRDefault="00A660E7">
      <w:pPr>
        <w:spacing w:after="0" w:line="240" w:lineRule="auto"/>
        <w:ind w:left="142"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Мы разработали прогностическую модель для оценки вероятности возникновения рецидива на о</w:t>
      </w:r>
      <w:r>
        <w:rPr>
          <w:rFonts w:ascii="Times New Roman" w:eastAsia="Times New Roman" w:hAnsi="Times New Roman" w:cs="Times New Roman"/>
          <w:sz w:val="28"/>
          <w:szCs w:val="28"/>
        </w:rPr>
        <w:t>снове факторов риска, используя метод бинарной логистической регрессии. В модель были включены следующие факторы риска: возраст, метод операции, использование сетчатого протеза, ИМТ, количество лет после менопаузы, увеличение массы тела в короткий срок пос</w:t>
      </w:r>
      <w:r>
        <w:rPr>
          <w:rFonts w:ascii="Times New Roman" w:eastAsia="Times New Roman" w:hAnsi="Times New Roman" w:cs="Times New Roman"/>
          <w:sz w:val="28"/>
          <w:szCs w:val="28"/>
        </w:rPr>
        <w:t>ле операции, заболевания, сопровождаемые длительным кашлем, поднятие тяжести, тяжёлый физический труд, употребление большого количества сахара, употребление белковой пищи, запоры, курение, содержание ионизированного кальция в крови, уровень витамина Д3, ур</w:t>
      </w:r>
      <w:r>
        <w:rPr>
          <w:rFonts w:ascii="Times New Roman" w:eastAsia="Times New Roman" w:hAnsi="Times New Roman" w:cs="Times New Roman"/>
          <w:sz w:val="28"/>
          <w:szCs w:val="28"/>
        </w:rPr>
        <w:t xml:space="preserve">овень гемоглобина, уровень ферритина, иссечение сетчатого протеза (при эрозии сетки), заместительная гормональная терапия. Наблюдаемая зависимость описывалась уравнениями (11, 12) </w:t>
      </w:r>
      <w:r>
        <w:rPr>
          <w:rFonts w:ascii="Times New Roman" w:eastAsia="Times New Roman" w:hAnsi="Times New Roman" w:cs="Times New Roman"/>
          <w:sz w:val="28"/>
          <w:szCs w:val="28"/>
          <w:highlight w:val="white"/>
        </w:rPr>
        <w:t>[198,стр. 1245]</w:t>
      </w:r>
      <w:r>
        <w:rPr>
          <w:rFonts w:ascii="Times New Roman" w:eastAsia="Times New Roman" w:hAnsi="Times New Roman" w:cs="Times New Roman"/>
          <w:sz w:val="28"/>
          <w:szCs w:val="28"/>
        </w:rPr>
        <w:t>:</w:t>
      </w:r>
    </w:p>
    <w:p w:rsidR="000A3797" w:rsidRDefault="000A3797">
      <w:pPr>
        <w:spacing w:after="0" w:line="240" w:lineRule="auto"/>
        <w:ind w:left="142"/>
        <w:jc w:val="both"/>
        <w:rPr>
          <w:rFonts w:ascii="Times New Roman" w:eastAsia="Times New Roman" w:hAnsi="Times New Roman" w:cs="Times New Roman"/>
          <w:sz w:val="28"/>
          <w:szCs w:val="28"/>
        </w:rPr>
      </w:pPr>
    </w:p>
    <w:p w:rsidR="000A3797" w:rsidRDefault="00A660E7">
      <w:pPr>
        <w:tabs>
          <w:tab w:val="left" w:pos="5954"/>
        </w:tabs>
        <w:spacing w:after="0" w:line="240" w:lineRule="auto"/>
        <w:ind w:left="142"/>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P=1/(1+e</w:t>
      </w:r>
      <w:r>
        <w:rPr>
          <w:rFonts w:ascii="Times New Roman" w:eastAsia="Times New Roman" w:hAnsi="Times New Roman" w:cs="Times New Roman"/>
          <w:sz w:val="28"/>
          <w:szCs w:val="28"/>
          <w:vertAlign w:val="superscript"/>
        </w:rPr>
        <w:t xml:space="preserve">z </w:t>
      </w:r>
      <w:r>
        <w:rPr>
          <w:rFonts w:ascii="Times New Roman" w:eastAsia="Times New Roman" w:hAnsi="Times New Roman" w:cs="Times New Roman"/>
          <w:sz w:val="28"/>
          <w:szCs w:val="28"/>
        </w:rPr>
        <w:t xml:space="preserve">) ×100% </w:t>
      </w:r>
      <w:r>
        <w:rPr>
          <w:rFonts w:ascii="Times New Roman" w:eastAsia="Times New Roman" w:hAnsi="Times New Roman" w:cs="Times New Roman"/>
          <w:sz w:val="28"/>
          <w:szCs w:val="28"/>
        </w:rPr>
        <w:tab/>
        <w:t>(11)</w:t>
      </w:r>
    </w:p>
    <w:p w:rsidR="000A3797" w:rsidRDefault="00A660E7">
      <w:pPr>
        <w:tabs>
          <w:tab w:val="left" w:pos="5954"/>
        </w:tabs>
        <w:spacing w:after="0" w:line="240" w:lineRule="auto"/>
        <w:ind w:left="142"/>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Z=-1.06+1.852×X</w:t>
      </w:r>
      <w:r>
        <w:rPr>
          <w:rFonts w:ascii="Times New Roman" w:eastAsia="Times New Roman" w:hAnsi="Times New Roman" w:cs="Times New Roman"/>
          <w:sz w:val="28"/>
          <w:szCs w:val="28"/>
          <w:vertAlign w:val="subscript"/>
        </w:rPr>
        <w:t>КС</w:t>
      </w:r>
      <w:r>
        <w:rPr>
          <w:rFonts w:ascii="Times New Roman" w:eastAsia="Times New Roman" w:hAnsi="Times New Roman" w:cs="Times New Roman"/>
          <w:sz w:val="28"/>
          <w:szCs w:val="28"/>
        </w:rPr>
        <w:t>+2.413×Х</w:t>
      </w:r>
      <w:r>
        <w:rPr>
          <w:rFonts w:ascii="Times New Roman" w:eastAsia="Times New Roman" w:hAnsi="Times New Roman" w:cs="Times New Roman"/>
          <w:sz w:val="28"/>
          <w:szCs w:val="28"/>
          <w:vertAlign w:val="subscript"/>
        </w:rPr>
        <w:t>ПТ</w:t>
      </w:r>
      <w:r>
        <w:rPr>
          <w:rFonts w:ascii="Times New Roman" w:eastAsia="Times New Roman" w:hAnsi="Times New Roman" w:cs="Times New Roman"/>
          <w:sz w:val="28"/>
          <w:szCs w:val="28"/>
        </w:rPr>
        <w:t>-0.173*</w:t>
      </w:r>
      <w:r>
        <w:rPr>
          <w:rFonts w:ascii="Times New Roman" w:eastAsia="Times New Roman" w:hAnsi="Times New Roman" w:cs="Times New Roman"/>
          <w:sz w:val="28"/>
          <w:szCs w:val="28"/>
        </w:rPr>
        <w:t>X</w:t>
      </w:r>
      <w:r>
        <w:rPr>
          <w:rFonts w:ascii="Times New Roman" w:eastAsia="Times New Roman" w:hAnsi="Times New Roman" w:cs="Times New Roman"/>
          <w:sz w:val="28"/>
          <w:szCs w:val="28"/>
          <w:vertAlign w:val="subscript"/>
        </w:rPr>
        <w:t>Д3</w:t>
      </w:r>
      <w:r>
        <w:rPr>
          <w:rFonts w:ascii="Times New Roman" w:eastAsia="Times New Roman" w:hAnsi="Times New Roman" w:cs="Times New Roman"/>
          <w:sz w:val="28"/>
          <w:szCs w:val="28"/>
        </w:rPr>
        <w:t>+1.001×X</w:t>
      </w:r>
      <w:r>
        <w:rPr>
          <w:rFonts w:ascii="Times New Roman" w:eastAsia="Times New Roman" w:hAnsi="Times New Roman" w:cs="Times New Roman"/>
          <w:sz w:val="28"/>
          <w:szCs w:val="28"/>
          <w:vertAlign w:val="subscript"/>
        </w:rPr>
        <w:t>Мен</w:t>
      </w:r>
      <w:r>
        <w:rPr>
          <w:rFonts w:ascii="Times New Roman" w:eastAsia="Times New Roman" w:hAnsi="Times New Roman" w:cs="Times New Roman"/>
          <w:sz w:val="28"/>
          <w:szCs w:val="28"/>
        </w:rPr>
        <w:t>+1.263×X</w:t>
      </w:r>
      <w:r>
        <w:rPr>
          <w:rFonts w:ascii="Times New Roman" w:eastAsia="Times New Roman" w:hAnsi="Times New Roman" w:cs="Times New Roman"/>
          <w:sz w:val="28"/>
          <w:szCs w:val="28"/>
          <w:vertAlign w:val="subscript"/>
        </w:rPr>
        <w:t>З</w:t>
      </w:r>
      <w:r>
        <w:rPr>
          <w:rFonts w:ascii="Times New Roman" w:eastAsia="Times New Roman" w:hAnsi="Times New Roman" w:cs="Times New Roman"/>
          <w:sz w:val="28"/>
          <w:szCs w:val="28"/>
        </w:rPr>
        <w:t>-</w:t>
      </w:r>
      <w:r>
        <w:rPr>
          <w:rFonts w:ascii="Times New Roman" w:eastAsia="Times New Roman" w:hAnsi="Times New Roman" w:cs="Times New Roman"/>
          <w:sz w:val="28"/>
          <w:szCs w:val="28"/>
        </w:rPr>
        <w:tab/>
      </w:r>
    </w:p>
    <w:p w:rsidR="000A3797" w:rsidRDefault="00A660E7">
      <w:pPr>
        <w:tabs>
          <w:tab w:val="left" w:pos="6946"/>
        </w:tabs>
        <w:spacing w:after="0" w:line="240" w:lineRule="auto"/>
        <w:ind w:left="142"/>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-2.992×X</w:t>
      </w:r>
      <w:r>
        <w:rPr>
          <w:rFonts w:ascii="Times New Roman" w:eastAsia="Times New Roman" w:hAnsi="Times New Roman" w:cs="Times New Roman"/>
          <w:sz w:val="28"/>
          <w:szCs w:val="28"/>
          <w:vertAlign w:val="subscript"/>
        </w:rPr>
        <w:t>СМТ</w:t>
      </w:r>
      <w:r>
        <w:rPr>
          <w:rFonts w:ascii="Times New Roman" w:eastAsia="Times New Roman" w:hAnsi="Times New Roman" w:cs="Times New Roman"/>
          <w:sz w:val="28"/>
          <w:szCs w:val="28"/>
        </w:rPr>
        <w:t>+1.277×X</w:t>
      </w:r>
      <w:r>
        <w:rPr>
          <w:rFonts w:ascii="Times New Roman" w:eastAsia="Times New Roman" w:hAnsi="Times New Roman" w:cs="Times New Roman"/>
          <w:sz w:val="28"/>
          <w:szCs w:val="28"/>
          <w:vertAlign w:val="subscript"/>
        </w:rPr>
        <w:t>НУБП</w:t>
      </w:r>
      <w:r>
        <w:rPr>
          <w:rFonts w:ascii="Times New Roman" w:eastAsia="Times New Roman" w:hAnsi="Times New Roman" w:cs="Times New Roman"/>
          <w:sz w:val="28"/>
          <w:szCs w:val="28"/>
        </w:rPr>
        <w:t>+0.721×X</w:t>
      </w:r>
      <w:r>
        <w:rPr>
          <w:rFonts w:ascii="Times New Roman" w:eastAsia="Times New Roman" w:hAnsi="Times New Roman" w:cs="Times New Roman"/>
          <w:sz w:val="28"/>
          <w:szCs w:val="28"/>
          <w:vertAlign w:val="subscript"/>
        </w:rPr>
        <w:t>УБКУ</w:t>
      </w:r>
      <w:r>
        <w:rPr>
          <w:rFonts w:ascii="Times New Roman" w:eastAsia="Times New Roman" w:hAnsi="Times New Roman" w:cs="Times New Roman"/>
          <w:sz w:val="28"/>
          <w:szCs w:val="28"/>
        </w:rPr>
        <w:t>+0.291×X</w:t>
      </w:r>
      <w:r>
        <w:rPr>
          <w:rFonts w:ascii="Times New Roman" w:eastAsia="Times New Roman" w:hAnsi="Times New Roman" w:cs="Times New Roman"/>
          <w:sz w:val="28"/>
          <w:szCs w:val="28"/>
          <w:vertAlign w:val="subscript"/>
        </w:rPr>
        <w:t>ИМТ</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ab/>
        <w:t>(12)</w:t>
      </w:r>
    </w:p>
    <w:p w:rsidR="000A3797" w:rsidRDefault="000A3797">
      <w:pPr>
        <w:spacing w:after="0" w:line="240" w:lineRule="auto"/>
        <w:ind w:left="142"/>
        <w:jc w:val="both"/>
        <w:rPr>
          <w:rFonts w:ascii="Times New Roman" w:eastAsia="Times New Roman" w:hAnsi="Times New Roman" w:cs="Times New Roman"/>
          <w:sz w:val="28"/>
          <w:szCs w:val="28"/>
        </w:rPr>
      </w:pPr>
    </w:p>
    <w:p w:rsidR="000A3797" w:rsidRDefault="00A660E7">
      <w:pPr>
        <w:spacing w:after="0" w:line="240" w:lineRule="auto"/>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где р – вероятность развития рецидива пролапса (%), X</w:t>
      </w:r>
      <w:r>
        <w:rPr>
          <w:rFonts w:ascii="Times New Roman" w:eastAsia="Times New Roman" w:hAnsi="Times New Roman" w:cs="Times New Roman"/>
          <w:sz w:val="24"/>
          <w:szCs w:val="24"/>
          <w:vertAlign w:val="subscript"/>
        </w:rPr>
        <w:t xml:space="preserve">КС </w:t>
      </w:r>
      <w:r>
        <w:rPr>
          <w:rFonts w:ascii="Times New Roman" w:eastAsia="Times New Roman" w:hAnsi="Times New Roman" w:cs="Times New Roman"/>
          <w:sz w:val="24"/>
          <w:szCs w:val="24"/>
        </w:rPr>
        <w:t>– курение (0 – нет, 1 – редко, 2 – до 5 сигарет в день, 3 – половина пачки в день, 4 – пачка в день), Х</w:t>
      </w:r>
      <w:r>
        <w:rPr>
          <w:rFonts w:ascii="Times New Roman" w:eastAsia="Times New Roman" w:hAnsi="Times New Roman" w:cs="Times New Roman"/>
          <w:sz w:val="24"/>
          <w:szCs w:val="24"/>
          <w:vertAlign w:val="subscript"/>
        </w:rPr>
        <w:t xml:space="preserve">ПТ </w:t>
      </w:r>
      <w:r>
        <w:rPr>
          <w:rFonts w:ascii="Times New Roman" w:eastAsia="Times New Roman" w:hAnsi="Times New Roman" w:cs="Times New Roman"/>
          <w:sz w:val="24"/>
          <w:szCs w:val="24"/>
        </w:rPr>
        <w:t>– поднятие тяжести (0 – нет, 1 – однократно, 2 – иногда, 3 – часто), X</w:t>
      </w:r>
      <w:r>
        <w:rPr>
          <w:rFonts w:ascii="Times New Roman" w:eastAsia="Times New Roman" w:hAnsi="Times New Roman" w:cs="Times New Roman"/>
          <w:sz w:val="24"/>
          <w:szCs w:val="24"/>
          <w:vertAlign w:val="subscript"/>
        </w:rPr>
        <w:t>Д3</w:t>
      </w:r>
      <w:r>
        <w:rPr>
          <w:rFonts w:ascii="Times New Roman" w:eastAsia="Times New Roman" w:hAnsi="Times New Roman" w:cs="Times New Roman"/>
          <w:sz w:val="24"/>
          <w:szCs w:val="24"/>
        </w:rPr>
        <w:t xml:space="preserve"> – уровень витамина Д3 (нг/мл), X</w:t>
      </w:r>
      <w:r>
        <w:rPr>
          <w:rFonts w:ascii="Times New Roman" w:eastAsia="Times New Roman" w:hAnsi="Times New Roman" w:cs="Times New Roman"/>
          <w:sz w:val="24"/>
          <w:szCs w:val="24"/>
          <w:vertAlign w:val="subscript"/>
        </w:rPr>
        <w:t xml:space="preserve">Мен </w:t>
      </w:r>
      <w:r>
        <w:rPr>
          <w:rFonts w:ascii="Times New Roman" w:eastAsia="Times New Roman" w:hAnsi="Times New Roman" w:cs="Times New Roman"/>
          <w:sz w:val="24"/>
          <w:szCs w:val="24"/>
        </w:rPr>
        <w:t>– продолжительность менопаузы (0 – нет, 1 – 1 год и менее, 2 – более 1 года до 5 лет, 3 – более 5 лет), X</w:t>
      </w:r>
      <w:r>
        <w:rPr>
          <w:rFonts w:ascii="Times New Roman" w:eastAsia="Times New Roman" w:hAnsi="Times New Roman" w:cs="Times New Roman"/>
          <w:sz w:val="24"/>
          <w:szCs w:val="24"/>
          <w:vertAlign w:val="subscript"/>
        </w:rPr>
        <w:t>З</w:t>
      </w:r>
      <w:r>
        <w:rPr>
          <w:rFonts w:ascii="Times New Roman" w:eastAsia="Times New Roman" w:hAnsi="Times New Roman" w:cs="Times New Roman"/>
          <w:sz w:val="24"/>
          <w:szCs w:val="24"/>
        </w:rPr>
        <w:t xml:space="preserve"> – запоры (0 – нет, 1 – единичные эпизоды</w:t>
      </w:r>
      <w:r>
        <w:rPr>
          <w:rFonts w:ascii="Times New Roman" w:eastAsia="Times New Roman" w:hAnsi="Times New Roman" w:cs="Times New Roman"/>
          <w:sz w:val="24"/>
          <w:szCs w:val="24"/>
        </w:rPr>
        <w:t>, 2 – иногда, 3 – постоянно), X</w:t>
      </w:r>
      <w:r>
        <w:rPr>
          <w:rFonts w:ascii="Times New Roman" w:eastAsia="Times New Roman" w:hAnsi="Times New Roman" w:cs="Times New Roman"/>
          <w:sz w:val="24"/>
          <w:szCs w:val="24"/>
          <w:vertAlign w:val="subscript"/>
        </w:rPr>
        <w:t xml:space="preserve">СМТ </w:t>
      </w:r>
      <w:r>
        <w:rPr>
          <w:rFonts w:ascii="Times New Roman" w:eastAsia="Times New Roman" w:hAnsi="Times New Roman" w:cs="Times New Roman"/>
          <w:sz w:val="24"/>
          <w:szCs w:val="24"/>
        </w:rPr>
        <w:t>– снижение массы тела на 5 кг и более в короткий промежуток времени (0 – нет, 1 – 5 кг и менее, 2 – более 5 кг), X</w:t>
      </w:r>
      <w:r>
        <w:rPr>
          <w:rFonts w:ascii="Times New Roman" w:eastAsia="Times New Roman" w:hAnsi="Times New Roman" w:cs="Times New Roman"/>
          <w:sz w:val="24"/>
          <w:szCs w:val="24"/>
          <w:vertAlign w:val="subscript"/>
        </w:rPr>
        <w:t>НУБП</w:t>
      </w:r>
      <w:r>
        <w:rPr>
          <w:rFonts w:ascii="Times New Roman" w:eastAsia="Times New Roman" w:hAnsi="Times New Roman" w:cs="Times New Roman"/>
          <w:sz w:val="24"/>
          <w:szCs w:val="24"/>
        </w:rPr>
        <w:t xml:space="preserve"> – употребление белковой пищи из расчёта 1,2 грамма на 1 кг веса (0 – нет, 1 – очень редко, 2 – иногда,</w:t>
      </w:r>
      <w:r>
        <w:rPr>
          <w:rFonts w:ascii="Times New Roman" w:eastAsia="Times New Roman" w:hAnsi="Times New Roman" w:cs="Times New Roman"/>
          <w:sz w:val="24"/>
          <w:szCs w:val="24"/>
        </w:rPr>
        <w:t xml:space="preserve"> 3 – регулярно), X</w:t>
      </w:r>
      <w:r>
        <w:rPr>
          <w:rFonts w:ascii="Times New Roman" w:eastAsia="Times New Roman" w:hAnsi="Times New Roman" w:cs="Times New Roman"/>
          <w:sz w:val="24"/>
          <w:szCs w:val="24"/>
          <w:vertAlign w:val="subscript"/>
        </w:rPr>
        <w:t>УБКУ</w:t>
      </w:r>
      <w:r>
        <w:rPr>
          <w:rFonts w:ascii="Times New Roman" w:eastAsia="Times New Roman" w:hAnsi="Times New Roman" w:cs="Times New Roman"/>
          <w:sz w:val="24"/>
          <w:szCs w:val="24"/>
        </w:rPr>
        <w:t xml:space="preserve"> – употребление углеводов более 25 грамм в день (о – нет, 1 – единичные случаи, 2 – иногда, 3 – часто), X</w:t>
      </w:r>
      <w:r>
        <w:rPr>
          <w:rFonts w:ascii="Times New Roman" w:eastAsia="Times New Roman" w:hAnsi="Times New Roman" w:cs="Times New Roman"/>
          <w:sz w:val="24"/>
          <w:szCs w:val="24"/>
          <w:vertAlign w:val="subscript"/>
        </w:rPr>
        <w:t>ИМТ</w:t>
      </w:r>
      <w:r>
        <w:rPr>
          <w:rFonts w:ascii="Times New Roman" w:eastAsia="Times New Roman" w:hAnsi="Times New Roman" w:cs="Times New Roman"/>
          <w:sz w:val="24"/>
          <w:szCs w:val="24"/>
        </w:rPr>
        <w:t>-ИМТ (кг/м</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w:t>
      </w:r>
    </w:p>
    <w:p w:rsidR="000A3797" w:rsidRDefault="00A660E7">
      <w:pPr>
        <w:spacing w:after="0" w:line="240" w:lineRule="auto"/>
        <w:ind w:left="142"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Разработанная регрессионная модель оказалась статистически значимой (р&lt;0,001) [198, стр. 1246]. Согласно коэффиц</w:t>
      </w:r>
      <w:r>
        <w:rPr>
          <w:rFonts w:ascii="Times New Roman" w:eastAsia="Times New Roman" w:hAnsi="Times New Roman" w:cs="Times New Roman"/>
          <w:sz w:val="28"/>
          <w:szCs w:val="28"/>
        </w:rPr>
        <w:t>иенту детерминации Найджелкерка, модель объясняет 84,1% факторов, влияющих на вероятность рецидива генитального пролапса (Таблица 19) [198, стр. 1246].</w:t>
      </w:r>
    </w:p>
    <w:p w:rsidR="000A3797" w:rsidRDefault="000A3797">
      <w:pPr>
        <w:spacing w:after="0" w:line="240" w:lineRule="auto"/>
        <w:ind w:left="142"/>
        <w:jc w:val="both"/>
        <w:rPr>
          <w:rFonts w:ascii="Times New Roman" w:eastAsia="Times New Roman" w:hAnsi="Times New Roman" w:cs="Times New Roman"/>
          <w:sz w:val="28"/>
          <w:szCs w:val="28"/>
        </w:rPr>
      </w:pPr>
    </w:p>
    <w:p w:rsidR="000A3797" w:rsidRDefault="00A660E7">
      <w:pPr>
        <w:spacing w:after="0" w:line="240" w:lineRule="auto"/>
        <w:ind w:left="142"/>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19</w:t>
      </w:r>
      <w:r>
        <w:rPr>
          <w:rFonts w:ascii="Times New Roman" w:eastAsia="Times New Roman" w:hAnsi="Times New Roman" w:cs="Times New Roman"/>
          <w:b/>
          <w:sz w:val="28"/>
          <w:szCs w:val="28"/>
        </w:rPr>
        <w:t xml:space="preserve"> - </w:t>
      </w:r>
      <w:r>
        <w:rPr>
          <w:rFonts w:ascii="Times New Roman" w:eastAsia="Times New Roman" w:hAnsi="Times New Roman" w:cs="Times New Roman"/>
          <w:sz w:val="28"/>
          <w:szCs w:val="28"/>
        </w:rPr>
        <w:t>Факторы риска рецидива генитального пролапса</w:t>
      </w:r>
    </w:p>
    <w:p w:rsidR="000A3797" w:rsidRDefault="000A3797">
      <w:pPr>
        <w:spacing w:after="0" w:line="240" w:lineRule="auto"/>
        <w:ind w:left="142"/>
        <w:jc w:val="center"/>
        <w:rPr>
          <w:rFonts w:ascii="Times New Roman" w:eastAsia="Times New Roman" w:hAnsi="Times New Roman" w:cs="Times New Roman"/>
          <w:sz w:val="24"/>
          <w:szCs w:val="24"/>
        </w:rPr>
      </w:pPr>
    </w:p>
    <w:tbl>
      <w:tblPr>
        <w:tblStyle w:val="aff1"/>
        <w:tblW w:w="96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83"/>
        <w:gridCol w:w="1287"/>
        <w:gridCol w:w="1103"/>
        <w:gridCol w:w="1983"/>
        <w:gridCol w:w="1286"/>
        <w:gridCol w:w="1286"/>
      </w:tblGrid>
      <w:tr w:rsidR="000A3797">
        <w:tc>
          <w:tcPr>
            <w:tcW w:w="2683"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Предикторы</w:t>
            </w:r>
          </w:p>
        </w:tc>
        <w:tc>
          <w:tcPr>
            <w:tcW w:w="2390" w:type="dxa"/>
            <w:gridSpan w:val="2"/>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Unadjusted</w:t>
            </w:r>
          </w:p>
        </w:tc>
        <w:tc>
          <w:tcPr>
            <w:tcW w:w="4555" w:type="dxa"/>
            <w:gridSpan w:val="3"/>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Adjusted </w:t>
            </w:r>
          </w:p>
        </w:tc>
      </w:tr>
      <w:tr w:rsidR="000A3797">
        <w:tc>
          <w:tcPr>
            <w:tcW w:w="2683"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287"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OR, 95% CI</w:t>
            </w:r>
          </w:p>
        </w:tc>
        <w:tc>
          <w:tcPr>
            <w:tcW w:w="110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p-value</w:t>
            </w:r>
          </w:p>
        </w:tc>
        <w:tc>
          <w:tcPr>
            <w:tcW w:w="198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Exp (B), 95% CI</w:t>
            </w:r>
          </w:p>
        </w:tc>
        <w:tc>
          <w:tcPr>
            <w:tcW w:w="1286"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w:t>
            </w:r>
          </w:p>
        </w:tc>
        <w:tc>
          <w:tcPr>
            <w:tcW w:w="1286"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p-value</w:t>
            </w:r>
          </w:p>
        </w:tc>
      </w:tr>
      <w:tr w:rsidR="000A3797">
        <w:tc>
          <w:tcPr>
            <w:tcW w:w="2683" w:type="dxa"/>
          </w:tcPr>
          <w:p w:rsidR="000A3797" w:rsidRDefault="00A660E7">
            <w:pPr>
              <w:ind w:left="142"/>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c>
          <w:tcPr>
            <w:tcW w:w="1287"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10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98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286"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286"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r>
      <w:tr w:rsidR="000A3797">
        <w:tc>
          <w:tcPr>
            <w:tcW w:w="2683"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Курение сигарет (КС)</w:t>
            </w:r>
          </w:p>
        </w:tc>
        <w:tc>
          <w:tcPr>
            <w:tcW w:w="1287"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3.248 (2.025-5.210)</w:t>
            </w:r>
          </w:p>
        </w:tc>
        <w:tc>
          <w:tcPr>
            <w:tcW w:w="110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198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6.375 (2.427-16.742)</w:t>
            </w:r>
          </w:p>
        </w:tc>
        <w:tc>
          <w:tcPr>
            <w:tcW w:w="1286"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1.852</w:t>
            </w:r>
          </w:p>
        </w:tc>
        <w:tc>
          <w:tcPr>
            <w:tcW w:w="1286"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r>
      <w:tr w:rsidR="000A3797">
        <w:tc>
          <w:tcPr>
            <w:tcW w:w="2683"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Поднятие тяжести (ПТ)</w:t>
            </w:r>
          </w:p>
        </w:tc>
        <w:tc>
          <w:tcPr>
            <w:tcW w:w="1287"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16.839 (7.305-38.818)</w:t>
            </w:r>
          </w:p>
        </w:tc>
        <w:tc>
          <w:tcPr>
            <w:tcW w:w="110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198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11.166 (2.223-56.091)</w:t>
            </w:r>
          </w:p>
        </w:tc>
        <w:tc>
          <w:tcPr>
            <w:tcW w:w="1286"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2.413</w:t>
            </w:r>
          </w:p>
        </w:tc>
        <w:tc>
          <w:tcPr>
            <w:tcW w:w="1286"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0.003</w:t>
            </w:r>
          </w:p>
        </w:tc>
      </w:tr>
      <w:tr w:rsidR="000A3797">
        <w:tc>
          <w:tcPr>
            <w:tcW w:w="2683"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Уровень витамина (Д3)</w:t>
            </w:r>
          </w:p>
        </w:tc>
        <w:tc>
          <w:tcPr>
            <w:tcW w:w="1287"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0.882 (0.843-0.923)</w:t>
            </w:r>
          </w:p>
        </w:tc>
        <w:tc>
          <w:tcPr>
            <w:tcW w:w="110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198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0.840 (0.747-0.945)</w:t>
            </w:r>
          </w:p>
        </w:tc>
        <w:tc>
          <w:tcPr>
            <w:tcW w:w="1286"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-0.0173</w:t>
            </w:r>
          </w:p>
        </w:tc>
        <w:tc>
          <w:tcPr>
            <w:tcW w:w="1286"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0.004</w:t>
            </w:r>
          </w:p>
        </w:tc>
      </w:tr>
      <w:tr w:rsidR="000A3797">
        <w:tc>
          <w:tcPr>
            <w:tcW w:w="2683"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Менопауза (Мен)</w:t>
            </w:r>
          </w:p>
        </w:tc>
        <w:tc>
          <w:tcPr>
            <w:tcW w:w="1287"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2.154 (1.474-3.146)</w:t>
            </w:r>
          </w:p>
        </w:tc>
        <w:tc>
          <w:tcPr>
            <w:tcW w:w="110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198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2.720 (1.286-5.755)</w:t>
            </w:r>
          </w:p>
        </w:tc>
        <w:tc>
          <w:tcPr>
            <w:tcW w:w="1286"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1.001</w:t>
            </w:r>
          </w:p>
        </w:tc>
        <w:tc>
          <w:tcPr>
            <w:tcW w:w="1286"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0.009</w:t>
            </w:r>
          </w:p>
        </w:tc>
      </w:tr>
    </w:tbl>
    <w:p w:rsidR="000A3797" w:rsidRDefault="000A3797">
      <w:pPr>
        <w:rPr>
          <w:rFonts w:ascii="Times New Roman" w:eastAsia="Times New Roman" w:hAnsi="Times New Roman" w:cs="Times New Roman"/>
        </w:rPr>
      </w:pPr>
    </w:p>
    <w:p w:rsidR="000A3797" w:rsidRDefault="000A3797">
      <w:pPr>
        <w:rPr>
          <w:rFonts w:ascii="Times New Roman" w:eastAsia="Times New Roman" w:hAnsi="Times New Roman" w:cs="Times New Roman"/>
        </w:rPr>
      </w:pPr>
    </w:p>
    <w:p w:rsidR="000A3797" w:rsidRDefault="00A660E7">
      <w:pPr>
        <w:rPr>
          <w:rFonts w:ascii="Times New Roman" w:eastAsia="Times New Roman" w:hAnsi="Times New Roman" w:cs="Times New Roman"/>
          <w:sz w:val="28"/>
          <w:szCs w:val="28"/>
        </w:rPr>
      </w:pPr>
      <w:r>
        <w:rPr>
          <w:rFonts w:ascii="Times New Roman" w:eastAsia="Times New Roman" w:hAnsi="Times New Roman" w:cs="Times New Roman"/>
          <w:sz w:val="28"/>
          <w:szCs w:val="28"/>
        </w:rPr>
        <w:t>Продолжение таблицы 19</w:t>
      </w:r>
    </w:p>
    <w:tbl>
      <w:tblPr>
        <w:tblStyle w:val="aff2"/>
        <w:tblW w:w="96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83"/>
        <w:gridCol w:w="1287"/>
        <w:gridCol w:w="1103"/>
        <w:gridCol w:w="1983"/>
        <w:gridCol w:w="1286"/>
        <w:gridCol w:w="1286"/>
      </w:tblGrid>
      <w:tr w:rsidR="000A3797">
        <w:tc>
          <w:tcPr>
            <w:tcW w:w="268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287"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10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98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286"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286"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r>
      <w:tr w:rsidR="000A3797">
        <w:tc>
          <w:tcPr>
            <w:tcW w:w="2683"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Запоры (З)</w:t>
            </w:r>
          </w:p>
        </w:tc>
        <w:tc>
          <w:tcPr>
            <w:tcW w:w="1287"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4.123 (2.656-6.401)</w:t>
            </w:r>
          </w:p>
        </w:tc>
        <w:tc>
          <w:tcPr>
            <w:tcW w:w="110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198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3.535 (1.336-9.355) </w:t>
            </w:r>
          </w:p>
        </w:tc>
        <w:tc>
          <w:tcPr>
            <w:tcW w:w="1286"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1.263</w:t>
            </w:r>
          </w:p>
        </w:tc>
        <w:tc>
          <w:tcPr>
            <w:tcW w:w="1286"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0.011</w:t>
            </w:r>
          </w:p>
        </w:tc>
      </w:tr>
      <w:tr w:rsidR="000A3797">
        <w:tc>
          <w:tcPr>
            <w:tcW w:w="2683"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Снижение массы тела на 5 кг и более (СМТ) за короткий промежуток времени</w:t>
            </w:r>
          </w:p>
        </w:tc>
        <w:tc>
          <w:tcPr>
            <w:tcW w:w="1287"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1.338 (0.712-2.515)</w:t>
            </w:r>
          </w:p>
        </w:tc>
        <w:tc>
          <w:tcPr>
            <w:tcW w:w="110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0.366</w:t>
            </w:r>
          </w:p>
        </w:tc>
        <w:tc>
          <w:tcPr>
            <w:tcW w:w="198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0.050 (0.008-0.300)</w:t>
            </w:r>
          </w:p>
        </w:tc>
        <w:tc>
          <w:tcPr>
            <w:tcW w:w="1286"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-2.992</w:t>
            </w:r>
          </w:p>
        </w:tc>
        <w:tc>
          <w:tcPr>
            <w:tcW w:w="1286"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0.001</w:t>
            </w:r>
          </w:p>
        </w:tc>
      </w:tr>
      <w:tr w:rsidR="000A3797">
        <w:tc>
          <w:tcPr>
            <w:tcW w:w="2683"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Недостаточное употребление белковой пищи (НУБП)</w:t>
            </w:r>
          </w:p>
        </w:tc>
        <w:tc>
          <w:tcPr>
            <w:tcW w:w="1287"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5.978 (3.667-9.746)</w:t>
            </w:r>
          </w:p>
        </w:tc>
        <w:tc>
          <w:tcPr>
            <w:tcW w:w="110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198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3.588 (1.431-8.997)</w:t>
            </w:r>
          </w:p>
        </w:tc>
        <w:tc>
          <w:tcPr>
            <w:tcW w:w="1286"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1.277</w:t>
            </w:r>
          </w:p>
        </w:tc>
        <w:tc>
          <w:tcPr>
            <w:tcW w:w="1286"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0.006</w:t>
            </w:r>
          </w:p>
        </w:tc>
      </w:tr>
      <w:tr w:rsidR="000A3797">
        <w:tc>
          <w:tcPr>
            <w:tcW w:w="2683"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Употребление большого количествауглеводов (УБКУ)</w:t>
            </w:r>
          </w:p>
        </w:tc>
        <w:tc>
          <w:tcPr>
            <w:tcW w:w="1287"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4.384 (2.816-6.826)</w:t>
            </w:r>
          </w:p>
        </w:tc>
        <w:tc>
          <w:tcPr>
            <w:tcW w:w="110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198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2.058 (0.887-4.771)</w:t>
            </w:r>
          </w:p>
        </w:tc>
        <w:tc>
          <w:tcPr>
            <w:tcW w:w="1286"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0.721</w:t>
            </w:r>
          </w:p>
        </w:tc>
        <w:tc>
          <w:tcPr>
            <w:tcW w:w="1286"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0.093</w:t>
            </w:r>
          </w:p>
        </w:tc>
      </w:tr>
      <w:tr w:rsidR="000A3797">
        <w:tc>
          <w:tcPr>
            <w:tcW w:w="2683"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Индекс массы тела (ИМТ)</w:t>
            </w:r>
          </w:p>
        </w:tc>
        <w:tc>
          <w:tcPr>
            <w:tcW w:w="1287"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1.160 (1.068-1.260)</w:t>
            </w:r>
          </w:p>
        </w:tc>
        <w:tc>
          <w:tcPr>
            <w:tcW w:w="110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1983"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1.338 (1.120-1.599)</w:t>
            </w:r>
          </w:p>
        </w:tc>
        <w:tc>
          <w:tcPr>
            <w:tcW w:w="1286"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0.291</w:t>
            </w:r>
          </w:p>
        </w:tc>
        <w:tc>
          <w:tcPr>
            <w:tcW w:w="1286" w:type="dxa"/>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0.001</w:t>
            </w:r>
          </w:p>
        </w:tc>
      </w:tr>
      <w:tr w:rsidR="000A3797">
        <w:tc>
          <w:tcPr>
            <w:tcW w:w="2683"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Чувствительность</w:t>
            </w:r>
          </w:p>
        </w:tc>
        <w:tc>
          <w:tcPr>
            <w:tcW w:w="6945" w:type="dxa"/>
            <w:gridSpan w:val="5"/>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84.8%</w:t>
            </w:r>
          </w:p>
        </w:tc>
      </w:tr>
      <w:tr w:rsidR="000A3797">
        <w:tc>
          <w:tcPr>
            <w:tcW w:w="2683"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Специфичность</w:t>
            </w:r>
          </w:p>
        </w:tc>
        <w:tc>
          <w:tcPr>
            <w:tcW w:w="6945" w:type="dxa"/>
            <w:gridSpan w:val="5"/>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98.8%</w:t>
            </w:r>
          </w:p>
        </w:tc>
      </w:tr>
      <w:tr w:rsidR="000A3797">
        <w:tc>
          <w:tcPr>
            <w:tcW w:w="2683"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Общая процентная доля</w:t>
            </w:r>
          </w:p>
        </w:tc>
        <w:tc>
          <w:tcPr>
            <w:tcW w:w="6945" w:type="dxa"/>
            <w:gridSpan w:val="5"/>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84.7%</w:t>
            </w:r>
          </w:p>
        </w:tc>
      </w:tr>
      <w:tr w:rsidR="000A3797">
        <w:tc>
          <w:tcPr>
            <w:tcW w:w="2683"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R-квадрат Найджел Керка </w:t>
            </w:r>
          </w:p>
        </w:tc>
        <w:tc>
          <w:tcPr>
            <w:tcW w:w="6945" w:type="dxa"/>
            <w:gridSpan w:val="5"/>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0.841</w:t>
            </w:r>
          </w:p>
        </w:tc>
      </w:tr>
      <w:tr w:rsidR="000A3797">
        <w:tc>
          <w:tcPr>
            <w:tcW w:w="2683"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p-value</w:t>
            </w:r>
          </w:p>
        </w:tc>
        <w:tc>
          <w:tcPr>
            <w:tcW w:w="6945" w:type="dxa"/>
            <w:gridSpan w:val="5"/>
          </w:tcPr>
          <w:p w:rsidR="000A3797" w:rsidRDefault="00A660E7">
            <w:pPr>
              <w:ind w:left="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0.001*</w:t>
            </w:r>
          </w:p>
        </w:tc>
      </w:tr>
      <w:tr w:rsidR="000A3797">
        <w:tc>
          <w:tcPr>
            <w:tcW w:w="9628" w:type="dxa"/>
            <w:gridSpan w:val="6"/>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Примечание: В – коэффициент, Exp (B) – отношение шансов, Хи – квадрат Пирсона, CI – доверительный интервал.</w:t>
            </w:r>
          </w:p>
        </w:tc>
      </w:tr>
    </w:tbl>
    <w:p w:rsidR="000A3797" w:rsidRDefault="000A3797">
      <w:pPr>
        <w:spacing w:after="0" w:line="240" w:lineRule="auto"/>
        <w:ind w:left="142"/>
        <w:jc w:val="both"/>
        <w:rPr>
          <w:rFonts w:ascii="Times New Roman" w:eastAsia="Times New Roman" w:hAnsi="Times New Roman" w:cs="Times New Roman"/>
          <w:sz w:val="24"/>
          <w:szCs w:val="24"/>
        </w:rPr>
      </w:pPr>
    </w:p>
    <w:p w:rsidR="000A3797" w:rsidRDefault="00A660E7">
      <w:pPr>
        <w:spacing w:after="0" w:line="240" w:lineRule="auto"/>
        <w:ind w:left="142"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Анализ регрессионных коэффициентов показал, что факторы, такие как подъем тяжестей, длительность менопаузы, запоры, недостаточное потребление белковой пищи, повышенное потребление углеводов и индекс массы тела (ИМТ), имеют прямую связь с риском рецидива ге</w:t>
      </w:r>
      <w:r>
        <w:rPr>
          <w:rFonts w:ascii="Times New Roman" w:eastAsia="Times New Roman" w:hAnsi="Times New Roman" w:cs="Times New Roman"/>
          <w:sz w:val="28"/>
          <w:szCs w:val="28"/>
        </w:rPr>
        <w:t xml:space="preserve">нитального пролапса. В то же время предикторы, такие как уровень витамина D3 и снижение массы тела на 5 кг и более, демонстрируют обратную связь с вероятностью рецидива пролапса [198, стр. 1246]. Подробная характеристика каждого из факторов представлена в </w:t>
      </w:r>
      <w:r>
        <w:rPr>
          <w:rFonts w:ascii="Times New Roman" w:eastAsia="Times New Roman" w:hAnsi="Times New Roman" w:cs="Times New Roman"/>
          <w:sz w:val="28"/>
          <w:szCs w:val="28"/>
        </w:rPr>
        <w:t>таблице 23. Модель имеет чувствительность 84,8%, специфичность 98,8%, а общая диагностическая эффективность составляет 84,7%. Отношение шансов для каждого фактора и доверительные интервалы приведены на Рисунке 3 [198, стр. 1246].</w:t>
      </w:r>
    </w:p>
    <w:p w:rsidR="000A3797" w:rsidRDefault="00A660E7">
      <w:pPr>
        <w:spacing w:after="0" w:line="240" w:lineRule="auto"/>
        <w:ind w:left="142"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Площадь под ROC-кривой, со</w:t>
      </w:r>
      <w:r>
        <w:rPr>
          <w:rFonts w:ascii="Times New Roman" w:eastAsia="Times New Roman" w:hAnsi="Times New Roman" w:cs="Times New Roman"/>
          <w:sz w:val="28"/>
          <w:szCs w:val="28"/>
        </w:rPr>
        <w:t xml:space="preserve">ответствующей взаимосвязи прогноза рецидива генитального пролапса после хирургического лечения и значения логистической регрессионной функции, составила 0.989±0.005 с 95% ДИ: 0.980-0.998 (Рисунок 4). Полученная модель была статистически значимой (р&lt;0.001) </w:t>
      </w:r>
      <w:r>
        <w:rPr>
          <w:rFonts w:ascii="Times New Roman" w:eastAsia="Times New Roman" w:hAnsi="Times New Roman" w:cs="Times New Roman"/>
          <w:sz w:val="28"/>
          <w:szCs w:val="28"/>
          <w:highlight w:val="white"/>
        </w:rPr>
        <w:t>[198,стр. 1246]</w:t>
      </w:r>
      <w:r>
        <w:rPr>
          <w:rFonts w:ascii="Times New Roman" w:eastAsia="Times New Roman" w:hAnsi="Times New Roman" w:cs="Times New Roman"/>
          <w:sz w:val="28"/>
          <w:szCs w:val="28"/>
        </w:rPr>
        <w:t>.</w:t>
      </w:r>
    </w:p>
    <w:p w:rsidR="000A3797" w:rsidRDefault="000A3797">
      <w:pPr>
        <w:spacing w:after="0" w:line="240" w:lineRule="auto"/>
        <w:ind w:left="142"/>
        <w:jc w:val="both"/>
        <w:rPr>
          <w:rFonts w:ascii="Times New Roman" w:eastAsia="Times New Roman" w:hAnsi="Times New Roman" w:cs="Times New Roman"/>
          <w:sz w:val="24"/>
          <w:szCs w:val="24"/>
        </w:rPr>
      </w:pPr>
    </w:p>
    <w:p w:rsidR="000A3797" w:rsidRDefault="00A660E7">
      <w:pPr>
        <w:spacing w:after="0" w:line="240" w:lineRule="auto"/>
        <w:ind w:left="142"/>
        <w:jc w:val="center"/>
        <w:rPr>
          <w:rFonts w:ascii="Times New Roman" w:eastAsia="Times New Roman" w:hAnsi="Times New Roman" w:cs="Times New Roman"/>
          <w:b/>
          <w:sz w:val="24"/>
          <w:szCs w:val="24"/>
        </w:rPr>
      </w:pPr>
      <w:r>
        <w:rPr>
          <w:rFonts w:ascii="Times New Roman" w:eastAsia="Times New Roman" w:hAnsi="Times New Roman" w:cs="Times New Roman"/>
          <w:noProof/>
        </w:rPr>
        <w:drawing>
          <wp:inline distT="0" distB="0" distL="0" distR="0">
            <wp:extent cx="4152900" cy="2810743"/>
            <wp:effectExtent l="0" t="0" r="0" b="4445"/>
            <wp:docPr id="2" name="Рисунок 2"/>
            <wp:cNvGraphicFramePr/>
            <a:graphic xmlns:a="http://schemas.openxmlformats.org/drawingml/2006/main">
              <a:graphicData uri="http://schemas.openxmlformats.org/drawingml/2006/picture">
                <pic:pic xmlns:pic="http://schemas.openxmlformats.org/drawingml/2006/picture">
                  <pic:nvPicPr>
                    <pic:cNvPr id="0" name="Picture 5" descr="C:\Users\1\Desktop\Мой диск\по оконча\русс_предикт.tif"/>
                    <pic:cNvPicPr>
                      <a:picLocks noChangeAspect="1" noChangeArrowheads="1"/>
                    </pic:cNvPicPr>
                  </pic:nvPicPr>
                  <pic:blipFill>
                    <a:blip r:embed="rId15">
                      <a:extLst/>
                    </a:blip>
                    <a:srcRect/>
                    <a:stretch>
                      <a:fillRect/>
                    </a:stretch>
                  </pic:blipFill>
                  <pic:spPr bwMode="auto">
                    <a:xfrm>
                      <a:off x="0" y="0"/>
                      <a:ext cx="4153537" cy="2815620"/>
                    </a:xfrm>
                    <a:prstGeom prst="rect">
                      <a:avLst/>
                    </a:prstGeom>
                    <a:noFill/>
                    <a:ln>
                      <a:noFill/>
                    </a:ln>
                  </pic:spPr>
                </pic:pic>
              </a:graphicData>
            </a:graphic>
          </wp:inline>
        </w:drawing>
      </w:r>
    </w:p>
    <w:p w:rsidR="000A3797" w:rsidRDefault="000A3797">
      <w:pPr>
        <w:spacing w:after="0" w:line="240" w:lineRule="auto"/>
        <w:ind w:left="142"/>
        <w:jc w:val="center"/>
        <w:rPr>
          <w:rFonts w:ascii="Times New Roman" w:eastAsia="Times New Roman" w:hAnsi="Times New Roman" w:cs="Times New Roman"/>
          <w:b/>
          <w:sz w:val="24"/>
          <w:szCs w:val="24"/>
        </w:rPr>
      </w:pPr>
    </w:p>
    <w:p w:rsidR="000A3797" w:rsidRDefault="00A660E7">
      <w:pPr>
        <w:spacing w:after="0" w:line="240" w:lineRule="auto"/>
        <w:ind w:left="142"/>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Рисунок 3 - </w:t>
      </w:r>
      <w:r>
        <w:rPr>
          <w:rFonts w:ascii="Times New Roman" w:eastAsia="Times New Roman" w:hAnsi="Times New Roman" w:cs="Times New Roman"/>
          <w:sz w:val="28"/>
          <w:szCs w:val="28"/>
        </w:rPr>
        <w:t>Предикторы рецидива тазового пролапса</w:t>
      </w:r>
    </w:p>
    <w:p w:rsidR="000A3797" w:rsidRDefault="000A3797">
      <w:pPr>
        <w:spacing w:after="0" w:line="240" w:lineRule="auto"/>
        <w:ind w:left="142"/>
        <w:jc w:val="center"/>
        <w:rPr>
          <w:rFonts w:ascii="Times New Roman" w:eastAsia="Times New Roman" w:hAnsi="Times New Roman" w:cs="Times New Roman"/>
          <w:sz w:val="28"/>
          <w:szCs w:val="28"/>
        </w:rPr>
      </w:pPr>
    </w:p>
    <w:p w:rsidR="000A3797" w:rsidRDefault="00A660E7">
      <w:pPr>
        <w:spacing w:after="0" w:line="240" w:lineRule="auto"/>
        <w:ind w:left="142"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Пороговое значение функции P (1) в точке cut-off составляло 0.07. Значения функции, равные или превышающие данное значение соответствовали прогнозу рецидива генитального пролапса после хирургического лечения </w:t>
      </w:r>
      <w:r>
        <w:rPr>
          <w:rFonts w:ascii="Times New Roman" w:eastAsia="Times New Roman" w:hAnsi="Times New Roman" w:cs="Times New Roman"/>
          <w:sz w:val="28"/>
          <w:szCs w:val="28"/>
          <w:highlight w:val="white"/>
        </w:rPr>
        <w:t>[198,стр. 1247]</w:t>
      </w:r>
      <w:r>
        <w:rPr>
          <w:rFonts w:ascii="Times New Roman" w:eastAsia="Times New Roman" w:hAnsi="Times New Roman" w:cs="Times New Roman"/>
          <w:sz w:val="28"/>
          <w:szCs w:val="28"/>
        </w:rPr>
        <w:t>. Чувствительность и специфичност</w:t>
      </w:r>
      <w:r>
        <w:rPr>
          <w:rFonts w:ascii="Times New Roman" w:eastAsia="Times New Roman" w:hAnsi="Times New Roman" w:cs="Times New Roman"/>
          <w:sz w:val="28"/>
          <w:szCs w:val="28"/>
        </w:rPr>
        <w:t xml:space="preserve">ь метода составили 95.7 % и 91.3% соответственно </w:t>
      </w:r>
      <w:r>
        <w:rPr>
          <w:rFonts w:ascii="Times New Roman" w:eastAsia="Times New Roman" w:hAnsi="Times New Roman" w:cs="Times New Roman"/>
          <w:sz w:val="28"/>
          <w:szCs w:val="28"/>
          <w:highlight w:val="white"/>
        </w:rPr>
        <w:t>[198,стр. 1247]</w:t>
      </w:r>
      <w:r>
        <w:rPr>
          <w:rFonts w:ascii="Times New Roman" w:eastAsia="Times New Roman" w:hAnsi="Times New Roman" w:cs="Times New Roman"/>
          <w:sz w:val="28"/>
          <w:szCs w:val="28"/>
        </w:rPr>
        <w:t>.</w:t>
      </w:r>
    </w:p>
    <w:p w:rsidR="000A3797" w:rsidRDefault="000A3797">
      <w:pPr>
        <w:spacing w:after="0" w:line="240" w:lineRule="auto"/>
        <w:ind w:left="142"/>
        <w:jc w:val="both"/>
        <w:rPr>
          <w:rFonts w:ascii="Times New Roman" w:eastAsia="Times New Roman" w:hAnsi="Times New Roman" w:cs="Times New Roman"/>
          <w:sz w:val="28"/>
          <w:szCs w:val="28"/>
        </w:rPr>
      </w:pPr>
    </w:p>
    <w:p w:rsidR="000A3797" w:rsidRDefault="00A660E7">
      <w:pPr>
        <w:spacing w:after="0" w:line="240" w:lineRule="auto"/>
        <w:ind w:left="142"/>
        <w:rPr>
          <w:rFonts w:ascii="Times New Roman" w:eastAsia="Times New Roman" w:hAnsi="Times New Roman" w:cs="Times New Roman"/>
          <w:sz w:val="24"/>
          <w:szCs w:val="24"/>
        </w:rPr>
      </w:pPr>
      <w:r>
        <w:rPr>
          <w:rFonts w:ascii="Times New Roman" w:eastAsia="Times New Roman" w:hAnsi="Times New Roman" w:cs="Times New Roman"/>
          <w:noProof/>
        </w:rPr>
        <w:drawing>
          <wp:inline distT="0" distB="0" distL="0" distR="0">
            <wp:extent cx="4939552" cy="2907013"/>
            <wp:effectExtent l="0" t="0" r="0" b="0"/>
            <wp:docPr id="61"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6"/>
                    <a:srcRect/>
                    <a:stretch>
                      <a:fillRect/>
                    </a:stretch>
                  </pic:blipFill>
                  <pic:spPr>
                    <a:xfrm>
                      <a:off x="0" y="0"/>
                      <a:ext cx="4939552" cy="2907013"/>
                    </a:xfrm>
                    <a:prstGeom prst="rect">
                      <a:avLst/>
                    </a:prstGeom>
                    <a:ln/>
                  </pic:spPr>
                </pic:pic>
              </a:graphicData>
            </a:graphic>
          </wp:inline>
        </w:drawing>
      </w:r>
    </w:p>
    <w:p w:rsidR="000A3797" w:rsidRDefault="000A3797">
      <w:pPr>
        <w:spacing w:after="0" w:line="240" w:lineRule="auto"/>
        <w:ind w:left="142"/>
        <w:jc w:val="both"/>
        <w:rPr>
          <w:rFonts w:ascii="Times New Roman" w:eastAsia="Times New Roman" w:hAnsi="Times New Roman" w:cs="Times New Roman"/>
          <w:sz w:val="24"/>
          <w:szCs w:val="24"/>
        </w:rPr>
      </w:pPr>
    </w:p>
    <w:p w:rsidR="000A3797" w:rsidRDefault="00A660E7">
      <w:pPr>
        <w:spacing w:after="0" w:line="240" w:lineRule="auto"/>
        <w:ind w:left="142"/>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Рисунок 4 -</w:t>
      </w:r>
      <w:r>
        <w:rPr>
          <w:rFonts w:ascii="Times New Roman" w:eastAsia="Times New Roman" w:hAnsi="Times New Roman" w:cs="Times New Roman"/>
          <w:sz w:val="28"/>
          <w:szCs w:val="28"/>
        </w:rPr>
        <w:t xml:space="preserve"> Взаимосвязь прогноза рецидива генитального пролапса после хирургического лечения</w:t>
      </w:r>
    </w:p>
    <w:p w:rsidR="000A3797" w:rsidRDefault="000A3797">
      <w:pPr>
        <w:spacing w:after="0" w:line="240" w:lineRule="auto"/>
        <w:jc w:val="both"/>
        <w:rPr>
          <w:rFonts w:ascii="Times New Roman" w:eastAsia="Times New Roman" w:hAnsi="Times New Roman" w:cs="Times New Roman"/>
          <w:sz w:val="24"/>
          <w:szCs w:val="24"/>
        </w:rPr>
      </w:pPr>
    </w:p>
    <w:p w:rsidR="000A3797" w:rsidRDefault="00A660E7">
      <w:pPr>
        <w:spacing w:after="0" w:line="240" w:lineRule="auto"/>
        <w:ind w:left="142"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Были установлены статистически значимые прямые корреляционные связи степени генитального про</w:t>
      </w:r>
      <w:r>
        <w:rPr>
          <w:rFonts w:ascii="Times New Roman" w:eastAsia="Times New Roman" w:hAnsi="Times New Roman" w:cs="Times New Roman"/>
          <w:sz w:val="28"/>
          <w:szCs w:val="28"/>
        </w:rPr>
        <w:t>лапса  и индексом массы тела  (r</w:t>
      </w:r>
      <w:r>
        <w:rPr>
          <w:rFonts w:ascii="Times New Roman" w:eastAsia="Times New Roman" w:hAnsi="Times New Roman" w:cs="Times New Roman"/>
          <w:sz w:val="28"/>
          <w:szCs w:val="28"/>
          <w:vertAlign w:val="subscript"/>
        </w:rPr>
        <w:t>xy</w:t>
      </w:r>
      <w:r>
        <w:rPr>
          <w:rFonts w:ascii="Times New Roman" w:eastAsia="Times New Roman" w:hAnsi="Times New Roman" w:cs="Times New Roman"/>
          <w:sz w:val="28"/>
          <w:szCs w:val="28"/>
        </w:rPr>
        <w:t>=0,180 – слабая связь по шкале Чеддока; р=0,002), нерегулярностью посещения врача (r</w:t>
      </w:r>
      <w:r>
        <w:rPr>
          <w:rFonts w:ascii="Times New Roman" w:eastAsia="Times New Roman" w:hAnsi="Times New Roman" w:cs="Times New Roman"/>
          <w:sz w:val="28"/>
          <w:szCs w:val="28"/>
          <w:vertAlign w:val="subscript"/>
        </w:rPr>
        <w:t>xy</w:t>
      </w:r>
      <w:r>
        <w:rPr>
          <w:rFonts w:ascii="Times New Roman" w:eastAsia="Times New Roman" w:hAnsi="Times New Roman" w:cs="Times New Roman"/>
          <w:sz w:val="28"/>
          <w:szCs w:val="28"/>
        </w:rPr>
        <w:t>=0,628 –  связь заметная по шкале Чеддока; р&lt;0,001), возрастом (r</w:t>
      </w:r>
      <w:r>
        <w:rPr>
          <w:rFonts w:ascii="Times New Roman" w:eastAsia="Times New Roman" w:hAnsi="Times New Roman" w:cs="Times New Roman"/>
          <w:sz w:val="28"/>
          <w:szCs w:val="28"/>
          <w:vertAlign w:val="subscript"/>
        </w:rPr>
        <w:t>xy</w:t>
      </w:r>
      <w:r>
        <w:rPr>
          <w:rFonts w:ascii="Times New Roman" w:eastAsia="Times New Roman" w:hAnsi="Times New Roman" w:cs="Times New Roman"/>
          <w:sz w:val="28"/>
          <w:szCs w:val="28"/>
        </w:rPr>
        <w:t>=0,159 –  связь слабая по шкале Чеддока; р=0,006), курением (r</w:t>
      </w:r>
      <w:r>
        <w:rPr>
          <w:rFonts w:ascii="Times New Roman" w:eastAsia="Times New Roman" w:hAnsi="Times New Roman" w:cs="Times New Roman"/>
          <w:sz w:val="28"/>
          <w:szCs w:val="28"/>
          <w:vertAlign w:val="subscript"/>
        </w:rPr>
        <w:t>xy</w:t>
      </w:r>
      <w:r>
        <w:rPr>
          <w:rFonts w:ascii="Times New Roman" w:eastAsia="Times New Roman" w:hAnsi="Times New Roman" w:cs="Times New Roman"/>
          <w:sz w:val="28"/>
          <w:szCs w:val="28"/>
        </w:rPr>
        <w:t>=0,25</w:t>
      </w:r>
      <w:r>
        <w:rPr>
          <w:rFonts w:ascii="Times New Roman" w:eastAsia="Times New Roman" w:hAnsi="Times New Roman" w:cs="Times New Roman"/>
          <w:sz w:val="28"/>
          <w:szCs w:val="28"/>
        </w:rPr>
        <w:t>9 –  связь слабая по шкале Чеддока; р&lt;0,001),поднятием тяжести (r</w:t>
      </w:r>
      <w:r>
        <w:rPr>
          <w:rFonts w:ascii="Times New Roman" w:eastAsia="Times New Roman" w:hAnsi="Times New Roman" w:cs="Times New Roman"/>
          <w:sz w:val="28"/>
          <w:szCs w:val="28"/>
          <w:vertAlign w:val="subscript"/>
        </w:rPr>
        <w:t>xy</w:t>
      </w:r>
      <w:r>
        <w:rPr>
          <w:rFonts w:ascii="Times New Roman" w:eastAsia="Times New Roman" w:hAnsi="Times New Roman" w:cs="Times New Roman"/>
          <w:sz w:val="28"/>
          <w:szCs w:val="28"/>
        </w:rPr>
        <w:t>=0,669 –  связь заметная по шкале Чеддока; р&lt;0,001), наступлением менопаузы (r</w:t>
      </w:r>
      <w:r>
        <w:rPr>
          <w:rFonts w:ascii="Times New Roman" w:eastAsia="Times New Roman" w:hAnsi="Times New Roman" w:cs="Times New Roman"/>
          <w:sz w:val="28"/>
          <w:szCs w:val="28"/>
          <w:vertAlign w:val="subscript"/>
        </w:rPr>
        <w:t>xy</w:t>
      </w:r>
      <w:r>
        <w:rPr>
          <w:rFonts w:ascii="Times New Roman" w:eastAsia="Times New Roman" w:hAnsi="Times New Roman" w:cs="Times New Roman"/>
          <w:sz w:val="28"/>
          <w:szCs w:val="28"/>
        </w:rPr>
        <w:t>=0,151 –  связь слабая по шкале Чеддока; р=0,009), запорами (r</w:t>
      </w:r>
      <w:r>
        <w:rPr>
          <w:rFonts w:ascii="Times New Roman" w:eastAsia="Times New Roman" w:hAnsi="Times New Roman" w:cs="Times New Roman"/>
          <w:sz w:val="28"/>
          <w:szCs w:val="28"/>
          <w:vertAlign w:val="subscript"/>
        </w:rPr>
        <w:t>xy</w:t>
      </w:r>
      <w:r>
        <w:rPr>
          <w:rFonts w:ascii="Times New Roman" w:eastAsia="Times New Roman" w:hAnsi="Times New Roman" w:cs="Times New Roman"/>
          <w:sz w:val="28"/>
          <w:szCs w:val="28"/>
        </w:rPr>
        <w:t>=0,485 –  связь умеренная по шкале Чеддока; р</w:t>
      </w:r>
      <w:r>
        <w:rPr>
          <w:rFonts w:ascii="Times New Roman" w:eastAsia="Times New Roman" w:hAnsi="Times New Roman" w:cs="Times New Roman"/>
          <w:sz w:val="28"/>
          <w:szCs w:val="28"/>
        </w:rPr>
        <w:t>&lt;0,001), заболеваниями, сопровождаемыми длительным кашлем (r</w:t>
      </w:r>
      <w:r>
        <w:rPr>
          <w:rFonts w:ascii="Times New Roman" w:eastAsia="Times New Roman" w:hAnsi="Times New Roman" w:cs="Times New Roman"/>
          <w:sz w:val="28"/>
          <w:szCs w:val="28"/>
          <w:vertAlign w:val="subscript"/>
        </w:rPr>
        <w:t>xy</w:t>
      </w:r>
      <w:r>
        <w:rPr>
          <w:rFonts w:ascii="Times New Roman" w:eastAsia="Times New Roman" w:hAnsi="Times New Roman" w:cs="Times New Roman"/>
          <w:sz w:val="28"/>
          <w:szCs w:val="28"/>
        </w:rPr>
        <w:t>=0,447 –  связь умеренная по шкале Чеддока; р&lt;0,001), повышением массы тела (r</w:t>
      </w:r>
      <w:r>
        <w:rPr>
          <w:rFonts w:ascii="Times New Roman" w:eastAsia="Times New Roman" w:hAnsi="Times New Roman" w:cs="Times New Roman"/>
          <w:sz w:val="28"/>
          <w:szCs w:val="28"/>
          <w:vertAlign w:val="subscript"/>
        </w:rPr>
        <w:t>xy</w:t>
      </w:r>
      <w:r>
        <w:rPr>
          <w:rFonts w:ascii="Times New Roman" w:eastAsia="Times New Roman" w:hAnsi="Times New Roman" w:cs="Times New Roman"/>
          <w:sz w:val="28"/>
          <w:szCs w:val="28"/>
        </w:rPr>
        <w:t>=0,235 –  связь слабая по шкале Чеддока; р&lt;0,001), нерегулярностью употребления суточной нормы белковой пищи (r</w:t>
      </w:r>
      <w:r>
        <w:rPr>
          <w:rFonts w:ascii="Times New Roman" w:eastAsia="Times New Roman" w:hAnsi="Times New Roman" w:cs="Times New Roman"/>
          <w:sz w:val="28"/>
          <w:szCs w:val="28"/>
          <w:vertAlign w:val="subscript"/>
        </w:rPr>
        <w:t>xy</w:t>
      </w:r>
      <w:r>
        <w:rPr>
          <w:rFonts w:ascii="Times New Roman" w:eastAsia="Times New Roman" w:hAnsi="Times New Roman" w:cs="Times New Roman"/>
          <w:sz w:val="28"/>
          <w:szCs w:val="28"/>
        </w:rPr>
        <w:t>=</w:t>
      </w:r>
      <w:r>
        <w:rPr>
          <w:rFonts w:ascii="Times New Roman" w:eastAsia="Times New Roman" w:hAnsi="Times New Roman" w:cs="Times New Roman"/>
          <w:sz w:val="28"/>
          <w:szCs w:val="28"/>
        </w:rPr>
        <w:t>0,586 –  связь заметная по шкале Чеддока; р&lt;0,001), избыточным употреблением углеводов (r</w:t>
      </w:r>
      <w:r>
        <w:rPr>
          <w:rFonts w:ascii="Times New Roman" w:eastAsia="Times New Roman" w:hAnsi="Times New Roman" w:cs="Times New Roman"/>
          <w:sz w:val="28"/>
          <w:szCs w:val="28"/>
          <w:vertAlign w:val="subscript"/>
        </w:rPr>
        <w:t>xy</w:t>
      </w:r>
      <w:r>
        <w:rPr>
          <w:rFonts w:ascii="Times New Roman" w:eastAsia="Times New Roman" w:hAnsi="Times New Roman" w:cs="Times New Roman"/>
          <w:sz w:val="28"/>
          <w:szCs w:val="28"/>
        </w:rPr>
        <w:t>=0,615 –  связь заметная по шкале Чеддока; р&lt;0,001) (Таблица 20).</w:t>
      </w:r>
    </w:p>
    <w:p w:rsidR="000A3797" w:rsidRDefault="00A660E7">
      <w:pPr>
        <w:spacing w:after="0" w:line="240" w:lineRule="auto"/>
        <w:ind w:left="142"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Установлены статистически значимые обратные корреляционные связи степени генитального пролапса  с р</w:t>
      </w:r>
      <w:r>
        <w:rPr>
          <w:rFonts w:ascii="Times New Roman" w:eastAsia="Times New Roman" w:hAnsi="Times New Roman" w:cs="Times New Roman"/>
          <w:sz w:val="28"/>
          <w:szCs w:val="28"/>
        </w:rPr>
        <w:t>одовым травматизмом (r</w:t>
      </w:r>
      <w:r>
        <w:rPr>
          <w:rFonts w:ascii="Times New Roman" w:eastAsia="Times New Roman" w:hAnsi="Times New Roman" w:cs="Times New Roman"/>
          <w:sz w:val="28"/>
          <w:szCs w:val="28"/>
          <w:vertAlign w:val="subscript"/>
        </w:rPr>
        <w:t>xy</w:t>
      </w:r>
      <w:r>
        <w:rPr>
          <w:rFonts w:ascii="Times New Roman" w:eastAsia="Times New Roman" w:hAnsi="Times New Roman" w:cs="Times New Roman"/>
          <w:sz w:val="28"/>
          <w:szCs w:val="28"/>
        </w:rPr>
        <w:t>= - 0,215 - слабая связь по шкале Чеддока; р&lt;0,001), упражнениями для мышц тазового дна (r</w:t>
      </w:r>
      <w:r>
        <w:rPr>
          <w:rFonts w:ascii="Times New Roman" w:eastAsia="Times New Roman" w:hAnsi="Times New Roman" w:cs="Times New Roman"/>
          <w:sz w:val="28"/>
          <w:szCs w:val="28"/>
          <w:vertAlign w:val="subscript"/>
        </w:rPr>
        <w:t>xy</w:t>
      </w:r>
      <w:r>
        <w:rPr>
          <w:rFonts w:ascii="Times New Roman" w:eastAsia="Times New Roman" w:hAnsi="Times New Roman" w:cs="Times New Roman"/>
          <w:sz w:val="28"/>
          <w:szCs w:val="28"/>
        </w:rPr>
        <w:t>= - 0,384 - умеренная связь по шкале Чеддока; р&lt;0,001), уровнем кальция в крови (r</w:t>
      </w:r>
      <w:r>
        <w:rPr>
          <w:rFonts w:ascii="Times New Roman" w:eastAsia="Times New Roman" w:hAnsi="Times New Roman" w:cs="Times New Roman"/>
          <w:sz w:val="28"/>
          <w:szCs w:val="28"/>
          <w:vertAlign w:val="subscript"/>
        </w:rPr>
        <w:t>xy</w:t>
      </w:r>
      <w:r>
        <w:rPr>
          <w:rFonts w:ascii="Times New Roman" w:eastAsia="Times New Roman" w:hAnsi="Times New Roman" w:cs="Times New Roman"/>
          <w:sz w:val="28"/>
          <w:szCs w:val="28"/>
        </w:rPr>
        <w:t>= - 0,132 - слабая связь по шкале Чеддока; р=0,023), уровнем витамина Д3 (r</w:t>
      </w:r>
      <w:r>
        <w:rPr>
          <w:rFonts w:ascii="Times New Roman" w:eastAsia="Times New Roman" w:hAnsi="Times New Roman" w:cs="Times New Roman"/>
          <w:sz w:val="28"/>
          <w:szCs w:val="28"/>
          <w:vertAlign w:val="subscript"/>
        </w:rPr>
        <w:t>xy</w:t>
      </w:r>
      <w:r>
        <w:rPr>
          <w:rFonts w:ascii="Times New Roman" w:eastAsia="Times New Roman" w:hAnsi="Times New Roman" w:cs="Times New Roman"/>
          <w:sz w:val="28"/>
          <w:szCs w:val="28"/>
        </w:rPr>
        <w:t>= - 0,433 – умеренная связь по шкале Чеддока; р&lt;0,001), уровнем гемоглобина (r</w:t>
      </w:r>
      <w:r>
        <w:rPr>
          <w:rFonts w:ascii="Times New Roman" w:eastAsia="Times New Roman" w:hAnsi="Times New Roman" w:cs="Times New Roman"/>
          <w:sz w:val="28"/>
          <w:szCs w:val="28"/>
          <w:vertAlign w:val="subscript"/>
        </w:rPr>
        <w:t>xy</w:t>
      </w:r>
      <w:r>
        <w:rPr>
          <w:rFonts w:ascii="Times New Roman" w:eastAsia="Times New Roman" w:hAnsi="Times New Roman" w:cs="Times New Roman"/>
          <w:sz w:val="28"/>
          <w:szCs w:val="28"/>
        </w:rPr>
        <w:t>= - 0,217 - слабая связь по шкале Чеддока; р&lt;0,001), уровнем ферритина (r</w:t>
      </w:r>
      <w:r>
        <w:rPr>
          <w:rFonts w:ascii="Times New Roman" w:eastAsia="Times New Roman" w:hAnsi="Times New Roman" w:cs="Times New Roman"/>
          <w:sz w:val="28"/>
          <w:szCs w:val="28"/>
          <w:vertAlign w:val="subscript"/>
        </w:rPr>
        <w:t>xy</w:t>
      </w:r>
      <w:r>
        <w:rPr>
          <w:rFonts w:ascii="Times New Roman" w:eastAsia="Times New Roman" w:hAnsi="Times New Roman" w:cs="Times New Roman"/>
          <w:sz w:val="28"/>
          <w:szCs w:val="28"/>
        </w:rPr>
        <w:t>= - 0,118 - слабая связь</w:t>
      </w:r>
      <w:r>
        <w:rPr>
          <w:rFonts w:ascii="Times New Roman" w:eastAsia="Times New Roman" w:hAnsi="Times New Roman" w:cs="Times New Roman"/>
          <w:sz w:val="28"/>
          <w:szCs w:val="28"/>
        </w:rPr>
        <w:t xml:space="preserve"> по шкале Чеддока; р=0,043) (Таблица 20).</w:t>
      </w:r>
    </w:p>
    <w:p w:rsidR="000A3797" w:rsidRDefault="00A660E7">
      <w:pPr>
        <w:spacing w:after="0" w:line="240" w:lineRule="auto"/>
        <w:ind w:left="142"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Прямые статистически незначимые, однако имеющие пограничные значения статистической значимости, корреляционные связи были найдены между стадией пролапса и ошибками лечения по мнению пациентов (r</w:t>
      </w:r>
      <w:r>
        <w:rPr>
          <w:rFonts w:ascii="Times New Roman" w:eastAsia="Times New Roman" w:hAnsi="Times New Roman" w:cs="Times New Roman"/>
          <w:sz w:val="28"/>
          <w:szCs w:val="28"/>
          <w:vertAlign w:val="subscript"/>
        </w:rPr>
        <w:t>xy</w:t>
      </w:r>
      <w:r>
        <w:rPr>
          <w:rFonts w:ascii="Times New Roman" w:eastAsia="Times New Roman" w:hAnsi="Times New Roman" w:cs="Times New Roman"/>
          <w:sz w:val="28"/>
          <w:szCs w:val="28"/>
        </w:rPr>
        <w:t>= 0,114 - слабая с</w:t>
      </w:r>
      <w:r>
        <w:rPr>
          <w:rFonts w:ascii="Times New Roman" w:eastAsia="Times New Roman" w:hAnsi="Times New Roman" w:cs="Times New Roman"/>
          <w:sz w:val="28"/>
          <w:szCs w:val="28"/>
        </w:rPr>
        <w:t>вязь по шкале Чеддока; р=0,050), снижением массы тела (r</w:t>
      </w:r>
      <w:r>
        <w:rPr>
          <w:rFonts w:ascii="Times New Roman" w:eastAsia="Times New Roman" w:hAnsi="Times New Roman" w:cs="Times New Roman"/>
          <w:sz w:val="28"/>
          <w:szCs w:val="28"/>
          <w:vertAlign w:val="subscript"/>
        </w:rPr>
        <w:t>xy</w:t>
      </w:r>
      <w:r>
        <w:rPr>
          <w:rFonts w:ascii="Times New Roman" w:eastAsia="Times New Roman" w:hAnsi="Times New Roman" w:cs="Times New Roman"/>
          <w:sz w:val="28"/>
          <w:szCs w:val="28"/>
        </w:rPr>
        <w:t>= 0,112 - слабая связь по шкале Чеддока; р=0,043) (Таблица 20).</w:t>
      </w:r>
    </w:p>
    <w:p w:rsidR="000A3797" w:rsidRDefault="000A3797">
      <w:pPr>
        <w:spacing w:after="0" w:line="240" w:lineRule="auto"/>
        <w:ind w:left="142" w:firstLine="566"/>
        <w:rPr>
          <w:rFonts w:ascii="Times New Roman" w:eastAsia="Times New Roman" w:hAnsi="Times New Roman" w:cs="Times New Roman"/>
          <w:sz w:val="28"/>
          <w:szCs w:val="28"/>
        </w:rPr>
      </w:pPr>
    </w:p>
    <w:p w:rsidR="000A3797" w:rsidRDefault="00A660E7">
      <w:pPr>
        <w:spacing w:after="0" w:line="240" w:lineRule="auto"/>
        <w:ind w:left="142"/>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20 – Коррелляция между стадией пролапса и факторами риска</w:t>
      </w:r>
    </w:p>
    <w:p w:rsidR="000A3797" w:rsidRDefault="000A3797">
      <w:pPr>
        <w:spacing w:after="0" w:line="240" w:lineRule="auto"/>
        <w:ind w:left="142"/>
        <w:rPr>
          <w:rFonts w:ascii="Times New Roman" w:eastAsia="Times New Roman" w:hAnsi="Times New Roman" w:cs="Times New Roman"/>
          <w:sz w:val="24"/>
          <w:szCs w:val="24"/>
        </w:rPr>
      </w:pPr>
    </w:p>
    <w:tbl>
      <w:tblPr>
        <w:tblStyle w:val="aff3"/>
        <w:tblW w:w="920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89"/>
        <w:gridCol w:w="2126"/>
        <w:gridCol w:w="1843"/>
        <w:gridCol w:w="1417"/>
        <w:gridCol w:w="1134"/>
      </w:tblGrid>
      <w:tr w:rsidR="000A3797">
        <w:tc>
          <w:tcPr>
            <w:tcW w:w="2689" w:type="dxa"/>
            <w:vMerge w:val="restart"/>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Факторы</w:t>
            </w:r>
          </w:p>
        </w:tc>
        <w:tc>
          <w:tcPr>
            <w:tcW w:w="6520" w:type="dxa"/>
            <w:gridSpan w:val="4"/>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Степень генитального пролапса</w:t>
            </w:r>
          </w:p>
        </w:tc>
      </w:tr>
      <w:tr w:rsidR="000A3797">
        <w:tc>
          <w:tcPr>
            <w:tcW w:w="2689"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126"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Критерий ранговой корреляции Спирмена (ККС))</w:t>
            </w:r>
          </w:p>
        </w:tc>
        <w:tc>
          <w:tcPr>
            <w:tcW w:w="1843"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Оценка силы связи по шкале Чеддока</w:t>
            </w:r>
          </w:p>
        </w:tc>
        <w:tc>
          <w:tcPr>
            <w:tcW w:w="1417"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Направление связи</w:t>
            </w:r>
          </w:p>
        </w:tc>
        <w:tc>
          <w:tcPr>
            <w:tcW w:w="1134"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p-value</w:t>
            </w:r>
          </w:p>
        </w:tc>
      </w:tr>
      <w:tr w:rsidR="000A3797">
        <w:tc>
          <w:tcPr>
            <w:tcW w:w="2689"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126"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843"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417"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134"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r w:rsidR="000A3797">
        <w:tc>
          <w:tcPr>
            <w:tcW w:w="2689"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ИМТ</w:t>
            </w:r>
          </w:p>
        </w:tc>
        <w:tc>
          <w:tcPr>
            <w:tcW w:w="2126"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0,180</w:t>
            </w:r>
          </w:p>
        </w:tc>
        <w:tc>
          <w:tcPr>
            <w:tcW w:w="1843"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Слабая </w:t>
            </w:r>
          </w:p>
        </w:tc>
        <w:tc>
          <w:tcPr>
            <w:tcW w:w="1417"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Прямая</w:t>
            </w:r>
          </w:p>
        </w:tc>
        <w:tc>
          <w:tcPr>
            <w:tcW w:w="1134"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0,002</w:t>
            </w:r>
          </w:p>
        </w:tc>
      </w:tr>
      <w:tr w:rsidR="000A3797">
        <w:tc>
          <w:tcPr>
            <w:tcW w:w="2689"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Не регулярное посещение врача </w:t>
            </w:r>
          </w:p>
        </w:tc>
        <w:tc>
          <w:tcPr>
            <w:tcW w:w="2126"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0,628</w:t>
            </w:r>
          </w:p>
        </w:tc>
        <w:tc>
          <w:tcPr>
            <w:tcW w:w="1843"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Заметная</w:t>
            </w:r>
          </w:p>
        </w:tc>
        <w:tc>
          <w:tcPr>
            <w:tcW w:w="1417"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Прямая</w:t>
            </w:r>
          </w:p>
        </w:tc>
        <w:tc>
          <w:tcPr>
            <w:tcW w:w="1134"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r>
      <w:tr w:rsidR="000A3797">
        <w:tc>
          <w:tcPr>
            <w:tcW w:w="2689"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Количество родов</w:t>
            </w:r>
          </w:p>
        </w:tc>
        <w:tc>
          <w:tcPr>
            <w:tcW w:w="2126"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0,009</w:t>
            </w:r>
          </w:p>
        </w:tc>
        <w:tc>
          <w:tcPr>
            <w:tcW w:w="1843"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Связь отсутствует</w:t>
            </w:r>
          </w:p>
        </w:tc>
        <w:tc>
          <w:tcPr>
            <w:tcW w:w="1417"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Прямая</w:t>
            </w:r>
          </w:p>
        </w:tc>
        <w:tc>
          <w:tcPr>
            <w:tcW w:w="1134"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0,879</w:t>
            </w:r>
          </w:p>
        </w:tc>
      </w:tr>
      <w:tr w:rsidR="000A3797">
        <w:tc>
          <w:tcPr>
            <w:tcW w:w="2689"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Родовой травматизм</w:t>
            </w:r>
          </w:p>
        </w:tc>
        <w:tc>
          <w:tcPr>
            <w:tcW w:w="2126"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-0,215</w:t>
            </w:r>
          </w:p>
        </w:tc>
        <w:tc>
          <w:tcPr>
            <w:tcW w:w="1843"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Слабая</w:t>
            </w:r>
          </w:p>
        </w:tc>
        <w:tc>
          <w:tcPr>
            <w:tcW w:w="1417"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Обратная</w:t>
            </w:r>
          </w:p>
        </w:tc>
        <w:tc>
          <w:tcPr>
            <w:tcW w:w="1134"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r>
      <w:tr w:rsidR="000A3797">
        <w:tc>
          <w:tcPr>
            <w:tcW w:w="2689"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Количество операций</w:t>
            </w:r>
          </w:p>
        </w:tc>
        <w:tc>
          <w:tcPr>
            <w:tcW w:w="2126"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0,024</w:t>
            </w:r>
          </w:p>
        </w:tc>
        <w:tc>
          <w:tcPr>
            <w:tcW w:w="1843"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Связь отсутствует</w:t>
            </w:r>
          </w:p>
        </w:tc>
        <w:tc>
          <w:tcPr>
            <w:tcW w:w="1417"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Прямая</w:t>
            </w:r>
          </w:p>
        </w:tc>
        <w:tc>
          <w:tcPr>
            <w:tcW w:w="1134"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0,679</w:t>
            </w:r>
          </w:p>
        </w:tc>
      </w:tr>
      <w:tr w:rsidR="000A3797">
        <w:tc>
          <w:tcPr>
            <w:tcW w:w="2689"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Возраст</w:t>
            </w:r>
          </w:p>
        </w:tc>
        <w:tc>
          <w:tcPr>
            <w:tcW w:w="2126"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0,159</w:t>
            </w:r>
          </w:p>
        </w:tc>
        <w:tc>
          <w:tcPr>
            <w:tcW w:w="1843"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Слабая</w:t>
            </w:r>
          </w:p>
        </w:tc>
        <w:tc>
          <w:tcPr>
            <w:tcW w:w="1417"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Прямая</w:t>
            </w:r>
          </w:p>
        </w:tc>
        <w:tc>
          <w:tcPr>
            <w:tcW w:w="1134"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0,006</w:t>
            </w:r>
          </w:p>
        </w:tc>
      </w:tr>
      <w:tr w:rsidR="000A3797">
        <w:tc>
          <w:tcPr>
            <w:tcW w:w="2689"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Курение</w:t>
            </w:r>
          </w:p>
        </w:tc>
        <w:tc>
          <w:tcPr>
            <w:tcW w:w="2126"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0,259</w:t>
            </w:r>
          </w:p>
        </w:tc>
        <w:tc>
          <w:tcPr>
            <w:tcW w:w="1843"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Слабая</w:t>
            </w:r>
          </w:p>
        </w:tc>
        <w:tc>
          <w:tcPr>
            <w:tcW w:w="1417"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Прямая</w:t>
            </w:r>
          </w:p>
        </w:tc>
        <w:tc>
          <w:tcPr>
            <w:tcW w:w="1134"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r>
      <w:tr w:rsidR="000A3797">
        <w:tc>
          <w:tcPr>
            <w:tcW w:w="2689"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Стадия пролапса до лечения</w:t>
            </w:r>
          </w:p>
        </w:tc>
        <w:tc>
          <w:tcPr>
            <w:tcW w:w="2126"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-0,105</w:t>
            </w:r>
          </w:p>
        </w:tc>
        <w:tc>
          <w:tcPr>
            <w:tcW w:w="1843"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Слабая</w:t>
            </w:r>
          </w:p>
        </w:tc>
        <w:tc>
          <w:tcPr>
            <w:tcW w:w="1417"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Обратная</w:t>
            </w:r>
          </w:p>
        </w:tc>
        <w:tc>
          <w:tcPr>
            <w:tcW w:w="1134"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0,070</w:t>
            </w:r>
          </w:p>
        </w:tc>
      </w:tr>
    </w:tbl>
    <w:p w:rsidR="000A3797" w:rsidRDefault="000A3797">
      <w:pPr>
        <w:rPr>
          <w:rFonts w:ascii="Times New Roman" w:eastAsia="Times New Roman" w:hAnsi="Times New Roman" w:cs="Times New Roman"/>
          <w:sz w:val="28"/>
          <w:szCs w:val="28"/>
        </w:rPr>
      </w:pPr>
    </w:p>
    <w:p w:rsidR="000A3797" w:rsidRDefault="00A660E7">
      <w:pPr>
        <w:rPr>
          <w:rFonts w:ascii="Times New Roman" w:eastAsia="Times New Roman" w:hAnsi="Times New Roman" w:cs="Times New Roman"/>
          <w:sz w:val="28"/>
          <w:szCs w:val="28"/>
        </w:rPr>
      </w:pPr>
      <w:r>
        <w:rPr>
          <w:rFonts w:ascii="Times New Roman" w:eastAsia="Times New Roman" w:hAnsi="Times New Roman" w:cs="Times New Roman"/>
          <w:sz w:val="28"/>
          <w:szCs w:val="28"/>
        </w:rPr>
        <w:t>Продолжение таблицы 20</w:t>
      </w:r>
    </w:p>
    <w:tbl>
      <w:tblPr>
        <w:tblStyle w:val="aff4"/>
        <w:tblW w:w="920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89"/>
        <w:gridCol w:w="2126"/>
        <w:gridCol w:w="1843"/>
        <w:gridCol w:w="1417"/>
        <w:gridCol w:w="1134"/>
      </w:tblGrid>
      <w:tr w:rsidR="000A3797">
        <w:tc>
          <w:tcPr>
            <w:tcW w:w="2689"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126"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843"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417"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134"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r w:rsidR="000A3797">
        <w:tc>
          <w:tcPr>
            <w:tcW w:w="2689"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Поднятие тяжести</w:t>
            </w:r>
          </w:p>
        </w:tc>
        <w:tc>
          <w:tcPr>
            <w:tcW w:w="2126"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0,669</w:t>
            </w:r>
          </w:p>
        </w:tc>
        <w:tc>
          <w:tcPr>
            <w:tcW w:w="1843"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Заметная</w:t>
            </w:r>
          </w:p>
        </w:tc>
        <w:tc>
          <w:tcPr>
            <w:tcW w:w="1417"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Прямая</w:t>
            </w:r>
          </w:p>
        </w:tc>
        <w:tc>
          <w:tcPr>
            <w:tcW w:w="1134"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r>
      <w:tr w:rsidR="000A3797">
        <w:tc>
          <w:tcPr>
            <w:tcW w:w="2689"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Наступление менопаузы</w:t>
            </w:r>
          </w:p>
        </w:tc>
        <w:tc>
          <w:tcPr>
            <w:tcW w:w="2126"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0,151</w:t>
            </w:r>
          </w:p>
        </w:tc>
        <w:tc>
          <w:tcPr>
            <w:tcW w:w="1843"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Слабая</w:t>
            </w:r>
          </w:p>
        </w:tc>
        <w:tc>
          <w:tcPr>
            <w:tcW w:w="1417"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Прямая</w:t>
            </w:r>
          </w:p>
        </w:tc>
        <w:tc>
          <w:tcPr>
            <w:tcW w:w="1134"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0,009</w:t>
            </w:r>
          </w:p>
        </w:tc>
      </w:tr>
      <w:tr w:rsidR="000A3797">
        <w:tc>
          <w:tcPr>
            <w:tcW w:w="2689"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Запоры</w:t>
            </w:r>
          </w:p>
        </w:tc>
        <w:tc>
          <w:tcPr>
            <w:tcW w:w="2126"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0,485</w:t>
            </w:r>
          </w:p>
        </w:tc>
        <w:tc>
          <w:tcPr>
            <w:tcW w:w="1843"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Умеренная</w:t>
            </w:r>
          </w:p>
        </w:tc>
        <w:tc>
          <w:tcPr>
            <w:tcW w:w="1417"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Прямая</w:t>
            </w:r>
          </w:p>
        </w:tc>
        <w:tc>
          <w:tcPr>
            <w:tcW w:w="1134"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r>
      <w:tr w:rsidR="000A3797">
        <w:tc>
          <w:tcPr>
            <w:tcW w:w="2689"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Заболевания, сопровождаемые длительным кашлем</w:t>
            </w:r>
          </w:p>
        </w:tc>
        <w:tc>
          <w:tcPr>
            <w:tcW w:w="2126"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0,447</w:t>
            </w:r>
          </w:p>
        </w:tc>
        <w:tc>
          <w:tcPr>
            <w:tcW w:w="1843"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Умеренная</w:t>
            </w:r>
          </w:p>
        </w:tc>
        <w:tc>
          <w:tcPr>
            <w:tcW w:w="1417"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Прямая</w:t>
            </w:r>
          </w:p>
        </w:tc>
        <w:tc>
          <w:tcPr>
            <w:tcW w:w="1134"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r>
      <w:tr w:rsidR="000A3797">
        <w:tc>
          <w:tcPr>
            <w:tcW w:w="2689"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Ошибки лечения (мнение пациентов)</w:t>
            </w:r>
          </w:p>
        </w:tc>
        <w:tc>
          <w:tcPr>
            <w:tcW w:w="2126"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0,114</w:t>
            </w:r>
          </w:p>
        </w:tc>
        <w:tc>
          <w:tcPr>
            <w:tcW w:w="1843"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Слабая</w:t>
            </w:r>
          </w:p>
        </w:tc>
        <w:tc>
          <w:tcPr>
            <w:tcW w:w="1417"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Прямая</w:t>
            </w:r>
          </w:p>
        </w:tc>
        <w:tc>
          <w:tcPr>
            <w:tcW w:w="1134"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0,050</w:t>
            </w:r>
          </w:p>
        </w:tc>
      </w:tr>
      <w:tr w:rsidR="000A3797">
        <w:tc>
          <w:tcPr>
            <w:tcW w:w="2689"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Снижение массы тела</w:t>
            </w:r>
          </w:p>
        </w:tc>
        <w:tc>
          <w:tcPr>
            <w:tcW w:w="2126"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0,112</w:t>
            </w:r>
          </w:p>
        </w:tc>
        <w:tc>
          <w:tcPr>
            <w:tcW w:w="1843"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Слабая</w:t>
            </w:r>
          </w:p>
        </w:tc>
        <w:tc>
          <w:tcPr>
            <w:tcW w:w="1417"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Прямая</w:t>
            </w:r>
          </w:p>
        </w:tc>
        <w:tc>
          <w:tcPr>
            <w:tcW w:w="1134"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0,054</w:t>
            </w:r>
          </w:p>
        </w:tc>
      </w:tr>
      <w:tr w:rsidR="000A3797">
        <w:tc>
          <w:tcPr>
            <w:tcW w:w="2689"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Повышение массы тела</w:t>
            </w:r>
          </w:p>
        </w:tc>
        <w:tc>
          <w:tcPr>
            <w:tcW w:w="2126"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0,235</w:t>
            </w:r>
          </w:p>
        </w:tc>
        <w:tc>
          <w:tcPr>
            <w:tcW w:w="1843"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Слабая</w:t>
            </w:r>
          </w:p>
        </w:tc>
        <w:tc>
          <w:tcPr>
            <w:tcW w:w="1417"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Прямая</w:t>
            </w:r>
          </w:p>
        </w:tc>
        <w:tc>
          <w:tcPr>
            <w:tcW w:w="1134"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r>
      <w:tr w:rsidR="000A3797">
        <w:tc>
          <w:tcPr>
            <w:tcW w:w="2689"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Нерегулярное употребление белковой пищи</w:t>
            </w:r>
          </w:p>
        </w:tc>
        <w:tc>
          <w:tcPr>
            <w:tcW w:w="2126"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0,586</w:t>
            </w:r>
          </w:p>
        </w:tc>
        <w:tc>
          <w:tcPr>
            <w:tcW w:w="1843"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Заметная</w:t>
            </w:r>
          </w:p>
        </w:tc>
        <w:tc>
          <w:tcPr>
            <w:tcW w:w="1417"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Прямая</w:t>
            </w:r>
          </w:p>
        </w:tc>
        <w:tc>
          <w:tcPr>
            <w:tcW w:w="1134"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r>
      <w:tr w:rsidR="000A3797">
        <w:tc>
          <w:tcPr>
            <w:tcW w:w="2689"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Избыточное употребление углеводов</w:t>
            </w:r>
          </w:p>
        </w:tc>
        <w:tc>
          <w:tcPr>
            <w:tcW w:w="2126"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0,615</w:t>
            </w:r>
          </w:p>
        </w:tc>
        <w:tc>
          <w:tcPr>
            <w:tcW w:w="1843"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Заметная</w:t>
            </w:r>
          </w:p>
        </w:tc>
        <w:tc>
          <w:tcPr>
            <w:tcW w:w="1417"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Прямая</w:t>
            </w:r>
          </w:p>
        </w:tc>
        <w:tc>
          <w:tcPr>
            <w:tcW w:w="1134"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r>
      <w:tr w:rsidR="000A3797">
        <w:tc>
          <w:tcPr>
            <w:tcW w:w="2689"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Упражнения для МТД</w:t>
            </w:r>
          </w:p>
        </w:tc>
        <w:tc>
          <w:tcPr>
            <w:tcW w:w="2126"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-0,384</w:t>
            </w:r>
          </w:p>
        </w:tc>
        <w:tc>
          <w:tcPr>
            <w:tcW w:w="1843"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Умеренная</w:t>
            </w:r>
          </w:p>
        </w:tc>
        <w:tc>
          <w:tcPr>
            <w:tcW w:w="1417"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Обратная</w:t>
            </w:r>
          </w:p>
        </w:tc>
        <w:tc>
          <w:tcPr>
            <w:tcW w:w="1134"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r>
      <w:tr w:rsidR="000A3797">
        <w:tc>
          <w:tcPr>
            <w:tcW w:w="2689"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Уровень кальция крови</w:t>
            </w:r>
          </w:p>
        </w:tc>
        <w:tc>
          <w:tcPr>
            <w:tcW w:w="2126"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-0,132</w:t>
            </w:r>
          </w:p>
        </w:tc>
        <w:tc>
          <w:tcPr>
            <w:tcW w:w="1843"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Слабая</w:t>
            </w:r>
          </w:p>
        </w:tc>
        <w:tc>
          <w:tcPr>
            <w:tcW w:w="1417"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Обратная</w:t>
            </w:r>
          </w:p>
        </w:tc>
        <w:tc>
          <w:tcPr>
            <w:tcW w:w="1134"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0,023</w:t>
            </w:r>
          </w:p>
        </w:tc>
      </w:tr>
      <w:tr w:rsidR="000A3797">
        <w:tc>
          <w:tcPr>
            <w:tcW w:w="2689"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Уровень витамина Д3</w:t>
            </w:r>
          </w:p>
        </w:tc>
        <w:tc>
          <w:tcPr>
            <w:tcW w:w="2126"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-0,433</w:t>
            </w:r>
          </w:p>
        </w:tc>
        <w:tc>
          <w:tcPr>
            <w:tcW w:w="1843"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Умеренная</w:t>
            </w:r>
          </w:p>
        </w:tc>
        <w:tc>
          <w:tcPr>
            <w:tcW w:w="1417"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Обратная</w:t>
            </w:r>
          </w:p>
        </w:tc>
        <w:tc>
          <w:tcPr>
            <w:tcW w:w="1134"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r>
      <w:tr w:rsidR="000A3797">
        <w:tc>
          <w:tcPr>
            <w:tcW w:w="2689"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Уровень гемоглобина</w:t>
            </w:r>
          </w:p>
        </w:tc>
        <w:tc>
          <w:tcPr>
            <w:tcW w:w="2126"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-0,217</w:t>
            </w:r>
          </w:p>
        </w:tc>
        <w:tc>
          <w:tcPr>
            <w:tcW w:w="1843"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Слабая</w:t>
            </w:r>
          </w:p>
        </w:tc>
        <w:tc>
          <w:tcPr>
            <w:tcW w:w="1417"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Обратная</w:t>
            </w:r>
          </w:p>
        </w:tc>
        <w:tc>
          <w:tcPr>
            <w:tcW w:w="1134"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r>
      <w:tr w:rsidR="000A3797">
        <w:tc>
          <w:tcPr>
            <w:tcW w:w="2689"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Уровень ферритина</w:t>
            </w:r>
          </w:p>
        </w:tc>
        <w:tc>
          <w:tcPr>
            <w:tcW w:w="2126"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-0,118</w:t>
            </w:r>
          </w:p>
        </w:tc>
        <w:tc>
          <w:tcPr>
            <w:tcW w:w="1843"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Слабая</w:t>
            </w:r>
          </w:p>
        </w:tc>
        <w:tc>
          <w:tcPr>
            <w:tcW w:w="1417"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Обратная</w:t>
            </w:r>
          </w:p>
        </w:tc>
        <w:tc>
          <w:tcPr>
            <w:tcW w:w="1134" w:type="dxa"/>
          </w:tcPr>
          <w:p w:rsidR="000A3797" w:rsidRDefault="00A660E7">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0,043</w:t>
            </w:r>
          </w:p>
        </w:tc>
      </w:tr>
    </w:tbl>
    <w:p w:rsidR="000A3797" w:rsidRDefault="000A3797">
      <w:pPr>
        <w:spacing w:after="0" w:line="240" w:lineRule="auto"/>
        <w:rPr>
          <w:rFonts w:ascii="Times New Roman" w:eastAsia="Times New Roman" w:hAnsi="Times New Roman" w:cs="Times New Roman"/>
          <w:b/>
          <w:sz w:val="28"/>
          <w:szCs w:val="28"/>
        </w:rPr>
      </w:pP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Обсуждение результатов 3.3</w:t>
      </w:r>
    </w:p>
    <w:p w:rsidR="000A3797" w:rsidRDefault="000A3797">
      <w:pPr>
        <w:spacing w:after="0" w:line="240" w:lineRule="auto"/>
        <w:ind w:left="142"/>
        <w:jc w:val="both"/>
        <w:rPr>
          <w:rFonts w:ascii="Times New Roman" w:eastAsia="Times New Roman" w:hAnsi="Times New Roman" w:cs="Times New Roman"/>
          <w:b/>
          <w:smallCaps/>
          <w:sz w:val="28"/>
          <w:szCs w:val="28"/>
        </w:rPr>
      </w:pPr>
    </w:p>
    <w:p w:rsidR="000A3797" w:rsidRDefault="00A660E7">
      <w:pPr>
        <w:spacing w:after="0" w:line="240" w:lineRule="auto"/>
        <w:ind w:lef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ab/>
        <w:t>В полученной прогностической модели курение увеличивает шанс развития рецидива в 6.4 раза (95% ДИ: 2.427-16.742), Увеличение индекса массы тела на 1 кг/м</w:t>
      </w:r>
      <w:r>
        <w:rPr>
          <w:rFonts w:ascii="Times New Roman" w:eastAsia="Times New Roman" w:hAnsi="Times New Roman" w:cs="Times New Roman"/>
          <w:sz w:val="28"/>
          <w:szCs w:val="28"/>
          <w:vertAlign w:val="superscript"/>
        </w:rPr>
        <w:t xml:space="preserve">2 </w:t>
      </w:r>
      <w:r>
        <w:rPr>
          <w:rFonts w:ascii="Times New Roman" w:eastAsia="Times New Roman" w:hAnsi="Times New Roman" w:cs="Times New Roman"/>
          <w:sz w:val="28"/>
          <w:szCs w:val="28"/>
        </w:rPr>
        <w:t xml:space="preserve">увеличивает шанс рецидива генитального пролапса в 1.3 раза (ДИ: 1.120-1.599) </w:t>
      </w:r>
      <w:r>
        <w:rPr>
          <w:rFonts w:ascii="Times New Roman" w:eastAsia="Times New Roman" w:hAnsi="Times New Roman" w:cs="Times New Roman"/>
          <w:sz w:val="28"/>
          <w:szCs w:val="28"/>
          <w:highlight w:val="white"/>
        </w:rPr>
        <w:t>[198,стр. 1247]</w:t>
      </w:r>
      <w:r>
        <w:rPr>
          <w:rFonts w:ascii="Times New Roman" w:eastAsia="Times New Roman" w:hAnsi="Times New Roman" w:cs="Times New Roman"/>
          <w:sz w:val="28"/>
          <w:szCs w:val="28"/>
        </w:rPr>
        <w:t>. Однако стадия пролапса до операции статистически значимо не влияла на вероятность рецидива пролапса, также в данной прогностической модели не было статистически з</w:t>
      </w:r>
      <w:r>
        <w:rPr>
          <w:rFonts w:ascii="Times New Roman" w:eastAsia="Times New Roman" w:hAnsi="Times New Roman" w:cs="Times New Roman"/>
          <w:sz w:val="28"/>
          <w:szCs w:val="28"/>
        </w:rPr>
        <w:t xml:space="preserve">начимого влияния использования сетчатых протезов по сравнению с операциями нативными тканями, что интересно мы не наблюдали статистически значимого влияния выбранного хирургического метода на развитие рецидива </w:t>
      </w:r>
      <w:r>
        <w:rPr>
          <w:rFonts w:ascii="Times New Roman" w:eastAsia="Times New Roman" w:hAnsi="Times New Roman" w:cs="Times New Roman"/>
          <w:sz w:val="28"/>
          <w:szCs w:val="28"/>
          <w:highlight w:val="white"/>
        </w:rPr>
        <w:t>[198,стр. 1247]</w:t>
      </w:r>
      <w:r>
        <w:rPr>
          <w:rFonts w:ascii="Times New Roman" w:eastAsia="Times New Roman" w:hAnsi="Times New Roman" w:cs="Times New Roman"/>
          <w:sz w:val="28"/>
          <w:szCs w:val="28"/>
        </w:rPr>
        <w:t>. В данной прогностической моде</w:t>
      </w:r>
      <w:r>
        <w:rPr>
          <w:rFonts w:ascii="Times New Roman" w:eastAsia="Times New Roman" w:hAnsi="Times New Roman" w:cs="Times New Roman"/>
          <w:sz w:val="28"/>
          <w:szCs w:val="28"/>
        </w:rPr>
        <w:t>ли нерегулярное употребление белковой пищи (менее 1.2 грамма на 1 кг веса) способствует увеличению шанса рецидива в 3.6 раз (95% ДИ: 1.431-8.977), однако однозначно судить о влиянии белковой пищи по данным анкетирования нельзя, оценка  является весьма субъ</w:t>
      </w:r>
      <w:r>
        <w:rPr>
          <w:rFonts w:ascii="Times New Roman" w:eastAsia="Times New Roman" w:hAnsi="Times New Roman" w:cs="Times New Roman"/>
          <w:sz w:val="28"/>
          <w:szCs w:val="28"/>
        </w:rPr>
        <w:t xml:space="preserve">ективной </w:t>
      </w:r>
      <w:r>
        <w:rPr>
          <w:rFonts w:ascii="Times New Roman" w:eastAsia="Times New Roman" w:hAnsi="Times New Roman" w:cs="Times New Roman"/>
          <w:sz w:val="28"/>
          <w:szCs w:val="28"/>
          <w:highlight w:val="white"/>
        </w:rPr>
        <w:t>[198,стр. 1247]</w:t>
      </w:r>
      <w:r>
        <w:rPr>
          <w:rFonts w:ascii="Times New Roman" w:eastAsia="Times New Roman" w:hAnsi="Times New Roman" w:cs="Times New Roman"/>
          <w:sz w:val="28"/>
          <w:szCs w:val="28"/>
        </w:rPr>
        <w:t>. В нашем исследовании протективного влияния заместительной гормональной терапии (ЗГТ) на рецидив не было. Роль Витамин D может быть многообещающей в профилактике рецидива. В данной модели нормализация уровня витамина D3 уменьшает ш</w:t>
      </w:r>
      <w:r>
        <w:rPr>
          <w:rFonts w:ascii="Times New Roman" w:eastAsia="Times New Roman" w:hAnsi="Times New Roman" w:cs="Times New Roman"/>
          <w:sz w:val="28"/>
          <w:szCs w:val="28"/>
        </w:rPr>
        <w:t xml:space="preserve">анс развития рецидива в 1.9 раза (95% ДИ: 0.747-0.945), что также может влиять на прочность соединительной ткани. Употребление углеводов более 25 грамм в день увеличивает шанс рецидива в 2.058 (95% ДИ: 0.887-4.771) </w:t>
      </w:r>
      <w:r>
        <w:rPr>
          <w:rFonts w:ascii="Times New Roman" w:eastAsia="Times New Roman" w:hAnsi="Times New Roman" w:cs="Times New Roman"/>
          <w:sz w:val="28"/>
          <w:szCs w:val="28"/>
          <w:highlight w:val="white"/>
        </w:rPr>
        <w:t>[198,стр. 1247]</w:t>
      </w:r>
      <w:r>
        <w:rPr>
          <w:rFonts w:ascii="Times New Roman" w:eastAsia="Times New Roman" w:hAnsi="Times New Roman" w:cs="Times New Roman"/>
          <w:sz w:val="28"/>
          <w:szCs w:val="28"/>
        </w:rPr>
        <w:t>. Однако, оценка употребле</w:t>
      </w:r>
      <w:r>
        <w:rPr>
          <w:rFonts w:ascii="Times New Roman" w:eastAsia="Times New Roman" w:hAnsi="Times New Roman" w:cs="Times New Roman"/>
          <w:sz w:val="28"/>
          <w:szCs w:val="28"/>
        </w:rPr>
        <w:t xml:space="preserve">ния углеводов также достаточно субъективна и скорее имеет влияние через повышение массы тела, несмотря на это мы все же включили данную рекомендацию для женщин с целью предотвращения рецидива </w:t>
      </w:r>
      <w:r>
        <w:rPr>
          <w:rFonts w:ascii="Times New Roman" w:eastAsia="Times New Roman" w:hAnsi="Times New Roman" w:cs="Times New Roman"/>
          <w:sz w:val="28"/>
          <w:szCs w:val="28"/>
          <w:highlight w:val="white"/>
        </w:rPr>
        <w:t>[198,стр. 1247]</w:t>
      </w:r>
      <w:r>
        <w:rPr>
          <w:rFonts w:ascii="Times New Roman" w:eastAsia="Times New Roman" w:hAnsi="Times New Roman" w:cs="Times New Roman"/>
          <w:sz w:val="28"/>
          <w:szCs w:val="28"/>
        </w:rPr>
        <w:t xml:space="preserve">. </w:t>
      </w:r>
    </w:p>
    <w:p w:rsidR="000A3797" w:rsidRDefault="00A660E7">
      <w:pPr>
        <w:spacing w:after="0" w:line="240" w:lineRule="auto"/>
        <w:ind w:left="142" w:firstLine="566"/>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highlight w:val="white"/>
        </w:rPr>
        <w:t>Комплексное воздействие на другие факторы рис</w:t>
      </w:r>
      <w:r>
        <w:rPr>
          <w:rFonts w:ascii="Times New Roman" w:eastAsia="Times New Roman" w:hAnsi="Times New Roman" w:cs="Times New Roman"/>
          <w:sz w:val="28"/>
          <w:szCs w:val="28"/>
          <w:highlight w:val="white"/>
        </w:rPr>
        <w:t xml:space="preserve">ка могли бы служить комплексом мероприятий по профилактике пролапса. В нашей модели </w:t>
      </w:r>
      <w:r>
        <w:rPr>
          <w:rFonts w:ascii="Times New Roman" w:eastAsia="Times New Roman" w:hAnsi="Times New Roman" w:cs="Times New Roman"/>
          <w:sz w:val="28"/>
          <w:szCs w:val="28"/>
        </w:rPr>
        <w:t>снижение массы тела на 5 кг и более способствует снижению шанса развития рецидива в 2 раза (95% ДИ: 0.008-0.300), запоры увеличивают шанс развития рецидива в 3.535 раза (95</w:t>
      </w:r>
      <w:r>
        <w:rPr>
          <w:rFonts w:ascii="Times New Roman" w:eastAsia="Times New Roman" w:hAnsi="Times New Roman" w:cs="Times New Roman"/>
          <w:sz w:val="28"/>
          <w:szCs w:val="28"/>
        </w:rPr>
        <w:t xml:space="preserve">% ДИ: 1.336-9.355) </w:t>
      </w:r>
      <w:r>
        <w:rPr>
          <w:rFonts w:ascii="Times New Roman" w:eastAsia="Times New Roman" w:hAnsi="Times New Roman" w:cs="Times New Roman"/>
          <w:sz w:val="28"/>
          <w:szCs w:val="28"/>
          <w:highlight w:val="white"/>
        </w:rPr>
        <w:t>[198,стр. 1248]</w:t>
      </w:r>
      <w:r>
        <w:rPr>
          <w:rFonts w:ascii="Times New Roman" w:eastAsia="Times New Roman" w:hAnsi="Times New Roman" w:cs="Times New Roman"/>
          <w:sz w:val="28"/>
          <w:szCs w:val="28"/>
        </w:rPr>
        <w:t>. Мы не включили в исследование женщин младше 45 лет, что вероятно повлияло на отсутствие влияния возраста, однако с увеличение продолжительности менопаузы на 1 год, повышался шанс рецидива в 2.7 раза (95% ДИ: 1.286-5.755)</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highlight w:val="white"/>
        </w:rPr>
        <w:t>[198,стр. 1248]</w:t>
      </w:r>
      <w:r>
        <w:rPr>
          <w:rFonts w:ascii="Times New Roman" w:eastAsia="Times New Roman" w:hAnsi="Times New Roman" w:cs="Times New Roman"/>
          <w:sz w:val="28"/>
          <w:szCs w:val="28"/>
        </w:rPr>
        <w:t xml:space="preserve">. Поднятие тяжести более 5 кг увеличивает шанс развития рецидива в 11.12 раз (95% ДИ: 2.233-56.091) </w:t>
      </w:r>
      <w:r>
        <w:rPr>
          <w:rFonts w:ascii="Times New Roman" w:eastAsia="Times New Roman" w:hAnsi="Times New Roman" w:cs="Times New Roman"/>
          <w:sz w:val="28"/>
          <w:szCs w:val="28"/>
          <w:highlight w:val="white"/>
        </w:rPr>
        <w:t>[198,стр. 1248]</w:t>
      </w:r>
      <w:r>
        <w:rPr>
          <w:rFonts w:ascii="Times New Roman" w:eastAsia="Times New Roman" w:hAnsi="Times New Roman" w:cs="Times New Roman"/>
          <w:sz w:val="28"/>
          <w:szCs w:val="28"/>
        </w:rPr>
        <w:t>. Диагностическая эффективность данной модели составила 84.7%. Мы определили допустимое пороговое значение поднятия тяжести д</w:t>
      </w:r>
      <w:r>
        <w:rPr>
          <w:rFonts w:ascii="Times New Roman" w:eastAsia="Times New Roman" w:hAnsi="Times New Roman" w:cs="Times New Roman"/>
          <w:sz w:val="28"/>
          <w:szCs w:val="28"/>
        </w:rPr>
        <w:t xml:space="preserve">о 4.75 кг, чувствительность и специфичность метода составила 67.4% и 95.3% соответственно, подобных рекомендаций о максимально допустимом поднятии тяжести в изученных литературных данных мы не встречали </w:t>
      </w:r>
      <w:r>
        <w:rPr>
          <w:rFonts w:ascii="Times New Roman" w:eastAsia="Times New Roman" w:hAnsi="Times New Roman" w:cs="Times New Roman"/>
          <w:sz w:val="28"/>
          <w:szCs w:val="28"/>
          <w:highlight w:val="white"/>
        </w:rPr>
        <w:t>[198,стр. 1248]</w:t>
      </w:r>
      <w:r>
        <w:rPr>
          <w:rFonts w:ascii="Times New Roman" w:eastAsia="Times New Roman" w:hAnsi="Times New Roman" w:cs="Times New Roman"/>
          <w:sz w:val="28"/>
          <w:szCs w:val="28"/>
        </w:rPr>
        <w:t>. Были установлены статистически значи</w:t>
      </w:r>
      <w:r>
        <w:rPr>
          <w:rFonts w:ascii="Times New Roman" w:eastAsia="Times New Roman" w:hAnsi="Times New Roman" w:cs="Times New Roman"/>
          <w:sz w:val="28"/>
          <w:szCs w:val="28"/>
        </w:rPr>
        <w:t>мые прямые корреляционные связи степени рецидива генитального и нерегулярностью посещения врача (r</w:t>
      </w:r>
      <w:r>
        <w:rPr>
          <w:rFonts w:ascii="Times New Roman" w:eastAsia="Times New Roman" w:hAnsi="Times New Roman" w:cs="Times New Roman"/>
          <w:sz w:val="28"/>
          <w:szCs w:val="28"/>
          <w:vertAlign w:val="subscript"/>
        </w:rPr>
        <w:t>xy</w:t>
      </w:r>
      <w:r>
        <w:rPr>
          <w:rFonts w:ascii="Times New Roman" w:eastAsia="Times New Roman" w:hAnsi="Times New Roman" w:cs="Times New Roman"/>
          <w:sz w:val="28"/>
          <w:szCs w:val="28"/>
        </w:rPr>
        <w:t xml:space="preserve">=0,628 –  связь заметная по шкале Чеддока; р&lt;0,001) </w:t>
      </w:r>
      <w:r>
        <w:rPr>
          <w:rFonts w:ascii="Times New Roman" w:eastAsia="Times New Roman" w:hAnsi="Times New Roman" w:cs="Times New Roman"/>
          <w:sz w:val="28"/>
          <w:szCs w:val="28"/>
          <w:highlight w:val="white"/>
        </w:rPr>
        <w:t>[198,стр. 1248]</w:t>
      </w:r>
      <w:r>
        <w:rPr>
          <w:rFonts w:ascii="Times New Roman" w:eastAsia="Times New Roman" w:hAnsi="Times New Roman" w:cs="Times New Roman"/>
          <w:sz w:val="28"/>
          <w:szCs w:val="28"/>
        </w:rPr>
        <w:t>.</w:t>
      </w:r>
    </w:p>
    <w:p w:rsidR="000A3797" w:rsidRDefault="00A660E7">
      <w:pPr>
        <w:spacing w:after="0" w:line="240" w:lineRule="auto"/>
        <w:ind w:left="142"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Около 70% пациенток страдали третьей стадией тазового пролапса к моменту хирургического</w:t>
      </w:r>
      <w:r>
        <w:rPr>
          <w:rFonts w:ascii="Times New Roman" w:eastAsia="Times New Roman" w:hAnsi="Times New Roman" w:cs="Times New Roman"/>
          <w:sz w:val="28"/>
          <w:szCs w:val="28"/>
        </w:rPr>
        <w:t xml:space="preserve"> вмешательства </w:t>
      </w:r>
      <w:r>
        <w:rPr>
          <w:rFonts w:ascii="Times New Roman" w:eastAsia="Times New Roman" w:hAnsi="Times New Roman" w:cs="Times New Roman"/>
          <w:sz w:val="28"/>
          <w:szCs w:val="28"/>
          <w:highlight w:val="white"/>
        </w:rPr>
        <w:t>[198,стр. 1248]</w:t>
      </w:r>
      <w:r>
        <w:rPr>
          <w:rFonts w:ascii="Times New Roman" w:eastAsia="Times New Roman" w:hAnsi="Times New Roman" w:cs="Times New Roman"/>
          <w:sz w:val="28"/>
          <w:szCs w:val="28"/>
        </w:rPr>
        <w:t>. Регулярное наблюдение врача с воздействием на факторы риска статистически значимо снижало количество рецидивов генитального пролапса, (2,9% - 6 случаев преимущественно 1 степени против 43,3% - 39 случаев, преимущественно 2 с</w:t>
      </w:r>
      <w:r>
        <w:rPr>
          <w:rFonts w:ascii="Times New Roman" w:eastAsia="Times New Roman" w:hAnsi="Times New Roman" w:cs="Times New Roman"/>
          <w:sz w:val="28"/>
          <w:szCs w:val="28"/>
        </w:rPr>
        <w:t xml:space="preserve">тепени), р&lt;0,001 </w:t>
      </w:r>
      <w:r>
        <w:rPr>
          <w:rFonts w:ascii="Times New Roman" w:eastAsia="Times New Roman" w:hAnsi="Times New Roman" w:cs="Times New Roman"/>
          <w:sz w:val="28"/>
          <w:szCs w:val="28"/>
          <w:highlight w:val="white"/>
        </w:rPr>
        <w:t>[198,стр. 1248]</w:t>
      </w:r>
      <w:r>
        <w:rPr>
          <w:rFonts w:ascii="Times New Roman" w:eastAsia="Times New Roman" w:hAnsi="Times New Roman" w:cs="Times New Roman"/>
          <w:sz w:val="28"/>
          <w:szCs w:val="28"/>
        </w:rPr>
        <w:t>. Рецидивы первой степени тяжести встречались у 3% пациентов первой группы и преимущественно второй степени тяжести у 43% пациентов второй группы. Наиболее распространенным анатомическим проявлением рецидива был цистоцеле. П</w:t>
      </w:r>
      <w:r>
        <w:rPr>
          <w:rFonts w:ascii="Times New Roman" w:eastAsia="Times New Roman" w:hAnsi="Times New Roman" w:cs="Times New Roman"/>
          <w:sz w:val="28"/>
          <w:szCs w:val="28"/>
        </w:rPr>
        <w:t xml:space="preserve">ри этом у 36% участниц клинического эксперимента, не посещавших врача, появлялись симптомы </w:t>
      </w:r>
      <w:r>
        <w:rPr>
          <w:rFonts w:ascii="Times New Roman" w:eastAsia="Times New Roman" w:hAnsi="Times New Roman" w:cs="Times New Roman"/>
          <w:i/>
          <w:sz w:val="28"/>
          <w:szCs w:val="28"/>
        </w:rPr>
        <w:t xml:space="preserve">de novo </w:t>
      </w:r>
      <w:r>
        <w:rPr>
          <w:rFonts w:ascii="Times New Roman" w:eastAsia="Times New Roman" w:hAnsi="Times New Roman" w:cs="Times New Roman"/>
          <w:sz w:val="28"/>
          <w:szCs w:val="28"/>
        </w:rPr>
        <w:t xml:space="preserve">(р&lt;0,001) </w:t>
      </w:r>
      <w:r>
        <w:rPr>
          <w:rFonts w:ascii="Times New Roman" w:eastAsia="Times New Roman" w:hAnsi="Times New Roman" w:cs="Times New Roman"/>
          <w:sz w:val="28"/>
          <w:szCs w:val="28"/>
          <w:highlight w:val="white"/>
        </w:rPr>
        <w:t>[198,стр. 1248]</w:t>
      </w:r>
      <w:r>
        <w:rPr>
          <w:rFonts w:ascii="Times New Roman" w:eastAsia="Times New Roman" w:hAnsi="Times New Roman" w:cs="Times New Roman"/>
          <w:sz w:val="28"/>
          <w:szCs w:val="28"/>
        </w:rPr>
        <w:t>. У пациенток основной группы не отмечены тазовые боли и симптомы эрозии сетки (р&lt;0,001), а уровень качества жизни был статистически</w:t>
      </w:r>
      <w:r>
        <w:rPr>
          <w:rFonts w:ascii="Times New Roman" w:eastAsia="Times New Roman" w:hAnsi="Times New Roman" w:cs="Times New Roman"/>
          <w:sz w:val="28"/>
          <w:szCs w:val="28"/>
        </w:rPr>
        <w:t xml:space="preserve"> значимо выше (р&lt;0,001) </w:t>
      </w:r>
      <w:r>
        <w:rPr>
          <w:rFonts w:ascii="Times New Roman" w:eastAsia="Times New Roman" w:hAnsi="Times New Roman" w:cs="Times New Roman"/>
          <w:sz w:val="28"/>
          <w:szCs w:val="28"/>
          <w:highlight w:val="white"/>
        </w:rPr>
        <w:t>[198,стр. 1248]</w:t>
      </w:r>
      <w:r>
        <w:rPr>
          <w:rFonts w:ascii="Times New Roman" w:eastAsia="Times New Roman" w:hAnsi="Times New Roman" w:cs="Times New Roman"/>
          <w:sz w:val="28"/>
          <w:szCs w:val="28"/>
        </w:rPr>
        <w:t>. Лабораторные показатели больных, которые периодически наблюдались гинекологом, статистически значимо отличались от показателей выборки, не посещавшей врача в послеоперационный период: у репрезентов основной группы о</w:t>
      </w:r>
      <w:r>
        <w:rPr>
          <w:rFonts w:ascii="Times New Roman" w:eastAsia="Times New Roman" w:hAnsi="Times New Roman" w:cs="Times New Roman"/>
          <w:sz w:val="28"/>
          <w:szCs w:val="28"/>
        </w:rPr>
        <w:t xml:space="preserve">пределялись более высокие значения содержания гемоглобина (р&lt;0,001), ферритина (р&lt;0,001), общего кальция (р =0,025) и витамина Д3 (р&lt;0,001) </w:t>
      </w:r>
      <w:r>
        <w:rPr>
          <w:rFonts w:ascii="Times New Roman" w:eastAsia="Times New Roman" w:hAnsi="Times New Roman" w:cs="Times New Roman"/>
          <w:sz w:val="28"/>
          <w:szCs w:val="28"/>
          <w:highlight w:val="white"/>
        </w:rPr>
        <w:t>[198,стр. 1248]</w:t>
      </w:r>
      <w:r>
        <w:rPr>
          <w:rFonts w:ascii="Times New Roman" w:eastAsia="Times New Roman" w:hAnsi="Times New Roman" w:cs="Times New Roman"/>
          <w:sz w:val="28"/>
          <w:szCs w:val="28"/>
        </w:rPr>
        <w:t>. Улучшение общего состояния фиксировалось у всех пациенток основной группы и 58% представителей конт</w:t>
      </w:r>
      <w:r>
        <w:rPr>
          <w:rFonts w:ascii="Times New Roman" w:eastAsia="Times New Roman" w:hAnsi="Times New Roman" w:cs="Times New Roman"/>
          <w:sz w:val="28"/>
          <w:szCs w:val="28"/>
        </w:rPr>
        <w:t xml:space="preserve">рольной выборки (р&lt;0,001) </w:t>
      </w:r>
      <w:r>
        <w:rPr>
          <w:rFonts w:ascii="Times New Roman" w:eastAsia="Times New Roman" w:hAnsi="Times New Roman" w:cs="Times New Roman"/>
          <w:sz w:val="28"/>
          <w:szCs w:val="28"/>
          <w:highlight w:val="white"/>
        </w:rPr>
        <w:t>[198,стр. 1248]</w:t>
      </w:r>
      <w:r>
        <w:rPr>
          <w:rFonts w:ascii="Times New Roman" w:eastAsia="Times New Roman" w:hAnsi="Times New Roman" w:cs="Times New Roman"/>
          <w:sz w:val="28"/>
          <w:szCs w:val="28"/>
        </w:rPr>
        <w:t xml:space="preserve">. Необходимость повторного хирургического вмешательства была статистически значимо выше в группе не регулярно посещавших врача (р&lt;0,001) </w:t>
      </w:r>
      <w:r>
        <w:rPr>
          <w:rFonts w:ascii="Times New Roman" w:eastAsia="Times New Roman" w:hAnsi="Times New Roman" w:cs="Times New Roman"/>
          <w:sz w:val="28"/>
          <w:szCs w:val="28"/>
          <w:highlight w:val="white"/>
        </w:rPr>
        <w:t>[198,стр. 1248]</w:t>
      </w:r>
      <w:r>
        <w:rPr>
          <w:rFonts w:ascii="Times New Roman" w:eastAsia="Times New Roman" w:hAnsi="Times New Roman" w:cs="Times New Roman"/>
          <w:sz w:val="28"/>
          <w:szCs w:val="28"/>
        </w:rPr>
        <w:t xml:space="preserve">. Высокий процент рецидива в контрольной группе, наблюдаемой в </w:t>
      </w:r>
      <w:r>
        <w:rPr>
          <w:rFonts w:ascii="Times New Roman" w:eastAsia="Times New Roman" w:hAnsi="Times New Roman" w:cs="Times New Roman"/>
          <w:sz w:val="28"/>
          <w:szCs w:val="28"/>
        </w:rPr>
        <w:t xml:space="preserve">организациях ПМСП вероятно объясняется более высокой распространенностью изученных факторов риска в этой группе, по сравнению с группой длительного мониторинга </w:t>
      </w:r>
      <w:r>
        <w:rPr>
          <w:rFonts w:ascii="Times New Roman" w:eastAsia="Times New Roman" w:hAnsi="Times New Roman" w:cs="Times New Roman"/>
          <w:sz w:val="28"/>
          <w:szCs w:val="28"/>
          <w:highlight w:val="white"/>
        </w:rPr>
        <w:t>[198,стр. 1248]</w:t>
      </w:r>
      <w:r>
        <w:rPr>
          <w:rFonts w:ascii="Times New Roman" w:eastAsia="Times New Roman" w:hAnsi="Times New Roman" w:cs="Times New Roman"/>
          <w:sz w:val="28"/>
          <w:szCs w:val="28"/>
        </w:rPr>
        <w:t>. Были установлены статистически значимые прямые корреляционные связи степени рецидива генитального пролапса с нерегулярными посещениями врача, индексом массы тела, курением, поднятием тяжести, наступлением менопаузы, запорами, заболеваниями, сопровождаемы</w:t>
      </w:r>
      <w:r>
        <w:rPr>
          <w:rFonts w:ascii="Times New Roman" w:eastAsia="Times New Roman" w:hAnsi="Times New Roman" w:cs="Times New Roman"/>
          <w:sz w:val="28"/>
          <w:szCs w:val="28"/>
        </w:rPr>
        <w:t>ми длительным кашлем, повышением массы, нерегулярностью употребления суточной нормы белковой пищи, избыточным употреблением углеводов.</w:t>
      </w:r>
    </w:p>
    <w:p w:rsidR="000A3797" w:rsidRDefault="00A660E7">
      <w:pPr>
        <w:spacing w:after="0" w:line="240" w:lineRule="auto"/>
        <w:ind w:left="142"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Установлены статистически значимые обратные корреляционные связи степени генитального пролапса с родовым травматизмом, уп</w:t>
      </w:r>
      <w:r>
        <w:rPr>
          <w:rFonts w:ascii="Times New Roman" w:eastAsia="Times New Roman" w:hAnsi="Times New Roman" w:cs="Times New Roman"/>
          <w:sz w:val="28"/>
          <w:szCs w:val="28"/>
        </w:rPr>
        <w:t>ражнениями для мышц тазового дна, уровнем кальция в крови, уровнем витамина Д3, уровнем гемоглобина, уровнем ферритина.</w:t>
      </w:r>
    </w:p>
    <w:p w:rsidR="000A3797" w:rsidRDefault="00A660E7">
      <w:pPr>
        <w:spacing w:after="0" w:line="240" w:lineRule="auto"/>
        <w:ind w:left="142"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согласно коэффициентам регрессии прогностической модели для определения факторов риска появления рецидивов, к таким относ</w:t>
      </w:r>
      <w:r>
        <w:rPr>
          <w:rFonts w:ascii="Times New Roman" w:eastAsia="Times New Roman" w:hAnsi="Times New Roman" w:cs="Times New Roman"/>
          <w:sz w:val="28"/>
          <w:szCs w:val="28"/>
        </w:rPr>
        <w:t xml:space="preserve">ятся: продолжительность менопаузы; излишние силовые физические нагрузки; недостаточное потребление белков и чрезмерное – углеводов; индекс массы тела, курение, запоры </w:t>
      </w:r>
      <w:r>
        <w:rPr>
          <w:rFonts w:ascii="Times New Roman" w:eastAsia="Times New Roman" w:hAnsi="Times New Roman" w:cs="Times New Roman"/>
          <w:sz w:val="28"/>
          <w:szCs w:val="28"/>
          <w:highlight w:val="white"/>
        </w:rPr>
        <w:t>[198,стр. 1248]</w:t>
      </w:r>
      <w:r>
        <w:rPr>
          <w:rFonts w:ascii="Times New Roman" w:eastAsia="Times New Roman" w:hAnsi="Times New Roman" w:cs="Times New Roman"/>
          <w:sz w:val="28"/>
          <w:szCs w:val="28"/>
        </w:rPr>
        <w:t>. Пороговым значением силовой нагрузки следует считать подъем груза массой</w:t>
      </w:r>
      <w:r>
        <w:rPr>
          <w:rFonts w:ascii="Times New Roman" w:eastAsia="Times New Roman" w:hAnsi="Times New Roman" w:cs="Times New Roman"/>
          <w:sz w:val="28"/>
          <w:szCs w:val="28"/>
        </w:rPr>
        <w:t xml:space="preserve"> 4,75 кг </w:t>
      </w:r>
      <w:r>
        <w:rPr>
          <w:rFonts w:ascii="Times New Roman" w:eastAsia="Times New Roman" w:hAnsi="Times New Roman" w:cs="Times New Roman"/>
          <w:sz w:val="28"/>
          <w:szCs w:val="28"/>
          <w:highlight w:val="white"/>
        </w:rPr>
        <w:t>[198,стр. 1248]</w:t>
      </w:r>
      <w:r>
        <w:rPr>
          <w:rFonts w:ascii="Times New Roman" w:eastAsia="Times New Roman" w:hAnsi="Times New Roman" w:cs="Times New Roman"/>
          <w:sz w:val="28"/>
          <w:szCs w:val="28"/>
        </w:rPr>
        <w:t xml:space="preserve">. В свою очередь, предотвратить рецидив могут достаточный уровень витамина Д3 и снижение массы тела на 5 кг и более. Определено пороговое значение функции P (1) в точке cut-off составляло 0.07 для полученной прогностической модели </w:t>
      </w:r>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highlight w:val="white"/>
        </w:rPr>
        <w:t>198,стр. 1248]</w:t>
      </w:r>
      <w:r>
        <w:rPr>
          <w:rFonts w:ascii="Times New Roman" w:eastAsia="Times New Roman" w:hAnsi="Times New Roman" w:cs="Times New Roman"/>
          <w:sz w:val="28"/>
          <w:szCs w:val="28"/>
        </w:rPr>
        <w:t xml:space="preserve">. Чувствительность, соответствующая доле рецидивов пролапса, составили 95.7 % и специфичность, соответствующая доле случаев отсутствие тазового пролапса, составила 91.3% </w:t>
      </w:r>
      <w:r>
        <w:rPr>
          <w:rFonts w:ascii="Times New Roman" w:eastAsia="Times New Roman" w:hAnsi="Times New Roman" w:cs="Times New Roman"/>
          <w:sz w:val="28"/>
          <w:szCs w:val="28"/>
          <w:highlight w:val="white"/>
        </w:rPr>
        <w:t>[198,стр. 1248]</w:t>
      </w:r>
      <w:r>
        <w:rPr>
          <w:rFonts w:ascii="Times New Roman" w:eastAsia="Times New Roman" w:hAnsi="Times New Roman" w:cs="Times New Roman"/>
          <w:sz w:val="28"/>
          <w:szCs w:val="28"/>
        </w:rPr>
        <w:t>. Данное пороговое значение можно использовать в клиничес</w:t>
      </w:r>
      <w:r>
        <w:rPr>
          <w:rFonts w:ascii="Times New Roman" w:eastAsia="Times New Roman" w:hAnsi="Times New Roman" w:cs="Times New Roman"/>
          <w:sz w:val="28"/>
          <w:szCs w:val="28"/>
        </w:rPr>
        <w:t xml:space="preserve">кой практике для оценки риска рецидива пролапса при использовании нашей прогностической модели </w:t>
      </w:r>
      <w:r>
        <w:rPr>
          <w:rFonts w:ascii="Times New Roman" w:eastAsia="Times New Roman" w:hAnsi="Times New Roman" w:cs="Times New Roman"/>
          <w:sz w:val="28"/>
          <w:szCs w:val="28"/>
          <w:highlight w:val="white"/>
        </w:rPr>
        <w:t>[198,стр. 1248]</w:t>
      </w:r>
      <w:r>
        <w:rPr>
          <w:rFonts w:ascii="Times New Roman" w:eastAsia="Times New Roman" w:hAnsi="Times New Roman" w:cs="Times New Roman"/>
          <w:sz w:val="28"/>
          <w:szCs w:val="28"/>
        </w:rPr>
        <w:t>.</w:t>
      </w:r>
    </w:p>
    <w:p w:rsidR="000A3797" w:rsidRDefault="00A660E7">
      <w:pPr>
        <w:spacing w:after="0" w:line="240" w:lineRule="auto"/>
        <w:ind w:left="142"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Полученные результаты свидетельствуют о том, что в период после операции необходимо регулярное наблюдение врача, контроль образа жизни пациентов</w:t>
      </w:r>
      <w:r>
        <w:rPr>
          <w:rFonts w:ascii="Times New Roman" w:eastAsia="Times New Roman" w:hAnsi="Times New Roman" w:cs="Times New Roman"/>
          <w:sz w:val="28"/>
          <w:szCs w:val="28"/>
        </w:rPr>
        <w:t xml:space="preserve">, питания, лабораторных показателей </w:t>
      </w:r>
      <w:r>
        <w:rPr>
          <w:rFonts w:ascii="Times New Roman" w:eastAsia="Times New Roman" w:hAnsi="Times New Roman" w:cs="Times New Roman"/>
          <w:sz w:val="28"/>
          <w:szCs w:val="28"/>
          <w:highlight w:val="white"/>
        </w:rPr>
        <w:t>[198,стр. 1248]</w:t>
      </w:r>
      <w:r>
        <w:rPr>
          <w:rFonts w:ascii="Times New Roman" w:eastAsia="Times New Roman" w:hAnsi="Times New Roman" w:cs="Times New Roman"/>
          <w:sz w:val="28"/>
          <w:szCs w:val="28"/>
        </w:rPr>
        <w:t xml:space="preserve">. Отсутствие соблюдения этих мер больше влияет на шанс рецидива </w:t>
      </w:r>
      <w:r>
        <w:rPr>
          <w:rFonts w:ascii="Times New Roman" w:eastAsia="Times New Roman" w:hAnsi="Times New Roman" w:cs="Times New Roman"/>
          <w:sz w:val="28"/>
          <w:szCs w:val="28"/>
          <w:highlight w:val="white"/>
        </w:rPr>
        <w:t>[198,стр. 1248]</w:t>
      </w:r>
      <w:r>
        <w:rPr>
          <w:rFonts w:ascii="Times New Roman" w:eastAsia="Times New Roman" w:hAnsi="Times New Roman" w:cs="Times New Roman"/>
          <w:sz w:val="28"/>
          <w:szCs w:val="28"/>
        </w:rPr>
        <w:t>. Также оценена роль употребления белка, витамина Д3 и углеводов, что имеет важное значение для выработок привычек питания у п</w:t>
      </w:r>
      <w:r>
        <w:rPr>
          <w:rFonts w:ascii="Times New Roman" w:eastAsia="Times New Roman" w:hAnsi="Times New Roman" w:cs="Times New Roman"/>
          <w:sz w:val="28"/>
          <w:szCs w:val="28"/>
        </w:rPr>
        <w:t xml:space="preserve">ациентов после операции </w:t>
      </w:r>
      <w:r>
        <w:rPr>
          <w:rFonts w:ascii="Times New Roman" w:eastAsia="Times New Roman" w:hAnsi="Times New Roman" w:cs="Times New Roman"/>
          <w:sz w:val="28"/>
          <w:szCs w:val="28"/>
          <w:highlight w:val="white"/>
        </w:rPr>
        <w:t>[198,стр. 1248]</w:t>
      </w:r>
      <w:r>
        <w:rPr>
          <w:rFonts w:ascii="Times New Roman" w:eastAsia="Times New Roman" w:hAnsi="Times New Roman" w:cs="Times New Roman"/>
          <w:sz w:val="28"/>
          <w:szCs w:val="28"/>
        </w:rPr>
        <w:t xml:space="preserve">.  </w:t>
      </w:r>
    </w:p>
    <w:p w:rsidR="000A3797" w:rsidRDefault="000A3797">
      <w:pPr>
        <w:spacing w:after="0" w:line="240" w:lineRule="auto"/>
        <w:jc w:val="both"/>
        <w:rPr>
          <w:rFonts w:ascii="Times New Roman" w:eastAsia="Times New Roman" w:hAnsi="Times New Roman" w:cs="Times New Roman"/>
          <w:b/>
          <w:sz w:val="28"/>
          <w:szCs w:val="28"/>
        </w:rPr>
      </w:pPr>
    </w:p>
    <w:p w:rsidR="000A3797" w:rsidRDefault="00A660E7">
      <w:pPr>
        <w:numPr>
          <w:ilvl w:val="1"/>
          <w:numId w:val="14"/>
        </w:num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Результаты социологического опроса о качестве гинекологической помощи в послеоперационном периоде и уровне знаний врачей</w:t>
      </w:r>
    </w:p>
    <w:p w:rsidR="000A3797" w:rsidRDefault="000A3797">
      <w:pPr>
        <w:pBdr>
          <w:top w:val="nil"/>
          <w:left w:val="nil"/>
          <w:bottom w:val="nil"/>
          <w:right w:val="nil"/>
          <w:between w:val="nil"/>
        </w:pBdr>
        <w:spacing w:after="0" w:line="240" w:lineRule="auto"/>
        <w:ind w:left="375"/>
        <w:jc w:val="both"/>
        <w:rPr>
          <w:rFonts w:ascii="Times New Roman" w:eastAsia="Times New Roman" w:hAnsi="Times New Roman" w:cs="Times New Roman"/>
          <w:b/>
          <w:color w:val="000000"/>
          <w:sz w:val="28"/>
          <w:szCs w:val="28"/>
        </w:rPr>
      </w:pPr>
    </w:p>
    <w:p w:rsidR="000A3797" w:rsidRDefault="00A660E7">
      <w:pPr>
        <w:tabs>
          <w:tab w:val="left" w:pos="184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Группы врачей акушеров – гинекологов, оперирующих пролапс и акушеров -гинекологов ПМСП были сопоставимы по стажу работы (таблица 21) </w:t>
      </w:r>
      <w:r>
        <w:rPr>
          <w:rFonts w:ascii="Times New Roman" w:eastAsia="Times New Roman" w:hAnsi="Times New Roman" w:cs="Times New Roman"/>
          <w:sz w:val="28"/>
          <w:szCs w:val="28"/>
          <w:highlight w:val="white"/>
        </w:rPr>
        <w:t>[199, стр. 277]</w:t>
      </w:r>
      <w:r>
        <w:rPr>
          <w:rFonts w:ascii="Times New Roman" w:eastAsia="Times New Roman" w:hAnsi="Times New Roman" w:cs="Times New Roman"/>
          <w:sz w:val="28"/>
          <w:szCs w:val="28"/>
        </w:rPr>
        <w:t>.   Оценка знаний факторов риска генитального пролапса и профилактических мероприятий после операций для п</w:t>
      </w:r>
      <w:r>
        <w:rPr>
          <w:rFonts w:ascii="Times New Roman" w:eastAsia="Times New Roman" w:hAnsi="Times New Roman" w:cs="Times New Roman"/>
          <w:sz w:val="28"/>
          <w:szCs w:val="28"/>
        </w:rPr>
        <w:t xml:space="preserve">редотвращения рецидива заболевания статистически различалась между группами, медиана и ИКР уровня знаний гинекологов ПМСП составила 10 (6), у оперирующих акушеров -гинекологов 26 (1) (р&lt;0,001) (таблица 21) </w:t>
      </w:r>
      <w:r>
        <w:rPr>
          <w:rFonts w:ascii="Times New Roman" w:eastAsia="Times New Roman" w:hAnsi="Times New Roman" w:cs="Times New Roman"/>
          <w:sz w:val="28"/>
          <w:szCs w:val="28"/>
          <w:highlight w:val="white"/>
        </w:rPr>
        <w:t>[199, стр. 277]</w:t>
      </w:r>
      <w:r>
        <w:rPr>
          <w:rFonts w:ascii="Times New Roman" w:eastAsia="Times New Roman" w:hAnsi="Times New Roman" w:cs="Times New Roman"/>
          <w:sz w:val="28"/>
          <w:szCs w:val="28"/>
        </w:rPr>
        <w:t>.  Медиана и ИКР баллов о знаниях с</w:t>
      </w:r>
      <w:r>
        <w:rPr>
          <w:rFonts w:ascii="Times New Roman" w:eastAsia="Times New Roman" w:hAnsi="Times New Roman" w:cs="Times New Roman"/>
          <w:sz w:val="28"/>
          <w:szCs w:val="28"/>
        </w:rPr>
        <w:t>имптомов пролапса составила 4 (3) у акушеров - гинекологов ПМСП , против  8 (1) – у хирургов, медиана и ИКР  баллов о факторах риска  3(2) и 10 (1) соответственно,  медиана и ИКР баллов знаний о профилактике  3(1) против 7 (1) и знания о применении классиф</w:t>
      </w:r>
      <w:r>
        <w:rPr>
          <w:rFonts w:ascii="Times New Roman" w:eastAsia="Times New Roman" w:hAnsi="Times New Roman" w:cs="Times New Roman"/>
          <w:sz w:val="28"/>
          <w:szCs w:val="28"/>
        </w:rPr>
        <w:t xml:space="preserve">икации POP-Q 0(1), против 1 (0) (р&lt;0,001) (таблица 21) </w:t>
      </w:r>
      <w:r>
        <w:rPr>
          <w:rFonts w:ascii="Times New Roman" w:eastAsia="Times New Roman" w:hAnsi="Times New Roman" w:cs="Times New Roman"/>
          <w:sz w:val="28"/>
          <w:szCs w:val="28"/>
          <w:highlight w:val="white"/>
        </w:rPr>
        <w:t>[199, стр. 277]</w:t>
      </w:r>
      <w:r>
        <w:rPr>
          <w:rFonts w:ascii="Times New Roman" w:eastAsia="Times New Roman" w:hAnsi="Times New Roman" w:cs="Times New Roman"/>
          <w:sz w:val="28"/>
          <w:szCs w:val="28"/>
        </w:rPr>
        <w:t xml:space="preserve">.  </w:t>
      </w:r>
    </w:p>
    <w:p w:rsidR="000A3797" w:rsidRDefault="000A3797">
      <w:pPr>
        <w:tabs>
          <w:tab w:val="left" w:pos="1841"/>
        </w:tabs>
        <w:spacing w:after="0" w:line="240" w:lineRule="auto"/>
        <w:jc w:val="both"/>
        <w:rPr>
          <w:rFonts w:ascii="Times New Roman" w:eastAsia="Times New Roman" w:hAnsi="Times New Roman" w:cs="Times New Roman"/>
          <w:sz w:val="28"/>
          <w:szCs w:val="28"/>
        </w:rPr>
      </w:pPr>
    </w:p>
    <w:p w:rsidR="000A3797" w:rsidRDefault="00A660E7">
      <w:pPr>
        <w:tabs>
          <w:tab w:val="left" w:pos="1841"/>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21 - Стаж работы и оценка знаний врачей акушеров - гинекологов ПМСП и хирургического профиля.</w:t>
      </w:r>
    </w:p>
    <w:p w:rsidR="000A3797" w:rsidRDefault="000A3797">
      <w:pPr>
        <w:tabs>
          <w:tab w:val="left" w:pos="1841"/>
        </w:tabs>
        <w:spacing w:after="0" w:line="240" w:lineRule="auto"/>
        <w:rPr>
          <w:rFonts w:ascii="Times New Roman" w:eastAsia="Times New Roman" w:hAnsi="Times New Roman" w:cs="Times New Roman"/>
          <w:sz w:val="28"/>
          <w:szCs w:val="28"/>
        </w:rPr>
      </w:pPr>
    </w:p>
    <w:tbl>
      <w:tblPr>
        <w:tblStyle w:val="aff5"/>
        <w:tblpPr w:leftFromText="180" w:rightFromText="180" w:vertAnchor="text" w:tblpY="17"/>
        <w:tblW w:w="96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93"/>
        <w:gridCol w:w="1160"/>
        <w:gridCol w:w="1065"/>
        <w:gridCol w:w="1160"/>
        <w:gridCol w:w="1065"/>
        <w:gridCol w:w="1132"/>
        <w:gridCol w:w="1137"/>
        <w:gridCol w:w="1116"/>
      </w:tblGrid>
      <w:tr w:rsidR="000A3797">
        <w:tc>
          <w:tcPr>
            <w:tcW w:w="1793" w:type="dxa"/>
            <w:vMerge w:val="restart"/>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Параметры</w:t>
            </w:r>
          </w:p>
        </w:tc>
        <w:tc>
          <w:tcPr>
            <w:tcW w:w="2225" w:type="dxa"/>
            <w:gridSpan w:val="2"/>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Акушеры-гинекологи ПМСП</w:t>
            </w:r>
          </w:p>
        </w:tc>
        <w:tc>
          <w:tcPr>
            <w:tcW w:w="2225" w:type="dxa"/>
            <w:gridSpan w:val="2"/>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Оперирующие акушеры- гинекологи</w:t>
            </w:r>
          </w:p>
        </w:tc>
        <w:tc>
          <w:tcPr>
            <w:tcW w:w="1132" w:type="dxa"/>
            <w:vMerge w:val="restart"/>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p-value</w:t>
            </w:r>
          </w:p>
        </w:tc>
        <w:tc>
          <w:tcPr>
            <w:tcW w:w="2253" w:type="dxa"/>
            <w:gridSpan w:val="2"/>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Корреляция</w:t>
            </w:r>
          </w:p>
        </w:tc>
      </w:tr>
      <w:tr w:rsidR="000A3797">
        <w:tc>
          <w:tcPr>
            <w:tcW w:w="1793"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16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М (±SD)</w:t>
            </w:r>
          </w:p>
        </w:tc>
        <w:tc>
          <w:tcPr>
            <w:tcW w:w="1065"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Me (Q1-Q3)</w:t>
            </w:r>
          </w:p>
        </w:tc>
        <w:tc>
          <w:tcPr>
            <w:tcW w:w="116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М (±SD)</w:t>
            </w:r>
          </w:p>
        </w:tc>
        <w:tc>
          <w:tcPr>
            <w:tcW w:w="1065"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Me (Q1-Q3)</w:t>
            </w:r>
          </w:p>
        </w:tc>
        <w:tc>
          <w:tcPr>
            <w:tcW w:w="1132"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137"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значение</w:t>
            </w:r>
          </w:p>
        </w:tc>
        <w:tc>
          <w:tcPr>
            <w:tcW w:w="1116"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p-value</w:t>
            </w:r>
          </w:p>
        </w:tc>
      </w:tr>
      <w:tr w:rsidR="000A3797">
        <w:tc>
          <w:tcPr>
            <w:tcW w:w="1793"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Стаж работы</w:t>
            </w:r>
          </w:p>
        </w:tc>
        <w:tc>
          <w:tcPr>
            <w:tcW w:w="116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10,88 (±5,578)</w:t>
            </w:r>
          </w:p>
        </w:tc>
        <w:tc>
          <w:tcPr>
            <w:tcW w:w="1065"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10 (9)</w:t>
            </w:r>
          </w:p>
        </w:tc>
        <w:tc>
          <w:tcPr>
            <w:tcW w:w="116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13,22 (±6,459)</w:t>
            </w:r>
          </w:p>
        </w:tc>
        <w:tc>
          <w:tcPr>
            <w:tcW w:w="1065"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12,0 (9)</w:t>
            </w:r>
          </w:p>
        </w:tc>
        <w:tc>
          <w:tcPr>
            <w:tcW w:w="113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0,261*</w:t>
            </w:r>
          </w:p>
        </w:tc>
        <w:tc>
          <w:tcPr>
            <w:tcW w:w="1137" w:type="dxa"/>
            <w:vMerge w:val="restart"/>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0,061</w:t>
            </w:r>
          </w:p>
        </w:tc>
        <w:tc>
          <w:tcPr>
            <w:tcW w:w="1116" w:type="dxa"/>
            <w:vMerge w:val="restart"/>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0,726***</w:t>
            </w:r>
          </w:p>
        </w:tc>
      </w:tr>
      <w:tr w:rsidR="000A3797">
        <w:tc>
          <w:tcPr>
            <w:tcW w:w="1793"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Общий балл уровня знаний</w:t>
            </w:r>
          </w:p>
        </w:tc>
        <w:tc>
          <w:tcPr>
            <w:tcW w:w="116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10,71 (±4,027)</w:t>
            </w:r>
          </w:p>
        </w:tc>
        <w:tc>
          <w:tcPr>
            <w:tcW w:w="1065"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10 (6)</w:t>
            </w:r>
          </w:p>
        </w:tc>
        <w:tc>
          <w:tcPr>
            <w:tcW w:w="116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26,06 (± 3,57)</w:t>
            </w:r>
          </w:p>
        </w:tc>
        <w:tc>
          <w:tcPr>
            <w:tcW w:w="1065"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26 (1)</w:t>
            </w:r>
          </w:p>
        </w:tc>
        <w:tc>
          <w:tcPr>
            <w:tcW w:w="113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1137"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116"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793"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Симптомы пролапса</w:t>
            </w:r>
          </w:p>
        </w:tc>
        <w:tc>
          <w:tcPr>
            <w:tcW w:w="116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4,1 (±1,4)</w:t>
            </w:r>
          </w:p>
        </w:tc>
        <w:tc>
          <w:tcPr>
            <w:tcW w:w="1065"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4 (3)</w:t>
            </w:r>
          </w:p>
        </w:tc>
        <w:tc>
          <w:tcPr>
            <w:tcW w:w="116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8,31 (± 1,73)</w:t>
            </w:r>
          </w:p>
        </w:tc>
        <w:tc>
          <w:tcPr>
            <w:tcW w:w="1065"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8 (1)</w:t>
            </w:r>
          </w:p>
        </w:tc>
        <w:tc>
          <w:tcPr>
            <w:tcW w:w="113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1137" w:type="dxa"/>
          </w:tcPr>
          <w:p w:rsidR="000A3797" w:rsidRDefault="000A3797">
            <w:pPr>
              <w:rPr>
                <w:rFonts w:ascii="Times New Roman" w:eastAsia="Times New Roman" w:hAnsi="Times New Roman" w:cs="Times New Roman"/>
                <w:sz w:val="24"/>
                <w:szCs w:val="24"/>
              </w:rPr>
            </w:pPr>
          </w:p>
        </w:tc>
        <w:tc>
          <w:tcPr>
            <w:tcW w:w="1116" w:type="dxa"/>
          </w:tcPr>
          <w:p w:rsidR="000A3797" w:rsidRDefault="000A3797">
            <w:pPr>
              <w:rPr>
                <w:rFonts w:ascii="Times New Roman" w:eastAsia="Times New Roman" w:hAnsi="Times New Roman" w:cs="Times New Roman"/>
                <w:sz w:val="24"/>
                <w:szCs w:val="24"/>
              </w:rPr>
            </w:pPr>
          </w:p>
        </w:tc>
      </w:tr>
      <w:tr w:rsidR="000A3797">
        <w:tc>
          <w:tcPr>
            <w:tcW w:w="1793"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Факторы риска</w:t>
            </w:r>
          </w:p>
        </w:tc>
        <w:tc>
          <w:tcPr>
            <w:tcW w:w="116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3,2 (±1,033)</w:t>
            </w:r>
          </w:p>
        </w:tc>
        <w:tc>
          <w:tcPr>
            <w:tcW w:w="1065"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3 (2)</w:t>
            </w:r>
          </w:p>
        </w:tc>
        <w:tc>
          <w:tcPr>
            <w:tcW w:w="116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10,2 (± 1,25)</w:t>
            </w:r>
          </w:p>
        </w:tc>
        <w:tc>
          <w:tcPr>
            <w:tcW w:w="1065"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10 (1)</w:t>
            </w:r>
          </w:p>
        </w:tc>
        <w:tc>
          <w:tcPr>
            <w:tcW w:w="113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1137" w:type="dxa"/>
          </w:tcPr>
          <w:p w:rsidR="000A3797" w:rsidRDefault="000A3797">
            <w:pPr>
              <w:rPr>
                <w:rFonts w:ascii="Times New Roman" w:eastAsia="Times New Roman" w:hAnsi="Times New Roman" w:cs="Times New Roman"/>
                <w:sz w:val="24"/>
                <w:szCs w:val="24"/>
              </w:rPr>
            </w:pPr>
          </w:p>
        </w:tc>
        <w:tc>
          <w:tcPr>
            <w:tcW w:w="1116" w:type="dxa"/>
          </w:tcPr>
          <w:p w:rsidR="000A3797" w:rsidRDefault="000A3797">
            <w:pPr>
              <w:rPr>
                <w:rFonts w:ascii="Times New Roman" w:eastAsia="Times New Roman" w:hAnsi="Times New Roman" w:cs="Times New Roman"/>
                <w:sz w:val="24"/>
                <w:szCs w:val="24"/>
              </w:rPr>
            </w:pPr>
          </w:p>
        </w:tc>
      </w:tr>
      <w:tr w:rsidR="000A3797">
        <w:tc>
          <w:tcPr>
            <w:tcW w:w="1793"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Профилактика</w:t>
            </w:r>
          </w:p>
        </w:tc>
        <w:tc>
          <w:tcPr>
            <w:tcW w:w="116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2,54 (±1,07)</w:t>
            </w:r>
          </w:p>
        </w:tc>
        <w:tc>
          <w:tcPr>
            <w:tcW w:w="1065"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3 (1)</w:t>
            </w:r>
          </w:p>
        </w:tc>
        <w:tc>
          <w:tcPr>
            <w:tcW w:w="116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7,01 (±1,47 )</w:t>
            </w:r>
          </w:p>
        </w:tc>
        <w:tc>
          <w:tcPr>
            <w:tcW w:w="1065"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7 (1)</w:t>
            </w:r>
          </w:p>
        </w:tc>
        <w:tc>
          <w:tcPr>
            <w:tcW w:w="113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1137" w:type="dxa"/>
          </w:tcPr>
          <w:p w:rsidR="000A3797" w:rsidRDefault="000A3797">
            <w:pPr>
              <w:rPr>
                <w:rFonts w:ascii="Times New Roman" w:eastAsia="Times New Roman" w:hAnsi="Times New Roman" w:cs="Times New Roman"/>
                <w:sz w:val="24"/>
                <w:szCs w:val="24"/>
              </w:rPr>
            </w:pPr>
          </w:p>
        </w:tc>
        <w:tc>
          <w:tcPr>
            <w:tcW w:w="1116" w:type="dxa"/>
          </w:tcPr>
          <w:p w:rsidR="000A3797" w:rsidRDefault="000A3797">
            <w:pPr>
              <w:rPr>
                <w:rFonts w:ascii="Times New Roman" w:eastAsia="Times New Roman" w:hAnsi="Times New Roman" w:cs="Times New Roman"/>
                <w:sz w:val="24"/>
                <w:szCs w:val="24"/>
              </w:rPr>
            </w:pPr>
          </w:p>
        </w:tc>
      </w:tr>
      <w:tr w:rsidR="000A3797">
        <w:tc>
          <w:tcPr>
            <w:tcW w:w="1793"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Использование классификации POP-Q</w:t>
            </w:r>
          </w:p>
        </w:tc>
        <w:tc>
          <w:tcPr>
            <w:tcW w:w="116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0,54 (±0,12)</w:t>
            </w:r>
          </w:p>
        </w:tc>
        <w:tc>
          <w:tcPr>
            <w:tcW w:w="1065"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 (1)</w:t>
            </w:r>
          </w:p>
        </w:tc>
        <w:tc>
          <w:tcPr>
            <w:tcW w:w="116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0,9 (±0,05)</w:t>
            </w:r>
          </w:p>
        </w:tc>
        <w:tc>
          <w:tcPr>
            <w:tcW w:w="1065"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1 (0)</w:t>
            </w:r>
          </w:p>
        </w:tc>
        <w:tc>
          <w:tcPr>
            <w:tcW w:w="113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&lt;</w:t>
            </w:r>
            <w:r>
              <w:rPr>
                <w:rFonts w:ascii="Times New Roman" w:eastAsia="Times New Roman" w:hAnsi="Times New Roman" w:cs="Times New Roman"/>
                <w:sz w:val="24"/>
                <w:szCs w:val="24"/>
              </w:rPr>
              <w:t>0,001**</w:t>
            </w:r>
          </w:p>
        </w:tc>
        <w:tc>
          <w:tcPr>
            <w:tcW w:w="1137" w:type="dxa"/>
          </w:tcPr>
          <w:p w:rsidR="000A3797" w:rsidRDefault="000A3797">
            <w:pPr>
              <w:rPr>
                <w:rFonts w:ascii="Times New Roman" w:eastAsia="Times New Roman" w:hAnsi="Times New Roman" w:cs="Times New Roman"/>
                <w:sz w:val="24"/>
                <w:szCs w:val="24"/>
              </w:rPr>
            </w:pPr>
          </w:p>
        </w:tc>
        <w:tc>
          <w:tcPr>
            <w:tcW w:w="1116" w:type="dxa"/>
          </w:tcPr>
          <w:p w:rsidR="000A3797" w:rsidRDefault="000A3797">
            <w:pPr>
              <w:rPr>
                <w:rFonts w:ascii="Times New Roman" w:eastAsia="Times New Roman" w:hAnsi="Times New Roman" w:cs="Times New Roman"/>
                <w:sz w:val="24"/>
                <w:szCs w:val="24"/>
              </w:rPr>
            </w:pPr>
          </w:p>
        </w:tc>
      </w:tr>
      <w:tr w:rsidR="000A3797">
        <w:tc>
          <w:tcPr>
            <w:tcW w:w="9628" w:type="dxa"/>
            <w:gridSpan w:val="8"/>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color w:val="010205"/>
                <w:sz w:val="24"/>
                <w:szCs w:val="24"/>
              </w:rPr>
              <w:t xml:space="preserve">M – mean (среднее), Me – median (медиана), SD - standard deviation (стандартное отклонение), Q1-Q-3 - interquartile range (интерквартильный размах), t Student's test* (т-критерий Стьюдента), Mann-Whitney U-test** (критерий Манна-Уитни), </w:t>
            </w:r>
            <w:r>
              <w:rPr>
                <w:rFonts w:ascii="Times New Roman" w:eastAsia="Times New Roman" w:hAnsi="Times New Roman" w:cs="Times New Roman"/>
                <w:sz w:val="24"/>
                <w:szCs w:val="24"/>
              </w:rPr>
              <w:t>Spearman</w:t>
            </w:r>
            <w:r>
              <w:rPr>
                <w:rFonts w:ascii="Times New Roman" w:eastAsia="Times New Roman" w:hAnsi="Times New Roman" w:cs="Times New Roman"/>
                <w:sz w:val="24"/>
                <w:szCs w:val="24"/>
              </w:rPr>
              <w:t>’s rank correlation coefficient</w:t>
            </w:r>
            <w:r>
              <w:rPr>
                <w:rFonts w:ascii="Times New Roman" w:eastAsia="Times New Roman" w:hAnsi="Times New Roman" w:cs="Times New Roman"/>
                <w:color w:val="010205"/>
                <w:sz w:val="24"/>
                <w:szCs w:val="24"/>
              </w:rPr>
              <w:t xml:space="preserve"> ***(</w:t>
            </w:r>
            <w:r>
              <w:rPr>
                <w:rFonts w:ascii="Times New Roman" w:eastAsia="Times New Roman" w:hAnsi="Times New Roman" w:cs="Times New Roman"/>
                <w:sz w:val="24"/>
                <w:szCs w:val="24"/>
              </w:rPr>
              <w:t>Коэффициент корреляции Спирмена).</w:t>
            </w:r>
          </w:p>
        </w:tc>
      </w:tr>
    </w:tbl>
    <w:p w:rsidR="000A3797" w:rsidRDefault="000A3797">
      <w:pPr>
        <w:tabs>
          <w:tab w:val="left" w:pos="1841"/>
        </w:tabs>
        <w:spacing w:after="0" w:line="240" w:lineRule="auto"/>
        <w:rPr>
          <w:rFonts w:ascii="Times New Roman" w:eastAsia="Times New Roman" w:hAnsi="Times New Roman" w:cs="Times New Roman"/>
          <w:sz w:val="28"/>
          <w:szCs w:val="28"/>
        </w:rPr>
      </w:pPr>
    </w:p>
    <w:p w:rsidR="000A3797" w:rsidRDefault="00A660E7">
      <w:pPr>
        <w:tabs>
          <w:tab w:val="left" w:pos="1841"/>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Такие различия связаны с тем, что врачи первичного звена отдают более пристальное внимание ведению беременных женщин, что выявлено в процессе интервью - анкетирования. Опрос показал, что все опрошенные врачи поликлиники занимаются ведением беременност</w:t>
      </w:r>
      <w:r>
        <w:rPr>
          <w:rFonts w:ascii="Times New Roman" w:eastAsia="Times New Roman" w:hAnsi="Times New Roman" w:cs="Times New Roman"/>
          <w:sz w:val="28"/>
          <w:szCs w:val="28"/>
        </w:rPr>
        <w:t>и, из них только 6 человек (18,75%) предпочли бы пройти курсы повышения квалификации по ведению женщин с генитальным пролапсом курсам по ведению беременности, для 28 врачей (81,2%) приоритетом является ведение беременности. 28 врачей (81,2%) согласны с тем</w:t>
      </w:r>
      <w:r>
        <w:rPr>
          <w:rFonts w:ascii="Times New Roman" w:eastAsia="Times New Roman" w:hAnsi="Times New Roman" w:cs="Times New Roman"/>
          <w:sz w:val="28"/>
          <w:szCs w:val="28"/>
        </w:rPr>
        <w:t>, что имеет смысл разделить врачей ПМСП, занимающихся только гинекологическими вопросами и на врачей, занимающихся только ведением беременности и послеродового периода. 30 человек (93,75%) отметили, что введение онлайн-мониторинга с делегированием полномоч</w:t>
      </w:r>
      <w:r>
        <w:rPr>
          <w:rFonts w:ascii="Times New Roman" w:eastAsia="Times New Roman" w:hAnsi="Times New Roman" w:cs="Times New Roman"/>
          <w:sz w:val="28"/>
          <w:szCs w:val="28"/>
        </w:rPr>
        <w:t xml:space="preserve">ия медицинской сестре после операции по поводу пролапса является приемлемым и удобным. </w:t>
      </w:r>
    </w:p>
    <w:p w:rsidR="000A3797" w:rsidRDefault="00A660E7">
      <w:pPr>
        <w:tabs>
          <w:tab w:val="left" w:pos="1841"/>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Некоторые вопросы касались профилактики первичного пролапса: только 23,5% гинекологов ПМСП (8 человек) рекомендуют профилактические меры после родов, и лишь 17,6% </w:t>
      </w:r>
      <w:r>
        <w:rPr>
          <w:rFonts w:ascii="Times New Roman" w:eastAsia="Times New Roman" w:hAnsi="Times New Roman" w:cs="Times New Roman"/>
          <w:sz w:val="28"/>
          <w:szCs w:val="28"/>
        </w:rPr>
        <w:t>(6 человек) — до родов. При этом 70,6% гинекологов ПМСП (23 человека) и все гинекологи хирургической службы (30 человек) отметили, что начальные бессимптомные стадии генитального пролапса часто выявляются на профилактических осмотрах или при обращении по д</w:t>
      </w:r>
      <w:r>
        <w:rPr>
          <w:rFonts w:ascii="Times New Roman" w:eastAsia="Times New Roman" w:hAnsi="Times New Roman" w:cs="Times New Roman"/>
          <w:sz w:val="28"/>
          <w:szCs w:val="28"/>
        </w:rPr>
        <w:t>ругому поводу, когда симптомы еще не проявляются. Однако только 11,8% врачей ПМСП (4 человека) фиксируют начальные стадии в протоколе осмотра, тогда как все хирурги указывают их как сопутствующий диагноз, различия статистически значимы, взаимосвязь средней</w:t>
      </w:r>
      <w:r>
        <w:rPr>
          <w:rFonts w:ascii="Times New Roman" w:eastAsia="Times New Roman" w:hAnsi="Times New Roman" w:cs="Times New Roman"/>
          <w:sz w:val="28"/>
          <w:szCs w:val="28"/>
        </w:rPr>
        <w:t xml:space="preserve"> силы (р=0,019, V-крамера = 0,420) (Таблица 22).</w:t>
      </w:r>
    </w:p>
    <w:p w:rsidR="000A3797" w:rsidRDefault="000A3797">
      <w:pPr>
        <w:tabs>
          <w:tab w:val="left" w:pos="1841"/>
        </w:tabs>
        <w:spacing w:after="0" w:line="240" w:lineRule="auto"/>
        <w:rPr>
          <w:rFonts w:ascii="Times New Roman" w:eastAsia="Times New Roman" w:hAnsi="Times New Roman" w:cs="Times New Roman"/>
          <w:sz w:val="28"/>
          <w:szCs w:val="28"/>
        </w:rPr>
      </w:pPr>
    </w:p>
    <w:p w:rsidR="000A3797" w:rsidRDefault="00A660E7">
      <w:pPr>
        <w:tabs>
          <w:tab w:val="left" w:pos="1841"/>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При начальных стадиях пролапса 100% хирургов рекомендуют профилактические меры для предотвращения прогрессирования, в то время как среди врачей ПМСП это делают 41,2% (13 человек), различия статистически </w:t>
      </w:r>
      <w:r>
        <w:rPr>
          <w:rFonts w:ascii="Times New Roman" w:eastAsia="Times New Roman" w:hAnsi="Times New Roman" w:cs="Times New Roman"/>
          <w:sz w:val="28"/>
          <w:szCs w:val="28"/>
        </w:rPr>
        <w:t>значимы, с относительно сильной взаимосвязью (р=0,003, V-крамера = 0,514) (Таблица 22).</w:t>
      </w:r>
    </w:p>
    <w:p w:rsidR="000A3797" w:rsidRDefault="000A3797">
      <w:pPr>
        <w:tabs>
          <w:tab w:val="left" w:pos="1841"/>
        </w:tabs>
        <w:spacing w:after="0" w:line="240" w:lineRule="auto"/>
        <w:rPr>
          <w:rFonts w:ascii="Times New Roman" w:eastAsia="Times New Roman" w:hAnsi="Times New Roman" w:cs="Times New Roman"/>
          <w:sz w:val="28"/>
          <w:szCs w:val="28"/>
        </w:rPr>
      </w:pPr>
    </w:p>
    <w:p w:rsidR="000A3797" w:rsidRDefault="00A660E7">
      <w:pPr>
        <w:tabs>
          <w:tab w:val="left" w:pos="1841"/>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Касательно организации послеоперационной помощи 100% врачей акушеров –гинекологов хирургической службы, после операции по поводу генитального пролапса рекомендуют пр</w:t>
      </w:r>
      <w:r>
        <w:rPr>
          <w:rFonts w:ascii="Times New Roman" w:eastAsia="Times New Roman" w:hAnsi="Times New Roman" w:cs="Times New Roman"/>
          <w:sz w:val="28"/>
          <w:szCs w:val="28"/>
        </w:rPr>
        <w:t xml:space="preserve">офилактические мероприятия с целью профилактики рецидива, тогда как из врачей ПМСП только 15 человек (47,1%), различия статистически значимы, сила взаимосвязи относительно сильная  (р&lt;0,001, V-крамера = 0,605) (Таблица 22, Рисунок 5) </w:t>
      </w:r>
      <w:r>
        <w:rPr>
          <w:rFonts w:ascii="Times New Roman" w:eastAsia="Times New Roman" w:hAnsi="Times New Roman" w:cs="Times New Roman"/>
          <w:sz w:val="28"/>
          <w:szCs w:val="28"/>
          <w:highlight w:val="white"/>
        </w:rPr>
        <w:t>[196, стр. 277]</w:t>
      </w:r>
      <w:r>
        <w:rPr>
          <w:rFonts w:ascii="Times New Roman" w:eastAsia="Times New Roman" w:hAnsi="Times New Roman" w:cs="Times New Roman"/>
          <w:sz w:val="28"/>
          <w:szCs w:val="28"/>
        </w:rPr>
        <w:t xml:space="preserve">. </w:t>
      </w:r>
    </w:p>
    <w:p w:rsidR="000A3797" w:rsidRDefault="000A3797">
      <w:pPr>
        <w:tabs>
          <w:tab w:val="left" w:pos="1841"/>
        </w:tabs>
        <w:spacing w:after="0" w:line="240" w:lineRule="auto"/>
        <w:rPr>
          <w:rFonts w:ascii="Times New Roman" w:eastAsia="Times New Roman" w:hAnsi="Times New Roman" w:cs="Times New Roman"/>
          <w:sz w:val="28"/>
          <w:szCs w:val="28"/>
        </w:rPr>
      </w:pPr>
    </w:p>
    <w:p w:rsidR="000A3797" w:rsidRDefault="00A660E7">
      <w:pPr>
        <w:tabs>
          <w:tab w:val="left" w:pos="1841"/>
        </w:tabs>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noProof/>
          <w:sz w:val="28"/>
          <w:szCs w:val="28"/>
        </w:rPr>
        <w:drawing>
          <wp:inline distT="0" distB="0" distL="0" distR="0">
            <wp:extent cx="5705475" cy="1828800"/>
            <wp:effectExtent l="0" t="0" r="9525"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0A3797" w:rsidRDefault="00A660E7">
      <w:pPr>
        <w:tabs>
          <w:tab w:val="left" w:pos="1841"/>
        </w:tabs>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5 - Рекомендации о профилактике рецидива после операции (%)</w:t>
      </w:r>
    </w:p>
    <w:p w:rsidR="000A3797" w:rsidRDefault="00A660E7">
      <w:pPr>
        <w:tabs>
          <w:tab w:val="left" w:pos="1841"/>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Акушеры-гинекологи хирургической службы рекомендуют 77,1% от всех, выделенных нами, профилактических мероприятий, акушеры-гинекологи ПМСП охватывают в рекомендациях только 23,5% мер про</w:t>
      </w:r>
      <w:r>
        <w:rPr>
          <w:rFonts w:ascii="Times New Roman" w:eastAsia="Times New Roman" w:hAnsi="Times New Roman" w:cs="Times New Roman"/>
          <w:sz w:val="28"/>
          <w:szCs w:val="28"/>
        </w:rPr>
        <w:t xml:space="preserve">филактики, различия статистически значимы (р&lt;0,001), (рисунок 6) </w:t>
      </w:r>
      <w:r>
        <w:rPr>
          <w:rFonts w:ascii="Times New Roman" w:eastAsia="Times New Roman" w:hAnsi="Times New Roman" w:cs="Times New Roman"/>
          <w:sz w:val="28"/>
          <w:szCs w:val="28"/>
          <w:highlight w:val="white"/>
        </w:rPr>
        <w:t>[196, стр. 277]</w:t>
      </w:r>
      <w:r>
        <w:rPr>
          <w:rFonts w:ascii="Times New Roman" w:eastAsia="Times New Roman" w:hAnsi="Times New Roman" w:cs="Times New Roman"/>
          <w:sz w:val="28"/>
          <w:szCs w:val="28"/>
        </w:rPr>
        <w:t xml:space="preserve">. </w:t>
      </w:r>
    </w:p>
    <w:p w:rsidR="000A3797" w:rsidRDefault="000A3797">
      <w:pPr>
        <w:tabs>
          <w:tab w:val="left" w:pos="1841"/>
        </w:tabs>
        <w:spacing w:after="0" w:line="240" w:lineRule="auto"/>
        <w:rPr>
          <w:rFonts w:ascii="Times New Roman" w:eastAsia="Times New Roman" w:hAnsi="Times New Roman" w:cs="Times New Roman"/>
          <w:sz w:val="28"/>
          <w:szCs w:val="28"/>
        </w:rPr>
      </w:pPr>
    </w:p>
    <w:p w:rsidR="000A3797" w:rsidRDefault="00A660E7">
      <w:pPr>
        <w:tabs>
          <w:tab w:val="left" w:pos="1841"/>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6144895" cy="4901609"/>
            <wp:effectExtent l="0" t="0" r="8255" b="13335"/>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0A3797" w:rsidRDefault="00A660E7">
      <w:pPr>
        <w:tabs>
          <w:tab w:val="left" w:pos="1841"/>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6 – Рекомендуемые профилактические мероприятия в сравнении по группам</w:t>
      </w:r>
    </w:p>
    <w:p w:rsidR="000A3797" w:rsidRDefault="000A3797">
      <w:pPr>
        <w:tabs>
          <w:tab w:val="left" w:pos="1841"/>
        </w:tabs>
        <w:spacing w:after="0" w:line="240" w:lineRule="auto"/>
        <w:rPr>
          <w:rFonts w:ascii="Times New Roman" w:eastAsia="Times New Roman" w:hAnsi="Times New Roman" w:cs="Times New Roman"/>
          <w:sz w:val="28"/>
          <w:szCs w:val="28"/>
        </w:rPr>
      </w:pPr>
    </w:p>
    <w:p w:rsidR="000A3797" w:rsidRDefault="00A660E7">
      <w:pPr>
        <w:tabs>
          <w:tab w:val="left" w:pos="184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Выявлены статистически значимые различия в рекомендациях по профилактическим мерам между</w:t>
      </w:r>
      <w:r>
        <w:rPr>
          <w:rFonts w:ascii="Times New Roman" w:eastAsia="Times New Roman" w:hAnsi="Times New Roman" w:cs="Times New Roman"/>
          <w:sz w:val="28"/>
          <w:szCs w:val="28"/>
        </w:rPr>
        <w:t xml:space="preserve"> акушерами-гинекологами стационаров и ПМСП </w:t>
      </w:r>
      <w:r>
        <w:rPr>
          <w:rFonts w:ascii="Times New Roman" w:eastAsia="Times New Roman" w:hAnsi="Times New Roman" w:cs="Times New Roman"/>
          <w:sz w:val="28"/>
          <w:szCs w:val="28"/>
          <w:highlight w:val="white"/>
        </w:rPr>
        <w:t>[198, стр. 277]</w:t>
      </w:r>
      <w:r>
        <w:rPr>
          <w:rFonts w:ascii="Times New Roman" w:eastAsia="Times New Roman" w:hAnsi="Times New Roman" w:cs="Times New Roman"/>
          <w:sz w:val="28"/>
          <w:szCs w:val="28"/>
        </w:rPr>
        <w:t>.В большинстве случаев процент рекомендаций составляет менее 50%, при этом лишь 6% респондентов рекомендуют визиты к врачу каждые 6 месяцев</w:t>
      </w:r>
      <w:r>
        <w:rPr>
          <w:rFonts w:ascii="Times New Roman" w:eastAsia="Times New Roman" w:hAnsi="Times New Roman" w:cs="Times New Roman"/>
          <w:sz w:val="28"/>
          <w:szCs w:val="28"/>
          <w:highlight w:val="white"/>
        </w:rPr>
        <w:t>[198, стр. 277]</w:t>
      </w:r>
      <w:r>
        <w:rPr>
          <w:rFonts w:ascii="Times New Roman" w:eastAsia="Times New Roman" w:hAnsi="Times New Roman" w:cs="Times New Roman"/>
          <w:sz w:val="28"/>
          <w:szCs w:val="28"/>
        </w:rPr>
        <w:t>. Оперирующие врачи чаще предлагают профилактические меры, но меньше внимания уделяют реабилитации после операции, включая упражнения для тазовых мышц (23%) и контрольные осмотры каждые 6 месяцев (40%) (см. рисунок 6)</w:t>
      </w:r>
      <w:r>
        <w:rPr>
          <w:rFonts w:ascii="Times New Roman" w:eastAsia="Times New Roman" w:hAnsi="Times New Roman" w:cs="Times New Roman"/>
          <w:sz w:val="28"/>
          <w:szCs w:val="28"/>
          <w:highlight w:val="white"/>
        </w:rPr>
        <w:t xml:space="preserve"> [198, стр. 277]</w:t>
      </w:r>
      <w:r>
        <w:rPr>
          <w:rFonts w:ascii="Times New Roman" w:eastAsia="Times New Roman" w:hAnsi="Times New Roman" w:cs="Times New Roman"/>
          <w:sz w:val="28"/>
          <w:szCs w:val="28"/>
        </w:rPr>
        <w:t>.</w:t>
      </w:r>
    </w:p>
    <w:p w:rsidR="000A3797" w:rsidRDefault="00A660E7">
      <w:pPr>
        <w:tabs>
          <w:tab w:val="left" w:pos="184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Лишь 2 акушера-гин</w:t>
      </w:r>
      <w:r>
        <w:rPr>
          <w:rFonts w:ascii="Times New Roman" w:eastAsia="Times New Roman" w:hAnsi="Times New Roman" w:cs="Times New Roman"/>
          <w:sz w:val="28"/>
          <w:szCs w:val="28"/>
        </w:rPr>
        <w:t xml:space="preserve">еколога ПМСП (6%) фиксируют необходимость последующего регулярного наблюдения в протоколе осмотра, из оперирующих гинекологов регулярно наблюдают в частном порядке – 8 человек (26,7%) </w:t>
      </w:r>
      <w:r>
        <w:rPr>
          <w:rFonts w:ascii="Times New Roman" w:eastAsia="Times New Roman" w:hAnsi="Times New Roman" w:cs="Times New Roman"/>
          <w:sz w:val="28"/>
          <w:szCs w:val="28"/>
          <w:highlight w:val="white"/>
        </w:rPr>
        <w:t>[198, стр. 277]</w:t>
      </w:r>
      <w:r>
        <w:rPr>
          <w:rFonts w:ascii="Times New Roman" w:eastAsia="Times New Roman" w:hAnsi="Times New Roman" w:cs="Times New Roman"/>
          <w:sz w:val="28"/>
          <w:szCs w:val="28"/>
        </w:rPr>
        <w:t>. Остальные (22 человека, или 73,3%) направляют пациентов</w:t>
      </w:r>
      <w:r>
        <w:rPr>
          <w:rFonts w:ascii="Times New Roman" w:eastAsia="Times New Roman" w:hAnsi="Times New Roman" w:cs="Times New Roman"/>
          <w:sz w:val="28"/>
          <w:szCs w:val="28"/>
        </w:rPr>
        <w:t xml:space="preserve"> для наблюдения в поликлинику по месту жительства. Данные различия также являются статистически значимыми, сила взаимосвязи средняя (р=0,002, V-крамера = 0,315) (см. таблицу 22 и рисунок 7) </w:t>
      </w:r>
      <w:r>
        <w:rPr>
          <w:rFonts w:ascii="Times New Roman" w:eastAsia="Times New Roman" w:hAnsi="Times New Roman" w:cs="Times New Roman"/>
          <w:sz w:val="28"/>
          <w:szCs w:val="28"/>
          <w:highlight w:val="white"/>
        </w:rPr>
        <w:t>[198, стр. 277]</w:t>
      </w:r>
      <w:r>
        <w:rPr>
          <w:rFonts w:ascii="Times New Roman" w:eastAsia="Times New Roman" w:hAnsi="Times New Roman" w:cs="Times New Roman"/>
          <w:sz w:val="28"/>
          <w:szCs w:val="28"/>
        </w:rPr>
        <w:t>.</w:t>
      </w:r>
    </w:p>
    <w:p w:rsidR="000A3797" w:rsidRDefault="000A3797">
      <w:pPr>
        <w:tabs>
          <w:tab w:val="left" w:pos="1841"/>
        </w:tabs>
        <w:spacing w:after="0" w:line="240" w:lineRule="auto"/>
        <w:rPr>
          <w:rFonts w:ascii="Times New Roman" w:eastAsia="Times New Roman" w:hAnsi="Times New Roman" w:cs="Times New Roman"/>
          <w:sz w:val="28"/>
          <w:szCs w:val="28"/>
        </w:rPr>
      </w:pPr>
    </w:p>
    <w:p w:rsidR="000A3797" w:rsidRDefault="00A660E7">
      <w:pPr>
        <w:tabs>
          <w:tab w:val="left" w:pos="1841"/>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438898" cy="2030680"/>
            <wp:effectExtent l="0" t="0" r="9525" b="8255"/>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0A3797" w:rsidRDefault="00A660E7">
      <w:pPr>
        <w:tabs>
          <w:tab w:val="left" w:pos="1841"/>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7 - Регистрация пролеченных пациентов для дальнейшего наблюдения (%)</w:t>
      </w:r>
    </w:p>
    <w:p w:rsidR="000A3797" w:rsidRDefault="00A660E7">
      <w:pPr>
        <w:tabs>
          <w:tab w:val="left" w:pos="1841"/>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22 – Структура ответов гинекологов о рекомендациях профилактики генитального пролапса</w:t>
      </w:r>
    </w:p>
    <w:p w:rsidR="000A3797" w:rsidRDefault="000A3797">
      <w:pPr>
        <w:tabs>
          <w:tab w:val="left" w:pos="1841"/>
        </w:tabs>
        <w:spacing w:after="0" w:line="240" w:lineRule="auto"/>
        <w:rPr>
          <w:rFonts w:ascii="Times New Roman" w:eastAsia="Times New Roman" w:hAnsi="Times New Roman" w:cs="Times New Roman"/>
          <w:sz w:val="28"/>
          <w:szCs w:val="28"/>
        </w:rPr>
      </w:pPr>
    </w:p>
    <w:tbl>
      <w:tblPr>
        <w:tblStyle w:val="aff6"/>
        <w:tblW w:w="951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96"/>
        <w:gridCol w:w="1259"/>
        <w:gridCol w:w="1258"/>
        <w:gridCol w:w="1263"/>
        <w:gridCol w:w="1255"/>
        <w:gridCol w:w="1261"/>
        <w:gridCol w:w="1418"/>
      </w:tblGrid>
      <w:tr w:rsidR="000A3797">
        <w:tc>
          <w:tcPr>
            <w:tcW w:w="1796" w:type="dxa"/>
            <w:vMerge w:val="restart"/>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Вопросы</w:t>
            </w:r>
          </w:p>
        </w:tc>
        <w:tc>
          <w:tcPr>
            <w:tcW w:w="2517" w:type="dxa"/>
            <w:gridSpan w:val="2"/>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Врачи-гинекологи ПМСП</w:t>
            </w:r>
          </w:p>
        </w:tc>
        <w:tc>
          <w:tcPr>
            <w:tcW w:w="2518" w:type="dxa"/>
            <w:gridSpan w:val="2"/>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Хирурги-гинекологи</w:t>
            </w:r>
          </w:p>
        </w:tc>
        <w:tc>
          <w:tcPr>
            <w:tcW w:w="1261" w:type="dxa"/>
            <w:vMerge w:val="restart"/>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p-value</w:t>
            </w:r>
          </w:p>
        </w:tc>
        <w:tc>
          <w:tcPr>
            <w:tcW w:w="1418" w:type="dxa"/>
            <w:vMerge w:val="restart"/>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V-крамера</w:t>
            </w:r>
          </w:p>
        </w:tc>
      </w:tr>
      <w:tr w:rsidR="000A3797">
        <w:tc>
          <w:tcPr>
            <w:tcW w:w="1796"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259"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Да n(%)</w:t>
            </w:r>
          </w:p>
        </w:tc>
        <w:tc>
          <w:tcPr>
            <w:tcW w:w="1258"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Нет n(%)</w:t>
            </w:r>
          </w:p>
        </w:tc>
        <w:tc>
          <w:tcPr>
            <w:tcW w:w="1263"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Да n(%)</w:t>
            </w:r>
          </w:p>
        </w:tc>
        <w:tc>
          <w:tcPr>
            <w:tcW w:w="1255"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Нет n(%)</w:t>
            </w:r>
          </w:p>
        </w:tc>
        <w:tc>
          <w:tcPr>
            <w:tcW w:w="1261"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418"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796"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259"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258"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263"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255"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261"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418"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r>
      <w:tr w:rsidR="000A3797">
        <w:tc>
          <w:tcPr>
            <w:tcW w:w="1796"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Дают рекомендации о профилактике ГП после родов</w:t>
            </w:r>
          </w:p>
        </w:tc>
        <w:tc>
          <w:tcPr>
            <w:tcW w:w="1259"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24 (76,5)</w:t>
            </w:r>
          </w:p>
        </w:tc>
        <w:tc>
          <w:tcPr>
            <w:tcW w:w="1258"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8 (23,5)</w:t>
            </w:r>
          </w:p>
        </w:tc>
        <w:tc>
          <w:tcPr>
            <w:tcW w:w="1263"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30 (100)</w:t>
            </w:r>
          </w:p>
        </w:tc>
        <w:tc>
          <w:tcPr>
            <w:tcW w:w="1255"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1261"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0,045**</w:t>
            </w:r>
          </w:p>
        </w:tc>
        <w:tc>
          <w:tcPr>
            <w:tcW w:w="1418"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0,370***</w:t>
            </w:r>
          </w:p>
        </w:tc>
      </w:tr>
      <w:tr w:rsidR="000A3797">
        <w:tc>
          <w:tcPr>
            <w:tcW w:w="1796"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рекомендации о профилактике ГП до родов</w:t>
            </w:r>
          </w:p>
        </w:tc>
        <w:tc>
          <w:tcPr>
            <w:tcW w:w="1259"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6 (17,6)</w:t>
            </w:r>
          </w:p>
        </w:tc>
        <w:tc>
          <w:tcPr>
            <w:tcW w:w="1258"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26 (82,4)</w:t>
            </w:r>
          </w:p>
        </w:tc>
        <w:tc>
          <w:tcPr>
            <w:tcW w:w="1263"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30 (100)</w:t>
            </w:r>
          </w:p>
        </w:tc>
        <w:tc>
          <w:tcPr>
            <w:tcW w:w="1255"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1261"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0,104**</w:t>
            </w:r>
          </w:p>
        </w:tc>
        <w:tc>
          <w:tcPr>
            <w:tcW w:w="1418"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0,315***</w:t>
            </w:r>
          </w:p>
        </w:tc>
      </w:tr>
      <w:tr w:rsidR="000A3797">
        <w:tc>
          <w:tcPr>
            <w:tcW w:w="1796"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Часто сталкиваются с начальными проявлениями ГП</w:t>
            </w:r>
          </w:p>
        </w:tc>
        <w:tc>
          <w:tcPr>
            <w:tcW w:w="1259"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23 (70,6)</w:t>
            </w:r>
          </w:p>
        </w:tc>
        <w:tc>
          <w:tcPr>
            <w:tcW w:w="1258"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9 (29,4)</w:t>
            </w:r>
          </w:p>
        </w:tc>
        <w:tc>
          <w:tcPr>
            <w:tcW w:w="1263"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30 (100)</w:t>
            </w:r>
          </w:p>
        </w:tc>
        <w:tc>
          <w:tcPr>
            <w:tcW w:w="1255"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1261"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0,019*</w:t>
            </w:r>
          </w:p>
        </w:tc>
        <w:tc>
          <w:tcPr>
            <w:tcW w:w="1418"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0,420***</w:t>
            </w:r>
          </w:p>
        </w:tc>
      </w:tr>
      <w:tr w:rsidR="000A3797">
        <w:tc>
          <w:tcPr>
            <w:tcW w:w="1796"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Дают рекомендации о профилактике при начальных стадиях ГП</w:t>
            </w:r>
          </w:p>
        </w:tc>
        <w:tc>
          <w:tcPr>
            <w:tcW w:w="1259"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13 (41,2)</w:t>
            </w:r>
          </w:p>
        </w:tc>
        <w:tc>
          <w:tcPr>
            <w:tcW w:w="1258"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19 (58,8)</w:t>
            </w:r>
          </w:p>
          <w:p w:rsidR="000A3797" w:rsidRDefault="000A3797">
            <w:pPr>
              <w:tabs>
                <w:tab w:val="left" w:pos="1841"/>
              </w:tabs>
              <w:rPr>
                <w:rFonts w:ascii="Times New Roman" w:eastAsia="Times New Roman" w:hAnsi="Times New Roman" w:cs="Times New Roman"/>
                <w:sz w:val="24"/>
                <w:szCs w:val="24"/>
              </w:rPr>
            </w:pPr>
          </w:p>
        </w:tc>
        <w:tc>
          <w:tcPr>
            <w:tcW w:w="1263"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30 (100)</w:t>
            </w:r>
          </w:p>
        </w:tc>
        <w:tc>
          <w:tcPr>
            <w:tcW w:w="1255"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1261"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0,003*</w:t>
            </w:r>
          </w:p>
        </w:tc>
        <w:tc>
          <w:tcPr>
            <w:tcW w:w="1418"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0,514***</w:t>
            </w:r>
          </w:p>
        </w:tc>
      </w:tr>
      <w:tr w:rsidR="000A3797">
        <w:tc>
          <w:tcPr>
            <w:tcW w:w="1796"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Дают рекомендации о профилактике рецидива ГП после операции</w:t>
            </w:r>
          </w:p>
        </w:tc>
        <w:tc>
          <w:tcPr>
            <w:tcW w:w="1259"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15 (47,1)</w:t>
            </w:r>
          </w:p>
        </w:tc>
        <w:tc>
          <w:tcPr>
            <w:tcW w:w="1258"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17 (52,9)</w:t>
            </w:r>
          </w:p>
        </w:tc>
        <w:tc>
          <w:tcPr>
            <w:tcW w:w="1263"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30 (100)</w:t>
            </w:r>
          </w:p>
        </w:tc>
        <w:tc>
          <w:tcPr>
            <w:tcW w:w="1255"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1261"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1418"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0,605***</w:t>
            </w:r>
          </w:p>
        </w:tc>
      </w:tr>
    </w:tbl>
    <w:p w:rsidR="000A3797" w:rsidRDefault="000A3797">
      <w:pPr>
        <w:rPr>
          <w:rFonts w:ascii="Times New Roman" w:eastAsia="Times New Roman" w:hAnsi="Times New Roman" w:cs="Times New Roman"/>
          <w:sz w:val="28"/>
          <w:szCs w:val="28"/>
        </w:rPr>
      </w:pPr>
    </w:p>
    <w:p w:rsidR="000A3797" w:rsidRDefault="00A660E7">
      <w:pPr>
        <w:rPr>
          <w:rFonts w:ascii="Times New Roman" w:eastAsia="Times New Roman" w:hAnsi="Times New Roman" w:cs="Times New Roman"/>
          <w:sz w:val="28"/>
          <w:szCs w:val="28"/>
        </w:rPr>
      </w:pPr>
      <w:r>
        <w:rPr>
          <w:rFonts w:ascii="Times New Roman" w:eastAsia="Times New Roman" w:hAnsi="Times New Roman" w:cs="Times New Roman"/>
          <w:sz w:val="28"/>
          <w:szCs w:val="28"/>
        </w:rPr>
        <w:t>Продолжение таблицы 22</w:t>
      </w:r>
    </w:p>
    <w:tbl>
      <w:tblPr>
        <w:tblStyle w:val="aff7"/>
        <w:tblW w:w="951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96"/>
        <w:gridCol w:w="1259"/>
        <w:gridCol w:w="1258"/>
        <w:gridCol w:w="1263"/>
        <w:gridCol w:w="1255"/>
        <w:gridCol w:w="1261"/>
        <w:gridCol w:w="1418"/>
      </w:tblGrid>
      <w:tr w:rsidR="000A3797">
        <w:tc>
          <w:tcPr>
            <w:tcW w:w="1796"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259"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258"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263"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255"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261"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418"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r>
      <w:tr w:rsidR="000A3797">
        <w:tc>
          <w:tcPr>
            <w:tcW w:w="1796"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мнение врачей о необходимости регулярного посещения пациентов с ГП после операции</w:t>
            </w:r>
          </w:p>
        </w:tc>
        <w:tc>
          <w:tcPr>
            <w:tcW w:w="1259"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24 (76,5)</w:t>
            </w:r>
          </w:p>
        </w:tc>
        <w:tc>
          <w:tcPr>
            <w:tcW w:w="1258"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8 (23,5)</w:t>
            </w:r>
          </w:p>
        </w:tc>
        <w:tc>
          <w:tcPr>
            <w:tcW w:w="1263"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30 (100)</w:t>
            </w:r>
          </w:p>
        </w:tc>
        <w:tc>
          <w:tcPr>
            <w:tcW w:w="1255"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1261"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0,045*</w:t>
            </w:r>
          </w:p>
        </w:tc>
        <w:tc>
          <w:tcPr>
            <w:tcW w:w="1418"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0,370***</w:t>
            </w:r>
          </w:p>
        </w:tc>
      </w:tr>
      <w:tr w:rsidR="000A3797">
        <w:tc>
          <w:tcPr>
            <w:tcW w:w="1796"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регистрация начальных стадий пролапса в протоколе осмотра</w:t>
            </w:r>
          </w:p>
          <w:p w:rsidR="000A3797" w:rsidRDefault="000A3797">
            <w:pPr>
              <w:tabs>
                <w:tab w:val="left" w:pos="1841"/>
              </w:tabs>
              <w:rPr>
                <w:rFonts w:ascii="Times New Roman" w:eastAsia="Times New Roman" w:hAnsi="Times New Roman" w:cs="Times New Roman"/>
                <w:sz w:val="24"/>
                <w:szCs w:val="24"/>
              </w:rPr>
            </w:pPr>
          </w:p>
        </w:tc>
        <w:tc>
          <w:tcPr>
            <w:tcW w:w="1259"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4 (11,8)</w:t>
            </w:r>
          </w:p>
        </w:tc>
        <w:tc>
          <w:tcPr>
            <w:tcW w:w="1258"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28 (88,2)</w:t>
            </w:r>
          </w:p>
          <w:p w:rsidR="000A3797" w:rsidRDefault="000A3797">
            <w:pPr>
              <w:tabs>
                <w:tab w:val="left" w:pos="1841"/>
              </w:tabs>
              <w:rPr>
                <w:rFonts w:ascii="Times New Roman" w:eastAsia="Times New Roman" w:hAnsi="Times New Roman" w:cs="Times New Roman"/>
                <w:sz w:val="24"/>
                <w:szCs w:val="24"/>
              </w:rPr>
            </w:pPr>
          </w:p>
        </w:tc>
        <w:tc>
          <w:tcPr>
            <w:tcW w:w="1263"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30 (100)</w:t>
            </w:r>
          </w:p>
        </w:tc>
        <w:tc>
          <w:tcPr>
            <w:tcW w:w="1255"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1261"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0,019*</w:t>
            </w:r>
          </w:p>
        </w:tc>
        <w:tc>
          <w:tcPr>
            <w:tcW w:w="1418"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0,420***</w:t>
            </w:r>
          </w:p>
        </w:tc>
      </w:tr>
      <w:tr w:rsidR="000A3797">
        <w:trPr>
          <w:trHeight w:val="1060"/>
        </w:trPr>
        <w:tc>
          <w:tcPr>
            <w:tcW w:w="1796"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регистрация пролеченных пациентов с ГП для дальнейшего наблюдения</w:t>
            </w:r>
          </w:p>
          <w:p w:rsidR="000A3797" w:rsidRDefault="000A3797">
            <w:pPr>
              <w:tabs>
                <w:tab w:val="left" w:pos="1841"/>
              </w:tabs>
              <w:rPr>
                <w:rFonts w:ascii="Times New Roman" w:eastAsia="Times New Roman" w:hAnsi="Times New Roman" w:cs="Times New Roman"/>
                <w:sz w:val="24"/>
                <w:szCs w:val="24"/>
              </w:rPr>
            </w:pPr>
          </w:p>
        </w:tc>
        <w:tc>
          <w:tcPr>
            <w:tcW w:w="1259"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2 (6)</w:t>
            </w:r>
          </w:p>
        </w:tc>
        <w:tc>
          <w:tcPr>
            <w:tcW w:w="1258"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30 (99,4%)</w:t>
            </w:r>
          </w:p>
        </w:tc>
        <w:tc>
          <w:tcPr>
            <w:tcW w:w="1263"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8 (26,7)</w:t>
            </w:r>
          </w:p>
        </w:tc>
        <w:tc>
          <w:tcPr>
            <w:tcW w:w="1255"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22 (73,3)</w:t>
            </w:r>
          </w:p>
        </w:tc>
        <w:tc>
          <w:tcPr>
            <w:tcW w:w="1261"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0,002*</w:t>
            </w:r>
          </w:p>
        </w:tc>
        <w:tc>
          <w:tcPr>
            <w:tcW w:w="1418" w:type="dxa"/>
          </w:tcPr>
          <w:p w:rsidR="000A3797" w:rsidRDefault="00A660E7">
            <w:pPr>
              <w:tabs>
                <w:tab w:val="left" w:pos="1841"/>
              </w:tabs>
              <w:rPr>
                <w:rFonts w:ascii="Times New Roman" w:eastAsia="Times New Roman" w:hAnsi="Times New Roman" w:cs="Times New Roman"/>
                <w:sz w:val="24"/>
                <w:szCs w:val="24"/>
              </w:rPr>
            </w:pPr>
            <w:r>
              <w:rPr>
                <w:rFonts w:ascii="Times New Roman" w:eastAsia="Times New Roman" w:hAnsi="Times New Roman" w:cs="Times New Roman"/>
                <w:sz w:val="24"/>
                <w:szCs w:val="24"/>
              </w:rPr>
              <w:t>0,315***</w:t>
            </w:r>
          </w:p>
        </w:tc>
      </w:tr>
    </w:tbl>
    <w:p w:rsidR="000A3797" w:rsidRDefault="000A3797">
      <w:pPr>
        <w:tabs>
          <w:tab w:val="left" w:pos="1841"/>
        </w:tabs>
        <w:spacing w:after="0" w:line="240" w:lineRule="auto"/>
        <w:rPr>
          <w:rFonts w:ascii="Times New Roman" w:eastAsia="Times New Roman" w:hAnsi="Times New Roman" w:cs="Times New Roman"/>
          <w:sz w:val="28"/>
          <w:szCs w:val="28"/>
        </w:rPr>
      </w:pPr>
    </w:p>
    <w:p w:rsidR="000A3797" w:rsidRDefault="00A660E7">
      <w:pPr>
        <w:tabs>
          <w:tab w:val="left" w:pos="184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Частота осмотров у оперирующих гинекологов, наблюдающих пациентов в частном порядке, составляет 1 раз в 6 месяцев [198, стр. 277]. В ПМСП 23,5% врачей (8 человек) осматривают пациентов после операции на генитальный пролапс реже, чем раз в год [198, стр</w:t>
      </w:r>
      <w:r>
        <w:rPr>
          <w:rFonts w:ascii="Times New Roman" w:eastAsia="Times New Roman" w:hAnsi="Times New Roman" w:cs="Times New Roman"/>
          <w:sz w:val="28"/>
          <w:szCs w:val="28"/>
        </w:rPr>
        <w:t>. 277], остальные респонденты динамически не наблюдают пациентов после операции. Различия в частоте осмотров между гинекологами обеих групп статистически значимы и имеют относительно сильную взаимосвязь (р=0,004, V-крамера = 0,623) (см. рисунок 8) [198, ст</w:t>
      </w:r>
      <w:r>
        <w:rPr>
          <w:rFonts w:ascii="Times New Roman" w:eastAsia="Times New Roman" w:hAnsi="Times New Roman" w:cs="Times New Roman"/>
          <w:sz w:val="28"/>
          <w:szCs w:val="28"/>
        </w:rPr>
        <w:t>р. 277]. При рецидиве симптомов ГП 29,4% (9 врачей ПМСП) рекомендуют пациентам обращаться к хирургу [198, стр. 277].</w:t>
      </w:r>
    </w:p>
    <w:p w:rsidR="000A3797" w:rsidRDefault="000A3797">
      <w:pPr>
        <w:tabs>
          <w:tab w:val="left" w:pos="1841"/>
        </w:tabs>
        <w:spacing w:after="0" w:line="240" w:lineRule="auto"/>
        <w:rPr>
          <w:rFonts w:ascii="Times New Roman" w:eastAsia="Times New Roman" w:hAnsi="Times New Roman" w:cs="Times New Roman"/>
          <w:sz w:val="28"/>
          <w:szCs w:val="28"/>
        </w:rPr>
      </w:pPr>
    </w:p>
    <w:p w:rsidR="000A3797" w:rsidRDefault="000A3797">
      <w:pPr>
        <w:tabs>
          <w:tab w:val="left" w:pos="1841"/>
        </w:tabs>
        <w:spacing w:after="0" w:line="240" w:lineRule="auto"/>
        <w:rPr>
          <w:rFonts w:ascii="Times New Roman" w:eastAsia="Times New Roman" w:hAnsi="Times New Roman" w:cs="Times New Roman"/>
          <w:sz w:val="28"/>
          <w:szCs w:val="28"/>
        </w:rPr>
      </w:pPr>
    </w:p>
    <w:p w:rsidR="000A3797" w:rsidRDefault="00A660E7">
      <w:pPr>
        <w:tabs>
          <w:tab w:val="left" w:pos="1841"/>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276850" cy="2105025"/>
            <wp:effectExtent l="0" t="0" r="0" b="9525"/>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0A3797" w:rsidRDefault="00A660E7">
      <w:pPr>
        <w:tabs>
          <w:tab w:val="left" w:pos="1841"/>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8 - Частота осмотров после операции</w:t>
      </w:r>
    </w:p>
    <w:p w:rsidR="000A3797" w:rsidRDefault="000A3797">
      <w:pPr>
        <w:tabs>
          <w:tab w:val="left" w:pos="1841"/>
        </w:tabs>
        <w:spacing w:after="0" w:line="240" w:lineRule="auto"/>
        <w:jc w:val="center"/>
        <w:rPr>
          <w:rFonts w:ascii="Times New Roman" w:eastAsia="Times New Roman" w:hAnsi="Times New Roman" w:cs="Times New Roman"/>
          <w:sz w:val="28"/>
          <w:szCs w:val="28"/>
        </w:rPr>
      </w:pP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Обсуждение результатов 3.4</w:t>
      </w:r>
    </w:p>
    <w:p w:rsidR="000A3797" w:rsidRDefault="000A3797">
      <w:pPr>
        <w:spacing w:after="0" w:line="240" w:lineRule="auto"/>
        <w:jc w:val="both"/>
        <w:rPr>
          <w:rFonts w:ascii="Times New Roman" w:eastAsia="Times New Roman" w:hAnsi="Times New Roman" w:cs="Times New Roman"/>
          <w:sz w:val="28"/>
          <w:szCs w:val="28"/>
        </w:rPr>
      </w:pP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Анализ выявил статистически значимые различия в оценке знаний по профилактике и диагностике пролапса среди акушеров-гинекологов ПМСП и стационаров. Врачи хирургического профиля продемонстрировали более высокий уровень знаний, чаще фиксируя начальные стадии</w:t>
      </w:r>
      <w:r>
        <w:rPr>
          <w:rFonts w:ascii="Times New Roman" w:eastAsia="Times New Roman" w:hAnsi="Times New Roman" w:cs="Times New Roman"/>
          <w:sz w:val="28"/>
          <w:szCs w:val="28"/>
        </w:rPr>
        <w:t xml:space="preserve"> пролапса и предоставляя рекомендации по профилактике, тогда как акушеры-гинекологи ПМСП преимущественно сосредотачиваются на ведении беременности и послеродовом периоде. </w:t>
      </w:r>
    </w:p>
    <w:p w:rsidR="000A3797" w:rsidRDefault="000A3797">
      <w:pPr>
        <w:spacing w:after="0" w:line="240" w:lineRule="auto"/>
        <w:ind w:firstLine="708"/>
        <w:jc w:val="both"/>
        <w:rPr>
          <w:rFonts w:ascii="Times New Roman" w:eastAsia="Times New Roman" w:hAnsi="Times New Roman" w:cs="Times New Roman"/>
          <w:sz w:val="28"/>
          <w:szCs w:val="28"/>
        </w:rPr>
      </w:pP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Как показал анализ, после операции в большинстве случаев  оперирующие акушер-гинекологи (73,3%) направляют пациентов для наблюдение в организации ПМСП, тогда как акушеры -гинекологи ПМСП только в 23% случаях наблюдают пациентов реже 1 раза в год. Также вра</w:t>
      </w:r>
      <w:r>
        <w:rPr>
          <w:rFonts w:ascii="Times New Roman" w:eastAsia="Times New Roman" w:hAnsi="Times New Roman" w:cs="Times New Roman"/>
          <w:sz w:val="28"/>
          <w:szCs w:val="28"/>
        </w:rPr>
        <w:t>чи хирургического профиля статистически значимо чаще информируют пациентов о факторах риска рецидива по сравнению с гинекологами ПМСП. Акушеры-гинекологи стационара рекомендуют 77,1% от всех, выделенных нами, профилактических мероприятий, на уровне  ПМСП -</w:t>
      </w:r>
      <w:r>
        <w:rPr>
          <w:rFonts w:ascii="Times New Roman" w:eastAsia="Times New Roman" w:hAnsi="Times New Roman" w:cs="Times New Roman"/>
          <w:sz w:val="28"/>
          <w:szCs w:val="28"/>
        </w:rPr>
        <w:t xml:space="preserve"> охватывают в рекомендациях только 23,5% мер профилактики, различия статистически значимы (р&lt;0,001).</w:t>
      </w:r>
    </w:p>
    <w:p w:rsidR="000A3797" w:rsidRDefault="000A3797">
      <w:pPr>
        <w:spacing w:after="0" w:line="240" w:lineRule="auto"/>
        <w:ind w:firstLine="708"/>
        <w:jc w:val="both"/>
        <w:rPr>
          <w:rFonts w:ascii="Times New Roman" w:eastAsia="Times New Roman" w:hAnsi="Times New Roman" w:cs="Times New Roman"/>
          <w:sz w:val="28"/>
          <w:szCs w:val="28"/>
        </w:rPr>
      </w:pP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связи с недостаточной преемственностью и пробелами знаний по профилактике и диагностике пролапса, нами был разработан алгоритм ведения пациентов после о</w:t>
      </w:r>
      <w:r>
        <w:rPr>
          <w:rFonts w:ascii="Times New Roman" w:eastAsia="Times New Roman" w:hAnsi="Times New Roman" w:cs="Times New Roman"/>
          <w:sz w:val="28"/>
          <w:szCs w:val="28"/>
        </w:rPr>
        <w:t>перации [</w:t>
      </w:r>
      <w:r>
        <w:rPr>
          <w:rFonts w:ascii="Times New Roman" w:eastAsia="Times New Roman" w:hAnsi="Times New Roman" w:cs="Times New Roman"/>
          <w:sz w:val="28"/>
          <w:szCs w:val="28"/>
          <w:highlight w:val="white"/>
        </w:rPr>
        <w:t xml:space="preserve">210] </w:t>
      </w:r>
      <w:r>
        <w:rPr>
          <w:rFonts w:ascii="Times New Roman" w:eastAsia="Times New Roman" w:hAnsi="Times New Roman" w:cs="Times New Roman"/>
          <w:sz w:val="28"/>
          <w:szCs w:val="28"/>
        </w:rPr>
        <w:t>(Приложение Ж) и созданы образовательные программы для врачей [211] (Приложение И) и среднего медицинского персонала [212] (Приложение К). Программы успешно внедрены, и на их основе проведено обучение, направленное на повышение квалификации с</w:t>
      </w:r>
      <w:r>
        <w:rPr>
          <w:rFonts w:ascii="Times New Roman" w:eastAsia="Times New Roman" w:hAnsi="Times New Roman" w:cs="Times New Roman"/>
          <w:sz w:val="28"/>
          <w:szCs w:val="28"/>
        </w:rPr>
        <w:t xml:space="preserve">пециалистов в вопросах послеоперационного наблюдения в трех медицинских организациях (Приложение М). </w:t>
      </w:r>
    </w:p>
    <w:p w:rsidR="000A3797" w:rsidRDefault="000A3797">
      <w:pPr>
        <w:spacing w:after="0" w:line="240" w:lineRule="auto"/>
        <w:jc w:val="both"/>
        <w:rPr>
          <w:rFonts w:ascii="Times New Roman" w:eastAsia="Times New Roman" w:hAnsi="Times New Roman" w:cs="Times New Roman"/>
          <w:b/>
          <w:sz w:val="28"/>
          <w:szCs w:val="28"/>
        </w:rPr>
      </w:pPr>
    </w:p>
    <w:p w:rsidR="000A3797" w:rsidRDefault="00A660E7">
      <w:pPr>
        <w:numPr>
          <w:ilvl w:val="1"/>
          <w:numId w:val="14"/>
        </w:numPr>
        <w:pBdr>
          <w:top w:val="nil"/>
          <w:left w:val="nil"/>
          <w:bottom w:val="nil"/>
          <w:right w:val="nil"/>
          <w:between w:val="nil"/>
        </w:pBdr>
        <w:spacing w:after="0" w:line="24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sz w:val="28"/>
          <w:szCs w:val="28"/>
        </w:rPr>
        <w:t>Влияние одномоментного устранения (комплексного подхода)  всех выпадающих структур таза и функциональных нарушений за одно оперативное вмешательство на к</w:t>
      </w:r>
      <w:r>
        <w:rPr>
          <w:rFonts w:ascii="Times New Roman" w:eastAsia="Times New Roman" w:hAnsi="Times New Roman" w:cs="Times New Roman"/>
          <w:b/>
          <w:color w:val="000000"/>
          <w:sz w:val="28"/>
          <w:szCs w:val="28"/>
        </w:rPr>
        <w:t>ачество жизни пациентов</w:t>
      </w:r>
    </w:p>
    <w:p w:rsidR="000A3797" w:rsidRDefault="000A3797">
      <w:pPr>
        <w:spacing w:after="0" w:line="240" w:lineRule="auto"/>
        <w:jc w:val="both"/>
        <w:rPr>
          <w:rFonts w:ascii="Times New Roman" w:eastAsia="Times New Roman" w:hAnsi="Times New Roman" w:cs="Times New Roman"/>
          <w:sz w:val="28"/>
          <w:szCs w:val="28"/>
        </w:rPr>
      </w:pPr>
    </w:p>
    <w:p w:rsidR="000A3797" w:rsidRDefault="00A660E7">
      <w:pPr>
        <w:spacing w:after="0" w:line="240" w:lineRule="auto"/>
        <w:ind w:firstLine="37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Медиана и интерквартильный размах показателей качества жизни по всем доменам до лечения не имели статистически значимых различий между группами (Таблица 23). Более 50% пациентов достигли показателей выше медианных по всем доменам, </w:t>
      </w:r>
      <w:r>
        <w:rPr>
          <w:rFonts w:ascii="Times New Roman" w:eastAsia="Times New Roman" w:hAnsi="Times New Roman" w:cs="Times New Roman"/>
          <w:sz w:val="28"/>
          <w:szCs w:val="28"/>
        </w:rPr>
        <w:t>кроме «Физические и социальные ограничения», «Межличностное взаимодействие» и «Нарушение сна и бодрствования», что говорит об уровня качестве жизни ниже среднего (названия доменов адаптированы из версии Коршунова М. ПД-КЖ)[60, стр. 4]</w:t>
      </w:r>
    </w:p>
    <w:p w:rsidR="000A3797" w:rsidRDefault="000A3797">
      <w:pPr>
        <w:pBdr>
          <w:top w:val="nil"/>
          <w:left w:val="nil"/>
          <w:bottom w:val="nil"/>
          <w:right w:val="nil"/>
          <w:between w:val="nil"/>
        </w:pBdr>
        <w:spacing w:after="0" w:line="240" w:lineRule="auto"/>
        <w:ind w:left="502"/>
        <w:jc w:val="both"/>
        <w:rPr>
          <w:rFonts w:ascii="Times New Roman" w:eastAsia="Times New Roman" w:hAnsi="Times New Roman" w:cs="Times New Roman"/>
          <w:color w:val="000000"/>
          <w:sz w:val="28"/>
          <w:szCs w:val="28"/>
        </w:rPr>
      </w:pPr>
    </w:p>
    <w:p w:rsidR="000A3797" w:rsidRDefault="00A660E7">
      <w:pPr>
        <w:spacing w:after="0" w:line="240" w:lineRule="auto"/>
        <w:ind w:firstLine="37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После лечения в основной группе наблюдалось статистически значимое снижение показателей по всем доменам, подтверждающее эффективность терапии в отношении улучшения качества жизни (р&lt;0,05). В контрольной группе также отмечалось улучшение в большинстве домен</w:t>
      </w:r>
      <w:r>
        <w:rPr>
          <w:rFonts w:ascii="Times New Roman" w:eastAsia="Times New Roman" w:hAnsi="Times New Roman" w:cs="Times New Roman"/>
          <w:sz w:val="28"/>
          <w:szCs w:val="28"/>
        </w:rPr>
        <w:t>ов после первой операции, однако результаты в основной группе были статистически значимо лучше по всем параметрам (Таблица 23).</w:t>
      </w:r>
    </w:p>
    <w:p w:rsidR="000A3797" w:rsidRDefault="00A660E7">
      <w:pPr>
        <w:spacing w:after="0" w:line="240" w:lineRule="auto"/>
        <w:ind w:firstLine="37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Спустя шесть месяцев в основной группе количество случаев с достижением медианных значений по всем доменам существенно сократило</w:t>
      </w:r>
      <w:r>
        <w:rPr>
          <w:rFonts w:ascii="Times New Roman" w:eastAsia="Times New Roman" w:hAnsi="Times New Roman" w:cs="Times New Roman"/>
          <w:sz w:val="28"/>
          <w:szCs w:val="28"/>
        </w:rPr>
        <w:t>сь — не более чем в 5 случаях (12%), что свидетельствует о сохранении положительного эффекта и достижения уровня качества жизни выше среднего. В контрольной группе снижение количества таких случаев было статистически значимым в доменах, кроме 5, 6 и 7 (Таб</w:t>
      </w:r>
      <w:r>
        <w:rPr>
          <w:rFonts w:ascii="Times New Roman" w:eastAsia="Times New Roman" w:hAnsi="Times New Roman" w:cs="Times New Roman"/>
          <w:sz w:val="28"/>
          <w:szCs w:val="28"/>
        </w:rPr>
        <w:t>лица 24). Общие различия между группами после лечения были статистически значимы по всем доменам, что подтверждает значительное улучшение качества жизни в основной группе (Таблица 24).</w:t>
      </w:r>
    </w:p>
    <w:p w:rsidR="000A3797" w:rsidRDefault="000A3797">
      <w:pPr>
        <w:pBdr>
          <w:top w:val="nil"/>
          <w:left w:val="nil"/>
          <w:bottom w:val="nil"/>
          <w:right w:val="nil"/>
          <w:between w:val="nil"/>
        </w:pBdr>
        <w:spacing w:after="0" w:line="240" w:lineRule="auto"/>
        <w:ind w:left="502"/>
        <w:rPr>
          <w:rFonts w:ascii="Times New Roman" w:eastAsia="Times New Roman" w:hAnsi="Times New Roman" w:cs="Times New Roman"/>
          <w:color w:val="000000"/>
          <w:sz w:val="28"/>
          <w:szCs w:val="28"/>
        </w:rPr>
      </w:pPr>
    </w:p>
    <w:p w:rsidR="000A3797" w:rsidRDefault="00A660E7">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23 – Сравнительная оценка качества жизни через 6 месяцев после</w:t>
      </w:r>
      <w:r>
        <w:rPr>
          <w:rFonts w:ascii="Times New Roman" w:eastAsia="Times New Roman" w:hAnsi="Times New Roman" w:cs="Times New Roman"/>
          <w:sz w:val="28"/>
          <w:szCs w:val="28"/>
        </w:rPr>
        <w:t xml:space="preserve"> хирургического лечения (домены адаптированы из версии Коршунова М. ПД-КЖ [60, стр. 4]</w:t>
      </w:r>
    </w:p>
    <w:p w:rsidR="000A3797" w:rsidRDefault="000A3797">
      <w:pPr>
        <w:spacing w:after="0" w:line="240" w:lineRule="auto"/>
        <w:rPr>
          <w:rFonts w:ascii="Times New Roman" w:eastAsia="Times New Roman" w:hAnsi="Times New Roman" w:cs="Times New Roman"/>
          <w:sz w:val="28"/>
          <w:szCs w:val="28"/>
        </w:rPr>
      </w:pPr>
    </w:p>
    <w:tbl>
      <w:tblPr>
        <w:tblStyle w:val="aff8"/>
        <w:tblW w:w="9498"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10"/>
        <w:gridCol w:w="993"/>
        <w:gridCol w:w="992"/>
        <w:gridCol w:w="425"/>
        <w:gridCol w:w="992"/>
        <w:gridCol w:w="1134"/>
        <w:gridCol w:w="851"/>
        <w:gridCol w:w="850"/>
        <w:gridCol w:w="851"/>
      </w:tblGrid>
      <w:tr w:rsidR="000A3797">
        <w:tc>
          <w:tcPr>
            <w:tcW w:w="2410" w:type="dxa"/>
            <w:vMerge w:val="restart"/>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домен</w:t>
            </w:r>
          </w:p>
        </w:tc>
        <w:tc>
          <w:tcPr>
            <w:tcW w:w="1985" w:type="dxa"/>
            <w:gridSpan w:val="2"/>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До</w:t>
            </w:r>
          </w:p>
        </w:tc>
        <w:tc>
          <w:tcPr>
            <w:tcW w:w="425" w:type="dxa"/>
            <w:vMerge w:val="restart"/>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p</w:t>
            </w:r>
          </w:p>
        </w:tc>
        <w:tc>
          <w:tcPr>
            <w:tcW w:w="2126" w:type="dxa"/>
            <w:gridSpan w:val="2"/>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После</w:t>
            </w:r>
          </w:p>
        </w:tc>
        <w:tc>
          <w:tcPr>
            <w:tcW w:w="851" w:type="dxa"/>
            <w:vMerge w:val="restart"/>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p-value</w:t>
            </w:r>
          </w:p>
        </w:tc>
        <w:tc>
          <w:tcPr>
            <w:tcW w:w="850" w:type="dxa"/>
            <w:vMerge w:val="restart"/>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p-value</w:t>
            </w:r>
          </w:p>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b/>
                <w:sz w:val="24"/>
                <w:szCs w:val="24"/>
              </w:rPr>
              <w:t>основная группа</w:t>
            </w:r>
            <w:r>
              <w:rPr>
                <w:rFonts w:ascii="Times New Roman" w:eastAsia="Times New Roman" w:hAnsi="Times New Roman" w:cs="Times New Roman"/>
                <w:sz w:val="24"/>
                <w:szCs w:val="24"/>
              </w:rPr>
              <w:t xml:space="preserve"> до и после</w:t>
            </w:r>
          </w:p>
        </w:tc>
        <w:tc>
          <w:tcPr>
            <w:tcW w:w="851" w:type="dxa"/>
            <w:vMerge w:val="restart"/>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p-value</w:t>
            </w:r>
          </w:p>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контрольная группа до и после</w:t>
            </w:r>
          </w:p>
        </w:tc>
      </w:tr>
      <w:tr w:rsidR="000A3797">
        <w:tc>
          <w:tcPr>
            <w:tcW w:w="2410"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993"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Основная группа</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Контрольная группа</w:t>
            </w:r>
          </w:p>
        </w:tc>
        <w:tc>
          <w:tcPr>
            <w:tcW w:w="425"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Основная группа</w:t>
            </w:r>
          </w:p>
        </w:tc>
        <w:tc>
          <w:tcPr>
            <w:tcW w:w="1134"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Контрольная группа</w:t>
            </w:r>
          </w:p>
        </w:tc>
        <w:tc>
          <w:tcPr>
            <w:tcW w:w="851"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850"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851"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2410"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993"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Ме (Q1-Q-3)</w:t>
            </w:r>
          </w:p>
          <w:p w:rsidR="000A3797" w:rsidRDefault="000A3797">
            <w:pPr>
              <w:rPr>
                <w:rFonts w:ascii="Times New Roman" w:eastAsia="Times New Roman" w:hAnsi="Times New Roman" w:cs="Times New Roman"/>
                <w:sz w:val="24"/>
                <w:szCs w:val="24"/>
              </w:rPr>
            </w:pP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Ме (Q1-Q-3)</w:t>
            </w:r>
          </w:p>
          <w:p w:rsidR="000A3797" w:rsidRDefault="000A3797">
            <w:pPr>
              <w:rPr>
                <w:rFonts w:ascii="Times New Roman" w:eastAsia="Times New Roman" w:hAnsi="Times New Roman" w:cs="Times New Roman"/>
                <w:sz w:val="24"/>
                <w:szCs w:val="24"/>
              </w:rPr>
            </w:pPr>
          </w:p>
        </w:tc>
        <w:tc>
          <w:tcPr>
            <w:tcW w:w="425"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Ме (Q1-Q-3)</w:t>
            </w:r>
          </w:p>
          <w:p w:rsidR="000A3797" w:rsidRDefault="000A3797">
            <w:pPr>
              <w:rPr>
                <w:rFonts w:ascii="Times New Roman" w:eastAsia="Times New Roman" w:hAnsi="Times New Roman" w:cs="Times New Roman"/>
                <w:sz w:val="24"/>
                <w:szCs w:val="24"/>
              </w:rPr>
            </w:pPr>
          </w:p>
        </w:tc>
        <w:tc>
          <w:tcPr>
            <w:tcW w:w="1134"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Ме(Q1-Q-3) </w:t>
            </w:r>
          </w:p>
        </w:tc>
        <w:tc>
          <w:tcPr>
            <w:tcW w:w="851"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850"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851"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241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1.Общее состояние здоровья </w:t>
            </w:r>
            <w:r>
              <w:rPr>
                <w:rFonts w:ascii="Times New Roman" w:eastAsia="Times New Roman" w:hAnsi="Times New Roman" w:cs="Times New Roman"/>
              </w:rPr>
              <w:t>[60]</w:t>
            </w:r>
          </w:p>
        </w:tc>
        <w:tc>
          <w:tcPr>
            <w:tcW w:w="993"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71 (14)</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68 (15)</w:t>
            </w:r>
          </w:p>
        </w:tc>
        <w:tc>
          <w:tcPr>
            <w:tcW w:w="425"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 (6)</w:t>
            </w:r>
          </w:p>
        </w:tc>
        <w:tc>
          <w:tcPr>
            <w:tcW w:w="1134"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51 (19)</w:t>
            </w:r>
          </w:p>
        </w:tc>
        <w:tc>
          <w:tcPr>
            <w:tcW w:w="851"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850" w:type="dxa"/>
          </w:tcPr>
          <w:p w:rsidR="000A3797" w:rsidRDefault="00A660E7">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&lt;0,001</w:t>
            </w:r>
          </w:p>
        </w:tc>
        <w:tc>
          <w:tcPr>
            <w:tcW w:w="851" w:type="dxa"/>
          </w:tcPr>
          <w:p w:rsidR="000A3797" w:rsidRDefault="00A660E7">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&lt;0,001</w:t>
            </w:r>
          </w:p>
        </w:tc>
      </w:tr>
      <w:tr w:rsidR="000A3797">
        <w:tc>
          <w:tcPr>
            <w:tcW w:w="241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2.Воздействие симптомов </w:t>
            </w:r>
            <w:r>
              <w:rPr>
                <w:rFonts w:ascii="Times New Roman" w:eastAsia="Times New Roman" w:hAnsi="Times New Roman" w:cs="Times New Roman"/>
              </w:rPr>
              <w:t>[60]</w:t>
            </w:r>
          </w:p>
        </w:tc>
        <w:tc>
          <w:tcPr>
            <w:tcW w:w="993"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70 (11)</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65 (12)</w:t>
            </w:r>
          </w:p>
        </w:tc>
        <w:tc>
          <w:tcPr>
            <w:tcW w:w="425"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2 (8)</w:t>
            </w:r>
          </w:p>
        </w:tc>
        <w:tc>
          <w:tcPr>
            <w:tcW w:w="1134"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51 (8)</w:t>
            </w:r>
          </w:p>
        </w:tc>
        <w:tc>
          <w:tcPr>
            <w:tcW w:w="851"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850" w:type="dxa"/>
          </w:tcPr>
          <w:p w:rsidR="000A3797" w:rsidRDefault="00A660E7">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&lt;0,001</w:t>
            </w:r>
          </w:p>
        </w:tc>
        <w:tc>
          <w:tcPr>
            <w:tcW w:w="851" w:type="dxa"/>
          </w:tcPr>
          <w:p w:rsidR="000A3797" w:rsidRDefault="00A660E7">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&lt;0,001</w:t>
            </w:r>
          </w:p>
        </w:tc>
      </w:tr>
      <w:tr w:rsidR="000A3797">
        <w:tc>
          <w:tcPr>
            <w:tcW w:w="241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3.Симптомы и их восприятие </w:t>
            </w:r>
            <w:r>
              <w:rPr>
                <w:rFonts w:ascii="Times New Roman" w:eastAsia="Times New Roman" w:hAnsi="Times New Roman" w:cs="Times New Roman"/>
              </w:rPr>
              <w:t>[60]</w:t>
            </w:r>
          </w:p>
        </w:tc>
        <w:tc>
          <w:tcPr>
            <w:tcW w:w="993"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69 (8)</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63 (13)</w:t>
            </w:r>
          </w:p>
        </w:tc>
        <w:tc>
          <w:tcPr>
            <w:tcW w:w="425"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2 (7)</w:t>
            </w:r>
          </w:p>
        </w:tc>
        <w:tc>
          <w:tcPr>
            <w:tcW w:w="1134"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49 (17)</w:t>
            </w:r>
          </w:p>
        </w:tc>
        <w:tc>
          <w:tcPr>
            <w:tcW w:w="851"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850" w:type="dxa"/>
          </w:tcPr>
          <w:p w:rsidR="000A3797" w:rsidRDefault="00A660E7">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&lt;0,001</w:t>
            </w:r>
          </w:p>
        </w:tc>
        <w:tc>
          <w:tcPr>
            <w:tcW w:w="851" w:type="dxa"/>
          </w:tcPr>
          <w:p w:rsidR="000A3797" w:rsidRDefault="00A660E7">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&lt;0,001</w:t>
            </w:r>
          </w:p>
        </w:tc>
      </w:tr>
      <w:tr w:rsidR="000A3797">
        <w:tc>
          <w:tcPr>
            <w:tcW w:w="241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4.Рoлевые ограничения </w:t>
            </w:r>
            <w:r>
              <w:rPr>
                <w:rFonts w:ascii="Times New Roman" w:eastAsia="Times New Roman" w:hAnsi="Times New Roman" w:cs="Times New Roman"/>
              </w:rPr>
              <w:t>[60]</w:t>
            </w:r>
          </w:p>
        </w:tc>
        <w:tc>
          <w:tcPr>
            <w:tcW w:w="993"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31 (10)</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35 (6)</w:t>
            </w:r>
          </w:p>
        </w:tc>
        <w:tc>
          <w:tcPr>
            <w:tcW w:w="425"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1134"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26 (7)</w:t>
            </w:r>
          </w:p>
        </w:tc>
        <w:tc>
          <w:tcPr>
            <w:tcW w:w="851"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85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851"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0,003</w:t>
            </w:r>
          </w:p>
        </w:tc>
      </w:tr>
      <w:tr w:rsidR="000A3797">
        <w:tc>
          <w:tcPr>
            <w:tcW w:w="241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5.Физическое и социальное ограничения </w:t>
            </w:r>
            <w:r>
              <w:rPr>
                <w:rFonts w:ascii="Times New Roman" w:eastAsia="Times New Roman" w:hAnsi="Times New Roman" w:cs="Times New Roman"/>
              </w:rPr>
              <w:t>[60]</w:t>
            </w:r>
          </w:p>
        </w:tc>
        <w:tc>
          <w:tcPr>
            <w:tcW w:w="993"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30(1)</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33 (5)</w:t>
            </w:r>
          </w:p>
        </w:tc>
        <w:tc>
          <w:tcPr>
            <w:tcW w:w="425"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1134"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28 (9)</w:t>
            </w:r>
          </w:p>
        </w:tc>
        <w:tc>
          <w:tcPr>
            <w:tcW w:w="851"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85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851"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0A3797">
        <w:tc>
          <w:tcPr>
            <w:tcW w:w="241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 Межличностные взаимодействия </w:t>
            </w:r>
            <w:r>
              <w:rPr>
                <w:rFonts w:ascii="Times New Roman" w:eastAsia="Times New Roman" w:hAnsi="Times New Roman" w:cs="Times New Roman"/>
              </w:rPr>
              <w:t>[60]</w:t>
            </w:r>
          </w:p>
        </w:tc>
        <w:tc>
          <w:tcPr>
            <w:tcW w:w="993"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33 (5)</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29 (6)</w:t>
            </w:r>
          </w:p>
        </w:tc>
        <w:tc>
          <w:tcPr>
            <w:tcW w:w="425"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3(7)</w:t>
            </w:r>
          </w:p>
        </w:tc>
        <w:tc>
          <w:tcPr>
            <w:tcW w:w="1134"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25 (8)</w:t>
            </w:r>
          </w:p>
        </w:tc>
        <w:tc>
          <w:tcPr>
            <w:tcW w:w="851"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85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851"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0A3797">
        <w:tc>
          <w:tcPr>
            <w:tcW w:w="241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7.Эмоциональные проблемы </w:t>
            </w:r>
            <w:r>
              <w:rPr>
                <w:rFonts w:ascii="Times New Roman" w:eastAsia="Times New Roman" w:hAnsi="Times New Roman" w:cs="Times New Roman"/>
              </w:rPr>
              <w:t>[60]</w:t>
            </w:r>
          </w:p>
        </w:tc>
        <w:tc>
          <w:tcPr>
            <w:tcW w:w="993"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63 (8)</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59 (11)</w:t>
            </w:r>
          </w:p>
        </w:tc>
        <w:tc>
          <w:tcPr>
            <w:tcW w:w="425"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0(6)</w:t>
            </w:r>
          </w:p>
        </w:tc>
        <w:tc>
          <w:tcPr>
            <w:tcW w:w="1134"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53 (15)</w:t>
            </w:r>
          </w:p>
        </w:tc>
        <w:tc>
          <w:tcPr>
            <w:tcW w:w="851"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850" w:type="dxa"/>
          </w:tcPr>
          <w:p w:rsidR="000A3797" w:rsidRDefault="00A660E7">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&lt;0,001</w:t>
            </w:r>
          </w:p>
        </w:tc>
        <w:tc>
          <w:tcPr>
            <w:tcW w:w="851" w:type="dxa"/>
          </w:tcPr>
          <w:p w:rsidR="000A3797" w:rsidRDefault="00A660E7">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w:t>
            </w:r>
          </w:p>
        </w:tc>
      </w:tr>
      <w:tr w:rsidR="000A3797">
        <w:tc>
          <w:tcPr>
            <w:tcW w:w="241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8. Нaрушение сна и бодрствования </w:t>
            </w:r>
            <w:r>
              <w:rPr>
                <w:rFonts w:ascii="Times New Roman" w:eastAsia="Times New Roman" w:hAnsi="Times New Roman" w:cs="Times New Roman"/>
              </w:rPr>
              <w:t>[60]</w:t>
            </w:r>
          </w:p>
        </w:tc>
        <w:tc>
          <w:tcPr>
            <w:tcW w:w="993"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37 (4)</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32 (7)</w:t>
            </w:r>
          </w:p>
        </w:tc>
        <w:tc>
          <w:tcPr>
            <w:tcW w:w="425"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 (0)</w:t>
            </w:r>
          </w:p>
        </w:tc>
        <w:tc>
          <w:tcPr>
            <w:tcW w:w="1134"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22 (10)</w:t>
            </w:r>
          </w:p>
        </w:tc>
        <w:tc>
          <w:tcPr>
            <w:tcW w:w="851"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850" w:type="dxa"/>
          </w:tcPr>
          <w:p w:rsidR="000A3797" w:rsidRDefault="00A660E7">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&lt;0,001</w:t>
            </w:r>
          </w:p>
        </w:tc>
        <w:tc>
          <w:tcPr>
            <w:tcW w:w="851" w:type="dxa"/>
          </w:tcPr>
          <w:p w:rsidR="000A3797" w:rsidRDefault="00A660E7">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&lt;0,001</w:t>
            </w:r>
          </w:p>
        </w:tc>
      </w:tr>
      <w:tr w:rsidR="000A3797">
        <w:tc>
          <w:tcPr>
            <w:tcW w:w="241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9.Степень выраженности симптомов </w:t>
            </w:r>
            <w:r>
              <w:rPr>
                <w:rFonts w:ascii="Times New Roman" w:eastAsia="Times New Roman" w:hAnsi="Times New Roman" w:cs="Times New Roman"/>
              </w:rPr>
              <w:t>[60]</w:t>
            </w:r>
          </w:p>
        </w:tc>
        <w:tc>
          <w:tcPr>
            <w:tcW w:w="993"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69 (9)</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70 (11)</w:t>
            </w:r>
          </w:p>
        </w:tc>
        <w:tc>
          <w:tcPr>
            <w:tcW w:w="425"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2 (7)</w:t>
            </w:r>
          </w:p>
        </w:tc>
        <w:tc>
          <w:tcPr>
            <w:tcW w:w="1134"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53 (15)</w:t>
            </w:r>
          </w:p>
        </w:tc>
        <w:tc>
          <w:tcPr>
            <w:tcW w:w="851"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850" w:type="dxa"/>
          </w:tcPr>
          <w:p w:rsidR="000A3797" w:rsidRDefault="00A660E7">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&lt;0,001</w:t>
            </w:r>
          </w:p>
        </w:tc>
        <w:tc>
          <w:tcPr>
            <w:tcW w:w="851" w:type="dxa"/>
          </w:tcPr>
          <w:p w:rsidR="000A3797" w:rsidRDefault="00A660E7">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&lt;0,001</w:t>
            </w:r>
          </w:p>
        </w:tc>
      </w:tr>
      <w:tr w:rsidR="000A3797">
        <w:tc>
          <w:tcPr>
            <w:tcW w:w="9498" w:type="dxa"/>
            <w:gridSpan w:val="9"/>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Me - медиана,  Q1-Q-3 – интерквартильный размах, критерий Манна-Уитни (сравнение данных по группам), тест Уилкоксона (в динамике)</w:t>
            </w:r>
          </w:p>
        </w:tc>
      </w:tr>
    </w:tbl>
    <w:p w:rsidR="000A3797" w:rsidRDefault="000A3797">
      <w:pPr>
        <w:spacing w:after="0" w:line="240" w:lineRule="auto"/>
        <w:rPr>
          <w:rFonts w:ascii="Times New Roman" w:eastAsia="Times New Roman" w:hAnsi="Times New Roman" w:cs="Times New Roman"/>
          <w:sz w:val="28"/>
          <w:szCs w:val="28"/>
        </w:rPr>
      </w:pPr>
    </w:p>
    <w:p w:rsidR="000A3797" w:rsidRDefault="000A3797">
      <w:pPr>
        <w:spacing w:after="0" w:line="240" w:lineRule="auto"/>
        <w:rPr>
          <w:rFonts w:ascii="Times New Roman" w:eastAsia="Times New Roman" w:hAnsi="Times New Roman" w:cs="Times New Roman"/>
          <w:sz w:val="28"/>
          <w:szCs w:val="28"/>
        </w:rPr>
      </w:pPr>
    </w:p>
    <w:p w:rsidR="000A3797" w:rsidRDefault="000A3797">
      <w:pPr>
        <w:spacing w:after="0" w:line="240" w:lineRule="auto"/>
        <w:rPr>
          <w:rFonts w:ascii="Times New Roman" w:eastAsia="Times New Roman" w:hAnsi="Times New Roman" w:cs="Times New Roman"/>
          <w:sz w:val="28"/>
          <w:szCs w:val="28"/>
        </w:rPr>
      </w:pPr>
    </w:p>
    <w:p w:rsidR="000A3797" w:rsidRDefault="000A3797">
      <w:pPr>
        <w:spacing w:after="0" w:line="240" w:lineRule="auto"/>
        <w:rPr>
          <w:rFonts w:ascii="Times New Roman" w:eastAsia="Times New Roman" w:hAnsi="Times New Roman" w:cs="Times New Roman"/>
          <w:sz w:val="28"/>
          <w:szCs w:val="28"/>
        </w:rPr>
      </w:pPr>
    </w:p>
    <w:p w:rsidR="000A3797" w:rsidRDefault="00A660E7">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24 –Показатель распространенности качества жизни выше медианного показателя (%) (домены адаптированы из версии Коршунова М. ПД-КЖ [60, стр. 4]</w:t>
      </w:r>
    </w:p>
    <w:p w:rsidR="000A3797" w:rsidRDefault="000A3797">
      <w:pPr>
        <w:spacing w:after="0" w:line="240" w:lineRule="auto"/>
        <w:rPr>
          <w:rFonts w:ascii="Times New Roman" w:eastAsia="Times New Roman" w:hAnsi="Times New Roman" w:cs="Times New Roman"/>
          <w:sz w:val="28"/>
          <w:szCs w:val="28"/>
        </w:rPr>
      </w:pPr>
    </w:p>
    <w:tbl>
      <w:tblPr>
        <w:tblStyle w:val="aff9"/>
        <w:tblW w:w="9356"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10"/>
        <w:gridCol w:w="993"/>
        <w:gridCol w:w="992"/>
        <w:gridCol w:w="425"/>
        <w:gridCol w:w="1134"/>
        <w:gridCol w:w="992"/>
        <w:gridCol w:w="709"/>
        <w:gridCol w:w="851"/>
        <w:gridCol w:w="850"/>
      </w:tblGrid>
      <w:tr w:rsidR="000A3797">
        <w:tc>
          <w:tcPr>
            <w:tcW w:w="2410" w:type="dxa"/>
            <w:vMerge w:val="restart"/>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домен</w:t>
            </w:r>
          </w:p>
        </w:tc>
        <w:tc>
          <w:tcPr>
            <w:tcW w:w="1985" w:type="dxa"/>
            <w:gridSpan w:val="2"/>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До</w:t>
            </w:r>
          </w:p>
        </w:tc>
        <w:tc>
          <w:tcPr>
            <w:tcW w:w="425" w:type="dxa"/>
            <w:vMerge w:val="restart"/>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p</w:t>
            </w:r>
          </w:p>
        </w:tc>
        <w:tc>
          <w:tcPr>
            <w:tcW w:w="2126" w:type="dxa"/>
            <w:gridSpan w:val="2"/>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После</w:t>
            </w:r>
          </w:p>
        </w:tc>
        <w:tc>
          <w:tcPr>
            <w:tcW w:w="709" w:type="dxa"/>
            <w:vMerge w:val="restart"/>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p</w:t>
            </w:r>
          </w:p>
        </w:tc>
        <w:tc>
          <w:tcPr>
            <w:tcW w:w="851" w:type="dxa"/>
            <w:vMerge w:val="restart"/>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p</w:t>
            </w:r>
          </w:p>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основная группа до и после</w:t>
            </w:r>
          </w:p>
        </w:tc>
        <w:tc>
          <w:tcPr>
            <w:tcW w:w="850" w:type="dxa"/>
            <w:vMerge w:val="restart"/>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p</w:t>
            </w:r>
          </w:p>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контрольная группа до и после</w:t>
            </w:r>
          </w:p>
        </w:tc>
      </w:tr>
      <w:tr w:rsidR="000A3797">
        <w:tc>
          <w:tcPr>
            <w:tcW w:w="2410"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993"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Основная группа</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Контрольная группа</w:t>
            </w:r>
          </w:p>
        </w:tc>
        <w:tc>
          <w:tcPr>
            <w:tcW w:w="425"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134"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Основная группа</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Контрольная группа</w:t>
            </w:r>
          </w:p>
        </w:tc>
        <w:tc>
          <w:tcPr>
            <w:tcW w:w="709"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851"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850"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2410"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993"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N(%)</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N(%)</w:t>
            </w:r>
          </w:p>
        </w:tc>
        <w:tc>
          <w:tcPr>
            <w:tcW w:w="425"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134"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N(%)</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N(%)</w:t>
            </w:r>
          </w:p>
        </w:tc>
        <w:tc>
          <w:tcPr>
            <w:tcW w:w="709"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851"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850"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241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1.Общее состояние здоровья </w:t>
            </w:r>
            <w:r>
              <w:rPr>
                <w:rFonts w:ascii="Times New Roman" w:eastAsia="Times New Roman" w:hAnsi="Times New Roman" w:cs="Times New Roman"/>
              </w:rPr>
              <w:t>[60]</w:t>
            </w:r>
          </w:p>
          <w:p w:rsidR="000A3797" w:rsidRDefault="000A3797">
            <w:pPr>
              <w:rPr>
                <w:rFonts w:ascii="Times New Roman" w:eastAsia="Times New Roman" w:hAnsi="Times New Roman" w:cs="Times New Roman"/>
                <w:sz w:val="24"/>
                <w:szCs w:val="24"/>
              </w:rPr>
            </w:pPr>
          </w:p>
        </w:tc>
        <w:tc>
          <w:tcPr>
            <w:tcW w:w="993"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23 (61%)</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68 (69%)</w:t>
            </w:r>
          </w:p>
        </w:tc>
        <w:tc>
          <w:tcPr>
            <w:tcW w:w="425"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134"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4 (10%)</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18 (47%)</w:t>
            </w:r>
          </w:p>
        </w:tc>
        <w:tc>
          <w:tcPr>
            <w:tcW w:w="709"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851" w:type="dxa"/>
          </w:tcPr>
          <w:p w:rsidR="000A3797" w:rsidRDefault="00A660E7">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&lt;0,001</w:t>
            </w:r>
          </w:p>
        </w:tc>
        <w:tc>
          <w:tcPr>
            <w:tcW w:w="850" w:type="dxa"/>
          </w:tcPr>
          <w:p w:rsidR="000A3797" w:rsidRDefault="00A660E7">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&lt;0,001</w:t>
            </w:r>
          </w:p>
        </w:tc>
      </w:tr>
      <w:tr w:rsidR="000A3797">
        <w:tc>
          <w:tcPr>
            <w:tcW w:w="241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2.Воздействие симптомов </w:t>
            </w:r>
            <w:r>
              <w:rPr>
                <w:rFonts w:ascii="Times New Roman" w:eastAsia="Times New Roman" w:hAnsi="Times New Roman" w:cs="Times New Roman"/>
              </w:rPr>
              <w:t>[60]</w:t>
            </w:r>
          </w:p>
          <w:p w:rsidR="000A3797" w:rsidRDefault="000A3797">
            <w:pPr>
              <w:rPr>
                <w:rFonts w:ascii="Times New Roman" w:eastAsia="Times New Roman" w:hAnsi="Times New Roman" w:cs="Times New Roman"/>
                <w:sz w:val="24"/>
                <w:szCs w:val="24"/>
              </w:rPr>
            </w:pPr>
          </w:p>
        </w:tc>
        <w:tc>
          <w:tcPr>
            <w:tcW w:w="993"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24 (65%)</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27 (70%)</w:t>
            </w:r>
          </w:p>
        </w:tc>
        <w:tc>
          <w:tcPr>
            <w:tcW w:w="425"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134"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3 (8%)</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16 (43%)</w:t>
            </w:r>
          </w:p>
        </w:tc>
        <w:tc>
          <w:tcPr>
            <w:tcW w:w="709"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851" w:type="dxa"/>
          </w:tcPr>
          <w:p w:rsidR="000A3797" w:rsidRDefault="00A660E7">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&lt;0,001</w:t>
            </w:r>
          </w:p>
        </w:tc>
        <w:tc>
          <w:tcPr>
            <w:tcW w:w="850" w:type="dxa"/>
          </w:tcPr>
          <w:p w:rsidR="000A3797" w:rsidRDefault="00A660E7">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&lt;0,001</w:t>
            </w:r>
          </w:p>
        </w:tc>
      </w:tr>
      <w:tr w:rsidR="000A3797">
        <w:tc>
          <w:tcPr>
            <w:tcW w:w="241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3.Симптомы и их восприятие </w:t>
            </w:r>
            <w:r>
              <w:rPr>
                <w:rFonts w:ascii="Times New Roman" w:eastAsia="Times New Roman" w:hAnsi="Times New Roman" w:cs="Times New Roman"/>
              </w:rPr>
              <w:t>[60]</w:t>
            </w:r>
          </w:p>
          <w:p w:rsidR="000A3797" w:rsidRDefault="000A3797">
            <w:pPr>
              <w:rPr>
                <w:rFonts w:ascii="Times New Roman" w:eastAsia="Times New Roman" w:hAnsi="Times New Roman" w:cs="Times New Roman"/>
                <w:sz w:val="24"/>
                <w:szCs w:val="24"/>
              </w:rPr>
            </w:pPr>
          </w:p>
        </w:tc>
        <w:tc>
          <w:tcPr>
            <w:tcW w:w="993"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22 (59%)</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20 (51%)</w:t>
            </w:r>
          </w:p>
        </w:tc>
        <w:tc>
          <w:tcPr>
            <w:tcW w:w="425"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134"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5 (12%)</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15 (39%)</w:t>
            </w:r>
          </w:p>
        </w:tc>
        <w:tc>
          <w:tcPr>
            <w:tcW w:w="709"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851" w:type="dxa"/>
          </w:tcPr>
          <w:p w:rsidR="000A3797" w:rsidRDefault="00A660E7">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&lt;0,001</w:t>
            </w:r>
          </w:p>
        </w:tc>
        <w:tc>
          <w:tcPr>
            <w:tcW w:w="850" w:type="dxa"/>
          </w:tcPr>
          <w:p w:rsidR="000A3797" w:rsidRDefault="00A660E7">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&lt;0,001</w:t>
            </w:r>
          </w:p>
        </w:tc>
      </w:tr>
      <w:tr w:rsidR="000A3797">
        <w:tc>
          <w:tcPr>
            <w:tcW w:w="241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4.Рoлевые ограничения </w:t>
            </w:r>
            <w:r>
              <w:rPr>
                <w:rFonts w:ascii="Times New Roman" w:eastAsia="Times New Roman" w:hAnsi="Times New Roman" w:cs="Times New Roman"/>
              </w:rPr>
              <w:t>[60]</w:t>
            </w:r>
          </w:p>
        </w:tc>
        <w:tc>
          <w:tcPr>
            <w:tcW w:w="993"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23 (61%)</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22 (57%)</w:t>
            </w:r>
          </w:p>
        </w:tc>
        <w:tc>
          <w:tcPr>
            <w:tcW w:w="425"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134"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1 (3%)</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13 (35%)</w:t>
            </w:r>
          </w:p>
        </w:tc>
        <w:tc>
          <w:tcPr>
            <w:tcW w:w="709"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851"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85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r>
      <w:tr w:rsidR="000A3797">
        <w:tc>
          <w:tcPr>
            <w:tcW w:w="241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5.Физическое и социальное ограничения </w:t>
            </w:r>
            <w:r>
              <w:rPr>
                <w:rFonts w:ascii="Times New Roman" w:eastAsia="Times New Roman" w:hAnsi="Times New Roman" w:cs="Times New Roman"/>
              </w:rPr>
              <w:t>[60]</w:t>
            </w:r>
          </w:p>
        </w:tc>
        <w:tc>
          <w:tcPr>
            <w:tcW w:w="993"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16 (42%)</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18 (46%)</w:t>
            </w:r>
          </w:p>
        </w:tc>
        <w:tc>
          <w:tcPr>
            <w:tcW w:w="425"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134"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2 (5%)</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15 (41%)</w:t>
            </w:r>
          </w:p>
        </w:tc>
        <w:tc>
          <w:tcPr>
            <w:tcW w:w="709"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851"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85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0A3797">
        <w:tc>
          <w:tcPr>
            <w:tcW w:w="241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6.Межличностные взаимодействия </w:t>
            </w:r>
            <w:r>
              <w:rPr>
                <w:rFonts w:ascii="Times New Roman" w:eastAsia="Times New Roman" w:hAnsi="Times New Roman" w:cs="Times New Roman"/>
              </w:rPr>
              <w:t>[60]</w:t>
            </w:r>
          </w:p>
          <w:p w:rsidR="000A3797" w:rsidRDefault="000A3797">
            <w:pPr>
              <w:pBdr>
                <w:top w:val="nil"/>
                <w:left w:val="nil"/>
                <w:bottom w:val="nil"/>
                <w:right w:val="nil"/>
                <w:between w:val="nil"/>
              </w:pBdr>
              <w:spacing w:after="160" w:line="259" w:lineRule="auto"/>
              <w:ind w:left="720"/>
              <w:rPr>
                <w:rFonts w:ascii="Times New Roman" w:eastAsia="Times New Roman" w:hAnsi="Times New Roman" w:cs="Times New Roman"/>
                <w:color w:val="000000"/>
                <w:sz w:val="24"/>
                <w:szCs w:val="24"/>
              </w:rPr>
            </w:pPr>
          </w:p>
        </w:tc>
        <w:tc>
          <w:tcPr>
            <w:tcW w:w="993"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11 (31%)</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12 (33%)</w:t>
            </w:r>
          </w:p>
        </w:tc>
        <w:tc>
          <w:tcPr>
            <w:tcW w:w="425"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134"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1 (3%)</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25 (28%)</w:t>
            </w:r>
          </w:p>
        </w:tc>
        <w:tc>
          <w:tcPr>
            <w:tcW w:w="709"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851"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85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0A3797">
        <w:tc>
          <w:tcPr>
            <w:tcW w:w="241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7.Эмоциональные проблемы </w:t>
            </w:r>
            <w:r>
              <w:rPr>
                <w:rFonts w:ascii="Times New Roman" w:eastAsia="Times New Roman" w:hAnsi="Times New Roman" w:cs="Times New Roman"/>
              </w:rPr>
              <w:t>[60]</w:t>
            </w:r>
          </w:p>
          <w:p w:rsidR="000A3797" w:rsidRDefault="000A3797">
            <w:pPr>
              <w:rPr>
                <w:rFonts w:ascii="Times New Roman" w:eastAsia="Times New Roman" w:hAnsi="Times New Roman" w:cs="Times New Roman"/>
                <w:sz w:val="24"/>
                <w:szCs w:val="24"/>
              </w:rPr>
            </w:pPr>
          </w:p>
        </w:tc>
        <w:tc>
          <w:tcPr>
            <w:tcW w:w="993"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23 (61%)</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25 (65%)</w:t>
            </w:r>
          </w:p>
        </w:tc>
        <w:tc>
          <w:tcPr>
            <w:tcW w:w="425"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134"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3 (8%)</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23 (59%)</w:t>
            </w:r>
          </w:p>
        </w:tc>
        <w:tc>
          <w:tcPr>
            <w:tcW w:w="709"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851" w:type="dxa"/>
          </w:tcPr>
          <w:p w:rsidR="000A3797" w:rsidRDefault="00A660E7">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&lt;0,001</w:t>
            </w:r>
          </w:p>
        </w:tc>
        <w:tc>
          <w:tcPr>
            <w:tcW w:w="850" w:type="dxa"/>
          </w:tcPr>
          <w:p w:rsidR="000A3797" w:rsidRDefault="00A660E7">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w:t>
            </w:r>
          </w:p>
        </w:tc>
      </w:tr>
      <w:tr w:rsidR="000A3797">
        <w:tc>
          <w:tcPr>
            <w:tcW w:w="241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8.Нaрушение сна и бодрствования </w:t>
            </w:r>
            <w:r>
              <w:rPr>
                <w:rFonts w:ascii="Times New Roman" w:eastAsia="Times New Roman" w:hAnsi="Times New Roman" w:cs="Times New Roman"/>
              </w:rPr>
              <w:t>[60]</w:t>
            </w:r>
          </w:p>
          <w:p w:rsidR="000A3797" w:rsidRDefault="000A3797">
            <w:pPr>
              <w:pBdr>
                <w:top w:val="nil"/>
                <w:left w:val="nil"/>
                <w:bottom w:val="nil"/>
                <w:right w:val="nil"/>
                <w:between w:val="nil"/>
              </w:pBdr>
              <w:spacing w:after="160" w:line="259" w:lineRule="auto"/>
              <w:ind w:left="720"/>
              <w:rPr>
                <w:rFonts w:ascii="Times New Roman" w:eastAsia="Times New Roman" w:hAnsi="Times New Roman" w:cs="Times New Roman"/>
                <w:color w:val="000000"/>
                <w:sz w:val="24"/>
                <w:szCs w:val="24"/>
              </w:rPr>
            </w:pPr>
          </w:p>
        </w:tc>
        <w:tc>
          <w:tcPr>
            <w:tcW w:w="993"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8 (23%)</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11 (27%)</w:t>
            </w:r>
          </w:p>
        </w:tc>
        <w:tc>
          <w:tcPr>
            <w:tcW w:w="425"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134"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5 (14%)</w:t>
            </w:r>
          </w:p>
        </w:tc>
        <w:tc>
          <w:tcPr>
            <w:tcW w:w="709"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851" w:type="dxa"/>
          </w:tcPr>
          <w:p w:rsidR="000A3797" w:rsidRDefault="00A660E7">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&lt;0,001</w:t>
            </w:r>
          </w:p>
        </w:tc>
        <w:tc>
          <w:tcPr>
            <w:tcW w:w="850" w:type="dxa"/>
          </w:tcPr>
          <w:p w:rsidR="000A3797" w:rsidRDefault="00A660E7">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&lt;0,001</w:t>
            </w:r>
          </w:p>
        </w:tc>
      </w:tr>
      <w:tr w:rsidR="000A3797">
        <w:tc>
          <w:tcPr>
            <w:tcW w:w="241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9.Степень выраженности симптомов </w:t>
            </w:r>
            <w:r>
              <w:rPr>
                <w:rFonts w:ascii="Times New Roman" w:eastAsia="Times New Roman" w:hAnsi="Times New Roman" w:cs="Times New Roman"/>
              </w:rPr>
              <w:t>[60]</w:t>
            </w:r>
          </w:p>
          <w:p w:rsidR="000A3797" w:rsidRDefault="000A3797">
            <w:pPr>
              <w:rPr>
                <w:rFonts w:ascii="Times New Roman" w:eastAsia="Times New Roman" w:hAnsi="Times New Roman" w:cs="Times New Roman"/>
                <w:sz w:val="24"/>
                <w:szCs w:val="24"/>
              </w:rPr>
            </w:pPr>
          </w:p>
        </w:tc>
        <w:tc>
          <w:tcPr>
            <w:tcW w:w="993"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21 (57%)</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22 (56%)</w:t>
            </w:r>
          </w:p>
        </w:tc>
        <w:tc>
          <w:tcPr>
            <w:tcW w:w="425"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134"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5 (12%)</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9 (23%)</w:t>
            </w:r>
          </w:p>
        </w:tc>
        <w:tc>
          <w:tcPr>
            <w:tcW w:w="709"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851" w:type="dxa"/>
          </w:tcPr>
          <w:p w:rsidR="000A3797" w:rsidRDefault="00A660E7">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&lt;0,001</w:t>
            </w:r>
          </w:p>
        </w:tc>
        <w:tc>
          <w:tcPr>
            <w:tcW w:w="850" w:type="dxa"/>
          </w:tcPr>
          <w:p w:rsidR="000A3797" w:rsidRDefault="00A660E7">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&lt;0,001</w:t>
            </w:r>
          </w:p>
        </w:tc>
      </w:tr>
      <w:tr w:rsidR="000A3797">
        <w:trPr>
          <w:trHeight w:val="497"/>
        </w:trPr>
        <w:tc>
          <w:tcPr>
            <w:tcW w:w="9356" w:type="dxa"/>
            <w:gridSpan w:val="9"/>
            <w:vAlign w:val="center"/>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Показатели сравнивались с помощью точного критерия Фишера, и хи-квадрат Пирсона</w:t>
            </w:r>
          </w:p>
        </w:tc>
      </w:tr>
    </w:tbl>
    <w:p w:rsidR="000A3797" w:rsidRDefault="000A3797">
      <w:pPr>
        <w:spacing w:after="0" w:line="240" w:lineRule="auto"/>
        <w:ind w:firstLine="502"/>
        <w:rPr>
          <w:rFonts w:ascii="Times New Roman" w:eastAsia="Times New Roman" w:hAnsi="Times New Roman" w:cs="Times New Roman"/>
          <w:sz w:val="28"/>
          <w:szCs w:val="28"/>
        </w:rPr>
      </w:pPr>
    </w:p>
    <w:p w:rsidR="000A3797" w:rsidRDefault="00A660E7">
      <w:pPr>
        <w:spacing w:after="0" w:line="240" w:lineRule="auto"/>
        <w:ind w:firstLine="50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Большинство пациентов  31(83,8%) были обеспокоены тем, что предстоит еще одна операция, 30 пациентов (81,1%) ощущали беспокойство, что после первой операции состояние не улучшилось и 28 (75,7%) опрошенных отметили, что если бы была возможность получить тол</w:t>
      </w:r>
      <w:r>
        <w:rPr>
          <w:rFonts w:ascii="Times New Roman" w:eastAsia="Times New Roman" w:hAnsi="Times New Roman" w:cs="Times New Roman"/>
          <w:sz w:val="28"/>
          <w:szCs w:val="28"/>
        </w:rPr>
        <w:t xml:space="preserve">ько одно оперативное лечение, то уровень беспокойства  значительно уменьшился (Таблица 25) </w:t>
      </w:r>
      <w:r>
        <w:rPr>
          <w:rFonts w:ascii="Times New Roman" w:eastAsia="Times New Roman" w:hAnsi="Times New Roman" w:cs="Times New Roman"/>
          <w:sz w:val="28"/>
          <w:szCs w:val="28"/>
          <w:highlight w:val="white"/>
        </w:rPr>
        <w:t>[200, стр. 66]</w:t>
      </w:r>
      <w:r>
        <w:rPr>
          <w:rFonts w:ascii="Times New Roman" w:eastAsia="Times New Roman" w:hAnsi="Times New Roman" w:cs="Times New Roman"/>
          <w:sz w:val="28"/>
          <w:szCs w:val="28"/>
        </w:rPr>
        <w:t>.</w:t>
      </w:r>
    </w:p>
    <w:p w:rsidR="000A3797" w:rsidRDefault="000A3797">
      <w:pPr>
        <w:spacing w:after="0" w:line="240" w:lineRule="auto"/>
        <w:ind w:firstLine="502"/>
        <w:jc w:val="both"/>
        <w:rPr>
          <w:rFonts w:ascii="Times New Roman" w:eastAsia="Times New Roman" w:hAnsi="Times New Roman" w:cs="Times New Roman"/>
          <w:sz w:val="28"/>
          <w:szCs w:val="28"/>
        </w:rPr>
      </w:pPr>
    </w:p>
    <w:p w:rsidR="000A3797" w:rsidRDefault="000A3797">
      <w:pPr>
        <w:spacing w:after="0" w:line="240" w:lineRule="auto"/>
        <w:rPr>
          <w:rFonts w:ascii="Times New Roman" w:eastAsia="Times New Roman" w:hAnsi="Times New Roman" w:cs="Times New Roman"/>
          <w:sz w:val="28"/>
          <w:szCs w:val="28"/>
        </w:rPr>
      </w:pPr>
    </w:p>
    <w:p w:rsidR="000A3797" w:rsidRDefault="000A3797">
      <w:pPr>
        <w:spacing w:after="0" w:line="240" w:lineRule="auto"/>
        <w:rPr>
          <w:rFonts w:ascii="Times New Roman" w:eastAsia="Times New Roman" w:hAnsi="Times New Roman" w:cs="Times New Roman"/>
          <w:sz w:val="28"/>
          <w:szCs w:val="28"/>
        </w:rPr>
      </w:pPr>
    </w:p>
    <w:p w:rsidR="000A3797" w:rsidRDefault="00A660E7">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25 -Уровень беспокойства, связанный с необходимостью повторных операций</w:t>
      </w:r>
    </w:p>
    <w:p w:rsidR="000A3797" w:rsidRDefault="000A3797">
      <w:pPr>
        <w:spacing w:after="0" w:line="240" w:lineRule="auto"/>
        <w:rPr>
          <w:rFonts w:ascii="Times New Roman" w:eastAsia="Times New Roman" w:hAnsi="Times New Roman" w:cs="Times New Roman"/>
          <w:sz w:val="28"/>
          <w:szCs w:val="28"/>
        </w:rPr>
      </w:pPr>
    </w:p>
    <w:tbl>
      <w:tblPr>
        <w:tblStyle w:val="affa"/>
        <w:tblW w:w="96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04"/>
        <w:gridCol w:w="983"/>
        <w:gridCol w:w="1133"/>
        <w:gridCol w:w="1272"/>
        <w:gridCol w:w="1636"/>
      </w:tblGrid>
      <w:tr w:rsidR="000A3797">
        <w:tc>
          <w:tcPr>
            <w:tcW w:w="4604" w:type="dxa"/>
            <w:tcBorders>
              <w:top w:val="single" w:sz="4" w:space="0" w:color="000000"/>
              <w:left w:val="single" w:sz="4" w:space="0" w:color="000000"/>
              <w:bottom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Беспокойство, связанное с необходимостью повторной операцией</w:t>
            </w:r>
          </w:p>
        </w:tc>
        <w:tc>
          <w:tcPr>
            <w:tcW w:w="983" w:type="dxa"/>
            <w:tcBorders>
              <w:top w:val="single" w:sz="4" w:space="0" w:color="000000"/>
              <w:left w:val="single" w:sz="4" w:space="0" w:color="000000"/>
              <w:bottom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1133" w:type="dxa"/>
            <w:tcBorders>
              <w:top w:val="single" w:sz="4" w:space="0" w:color="000000"/>
              <w:left w:val="single" w:sz="4" w:space="0" w:color="000000"/>
              <w:bottom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Немного</w:t>
            </w:r>
          </w:p>
        </w:tc>
        <w:tc>
          <w:tcPr>
            <w:tcW w:w="1272" w:type="dxa"/>
            <w:tcBorders>
              <w:top w:val="single" w:sz="4" w:space="0" w:color="000000"/>
              <w:left w:val="single" w:sz="4" w:space="0" w:color="000000"/>
              <w:bottom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Умеренно</w:t>
            </w:r>
          </w:p>
        </w:tc>
        <w:tc>
          <w:tcPr>
            <w:tcW w:w="1636" w:type="dxa"/>
            <w:tcBorders>
              <w:top w:val="single" w:sz="4" w:space="0" w:color="000000"/>
              <w:left w:val="single" w:sz="4" w:space="0" w:color="000000"/>
              <w:bottom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Значительно</w:t>
            </w:r>
          </w:p>
        </w:tc>
      </w:tr>
      <w:tr w:rsidR="000A3797">
        <w:tc>
          <w:tcPr>
            <w:tcW w:w="4604" w:type="dxa"/>
            <w:tcBorders>
              <w:top w:val="single" w:sz="4" w:space="0" w:color="000000"/>
              <w:left w:val="single" w:sz="4" w:space="0" w:color="000000"/>
              <w:bottom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1. Испытываете ли вы напряжение, беспокойство,  связанное с тем, что вы перенесли или вам предстоит более одного оперативного вмешательства</w:t>
            </w:r>
          </w:p>
        </w:tc>
        <w:tc>
          <w:tcPr>
            <w:tcW w:w="983" w:type="dxa"/>
            <w:tcBorders>
              <w:top w:val="single" w:sz="4" w:space="0" w:color="000000"/>
              <w:left w:val="single" w:sz="4" w:space="0" w:color="000000"/>
              <w:bottom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1133" w:type="dxa"/>
            <w:tcBorders>
              <w:top w:val="single" w:sz="4" w:space="0" w:color="000000"/>
              <w:left w:val="single" w:sz="4" w:space="0" w:color="000000"/>
              <w:bottom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1 (2,7%)</w:t>
            </w:r>
          </w:p>
        </w:tc>
        <w:tc>
          <w:tcPr>
            <w:tcW w:w="1272" w:type="dxa"/>
            <w:tcBorders>
              <w:top w:val="single" w:sz="4" w:space="0" w:color="000000"/>
              <w:left w:val="single" w:sz="4" w:space="0" w:color="000000"/>
              <w:bottom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5 (13,5%)</w:t>
            </w:r>
          </w:p>
        </w:tc>
        <w:tc>
          <w:tcPr>
            <w:tcW w:w="1636" w:type="dxa"/>
            <w:tcBorders>
              <w:top w:val="single" w:sz="4" w:space="0" w:color="000000"/>
              <w:left w:val="single" w:sz="4" w:space="0" w:color="000000"/>
              <w:bottom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31(83,8%)</w:t>
            </w:r>
          </w:p>
        </w:tc>
      </w:tr>
      <w:tr w:rsidR="000A3797">
        <w:tc>
          <w:tcPr>
            <w:tcW w:w="4604" w:type="dxa"/>
            <w:tcBorders>
              <w:top w:val="single" w:sz="4" w:space="0" w:color="000000"/>
              <w:left w:val="single" w:sz="4" w:space="0" w:color="000000"/>
              <w:bottom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2. Если была бы возможность перенести только одну операцию, насколько это облегчило бы ваше эмоциональное напряжение</w:t>
            </w:r>
          </w:p>
        </w:tc>
        <w:tc>
          <w:tcPr>
            <w:tcW w:w="983" w:type="dxa"/>
            <w:tcBorders>
              <w:top w:val="single" w:sz="4" w:space="0" w:color="000000"/>
              <w:left w:val="single" w:sz="4" w:space="0" w:color="000000"/>
              <w:bottom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1 (2,7%)</w:t>
            </w:r>
          </w:p>
        </w:tc>
        <w:tc>
          <w:tcPr>
            <w:tcW w:w="1133" w:type="dxa"/>
            <w:tcBorders>
              <w:top w:val="single" w:sz="4" w:space="0" w:color="000000"/>
              <w:left w:val="single" w:sz="4" w:space="0" w:color="000000"/>
              <w:bottom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3(8,1%)</w:t>
            </w:r>
          </w:p>
        </w:tc>
        <w:tc>
          <w:tcPr>
            <w:tcW w:w="1272" w:type="dxa"/>
            <w:tcBorders>
              <w:top w:val="single" w:sz="4" w:space="0" w:color="000000"/>
              <w:left w:val="single" w:sz="4" w:space="0" w:color="000000"/>
              <w:bottom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5(13,5%)</w:t>
            </w:r>
          </w:p>
        </w:tc>
        <w:tc>
          <w:tcPr>
            <w:tcW w:w="1636" w:type="dxa"/>
            <w:tcBorders>
              <w:top w:val="single" w:sz="4" w:space="0" w:color="000000"/>
              <w:left w:val="single" w:sz="4" w:space="0" w:color="000000"/>
              <w:bottom w:val="single" w:sz="4" w:space="0" w:color="000000"/>
              <w:right w:val="single" w:sz="4" w:space="0" w:color="000000"/>
            </w:tcBorders>
          </w:tcPr>
          <w:p w:rsidR="000A3797" w:rsidRDefault="00A660E7">
            <w:pPr>
              <w:numPr>
                <w:ilvl w:val="0"/>
                <w:numId w:val="1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75,7%)</w:t>
            </w:r>
          </w:p>
        </w:tc>
      </w:tr>
      <w:tr w:rsidR="000A3797">
        <w:trPr>
          <w:trHeight w:val="1534"/>
        </w:trPr>
        <w:tc>
          <w:tcPr>
            <w:tcW w:w="4604" w:type="dxa"/>
            <w:tcBorders>
              <w:top w:val="single" w:sz="4" w:space="0" w:color="000000"/>
              <w:left w:val="single" w:sz="4" w:space="0" w:color="000000"/>
              <w:bottom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3.Оцените уровень вашего напряжения, беспокойства или огорчения, связанного с тем,  что после первого оперативного вмешательства ваше состояние осталось таким же как и до операции, стало хуже, либо улучшилось незначительно</w:t>
            </w:r>
          </w:p>
          <w:p w:rsidR="000A3797" w:rsidRDefault="000A3797">
            <w:pPr>
              <w:ind w:left="360"/>
              <w:rPr>
                <w:rFonts w:ascii="Times New Roman" w:eastAsia="Times New Roman" w:hAnsi="Times New Roman" w:cs="Times New Roman"/>
                <w:sz w:val="24"/>
                <w:szCs w:val="24"/>
              </w:rPr>
            </w:pPr>
          </w:p>
        </w:tc>
        <w:tc>
          <w:tcPr>
            <w:tcW w:w="983" w:type="dxa"/>
            <w:tcBorders>
              <w:top w:val="single" w:sz="4" w:space="0" w:color="000000"/>
              <w:left w:val="single" w:sz="4" w:space="0" w:color="000000"/>
              <w:bottom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1 (2,7%)</w:t>
            </w:r>
          </w:p>
        </w:tc>
        <w:tc>
          <w:tcPr>
            <w:tcW w:w="1133" w:type="dxa"/>
            <w:tcBorders>
              <w:top w:val="single" w:sz="4" w:space="0" w:color="000000"/>
              <w:left w:val="single" w:sz="4" w:space="0" w:color="000000"/>
              <w:bottom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2(5,4%)</w:t>
            </w:r>
          </w:p>
        </w:tc>
        <w:tc>
          <w:tcPr>
            <w:tcW w:w="1272" w:type="dxa"/>
            <w:tcBorders>
              <w:top w:val="single" w:sz="4" w:space="0" w:color="000000"/>
              <w:left w:val="single" w:sz="4" w:space="0" w:color="000000"/>
              <w:bottom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4(10,8%)</w:t>
            </w:r>
          </w:p>
        </w:tc>
        <w:tc>
          <w:tcPr>
            <w:tcW w:w="1636" w:type="dxa"/>
            <w:tcBorders>
              <w:top w:val="single" w:sz="4" w:space="0" w:color="000000"/>
              <w:left w:val="single" w:sz="4" w:space="0" w:color="000000"/>
              <w:bottom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30(81,</w:t>
            </w:r>
            <w:r>
              <w:rPr>
                <w:rFonts w:ascii="Times New Roman" w:eastAsia="Times New Roman" w:hAnsi="Times New Roman" w:cs="Times New Roman"/>
                <w:sz w:val="24"/>
                <w:szCs w:val="24"/>
              </w:rPr>
              <w:t>1%)</w:t>
            </w:r>
          </w:p>
        </w:tc>
      </w:tr>
    </w:tbl>
    <w:p w:rsidR="000A3797" w:rsidRDefault="000A3797">
      <w:pPr>
        <w:spacing w:after="0" w:line="240" w:lineRule="auto"/>
        <w:ind w:left="360"/>
        <w:rPr>
          <w:rFonts w:ascii="Times New Roman" w:eastAsia="Times New Roman" w:hAnsi="Times New Roman" w:cs="Times New Roman"/>
          <w:sz w:val="28"/>
          <w:szCs w:val="28"/>
        </w:rPr>
      </w:pPr>
    </w:p>
    <w:p w:rsidR="000A3797" w:rsidRDefault="00A660E7">
      <w:pPr>
        <w:spacing w:after="0"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Показатели рецидивов пролапса : 1  группа - 8 человек (23,07%); 2 группа - 37 человек (100) и функциональных нарушений органов малого таза: 1 группа - 9 человек (23,07%); 2 группа - 37 человек (100%) в обеих группах также статистически значимо различались </w:t>
      </w:r>
      <w:r>
        <w:rPr>
          <w:rFonts w:ascii="Times New Roman" w:eastAsia="Times New Roman" w:hAnsi="Times New Roman" w:cs="Times New Roman"/>
          <w:sz w:val="28"/>
          <w:szCs w:val="28"/>
        </w:rPr>
        <w:t>(р</w:t>
      </w:r>
      <m:oMath>
        <m:r>
          <w:rPr>
            <w:rFonts w:ascii="Cambria Math" w:eastAsia="Cambria Math" w:hAnsi="Cambria Math" w:cs="Cambria Math"/>
            <w:sz w:val="28"/>
            <w:szCs w:val="28"/>
          </w:rPr>
          <m:t>&lt;0,001</m:t>
        </m:r>
      </m:oMath>
      <w:r>
        <w:rPr>
          <w:rFonts w:ascii="Times New Roman" w:eastAsia="Times New Roman" w:hAnsi="Times New Roman" w:cs="Times New Roman"/>
          <w:sz w:val="28"/>
          <w:szCs w:val="28"/>
        </w:rPr>
        <w:t>) (Таблица 26), учитывая то, что в основной группе преобладали начальные стадии пролапса 2 (5,1%) против 37 (100%) и функциональных нарушений 5 (12,8% ) против 37 (100%), не требующие дальнейшей коррекции оперативным путем, а в контрольной группе б</w:t>
      </w:r>
      <w:r>
        <w:rPr>
          <w:rFonts w:ascii="Times New Roman" w:eastAsia="Times New Roman" w:hAnsi="Times New Roman" w:cs="Times New Roman"/>
          <w:sz w:val="28"/>
          <w:szCs w:val="28"/>
        </w:rPr>
        <w:t>олее продвинутые стадии, требующие хирургического лечения, что было статистически значимо (р</w:t>
      </w:r>
      <m:oMath>
        <m:r>
          <w:rPr>
            <w:rFonts w:ascii="Cambria Math" w:eastAsia="Cambria Math" w:hAnsi="Cambria Math" w:cs="Cambria Math"/>
            <w:sz w:val="28"/>
            <w:szCs w:val="28"/>
          </w:rPr>
          <m:t>&lt;0,001</m:t>
        </m:r>
      </m:oMath>
      <w:r>
        <w:rPr>
          <w:rFonts w:ascii="Times New Roman" w:eastAsia="Times New Roman" w:hAnsi="Times New Roman" w:cs="Times New Roman"/>
          <w:sz w:val="28"/>
          <w:szCs w:val="28"/>
        </w:rPr>
        <w:t>), между сопоставляемыми признаками отмечается сильная связь (V Крамера 1 = 0,880;. V Крамера 2 =0,876, р</w:t>
      </w:r>
      <m:oMath>
        <m:r>
          <w:rPr>
            <w:rFonts w:ascii="Cambria Math" w:eastAsia="Cambria Math" w:hAnsi="Cambria Math" w:cs="Cambria Math"/>
            <w:sz w:val="28"/>
            <w:szCs w:val="28"/>
          </w:rPr>
          <m:t>&lt;0,001)</m:t>
        </m:r>
      </m:oMath>
      <w:r>
        <w:rPr>
          <w:rFonts w:ascii="Times New Roman" w:eastAsia="Times New Roman" w:hAnsi="Times New Roman" w:cs="Times New Roman"/>
          <w:sz w:val="28"/>
          <w:szCs w:val="28"/>
        </w:rPr>
        <w:t xml:space="preserve"> (Таблица 26) </w:t>
      </w:r>
      <w:r>
        <w:rPr>
          <w:rFonts w:ascii="Times New Roman" w:eastAsia="Times New Roman" w:hAnsi="Times New Roman" w:cs="Times New Roman"/>
          <w:sz w:val="28"/>
          <w:szCs w:val="28"/>
          <w:highlight w:val="white"/>
        </w:rPr>
        <w:t>[200, стр. 64]</w:t>
      </w:r>
      <w:r>
        <w:rPr>
          <w:rFonts w:ascii="Times New Roman" w:eastAsia="Times New Roman" w:hAnsi="Times New Roman" w:cs="Times New Roman"/>
          <w:sz w:val="28"/>
          <w:szCs w:val="28"/>
        </w:rPr>
        <w:t xml:space="preserve">. </w:t>
      </w:r>
    </w:p>
    <w:p w:rsidR="000A3797" w:rsidRDefault="000A3797">
      <w:pPr>
        <w:spacing w:after="0" w:line="240" w:lineRule="auto"/>
        <w:ind w:firstLine="360"/>
        <w:jc w:val="both"/>
        <w:rPr>
          <w:rFonts w:ascii="Times New Roman" w:eastAsia="Times New Roman" w:hAnsi="Times New Roman" w:cs="Times New Roman"/>
          <w:sz w:val="28"/>
          <w:szCs w:val="28"/>
        </w:rPr>
      </w:pPr>
    </w:p>
    <w:p w:rsidR="000A3797" w:rsidRDefault="00A660E7">
      <w:pPr>
        <w:spacing w:after="0"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26 – Р</w:t>
      </w:r>
      <w:r>
        <w:rPr>
          <w:rFonts w:ascii="Times New Roman" w:eastAsia="Times New Roman" w:hAnsi="Times New Roman" w:cs="Times New Roman"/>
          <w:sz w:val="28"/>
          <w:szCs w:val="28"/>
        </w:rPr>
        <w:t>ецидивы через 6 месяцев после хирургического лечения при этапном и комплексном подходе</w:t>
      </w:r>
    </w:p>
    <w:p w:rsidR="000A3797" w:rsidRDefault="000A3797">
      <w:pPr>
        <w:spacing w:after="0" w:line="240" w:lineRule="auto"/>
        <w:ind w:left="360"/>
        <w:rPr>
          <w:rFonts w:ascii="Times New Roman" w:eastAsia="Times New Roman" w:hAnsi="Times New Roman" w:cs="Times New Roman"/>
          <w:sz w:val="28"/>
          <w:szCs w:val="28"/>
        </w:rPr>
      </w:pPr>
    </w:p>
    <w:tbl>
      <w:tblPr>
        <w:tblStyle w:val="affb"/>
        <w:tblpPr w:leftFromText="180" w:rightFromText="180" w:vertAnchor="page" w:horzAnchor="margin" w:tblpY="12910"/>
        <w:tblW w:w="847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08"/>
        <w:gridCol w:w="2010"/>
        <w:gridCol w:w="526"/>
        <w:gridCol w:w="956"/>
        <w:gridCol w:w="568"/>
        <w:gridCol w:w="993"/>
        <w:gridCol w:w="1417"/>
      </w:tblGrid>
      <w:tr w:rsidR="000A3797">
        <w:trPr>
          <w:trHeight w:val="278"/>
        </w:trPr>
        <w:tc>
          <w:tcPr>
            <w:tcW w:w="2008" w:type="dxa"/>
            <w:vMerge w:val="restart"/>
            <w:tcBorders>
              <w:top w:val="single" w:sz="4" w:space="0" w:color="000000"/>
              <w:left w:val="single" w:sz="4" w:space="0" w:color="000000"/>
              <w:right w:val="single" w:sz="4" w:space="0" w:color="000000"/>
            </w:tcBorders>
          </w:tcPr>
          <w:p w:rsidR="000A3797" w:rsidRDefault="00A660E7">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Рецидив</w:t>
            </w:r>
          </w:p>
        </w:tc>
        <w:tc>
          <w:tcPr>
            <w:tcW w:w="2010" w:type="dxa"/>
            <w:vMerge w:val="restart"/>
            <w:tcBorders>
              <w:top w:val="single" w:sz="4" w:space="0" w:color="000000"/>
              <w:left w:val="single" w:sz="4" w:space="0" w:color="000000"/>
              <w:right w:val="single" w:sz="4" w:space="0" w:color="000000"/>
            </w:tcBorders>
          </w:tcPr>
          <w:p w:rsidR="000A3797" w:rsidRDefault="00A660E7">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Оцениваемый </w:t>
            </w:r>
          </w:p>
          <w:p w:rsidR="000A3797" w:rsidRDefault="00A660E7">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показатель</w:t>
            </w:r>
          </w:p>
        </w:tc>
        <w:tc>
          <w:tcPr>
            <w:tcW w:w="1482" w:type="dxa"/>
            <w:gridSpan w:val="2"/>
            <w:tcBorders>
              <w:top w:val="single" w:sz="4" w:space="0" w:color="000000"/>
              <w:left w:val="single" w:sz="4" w:space="0" w:color="000000"/>
              <w:bottom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Основная группа</w:t>
            </w:r>
          </w:p>
        </w:tc>
        <w:tc>
          <w:tcPr>
            <w:tcW w:w="1561" w:type="dxa"/>
            <w:gridSpan w:val="2"/>
            <w:tcBorders>
              <w:top w:val="single" w:sz="4" w:space="0" w:color="000000"/>
              <w:left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Контрольная группа</w:t>
            </w:r>
          </w:p>
        </w:tc>
        <w:tc>
          <w:tcPr>
            <w:tcW w:w="1417" w:type="dxa"/>
            <w:vMerge w:val="restart"/>
            <w:tcBorders>
              <w:top w:val="single" w:sz="4" w:space="0" w:color="000000"/>
              <w:left w:val="single" w:sz="4" w:space="0" w:color="000000"/>
              <w:right w:val="single" w:sz="4" w:space="0" w:color="000000"/>
            </w:tcBorders>
          </w:tcPr>
          <w:p w:rsidR="000A3797" w:rsidRDefault="00A660E7">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P -value</w:t>
            </w:r>
          </w:p>
        </w:tc>
      </w:tr>
      <w:tr w:rsidR="000A3797">
        <w:trPr>
          <w:trHeight w:val="277"/>
        </w:trPr>
        <w:tc>
          <w:tcPr>
            <w:tcW w:w="2008" w:type="dxa"/>
            <w:vMerge/>
            <w:tcBorders>
              <w:top w:val="single" w:sz="4" w:space="0" w:color="000000"/>
              <w:left w:val="single" w:sz="4" w:space="0" w:color="000000"/>
              <w:right w:val="single" w:sz="4" w:space="0" w:color="000000"/>
            </w:tcBorders>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010" w:type="dxa"/>
            <w:vMerge/>
            <w:tcBorders>
              <w:top w:val="single" w:sz="4" w:space="0" w:color="000000"/>
              <w:left w:val="single" w:sz="4" w:space="0" w:color="000000"/>
              <w:right w:val="single" w:sz="4" w:space="0" w:color="000000"/>
            </w:tcBorders>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526" w:type="dxa"/>
            <w:tcBorders>
              <w:top w:val="single" w:sz="4" w:space="0" w:color="000000"/>
              <w:left w:val="single" w:sz="4" w:space="0" w:color="000000"/>
              <w:bottom w:val="single" w:sz="4" w:space="0" w:color="000000"/>
              <w:right w:val="single" w:sz="4" w:space="0" w:color="000000"/>
            </w:tcBorders>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w:t>
            </w:r>
          </w:p>
        </w:tc>
        <w:tc>
          <w:tcPr>
            <w:tcW w:w="956" w:type="dxa"/>
            <w:tcBorders>
              <w:top w:val="single" w:sz="4" w:space="0" w:color="000000"/>
              <w:left w:val="single" w:sz="4" w:space="0" w:color="000000"/>
              <w:bottom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568" w:type="dxa"/>
            <w:tcBorders>
              <w:left w:val="single" w:sz="4" w:space="0" w:color="000000"/>
              <w:bottom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N</w:t>
            </w:r>
          </w:p>
        </w:tc>
        <w:tc>
          <w:tcPr>
            <w:tcW w:w="993" w:type="dxa"/>
            <w:tcBorders>
              <w:left w:val="single" w:sz="4" w:space="0" w:color="000000"/>
              <w:bottom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417" w:type="dxa"/>
            <w:vMerge/>
            <w:tcBorders>
              <w:top w:val="single" w:sz="4" w:space="0" w:color="000000"/>
              <w:left w:val="single" w:sz="4" w:space="0" w:color="000000"/>
              <w:right w:val="single" w:sz="4" w:space="0" w:color="000000"/>
            </w:tcBorders>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rPr>
          <w:trHeight w:val="277"/>
        </w:trPr>
        <w:tc>
          <w:tcPr>
            <w:tcW w:w="2008" w:type="dxa"/>
            <w:tcBorders>
              <w:left w:val="single" w:sz="4" w:space="0" w:color="000000"/>
              <w:bottom w:val="single" w:sz="4" w:space="0" w:color="000000"/>
              <w:right w:val="single" w:sz="4" w:space="0" w:color="000000"/>
            </w:tcBorders>
          </w:tcPr>
          <w:p w:rsidR="000A3797" w:rsidRDefault="00A660E7">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010" w:type="dxa"/>
            <w:tcBorders>
              <w:left w:val="single" w:sz="4" w:space="0" w:color="000000"/>
              <w:bottom w:val="single" w:sz="4" w:space="0" w:color="000000"/>
              <w:right w:val="single" w:sz="4" w:space="0" w:color="000000"/>
            </w:tcBorders>
          </w:tcPr>
          <w:p w:rsidR="000A3797" w:rsidRDefault="00A660E7">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526" w:type="dxa"/>
            <w:tcBorders>
              <w:top w:val="single" w:sz="4" w:space="0" w:color="000000"/>
              <w:left w:val="single" w:sz="4" w:space="0" w:color="000000"/>
              <w:bottom w:val="single" w:sz="4" w:space="0" w:color="000000"/>
              <w:right w:val="single" w:sz="4" w:space="0" w:color="000000"/>
            </w:tcBorders>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956" w:type="dxa"/>
            <w:tcBorders>
              <w:top w:val="single" w:sz="4" w:space="0" w:color="000000"/>
              <w:left w:val="single" w:sz="4" w:space="0" w:color="000000"/>
              <w:bottom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568" w:type="dxa"/>
            <w:tcBorders>
              <w:left w:val="single" w:sz="4" w:space="0" w:color="000000"/>
              <w:bottom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993" w:type="dxa"/>
            <w:tcBorders>
              <w:left w:val="single" w:sz="4" w:space="0" w:color="000000"/>
              <w:bottom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417" w:type="dxa"/>
            <w:tcBorders>
              <w:left w:val="single" w:sz="4" w:space="0" w:color="000000"/>
              <w:bottom w:val="single" w:sz="4" w:space="0" w:color="000000"/>
              <w:right w:val="single" w:sz="4" w:space="0" w:color="000000"/>
            </w:tcBorders>
          </w:tcPr>
          <w:p w:rsidR="000A3797" w:rsidRDefault="00A660E7">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r>
      <w:tr w:rsidR="000A3797">
        <w:trPr>
          <w:trHeight w:val="128"/>
        </w:trPr>
        <w:tc>
          <w:tcPr>
            <w:tcW w:w="2008" w:type="dxa"/>
            <w:vMerge w:val="restart"/>
            <w:tcBorders>
              <w:top w:val="single" w:sz="4" w:space="0" w:color="000000"/>
              <w:left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Анатомический рецидив </w:t>
            </w:r>
          </w:p>
        </w:tc>
        <w:tc>
          <w:tcPr>
            <w:tcW w:w="2010" w:type="dxa"/>
            <w:tcBorders>
              <w:top w:val="single" w:sz="4" w:space="0" w:color="000000"/>
              <w:left w:val="single" w:sz="4" w:space="0" w:color="000000"/>
              <w:bottom w:val="single" w:sz="4" w:space="0" w:color="000000"/>
              <w:right w:val="single" w:sz="4" w:space="0" w:color="000000"/>
            </w:tcBorders>
          </w:tcPr>
          <w:p w:rsidR="000A3797" w:rsidRDefault="00A660E7">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1 степень</w:t>
            </w:r>
          </w:p>
        </w:tc>
        <w:tc>
          <w:tcPr>
            <w:tcW w:w="526" w:type="dxa"/>
            <w:tcBorders>
              <w:top w:val="single" w:sz="4" w:space="0" w:color="000000"/>
              <w:left w:val="single" w:sz="4" w:space="0" w:color="000000"/>
              <w:bottom w:val="single" w:sz="4" w:space="0" w:color="000000"/>
              <w:right w:val="single" w:sz="4" w:space="0" w:color="000000"/>
            </w:tcBorders>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956" w:type="dxa"/>
            <w:tcBorders>
              <w:top w:val="single" w:sz="4" w:space="0" w:color="000000"/>
              <w:left w:val="single" w:sz="4" w:space="0" w:color="000000"/>
              <w:bottom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7,7%</w:t>
            </w:r>
          </w:p>
        </w:tc>
        <w:tc>
          <w:tcPr>
            <w:tcW w:w="568" w:type="dxa"/>
            <w:tcBorders>
              <w:top w:val="single" w:sz="4" w:space="0" w:color="000000"/>
              <w:left w:val="single" w:sz="4" w:space="0" w:color="000000"/>
              <w:bottom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993" w:type="dxa"/>
            <w:tcBorders>
              <w:top w:val="single" w:sz="4" w:space="0" w:color="000000"/>
              <w:left w:val="single" w:sz="4" w:space="0" w:color="000000"/>
              <w:right w:val="single" w:sz="4" w:space="0" w:color="000000"/>
            </w:tcBorders>
          </w:tcPr>
          <w:p w:rsidR="000A3797" w:rsidRDefault="000A3797">
            <w:pPr>
              <w:rPr>
                <w:rFonts w:ascii="Times New Roman" w:eastAsia="Times New Roman" w:hAnsi="Times New Roman" w:cs="Times New Roman"/>
                <w:sz w:val="24"/>
                <w:szCs w:val="24"/>
              </w:rPr>
            </w:pPr>
          </w:p>
        </w:tc>
        <w:tc>
          <w:tcPr>
            <w:tcW w:w="1417" w:type="dxa"/>
            <w:vMerge w:val="restart"/>
            <w:tcBorders>
              <w:top w:val="single" w:sz="4" w:space="0" w:color="000000"/>
              <w:left w:val="single" w:sz="4" w:space="0" w:color="000000"/>
              <w:right w:val="single" w:sz="4" w:space="0" w:color="000000"/>
            </w:tcBorders>
          </w:tcPr>
          <w:p w:rsidR="000A3797" w:rsidRDefault="00A660E7">
            <w:pPr>
              <w:rPr>
                <w:rFonts w:ascii="Times New Roman" w:eastAsia="Times New Roman" w:hAnsi="Times New Roman" w:cs="Times New Roman"/>
                <w:sz w:val="24"/>
                <w:szCs w:val="24"/>
              </w:rPr>
            </w:pPr>
            <m:oMath>
              <m:r>
                <w:rPr>
                  <w:rFonts w:ascii="Cambria Math" w:eastAsia="Cambria Math" w:hAnsi="Cambria Math" w:cs="Cambria Math"/>
                  <w:sz w:val="24"/>
                  <w:szCs w:val="24"/>
                </w:rPr>
                <m:t>&lt;0,001</m:t>
              </m:r>
            </m:oMath>
            <w:r>
              <w:rPr>
                <w:rFonts w:ascii="Times New Roman" w:eastAsia="Times New Roman" w:hAnsi="Times New Roman" w:cs="Times New Roman"/>
                <w:sz w:val="24"/>
                <w:szCs w:val="24"/>
              </w:rPr>
              <w:t>***</w:t>
            </w:r>
          </w:p>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(0,880*)</w:t>
            </w:r>
          </w:p>
          <w:p w:rsidR="000A3797" w:rsidRDefault="000A3797">
            <w:pPr>
              <w:rPr>
                <w:rFonts w:ascii="Times New Roman" w:eastAsia="Times New Roman" w:hAnsi="Times New Roman" w:cs="Times New Roman"/>
                <w:sz w:val="24"/>
                <w:szCs w:val="24"/>
              </w:rPr>
            </w:pPr>
          </w:p>
        </w:tc>
      </w:tr>
      <w:tr w:rsidR="000A3797">
        <w:tc>
          <w:tcPr>
            <w:tcW w:w="2008" w:type="dxa"/>
            <w:vMerge/>
            <w:tcBorders>
              <w:top w:val="single" w:sz="4" w:space="0" w:color="000000"/>
              <w:left w:val="single" w:sz="4" w:space="0" w:color="000000"/>
              <w:right w:val="single" w:sz="4" w:space="0" w:color="000000"/>
            </w:tcBorders>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010" w:type="dxa"/>
            <w:tcBorders>
              <w:top w:val="single" w:sz="4" w:space="0" w:color="000000"/>
              <w:left w:val="single" w:sz="4" w:space="0" w:color="000000"/>
              <w:bottom w:val="single" w:sz="4" w:space="0" w:color="000000"/>
              <w:right w:val="single" w:sz="4" w:space="0" w:color="000000"/>
            </w:tcBorders>
          </w:tcPr>
          <w:p w:rsidR="000A3797" w:rsidRDefault="00A660E7">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2 степень</w:t>
            </w:r>
          </w:p>
        </w:tc>
        <w:tc>
          <w:tcPr>
            <w:tcW w:w="526" w:type="dxa"/>
            <w:tcBorders>
              <w:top w:val="single" w:sz="4" w:space="0" w:color="000000"/>
              <w:left w:val="single" w:sz="4" w:space="0" w:color="000000"/>
              <w:bottom w:val="single" w:sz="4" w:space="0" w:color="000000"/>
              <w:right w:val="single" w:sz="4" w:space="0" w:color="000000"/>
            </w:tcBorders>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956" w:type="dxa"/>
            <w:tcBorders>
              <w:top w:val="single" w:sz="4" w:space="0" w:color="000000"/>
              <w:left w:val="single" w:sz="4" w:space="0" w:color="000000"/>
              <w:bottom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7,7%</w:t>
            </w:r>
          </w:p>
        </w:tc>
        <w:tc>
          <w:tcPr>
            <w:tcW w:w="568" w:type="dxa"/>
            <w:tcBorders>
              <w:top w:val="single" w:sz="4" w:space="0" w:color="000000"/>
              <w:left w:val="single" w:sz="4" w:space="0" w:color="000000"/>
              <w:bottom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993" w:type="dxa"/>
            <w:tcBorders>
              <w:left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37,8%</w:t>
            </w:r>
          </w:p>
        </w:tc>
        <w:tc>
          <w:tcPr>
            <w:tcW w:w="1417" w:type="dxa"/>
            <w:vMerge/>
            <w:tcBorders>
              <w:top w:val="single" w:sz="4" w:space="0" w:color="000000"/>
              <w:left w:val="single" w:sz="4" w:space="0" w:color="000000"/>
              <w:right w:val="single" w:sz="4" w:space="0" w:color="000000"/>
            </w:tcBorders>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2008" w:type="dxa"/>
            <w:vMerge/>
            <w:tcBorders>
              <w:top w:val="single" w:sz="4" w:space="0" w:color="000000"/>
              <w:left w:val="single" w:sz="4" w:space="0" w:color="000000"/>
              <w:right w:val="single" w:sz="4" w:space="0" w:color="000000"/>
            </w:tcBorders>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010" w:type="dxa"/>
            <w:tcBorders>
              <w:top w:val="single" w:sz="4" w:space="0" w:color="000000"/>
              <w:left w:val="single" w:sz="4" w:space="0" w:color="000000"/>
              <w:bottom w:val="single" w:sz="4" w:space="0" w:color="000000"/>
              <w:right w:val="single" w:sz="4" w:space="0" w:color="000000"/>
            </w:tcBorders>
          </w:tcPr>
          <w:p w:rsidR="000A3797" w:rsidRDefault="00A660E7">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3 степень</w:t>
            </w:r>
          </w:p>
        </w:tc>
        <w:tc>
          <w:tcPr>
            <w:tcW w:w="526" w:type="dxa"/>
            <w:tcBorders>
              <w:top w:val="single" w:sz="4" w:space="0" w:color="000000"/>
              <w:left w:val="single" w:sz="4" w:space="0" w:color="000000"/>
              <w:bottom w:val="single" w:sz="4" w:space="0" w:color="000000"/>
              <w:right w:val="single" w:sz="4" w:space="0" w:color="000000"/>
            </w:tcBorders>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956" w:type="dxa"/>
            <w:tcBorders>
              <w:top w:val="single" w:sz="4" w:space="0" w:color="000000"/>
              <w:left w:val="single" w:sz="4" w:space="0" w:color="000000"/>
              <w:bottom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5,1%</w:t>
            </w:r>
          </w:p>
        </w:tc>
        <w:tc>
          <w:tcPr>
            <w:tcW w:w="568" w:type="dxa"/>
            <w:tcBorders>
              <w:top w:val="single" w:sz="4" w:space="0" w:color="000000"/>
              <w:left w:val="single" w:sz="4" w:space="0" w:color="000000"/>
              <w:bottom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993" w:type="dxa"/>
            <w:tcBorders>
              <w:left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48,6%</w:t>
            </w:r>
          </w:p>
        </w:tc>
        <w:tc>
          <w:tcPr>
            <w:tcW w:w="1417" w:type="dxa"/>
            <w:vMerge/>
            <w:tcBorders>
              <w:top w:val="single" w:sz="4" w:space="0" w:color="000000"/>
              <w:left w:val="single" w:sz="4" w:space="0" w:color="000000"/>
              <w:right w:val="single" w:sz="4" w:space="0" w:color="000000"/>
            </w:tcBorders>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2008" w:type="dxa"/>
            <w:vMerge/>
            <w:tcBorders>
              <w:top w:val="single" w:sz="4" w:space="0" w:color="000000"/>
              <w:left w:val="single" w:sz="4" w:space="0" w:color="000000"/>
              <w:right w:val="single" w:sz="4" w:space="0" w:color="000000"/>
            </w:tcBorders>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010" w:type="dxa"/>
            <w:tcBorders>
              <w:top w:val="single" w:sz="4" w:space="0" w:color="000000"/>
              <w:left w:val="single" w:sz="4" w:space="0" w:color="000000"/>
              <w:bottom w:val="single" w:sz="4" w:space="0" w:color="000000"/>
              <w:right w:val="single" w:sz="4" w:space="0" w:color="000000"/>
            </w:tcBorders>
          </w:tcPr>
          <w:p w:rsidR="000A3797" w:rsidRDefault="00A660E7">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4 степень</w:t>
            </w:r>
          </w:p>
        </w:tc>
        <w:tc>
          <w:tcPr>
            <w:tcW w:w="526" w:type="dxa"/>
            <w:tcBorders>
              <w:top w:val="single" w:sz="4" w:space="0" w:color="000000"/>
              <w:left w:val="single" w:sz="4" w:space="0" w:color="000000"/>
              <w:bottom w:val="single" w:sz="4" w:space="0" w:color="000000"/>
              <w:right w:val="single" w:sz="4" w:space="0" w:color="000000"/>
            </w:tcBorders>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0 </w:t>
            </w:r>
          </w:p>
        </w:tc>
        <w:tc>
          <w:tcPr>
            <w:tcW w:w="956" w:type="dxa"/>
            <w:tcBorders>
              <w:top w:val="single" w:sz="4" w:space="0" w:color="000000"/>
              <w:left w:val="single" w:sz="4" w:space="0" w:color="000000"/>
              <w:bottom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568" w:type="dxa"/>
            <w:tcBorders>
              <w:top w:val="single" w:sz="4" w:space="0" w:color="000000"/>
              <w:left w:val="single" w:sz="4" w:space="0" w:color="000000"/>
              <w:bottom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993" w:type="dxa"/>
            <w:tcBorders>
              <w:left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13,5%</w:t>
            </w:r>
          </w:p>
        </w:tc>
        <w:tc>
          <w:tcPr>
            <w:tcW w:w="1417" w:type="dxa"/>
            <w:vMerge/>
            <w:tcBorders>
              <w:top w:val="single" w:sz="4" w:space="0" w:color="000000"/>
              <w:left w:val="single" w:sz="4" w:space="0" w:color="000000"/>
              <w:right w:val="single" w:sz="4" w:space="0" w:color="000000"/>
            </w:tcBorders>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2008" w:type="dxa"/>
            <w:vMerge/>
            <w:tcBorders>
              <w:top w:val="single" w:sz="4" w:space="0" w:color="000000"/>
              <w:left w:val="single" w:sz="4" w:space="0" w:color="000000"/>
              <w:right w:val="single" w:sz="4" w:space="0" w:color="000000"/>
            </w:tcBorders>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010" w:type="dxa"/>
            <w:tcBorders>
              <w:top w:val="single" w:sz="4" w:space="0" w:color="000000"/>
              <w:left w:val="single" w:sz="4" w:space="0" w:color="000000"/>
              <w:bottom w:val="single" w:sz="4" w:space="0" w:color="000000"/>
              <w:right w:val="single" w:sz="4" w:space="0" w:color="000000"/>
            </w:tcBorders>
          </w:tcPr>
          <w:p w:rsidR="000A3797" w:rsidRDefault="00A660E7">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Итого </w:t>
            </w:r>
          </w:p>
        </w:tc>
        <w:tc>
          <w:tcPr>
            <w:tcW w:w="526" w:type="dxa"/>
            <w:tcBorders>
              <w:top w:val="single" w:sz="4" w:space="0" w:color="000000"/>
              <w:left w:val="single" w:sz="4" w:space="0" w:color="000000"/>
              <w:bottom w:val="single" w:sz="4" w:space="0" w:color="000000"/>
              <w:right w:val="single" w:sz="4" w:space="0" w:color="000000"/>
            </w:tcBorders>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956" w:type="dxa"/>
            <w:tcBorders>
              <w:top w:val="single" w:sz="4" w:space="0" w:color="000000"/>
              <w:left w:val="single" w:sz="4" w:space="0" w:color="000000"/>
              <w:bottom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20,5%</w:t>
            </w:r>
          </w:p>
        </w:tc>
        <w:tc>
          <w:tcPr>
            <w:tcW w:w="568" w:type="dxa"/>
            <w:tcBorders>
              <w:top w:val="single" w:sz="4" w:space="0" w:color="000000"/>
              <w:left w:val="single" w:sz="4" w:space="0" w:color="000000"/>
              <w:bottom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37</w:t>
            </w:r>
          </w:p>
        </w:tc>
        <w:tc>
          <w:tcPr>
            <w:tcW w:w="993" w:type="dxa"/>
            <w:tcBorders>
              <w:left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1417" w:type="dxa"/>
            <w:vMerge/>
            <w:tcBorders>
              <w:top w:val="single" w:sz="4" w:space="0" w:color="000000"/>
              <w:left w:val="single" w:sz="4" w:space="0" w:color="000000"/>
              <w:right w:val="single" w:sz="4" w:space="0" w:color="000000"/>
            </w:tcBorders>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bl>
    <w:p w:rsidR="000A3797" w:rsidRDefault="000A3797">
      <w:pPr>
        <w:spacing w:after="0" w:line="240" w:lineRule="auto"/>
        <w:ind w:left="360"/>
        <w:rPr>
          <w:rFonts w:ascii="Times New Roman" w:eastAsia="Times New Roman" w:hAnsi="Times New Roman" w:cs="Times New Roman"/>
          <w:sz w:val="28"/>
          <w:szCs w:val="28"/>
        </w:rPr>
      </w:pPr>
    </w:p>
    <w:p w:rsidR="000A3797" w:rsidRDefault="000A3797">
      <w:pPr>
        <w:spacing w:after="0" w:line="240" w:lineRule="auto"/>
        <w:ind w:left="360"/>
        <w:rPr>
          <w:rFonts w:ascii="Times New Roman" w:eastAsia="Times New Roman" w:hAnsi="Times New Roman" w:cs="Times New Roman"/>
          <w:sz w:val="28"/>
          <w:szCs w:val="28"/>
        </w:rPr>
      </w:pPr>
    </w:p>
    <w:p w:rsidR="000A3797" w:rsidRDefault="000A3797">
      <w:pPr>
        <w:spacing w:after="0" w:line="240" w:lineRule="auto"/>
        <w:ind w:left="360"/>
        <w:jc w:val="both"/>
        <w:rPr>
          <w:rFonts w:ascii="Times New Roman" w:eastAsia="Times New Roman" w:hAnsi="Times New Roman" w:cs="Times New Roman"/>
          <w:sz w:val="28"/>
          <w:szCs w:val="28"/>
        </w:rPr>
      </w:pPr>
    </w:p>
    <w:p w:rsidR="000A3797" w:rsidRDefault="000A3797">
      <w:pPr>
        <w:spacing w:after="0" w:line="240" w:lineRule="auto"/>
        <w:ind w:left="360"/>
        <w:jc w:val="both"/>
        <w:rPr>
          <w:rFonts w:ascii="Times New Roman" w:eastAsia="Times New Roman" w:hAnsi="Times New Roman" w:cs="Times New Roman"/>
          <w:sz w:val="28"/>
          <w:szCs w:val="28"/>
        </w:rPr>
      </w:pPr>
    </w:p>
    <w:p w:rsidR="000A3797" w:rsidRDefault="000A3797">
      <w:pPr>
        <w:spacing w:after="0" w:line="240" w:lineRule="auto"/>
        <w:ind w:left="360"/>
        <w:jc w:val="both"/>
        <w:rPr>
          <w:rFonts w:ascii="Times New Roman" w:eastAsia="Times New Roman" w:hAnsi="Times New Roman" w:cs="Times New Roman"/>
          <w:b/>
          <w:sz w:val="28"/>
          <w:szCs w:val="28"/>
        </w:rPr>
      </w:pPr>
    </w:p>
    <w:p w:rsidR="000A3797" w:rsidRDefault="000A3797">
      <w:pPr>
        <w:spacing w:after="0" w:line="240" w:lineRule="auto"/>
        <w:jc w:val="both"/>
        <w:rPr>
          <w:rFonts w:ascii="Times New Roman" w:eastAsia="Times New Roman" w:hAnsi="Times New Roman" w:cs="Times New Roman"/>
          <w:b/>
          <w:sz w:val="24"/>
          <w:szCs w:val="24"/>
        </w:rPr>
      </w:pPr>
    </w:p>
    <w:p w:rsidR="000A3797" w:rsidRDefault="000A3797">
      <w:pPr>
        <w:rPr>
          <w:rFonts w:ascii="Times New Roman" w:eastAsia="Times New Roman" w:hAnsi="Times New Roman" w:cs="Times New Roman"/>
        </w:rPr>
      </w:pPr>
    </w:p>
    <w:p w:rsidR="000A3797" w:rsidRDefault="000A3797">
      <w:pPr>
        <w:spacing w:after="0" w:line="240" w:lineRule="auto"/>
        <w:ind w:left="469"/>
        <w:jc w:val="both"/>
        <w:rPr>
          <w:rFonts w:ascii="Times New Roman" w:eastAsia="Times New Roman" w:hAnsi="Times New Roman" w:cs="Times New Roman"/>
          <w:b/>
          <w:sz w:val="24"/>
          <w:szCs w:val="24"/>
        </w:rPr>
      </w:pPr>
    </w:p>
    <w:p w:rsidR="000A3797" w:rsidRDefault="00A660E7">
      <w:pPr>
        <w:spacing w:after="0" w:line="240" w:lineRule="auto"/>
        <w:ind w:left="469"/>
        <w:jc w:val="both"/>
        <w:rPr>
          <w:rFonts w:ascii="Times New Roman" w:eastAsia="Times New Roman" w:hAnsi="Times New Roman" w:cs="Times New Roman"/>
          <w:b/>
          <w:sz w:val="24"/>
          <w:szCs w:val="24"/>
        </w:rPr>
      </w:pPr>
      <w:r>
        <w:rPr>
          <w:rFonts w:ascii="Times New Roman" w:eastAsia="Times New Roman" w:hAnsi="Times New Roman" w:cs="Times New Roman"/>
          <w:sz w:val="28"/>
          <w:szCs w:val="28"/>
        </w:rPr>
        <w:t>Продолжение таблицы 26</w:t>
      </w:r>
    </w:p>
    <w:p w:rsidR="000A3797" w:rsidRDefault="000A3797">
      <w:pPr>
        <w:spacing w:after="0" w:line="240" w:lineRule="auto"/>
        <w:ind w:left="469"/>
        <w:jc w:val="both"/>
        <w:rPr>
          <w:rFonts w:ascii="Times New Roman" w:eastAsia="Times New Roman" w:hAnsi="Times New Roman" w:cs="Times New Roman"/>
          <w:b/>
          <w:sz w:val="24"/>
          <w:szCs w:val="24"/>
        </w:rPr>
      </w:pPr>
    </w:p>
    <w:p w:rsidR="000A3797" w:rsidRDefault="000A3797">
      <w:pPr>
        <w:spacing w:after="0" w:line="240" w:lineRule="auto"/>
        <w:ind w:left="469"/>
        <w:jc w:val="both"/>
        <w:rPr>
          <w:rFonts w:ascii="Times New Roman" w:eastAsia="Times New Roman" w:hAnsi="Times New Roman" w:cs="Times New Roman"/>
          <w:b/>
          <w:sz w:val="24"/>
          <w:szCs w:val="24"/>
        </w:rPr>
      </w:pPr>
    </w:p>
    <w:p w:rsidR="000A3797" w:rsidRDefault="000A3797">
      <w:pPr>
        <w:spacing w:after="0" w:line="240" w:lineRule="auto"/>
        <w:jc w:val="both"/>
        <w:rPr>
          <w:rFonts w:ascii="Times New Roman" w:eastAsia="Times New Roman" w:hAnsi="Times New Roman" w:cs="Times New Roman"/>
          <w:sz w:val="28"/>
          <w:szCs w:val="28"/>
        </w:rPr>
      </w:pPr>
    </w:p>
    <w:p w:rsidR="000A3797" w:rsidRDefault="000A3797">
      <w:pPr>
        <w:spacing w:after="0" w:line="240" w:lineRule="auto"/>
        <w:jc w:val="both"/>
        <w:rPr>
          <w:rFonts w:ascii="Times New Roman" w:eastAsia="Times New Roman" w:hAnsi="Times New Roman" w:cs="Times New Roman"/>
          <w:sz w:val="28"/>
          <w:szCs w:val="28"/>
        </w:rPr>
      </w:pPr>
    </w:p>
    <w:p w:rsidR="000A3797" w:rsidRDefault="000A3797">
      <w:pPr>
        <w:spacing w:after="0" w:line="240" w:lineRule="auto"/>
        <w:ind w:left="469"/>
        <w:jc w:val="both"/>
        <w:rPr>
          <w:rFonts w:ascii="Times New Roman" w:eastAsia="Times New Roman" w:hAnsi="Times New Roman" w:cs="Times New Roman"/>
          <w:b/>
          <w:sz w:val="28"/>
          <w:szCs w:val="28"/>
        </w:rPr>
      </w:pPr>
    </w:p>
    <w:p w:rsidR="000A3797" w:rsidRDefault="000A3797">
      <w:pPr>
        <w:spacing w:after="0" w:line="240" w:lineRule="auto"/>
        <w:ind w:left="469"/>
        <w:jc w:val="both"/>
        <w:rPr>
          <w:rFonts w:ascii="Times New Roman" w:eastAsia="Times New Roman" w:hAnsi="Times New Roman" w:cs="Times New Roman"/>
          <w:b/>
          <w:sz w:val="28"/>
          <w:szCs w:val="28"/>
        </w:rPr>
      </w:pPr>
    </w:p>
    <w:p w:rsidR="000A3797" w:rsidRDefault="000A3797">
      <w:pPr>
        <w:spacing w:after="0" w:line="240" w:lineRule="auto"/>
        <w:jc w:val="both"/>
        <w:rPr>
          <w:rFonts w:ascii="Times New Roman" w:eastAsia="Times New Roman" w:hAnsi="Times New Roman" w:cs="Times New Roman"/>
          <w:sz w:val="28"/>
          <w:szCs w:val="28"/>
        </w:rPr>
      </w:pPr>
    </w:p>
    <w:p w:rsidR="000A3797" w:rsidRDefault="000A3797">
      <w:pPr>
        <w:spacing w:after="0" w:line="240" w:lineRule="auto"/>
        <w:ind w:left="469"/>
        <w:jc w:val="both"/>
        <w:rPr>
          <w:rFonts w:ascii="Times New Roman" w:eastAsia="Times New Roman" w:hAnsi="Times New Roman" w:cs="Times New Roman"/>
          <w:b/>
          <w:sz w:val="24"/>
          <w:szCs w:val="24"/>
        </w:rPr>
      </w:pPr>
    </w:p>
    <w:p w:rsidR="000A3797" w:rsidRDefault="000A3797">
      <w:pPr>
        <w:spacing w:after="0" w:line="240" w:lineRule="auto"/>
        <w:ind w:left="469"/>
        <w:jc w:val="both"/>
        <w:rPr>
          <w:rFonts w:ascii="Times New Roman" w:eastAsia="Times New Roman" w:hAnsi="Times New Roman" w:cs="Times New Roman"/>
          <w:b/>
          <w:sz w:val="24"/>
          <w:szCs w:val="24"/>
        </w:rPr>
      </w:pPr>
    </w:p>
    <w:p w:rsidR="000A3797" w:rsidRDefault="000A3797">
      <w:pPr>
        <w:spacing w:after="0" w:line="240" w:lineRule="auto"/>
        <w:ind w:left="469"/>
        <w:jc w:val="both"/>
        <w:rPr>
          <w:rFonts w:ascii="Times New Roman" w:eastAsia="Times New Roman" w:hAnsi="Times New Roman" w:cs="Times New Roman"/>
          <w:b/>
          <w:sz w:val="24"/>
          <w:szCs w:val="24"/>
        </w:rPr>
      </w:pPr>
    </w:p>
    <w:p w:rsidR="000A3797" w:rsidRDefault="000A3797">
      <w:pPr>
        <w:spacing w:after="0" w:line="240" w:lineRule="auto"/>
        <w:ind w:left="469"/>
        <w:jc w:val="both"/>
        <w:rPr>
          <w:rFonts w:ascii="Times New Roman" w:eastAsia="Times New Roman" w:hAnsi="Times New Roman" w:cs="Times New Roman"/>
          <w:b/>
          <w:sz w:val="24"/>
          <w:szCs w:val="24"/>
        </w:rPr>
      </w:pPr>
    </w:p>
    <w:tbl>
      <w:tblPr>
        <w:tblStyle w:val="affc"/>
        <w:tblpPr w:leftFromText="180" w:rightFromText="180" w:vertAnchor="page" w:horzAnchor="margin" w:tblpY="1709"/>
        <w:tblW w:w="847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08"/>
        <w:gridCol w:w="2010"/>
        <w:gridCol w:w="526"/>
        <w:gridCol w:w="956"/>
        <w:gridCol w:w="568"/>
        <w:gridCol w:w="993"/>
        <w:gridCol w:w="1417"/>
      </w:tblGrid>
      <w:tr w:rsidR="000A3797">
        <w:tc>
          <w:tcPr>
            <w:tcW w:w="2008" w:type="dxa"/>
            <w:tcBorders>
              <w:left w:val="single" w:sz="4" w:space="0" w:color="000000"/>
              <w:right w:val="single" w:sz="4" w:space="0" w:color="000000"/>
            </w:tcBorders>
            <w:vAlign w:val="center"/>
          </w:tcPr>
          <w:p w:rsidR="000A3797" w:rsidRDefault="00A660E7">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010" w:type="dxa"/>
            <w:tcBorders>
              <w:top w:val="single" w:sz="4" w:space="0" w:color="000000"/>
              <w:left w:val="single" w:sz="4" w:space="0" w:color="000000"/>
              <w:bottom w:val="single" w:sz="4" w:space="0" w:color="000000"/>
              <w:right w:val="single" w:sz="4" w:space="0" w:color="000000"/>
            </w:tcBorders>
          </w:tcPr>
          <w:p w:rsidR="000A3797" w:rsidRDefault="00A660E7">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526" w:type="dxa"/>
            <w:tcBorders>
              <w:top w:val="single" w:sz="4" w:space="0" w:color="000000"/>
              <w:left w:val="single" w:sz="4" w:space="0" w:color="000000"/>
              <w:bottom w:val="single" w:sz="4" w:space="0" w:color="000000"/>
              <w:right w:val="single" w:sz="4" w:space="0" w:color="000000"/>
            </w:tcBorders>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956" w:type="dxa"/>
            <w:tcBorders>
              <w:top w:val="single" w:sz="4" w:space="0" w:color="000000"/>
              <w:left w:val="single" w:sz="4" w:space="0" w:color="000000"/>
              <w:bottom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568" w:type="dxa"/>
            <w:tcBorders>
              <w:top w:val="single" w:sz="4" w:space="0" w:color="000000"/>
              <w:left w:val="single" w:sz="4" w:space="0" w:color="000000"/>
              <w:bottom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993" w:type="dxa"/>
            <w:tcBorders>
              <w:left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417" w:type="dxa"/>
            <w:tcBorders>
              <w:left w:val="single" w:sz="4" w:space="0" w:color="000000"/>
              <w:right w:val="single" w:sz="4" w:space="0" w:color="000000"/>
            </w:tcBorders>
            <w:vAlign w:val="center"/>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r>
      <w:tr w:rsidR="000A3797">
        <w:tc>
          <w:tcPr>
            <w:tcW w:w="2008" w:type="dxa"/>
            <w:tcBorders>
              <w:left w:val="single" w:sz="4" w:space="0" w:color="000000"/>
              <w:right w:val="single" w:sz="4" w:space="0" w:color="000000"/>
            </w:tcBorders>
            <w:vAlign w:val="center"/>
          </w:tcPr>
          <w:p w:rsidR="000A3797" w:rsidRDefault="000A3797">
            <w:pPr>
              <w:ind w:left="360"/>
              <w:rPr>
                <w:rFonts w:ascii="Times New Roman" w:eastAsia="Times New Roman" w:hAnsi="Times New Roman" w:cs="Times New Roman"/>
                <w:sz w:val="24"/>
                <w:szCs w:val="24"/>
              </w:rPr>
            </w:pPr>
          </w:p>
        </w:tc>
        <w:tc>
          <w:tcPr>
            <w:tcW w:w="2010" w:type="dxa"/>
            <w:tcBorders>
              <w:top w:val="single" w:sz="4" w:space="0" w:color="000000"/>
              <w:left w:val="single" w:sz="4" w:space="0" w:color="000000"/>
              <w:bottom w:val="single" w:sz="4" w:space="0" w:color="000000"/>
              <w:right w:val="single" w:sz="4" w:space="0" w:color="000000"/>
            </w:tcBorders>
          </w:tcPr>
          <w:p w:rsidR="000A3797" w:rsidRDefault="00A660E7">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Повторная операция</w:t>
            </w:r>
          </w:p>
        </w:tc>
        <w:tc>
          <w:tcPr>
            <w:tcW w:w="526" w:type="dxa"/>
            <w:tcBorders>
              <w:top w:val="single" w:sz="4" w:space="0" w:color="000000"/>
              <w:left w:val="single" w:sz="4" w:space="0" w:color="000000"/>
              <w:bottom w:val="single" w:sz="4" w:space="0" w:color="000000"/>
              <w:right w:val="single" w:sz="4" w:space="0" w:color="000000"/>
            </w:tcBorders>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956" w:type="dxa"/>
            <w:tcBorders>
              <w:top w:val="single" w:sz="4" w:space="0" w:color="000000"/>
              <w:left w:val="single" w:sz="4" w:space="0" w:color="000000"/>
              <w:bottom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5,1%</w:t>
            </w:r>
          </w:p>
        </w:tc>
        <w:tc>
          <w:tcPr>
            <w:tcW w:w="568" w:type="dxa"/>
            <w:tcBorders>
              <w:top w:val="single" w:sz="4" w:space="0" w:color="000000"/>
              <w:left w:val="single" w:sz="4" w:space="0" w:color="000000"/>
              <w:bottom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37</w:t>
            </w:r>
          </w:p>
        </w:tc>
        <w:tc>
          <w:tcPr>
            <w:tcW w:w="993" w:type="dxa"/>
            <w:tcBorders>
              <w:left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1417" w:type="dxa"/>
            <w:tcBorders>
              <w:left w:val="single" w:sz="4" w:space="0" w:color="000000"/>
              <w:right w:val="single" w:sz="4" w:space="0" w:color="000000"/>
            </w:tcBorders>
            <w:vAlign w:val="center"/>
          </w:tcPr>
          <w:p w:rsidR="000A3797" w:rsidRDefault="00A660E7">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&lt;0,001</m:t>
                </m:r>
              </m:oMath>
            </m:oMathPara>
          </w:p>
        </w:tc>
      </w:tr>
      <w:tr w:rsidR="000A3797">
        <w:trPr>
          <w:trHeight w:val="208"/>
        </w:trPr>
        <w:tc>
          <w:tcPr>
            <w:tcW w:w="2008" w:type="dxa"/>
            <w:vMerge w:val="restart"/>
            <w:tcBorders>
              <w:top w:val="single" w:sz="4" w:space="0" w:color="000000"/>
              <w:left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Функциональные</w:t>
            </w:r>
          </w:p>
          <w:p w:rsidR="000A3797" w:rsidRDefault="00A660E7">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нарушение ОМТ  </w:t>
            </w:r>
          </w:p>
        </w:tc>
        <w:tc>
          <w:tcPr>
            <w:tcW w:w="2010" w:type="dxa"/>
            <w:tcBorders>
              <w:top w:val="single" w:sz="4" w:space="0" w:color="000000"/>
              <w:left w:val="single" w:sz="4" w:space="0" w:color="000000"/>
              <w:bottom w:val="single" w:sz="4" w:space="0" w:color="000000"/>
              <w:right w:val="single" w:sz="4" w:space="0" w:color="000000"/>
            </w:tcBorders>
          </w:tcPr>
          <w:p w:rsidR="000A3797" w:rsidRDefault="00A660E7">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1 степень</w:t>
            </w:r>
          </w:p>
        </w:tc>
        <w:tc>
          <w:tcPr>
            <w:tcW w:w="526" w:type="dxa"/>
            <w:tcBorders>
              <w:top w:val="single" w:sz="4" w:space="0" w:color="000000"/>
              <w:left w:val="single" w:sz="4" w:space="0" w:color="000000"/>
              <w:bottom w:val="single" w:sz="4" w:space="0" w:color="000000"/>
              <w:right w:val="single" w:sz="4" w:space="0" w:color="000000"/>
            </w:tcBorders>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956" w:type="dxa"/>
            <w:tcBorders>
              <w:top w:val="single" w:sz="4" w:space="0" w:color="000000"/>
              <w:left w:val="single" w:sz="4" w:space="0" w:color="000000"/>
              <w:bottom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10,3%</w:t>
            </w:r>
          </w:p>
        </w:tc>
        <w:tc>
          <w:tcPr>
            <w:tcW w:w="568" w:type="dxa"/>
            <w:tcBorders>
              <w:top w:val="single" w:sz="4" w:space="0" w:color="000000"/>
              <w:left w:val="single" w:sz="4" w:space="0" w:color="000000"/>
              <w:bottom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993" w:type="dxa"/>
            <w:tcBorders>
              <w:top w:val="single" w:sz="4" w:space="0" w:color="000000"/>
              <w:left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2,7%</w:t>
            </w:r>
          </w:p>
        </w:tc>
        <w:tc>
          <w:tcPr>
            <w:tcW w:w="1417" w:type="dxa"/>
            <w:vMerge w:val="restart"/>
            <w:tcBorders>
              <w:top w:val="single" w:sz="4" w:space="0" w:color="000000"/>
              <w:left w:val="single" w:sz="4" w:space="0" w:color="000000"/>
              <w:right w:val="single" w:sz="4" w:space="0" w:color="000000"/>
            </w:tcBorders>
          </w:tcPr>
          <w:p w:rsidR="000A3797" w:rsidRDefault="00A660E7">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&lt;0,001</m:t>
                </m:r>
              </m:oMath>
            </m:oMathPara>
          </w:p>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(0,876*)</w:t>
            </w:r>
          </w:p>
          <w:p w:rsidR="000A3797" w:rsidRDefault="000A3797">
            <w:pPr>
              <w:ind w:left="360"/>
              <w:rPr>
                <w:rFonts w:ascii="Times New Roman" w:eastAsia="Times New Roman" w:hAnsi="Times New Roman" w:cs="Times New Roman"/>
                <w:sz w:val="24"/>
                <w:szCs w:val="24"/>
              </w:rPr>
            </w:pPr>
          </w:p>
        </w:tc>
      </w:tr>
      <w:tr w:rsidR="000A3797">
        <w:tc>
          <w:tcPr>
            <w:tcW w:w="2008" w:type="dxa"/>
            <w:vMerge/>
            <w:tcBorders>
              <w:top w:val="single" w:sz="4" w:space="0" w:color="000000"/>
              <w:left w:val="single" w:sz="4" w:space="0" w:color="000000"/>
              <w:right w:val="single" w:sz="4" w:space="0" w:color="000000"/>
            </w:tcBorders>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010" w:type="dxa"/>
            <w:tcBorders>
              <w:top w:val="single" w:sz="4" w:space="0" w:color="000000"/>
              <w:left w:val="single" w:sz="4" w:space="0" w:color="000000"/>
              <w:bottom w:val="single" w:sz="4" w:space="0" w:color="000000"/>
              <w:right w:val="single" w:sz="4" w:space="0" w:color="000000"/>
            </w:tcBorders>
          </w:tcPr>
          <w:p w:rsidR="000A3797" w:rsidRDefault="00A660E7">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2 степень</w:t>
            </w:r>
          </w:p>
        </w:tc>
        <w:tc>
          <w:tcPr>
            <w:tcW w:w="526" w:type="dxa"/>
            <w:tcBorders>
              <w:top w:val="single" w:sz="4" w:space="0" w:color="000000"/>
              <w:left w:val="single" w:sz="4" w:space="0" w:color="000000"/>
              <w:bottom w:val="single" w:sz="4" w:space="0" w:color="000000"/>
              <w:right w:val="single" w:sz="4" w:space="0" w:color="000000"/>
            </w:tcBorders>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956" w:type="dxa"/>
            <w:tcBorders>
              <w:top w:val="single" w:sz="4" w:space="0" w:color="000000"/>
              <w:left w:val="single" w:sz="4" w:space="0" w:color="000000"/>
              <w:bottom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10,3%</w:t>
            </w:r>
          </w:p>
        </w:tc>
        <w:tc>
          <w:tcPr>
            <w:tcW w:w="568" w:type="dxa"/>
            <w:tcBorders>
              <w:top w:val="single" w:sz="4" w:space="0" w:color="000000"/>
              <w:left w:val="single" w:sz="4" w:space="0" w:color="000000"/>
              <w:bottom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993" w:type="dxa"/>
            <w:tcBorders>
              <w:left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21,6%</w:t>
            </w:r>
          </w:p>
        </w:tc>
        <w:tc>
          <w:tcPr>
            <w:tcW w:w="1417" w:type="dxa"/>
            <w:vMerge/>
            <w:tcBorders>
              <w:top w:val="single" w:sz="4" w:space="0" w:color="000000"/>
              <w:left w:val="single" w:sz="4" w:space="0" w:color="000000"/>
              <w:right w:val="single" w:sz="4" w:space="0" w:color="000000"/>
            </w:tcBorders>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2008" w:type="dxa"/>
            <w:vMerge/>
            <w:tcBorders>
              <w:top w:val="single" w:sz="4" w:space="0" w:color="000000"/>
              <w:left w:val="single" w:sz="4" w:space="0" w:color="000000"/>
              <w:right w:val="single" w:sz="4" w:space="0" w:color="000000"/>
            </w:tcBorders>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010" w:type="dxa"/>
            <w:tcBorders>
              <w:top w:val="single" w:sz="4" w:space="0" w:color="000000"/>
              <w:left w:val="single" w:sz="4" w:space="0" w:color="000000"/>
              <w:bottom w:val="single" w:sz="4" w:space="0" w:color="000000"/>
              <w:right w:val="single" w:sz="4" w:space="0" w:color="000000"/>
            </w:tcBorders>
          </w:tcPr>
          <w:p w:rsidR="000A3797" w:rsidRDefault="00A660E7">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3 степень</w:t>
            </w:r>
          </w:p>
        </w:tc>
        <w:tc>
          <w:tcPr>
            <w:tcW w:w="526" w:type="dxa"/>
            <w:tcBorders>
              <w:top w:val="single" w:sz="4" w:space="0" w:color="000000"/>
              <w:left w:val="single" w:sz="4" w:space="0" w:color="000000"/>
              <w:bottom w:val="single" w:sz="4" w:space="0" w:color="000000"/>
              <w:right w:val="single" w:sz="4" w:space="0" w:color="000000"/>
            </w:tcBorders>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956" w:type="dxa"/>
            <w:tcBorders>
              <w:top w:val="single" w:sz="4" w:space="0" w:color="000000"/>
              <w:left w:val="single" w:sz="4" w:space="0" w:color="000000"/>
              <w:bottom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2,6%</w:t>
            </w:r>
          </w:p>
        </w:tc>
        <w:tc>
          <w:tcPr>
            <w:tcW w:w="568" w:type="dxa"/>
            <w:tcBorders>
              <w:top w:val="single" w:sz="4" w:space="0" w:color="000000"/>
              <w:left w:val="single" w:sz="4" w:space="0" w:color="000000"/>
              <w:bottom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28</w:t>
            </w:r>
          </w:p>
        </w:tc>
        <w:tc>
          <w:tcPr>
            <w:tcW w:w="993" w:type="dxa"/>
            <w:tcBorders>
              <w:left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75,7%</w:t>
            </w:r>
          </w:p>
        </w:tc>
        <w:tc>
          <w:tcPr>
            <w:tcW w:w="1417" w:type="dxa"/>
            <w:vMerge/>
            <w:tcBorders>
              <w:top w:val="single" w:sz="4" w:space="0" w:color="000000"/>
              <w:left w:val="single" w:sz="4" w:space="0" w:color="000000"/>
              <w:right w:val="single" w:sz="4" w:space="0" w:color="000000"/>
            </w:tcBorders>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2008" w:type="dxa"/>
            <w:vMerge/>
            <w:tcBorders>
              <w:top w:val="single" w:sz="4" w:space="0" w:color="000000"/>
              <w:left w:val="single" w:sz="4" w:space="0" w:color="000000"/>
              <w:right w:val="single" w:sz="4" w:space="0" w:color="000000"/>
            </w:tcBorders>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010" w:type="dxa"/>
            <w:tcBorders>
              <w:top w:val="single" w:sz="4" w:space="0" w:color="000000"/>
              <w:left w:val="single" w:sz="4" w:space="0" w:color="000000"/>
              <w:bottom w:val="single" w:sz="4" w:space="0" w:color="000000"/>
              <w:right w:val="single" w:sz="4" w:space="0" w:color="000000"/>
            </w:tcBorders>
          </w:tcPr>
          <w:p w:rsidR="000A3797" w:rsidRDefault="00A660E7">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итого</w:t>
            </w:r>
          </w:p>
        </w:tc>
        <w:tc>
          <w:tcPr>
            <w:tcW w:w="526" w:type="dxa"/>
            <w:tcBorders>
              <w:top w:val="single" w:sz="4" w:space="0" w:color="000000"/>
              <w:left w:val="single" w:sz="4" w:space="0" w:color="000000"/>
              <w:bottom w:val="single" w:sz="4" w:space="0" w:color="000000"/>
              <w:right w:val="single" w:sz="4" w:space="0" w:color="000000"/>
            </w:tcBorders>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956" w:type="dxa"/>
            <w:tcBorders>
              <w:top w:val="single" w:sz="4" w:space="0" w:color="000000"/>
              <w:left w:val="single" w:sz="4" w:space="0" w:color="000000"/>
              <w:bottom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23,07%</w:t>
            </w:r>
          </w:p>
        </w:tc>
        <w:tc>
          <w:tcPr>
            <w:tcW w:w="568" w:type="dxa"/>
            <w:tcBorders>
              <w:top w:val="single" w:sz="4" w:space="0" w:color="000000"/>
              <w:left w:val="single" w:sz="4" w:space="0" w:color="000000"/>
              <w:bottom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37</w:t>
            </w:r>
          </w:p>
        </w:tc>
        <w:tc>
          <w:tcPr>
            <w:tcW w:w="993" w:type="dxa"/>
            <w:tcBorders>
              <w:left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1417" w:type="dxa"/>
            <w:vMerge/>
            <w:tcBorders>
              <w:top w:val="single" w:sz="4" w:space="0" w:color="000000"/>
              <w:left w:val="single" w:sz="4" w:space="0" w:color="000000"/>
              <w:right w:val="single" w:sz="4" w:space="0" w:color="000000"/>
            </w:tcBorders>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2008" w:type="dxa"/>
            <w:vMerge/>
            <w:tcBorders>
              <w:top w:val="single" w:sz="4" w:space="0" w:color="000000"/>
              <w:left w:val="single" w:sz="4" w:space="0" w:color="000000"/>
              <w:right w:val="single" w:sz="4" w:space="0" w:color="000000"/>
            </w:tcBorders>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010" w:type="dxa"/>
            <w:tcBorders>
              <w:top w:val="single" w:sz="4" w:space="0" w:color="000000"/>
              <w:left w:val="single" w:sz="4" w:space="0" w:color="000000"/>
              <w:bottom w:val="single" w:sz="4" w:space="0" w:color="000000"/>
              <w:right w:val="single" w:sz="4" w:space="0" w:color="000000"/>
            </w:tcBorders>
          </w:tcPr>
          <w:p w:rsidR="000A3797" w:rsidRDefault="00A660E7">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Повторная операция</w:t>
            </w:r>
          </w:p>
        </w:tc>
        <w:tc>
          <w:tcPr>
            <w:tcW w:w="526" w:type="dxa"/>
            <w:tcBorders>
              <w:top w:val="single" w:sz="4" w:space="0" w:color="000000"/>
              <w:left w:val="single" w:sz="4" w:space="0" w:color="000000"/>
              <w:bottom w:val="single" w:sz="4" w:space="0" w:color="000000"/>
              <w:right w:val="single" w:sz="4" w:space="0" w:color="000000"/>
            </w:tcBorders>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956" w:type="dxa"/>
            <w:tcBorders>
              <w:top w:val="single" w:sz="4" w:space="0" w:color="000000"/>
              <w:left w:val="single" w:sz="4" w:space="0" w:color="000000"/>
              <w:bottom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568" w:type="dxa"/>
            <w:tcBorders>
              <w:top w:val="single" w:sz="4" w:space="0" w:color="000000"/>
              <w:left w:val="single" w:sz="4" w:space="0" w:color="000000"/>
              <w:bottom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37</w:t>
            </w:r>
          </w:p>
        </w:tc>
        <w:tc>
          <w:tcPr>
            <w:tcW w:w="993" w:type="dxa"/>
            <w:tcBorders>
              <w:left w:val="single" w:sz="4" w:space="0" w:color="000000"/>
              <w:right w:val="single" w:sz="4" w:space="0" w:color="000000"/>
            </w:tcBorders>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1417" w:type="dxa"/>
            <w:tcBorders>
              <w:left w:val="single" w:sz="4" w:space="0" w:color="000000"/>
              <w:right w:val="single" w:sz="4" w:space="0" w:color="000000"/>
            </w:tcBorders>
            <w:vAlign w:val="center"/>
          </w:tcPr>
          <w:p w:rsidR="000A3797" w:rsidRDefault="00A660E7">
            <w:pPr>
              <w:rPr>
                <w:rFonts w:ascii="Times New Roman" w:eastAsia="Times New Roman" w:hAnsi="Times New Roman" w:cs="Times New Roman"/>
                <w:sz w:val="24"/>
                <w:szCs w:val="24"/>
              </w:rPr>
            </w:pPr>
            <m:oMath>
              <m:r>
                <w:rPr>
                  <w:rFonts w:ascii="Cambria Math" w:eastAsia="Cambria Math" w:hAnsi="Cambria Math" w:cs="Cambria Math"/>
                  <w:sz w:val="24"/>
                  <w:szCs w:val="24"/>
                </w:rPr>
                <m:t>&lt;0,001</m:t>
              </m:r>
            </m:oMath>
            <w:r>
              <w:rPr>
                <w:rFonts w:ascii="Times New Roman" w:eastAsia="Times New Roman" w:hAnsi="Times New Roman" w:cs="Times New Roman"/>
                <w:sz w:val="24"/>
                <w:szCs w:val="24"/>
              </w:rPr>
              <w:t>**</w:t>
            </w:r>
          </w:p>
        </w:tc>
      </w:tr>
      <w:tr w:rsidR="000A3797">
        <w:tc>
          <w:tcPr>
            <w:tcW w:w="8478" w:type="dxa"/>
            <w:gridSpan w:val="7"/>
            <w:tcBorders>
              <w:left w:val="single" w:sz="4" w:space="0" w:color="000000"/>
              <w:right w:val="single" w:sz="4" w:space="0" w:color="000000"/>
            </w:tcBorders>
          </w:tcPr>
          <w:p w:rsidR="000A3797" w:rsidRDefault="00A660E7">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***Точный критерий Фишера, **Хи-квадрат Пирсона,*оценка V Крамера</w:t>
            </w:r>
          </w:p>
        </w:tc>
      </w:tr>
    </w:tbl>
    <w:p w:rsidR="000A3797" w:rsidRDefault="000A3797">
      <w:pPr>
        <w:spacing w:after="0" w:line="240" w:lineRule="auto"/>
        <w:jc w:val="both"/>
        <w:rPr>
          <w:rFonts w:ascii="Times New Roman" w:eastAsia="Times New Roman" w:hAnsi="Times New Roman" w:cs="Times New Roman"/>
          <w:b/>
          <w:sz w:val="28"/>
          <w:szCs w:val="28"/>
        </w:rPr>
      </w:pPr>
    </w:p>
    <w:p w:rsidR="000A3797" w:rsidRDefault="00A660E7">
      <w:pPr>
        <w:spacing w:after="0" w:line="240" w:lineRule="auto"/>
        <w:ind w:left="46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Обсуждение результатов 3.5</w:t>
      </w:r>
    </w:p>
    <w:p w:rsidR="000A3797" w:rsidRDefault="000A3797">
      <w:pPr>
        <w:spacing w:after="0" w:line="240" w:lineRule="auto"/>
        <w:ind w:left="469"/>
        <w:jc w:val="both"/>
        <w:rPr>
          <w:rFonts w:ascii="Times New Roman" w:eastAsia="Times New Roman" w:hAnsi="Times New Roman" w:cs="Times New Roman"/>
          <w:b/>
          <w:sz w:val="28"/>
          <w:szCs w:val="28"/>
        </w:rPr>
      </w:pPr>
    </w:p>
    <w:p w:rsidR="000A3797" w:rsidRDefault="00A660E7">
      <w:pPr>
        <w:spacing w:after="0"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Комплексный подход к хирургическому лечению сочетанного пролапса достоверно повышает качество жизни пациентов по сравнению с этапным лечением, что подтверждается статистически значимым снижением числа повторных госпитализаций по поводу симптомов пролапса [</w:t>
      </w:r>
      <w:r>
        <w:rPr>
          <w:rFonts w:ascii="Times New Roman" w:eastAsia="Times New Roman" w:hAnsi="Times New Roman" w:cs="Times New Roman"/>
          <w:sz w:val="28"/>
          <w:szCs w:val="28"/>
          <w:highlight w:val="white"/>
        </w:rPr>
        <w:t>200,</w:t>
      </w:r>
      <w:r>
        <w:rPr>
          <w:rFonts w:ascii="Times New Roman" w:eastAsia="Times New Roman" w:hAnsi="Times New Roman" w:cs="Times New Roman"/>
          <w:sz w:val="28"/>
          <w:szCs w:val="28"/>
        </w:rPr>
        <w:t xml:space="preserve"> стр. 64]. В группе этапного лечения многие пациенты испытывали стресс и беспокойство из-за необходимости повторных операций — 83,8% пациентов, а также неудовлетворенность отсутствием значительного улучшения после первой операции (81,1%). Более 75% жен</w:t>
      </w:r>
      <w:r>
        <w:rPr>
          <w:rFonts w:ascii="Times New Roman" w:eastAsia="Times New Roman" w:hAnsi="Times New Roman" w:cs="Times New Roman"/>
          <w:sz w:val="28"/>
          <w:szCs w:val="28"/>
        </w:rPr>
        <w:t>щин отметили, что эмоциональное напряжение было бы значительно ниже при однометапном лечении. Результаты подтверждают целесообразность использования оценки качества жизни как ключевого критерия успешности лечения пролапса, что указывает на необходимость пр</w:t>
      </w:r>
      <w:r>
        <w:rPr>
          <w:rFonts w:ascii="Times New Roman" w:eastAsia="Times New Roman" w:hAnsi="Times New Roman" w:cs="Times New Roman"/>
          <w:sz w:val="28"/>
          <w:szCs w:val="28"/>
        </w:rPr>
        <w:t>изнания этого критерия при определении успешности терапии.</w:t>
      </w:r>
    </w:p>
    <w:p w:rsidR="000A3797" w:rsidRDefault="000A3797">
      <w:pPr>
        <w:spacing w:after="0" w:line="240" w:lineRule="auto"/>
        <w:ind w:left="360"/>
        <w:jc w:val="both"/>
        <w:rPr>
          <w:rFonts w:ascii="Times New Roman" w:eastAsia="Times New Roman" w:hAnsi="Times New Roman" w:cs="Times New Roman"/>
          <w:sz w:val="28"/>
          <w:szCs w:val="28"/>
        </w:rPr>
      </w:pPr>
    </w:p>
    <w:p w:rsidR="000A3797" w:rsidRDefault="00A660E7">
      <w:pPr>
        <w:spacing w:after="0"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Полученные данные подчеркивают важность изменений в нормативной базе для расширения финансирования подобных операций: одноэтапные вмешательства должны покрываться как за счет республиканского бюдж</w:t>
      </w:r>
      <w:r>
        <w:rPr>
          <w:rFonts w:ascii="Times New Roman" w:eastAsia="Times New Roman" w:hAnsi="Times New Roman" w:cs="Times New Roman"/>
          <w:sz w:val="28"/>
          <w:szCs w:val="28"/>
        </w:rPr>
        <w:t>ета, так и через договорные и софинансированные услуги [</w:t>
      </w:r>
      <w:r>
        <w:rPr>
          <w:rFonts w:ascii="Times New Roman" w:eastAsia="Times New Roman" w:hAnsi="Times New Roman" w:cs="Times New Roman"/>
          <w:sz w:val="28"/>
          <w:szCs w:val="28"/>
          <w:highlight w:val="white"/>
        </w:rPr>
        <w:t>200,</w:t>
      </w:r>
      <w:r>
        <w:rPr>
          <w:rFonts w:ascii="Times New Roman" w:eastAsia="Times New Roman" w:hAnsi="Times New Roman" w:cs="Times New Roman"/>
          <w:sz w:val="28"/>
          <w:szCs w:val="28"/>
        </w:rPr>
        <w:t xml:space="preserve"> стр. 64].</w:t>
      </w:r>
    </w:p>
    <w:p w:rsidR="000A3797" w:rsidRDefault="000A3797">
      <w:pPr>
        <w:spacing w:after="0" w:line="240" w:lineRule="auto"/>
        <w:ind w:left="360"/>
        <w:jc w:val="both"/>
        <w:rPr>
          <w:rFonts w:ascii="Times New Roman" w:eastAsia="Times New Roman" w:hAnsi="Times New Roman" w:cs="Times New Roman"/>
          <w:sz w:val="28"/>
          <w:szCs w:val="28"/>
        </w:rPr>
      </w:pPr>
    </w:p>
    <w:p w:rsidR="000A3797" w:rsidRDefault="00A660E7">
      <w:pPr>
        <w:numPr>
          <w:ilvl w:val="1"/>
          <w:numId w:val="14"/>
        </w:num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Результаты РКИ о влиянии схемы упражнений укрепления мышц тазового дна  при амбулаторном ведении женщин с генитальным пролапсом после операции на качество жизни и профилактику рецидива</w:t>
      </w:r>
    </w:p>
    <w:p w:rsidR="000A3797" w:rsidRDefault="000A3797">
      <w:pPr>
        <w:spacing w:after="0" w:line="240" w:lineRule="auto"/>
        <w:ind w:left="251"/>
        <w:jc w:val="both"/>
        <w:rPr>
          <w:rFonts w:ascii="Times New Roman" w:eastAsia="Times New Roman" w:hAnsi="Times New Roman" w:cs="Times New Roman"/>
          <w:b/>
          <w:sz w:val="28"/>
          <w:szCs w:val="28"/>
        </w:rPr>
      </w:pPr>
    </w:p>
    <w:p w:rsidR="000A3797" w:rsidRDefault="00A660E7">
      <w:pPr>
        <w:spacing w:after="0" w:line="240" w:lineRule="auto"/>
        <w:ind w:firstLine="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Группы были сопоставимы по возрасту, паритету и ИМТ (Таблица 27; 28). Средний возраст в группах составил: 1 группа – 39,50 (±3,246) года; 2 группа - 39,70 (±3,544) года, (р=0,820) </w:t>
      </w:r>
      <w:r>
        <w:rPr>
          <w:rFonts w:ascii="Times New Roman" w:eastAsia="Times New Roman" w:hAnsi="Times New Roman" w:cs="Times New Roman"/>
          <w:sz w:val="28"/>
          <w:szCs w:val="28"/>
          <w:highlight w:val="white"/>
        </w:rPr>
        <w:t>[201, стр. 390]</w:t>
      </w:r>
      <w:r>
        <w:rPr>
          <w:rFonts w:ascii="Times New Roman" w:eastAsia="Times New Roman" w:hAnsi="Times New Roman" w:cs="Times New Roman"/>
          <w:sz w:val="28"/>
          <w:szCs w:val="28"/>
        </w:rPr>
        <w:t>. Значение медианы и ИКР  (интерквартильный размах) беремен</w:t>
      </w:r>
      <w:r>
        <w:rPr>
          <w:rFonts w:ascii="Times New Roman" w:eastAsia="Times New Roman" w:hAnsi="Times New Roman" w:cs="Times New Roman"/>
          <w:sz w:val="28"/>
          <w:szCs w:val="28"/>
        </w:rPr>
        <w:t xml:space="preserve">ности в анамнезе по группам составила: 1-я группа – 4,00 (Q1-Q3:1); 2 группа - 3,00 (Q1-Q3:2), (р= 0,934). Медиана и значения ИКР родов в анамнезе составила: 1-я группа – 2,00 (Q1-Q3:1); 2 группа - 2,00 (Q1-Q3:1) (р=0,419) </w:t>
      </w:r>
      <w:r>
        <w:rPr>
          <w:rFonts w:ascii="Times New Roman" w:eastAsia="Times New Roman" w:hAnsi="Times New Roman" w:cs="Times New Roman"/>
          <w:sz w:val="28"/>
          <w:szCs w:val="28"/>
          <w:highlight w:val="white"/>
        </w:rPr>
        <w:t>[201, стр. 390]</w:t>
      </w:r>
      <w:r>
        <w:rPr>
          <w:rFonts w:ascii="Times New Roman" w:eastAsia="Times New Roman" w:hAnsi="Times New Roman" w:cs="Times New Roman"/>
          <w:sz w:val="28"/>
          <w:szCs w:val="28"/>
        </w:rPr>
        <w:t>. Средний ИМТ в гр</w:t>
      </w:r>
      <w:r>
        <w:rPr>
          <w:rFonts w:ascii="Times New Roman" w:eastAsia="Times New Roman" w:hAnsi="Times New Roman" w:cs="Times New Roman"/>
          <w:sz w:val="28"/>
          <w:szCs w:val="28"/>
        </w:rPr>
        <w:t xml:space="preserve">уппах составил: 1 группа – 23,9100 (±1,338) кг; 2-я группа – 24,22 (±1,559) кг, (р=0,820) (Таблица 27) Группы сопоставимы по средним значениям анатомических позиций до лечения по классификации POP-Q  (Аа, Ва, Ар, Вр, С, D,tvl,gh,pb) (Таблица 28) </w:t>
      </w:r>
      <w:r>
        <w:rPr>
          <w:rFonts w:ascii="Times New Roman" w:eastAsia="Times New Roman" w:hAnsi="Times New Roman" w:cs="Times New Roman"/>
          <w:sz w:val="28"/>
          <w:szCs w:val="28"/>
          <w:highlight w:val="white"/>
        </w:rPr>
        <w:t>[201, стр.</w:t>
      </w:r>
      <w:r>
        <w:rPr>
          <w:rFonts w:ascii="Times New Roman" w:eastAsia="Times New Roman" w:hAnsi="Times New Roman" w:cs="Times New Roman"/>
          <w:sz w:val="28"/>
          <w:szCs w:val="28"/>
          <w:highlight w:val="white"/>
        </w:rPr>
        <w:t xml:space="preserve"> 390]</w:t>
      </w:r>
      <w:r>
        <w:rPr>
          <w:rFonts w:ascii="Times New Roman" w:eastAsia="Times New Roman" w:hAnsi="Times New Roman" w:cs="Times New Roman"/>
          <w:sz w:val="28"/>
          <w:szCs w:val="28"/>
        </w:rPr>
        <w:t>.</w:t>
      </w:r>
    </w:p>
    <w:p w:rsidR="000A3797" w:rsidRDefault="000A3797">
      <w:pPr>
        <w:spacing w:after="0" w:line="240" w:lineRule="auto"/>
        <w:ind w:left="142"/>
        <w:rPr>
          <w:rFonts w:ascii="Times New Roman" w:eastAsia="Times New Roman" w:hAnsi="Times New Roman" w:cs="Times New Roman"/>
          <w:sz w:val="28"/>
          <w:szCs w:val="28"/>
        </w:rPr>
      </w:pPr>
    </w:p>
    <w:p w:rsidR="000A3797" w:rsidRDefault="00A660E7">
      <w:pPr>
        <w:spacing w:after="0" w:line="240" w:lineRule="auto"/>
        <w:ind w:left="142"/>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27 – Данные анамнеза</w:t>
      </w:r>
    </w:p>
    <w:p w:rsidR="000A3797" w:rsidRDefault="000A3797">
      <w:pPr>
        <w:spacing w:after="0" w:line="240" w:lineRule="auto"/>
        <w:ind w:left="142"/>
        <w:rPr>
          <w:rFonts w:ascii="Times New Roman" w:eastAsia="Times New Roman" w:hAnsi="Times New Roman" w:cs="Times New Roman"/>
          <w:sz w:val="28"/>
          <w:szCs w:val="28"/>
        </w:rPr>
      </w:pPr>
    </w:p>
    <w:tbl>
      <w:tblPr>
        <w:tblStyle w:val="affd"/>
        <w:tblW w:w="9067" w:type="dxa"/>
        <w:jc w:val="center"/>
        <w:tblInd w:w="0" w:type="dxa"/>
        <w:tblLayout w:type="fixed"/>
        <w:tblLook w:val="0000" w:firstRow="0" w:lastRow="0" w:firstColumn="0" w:lastColumn="0" w:noHBand="0" w:noVBand="0"/>
      </w:tblPr>
      <w:tblGrid>
        <w:gridCol w:w="1696"/>
        <w:gridCol w:w="1417"/>
        <w:gridCol w:w="1560"/>
        <w:gridCol w:w="1642"/>
        <w:gridCol w:w="1441"/>
        <w:gridCol w:w="1311"/>
      </w:tblGrid>
      <w:tr w:rsidR="000A3797">
        <w:trPr>
          <w:trHeight w:val="284"/>
          <w:jc w:val="center"/>
        </w:trPr>
        <w:tc>
          <w:tcPr>
            <w:tcW w:w="1696"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Изучаемый признак</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Основная группа</w:t>
            </w:r>
          </w:p>
        </w:tc>
        <w:tc>
          <w:tcPr>
            <w:tcW w:w="4394"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Контрольная группа </w:t>
            </w:r>
          </w:p>
        </w:tc>
      </w:tr>
      <w:tr w:rsidR="000A3797">
        <w:trPr>
          <w:trHeight w:val="284"/>
          <w:jc w:val="center"/>
        </w:trPr>
        <w:tc>
          <w:tcPr>
            <w:tcW w:w="1696"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0A3797" w:rsidRDefault="000A379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 ( ±SD)</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Mе ( Q1-Q3)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 ( ±SD)</w:t>
            </w:r>
          </w:p>
        </w:tc>
        <w:tc>
          <w:tcPr>
            <w:tcW w:w="144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Mе (Q1-Q3)</w:t>
            </w:r>
          </w:p>
        </w:tc>
        <w:tc>
          <w:tcPr>
            <w:tcW w:w="131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p-value</w:t>
            </w:r>
          </w:p>
        </w:tc>
      </w:tr>
      <w:tr w:rsidR="000A3797">
        <w:trPr>
          <w:trHeight w:val="284"/>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Возраст (годы)</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39.50 (±3.246)</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39.00(5)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39.70 (±3.544)</w:t>
            </w:r>
          </w:p>
        </w:tc>
        <w:tc>
          <w:tcPr>
            <w:tcW w:w="144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40.00 (7)</w:t>
            </w:r>
          </w:p>
        </w:tc>
        <w:tc>
          <w:tcPr>
            <w:tcW w:w="131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0.820**</w:t>
            </w:r>
          </w:p>
        </w:tc>
      </w:tr>
      <w:tr w:rsidR="000A3797">
        <w:trPr>
          <w:trHeight w:val="284"/>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Беременности (n)</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3.70 (±1.264)</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4.00(1)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3.40 (±1.102)</w:t>
            </w:r>
          </w:p>
        </w:tc>
        <w:tc>
          <w:tcPr>
            <w:tcW w:w="144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3.00 (2)</w:t>
            </w:r>
          </w:p>
        </w:tc>
        <w:tc>
          <w:tcPr>
            <w:tcW w:w="131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0.934*</w:t>
            </w:r>
          </w:p>
        </w:tc>
      </w:tr>
      <w:tr w:rsidR="000A3797">
        <w:trPr>
          <w:trHeight w:val="284"/>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Роды (n)</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2.60 (±0.724)</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2.00 (1)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2.60 (±0.770)</w:t>
            </w:r>
          </w:p>
        </w:tc>
        <w:tc>
          <w:tcPr>
            <w:tcW w:w="144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2.00 (1)</w:t>
            </w:r>
          </w:p>
        </w:tc>
        <w:tc>
          <w:tcPr>
            <w:tcW w:w="131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0.419*</w:t>
            </w:r>
          </w:p>
        </w:tc>
      </w:tr>
      <w:tr w:rsidR="000A3797">
        <w:trPr>
          <w:trHeight w:val="284"/>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ИМТ </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23.91 (±1.338)</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23.500 (2.05)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24.22 (±1.559)</w:t>
            </w:r>
          </w:p>
        </w:tc>
        <w:tc>
          <w:tcPr>
            <w:tcW w:w="144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24 (1.88)</w:t>
            </w:r>
          </w:p>
        </w:tc>
        <w:tc>
          <w:tcPr>
            <w:tcW w:w="131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0.412*</w:t>
            </w:r>
          </w:p>
        </w:tc>
      </w:tr>
      <w:tr w:rsidR="000A3797">
        <w:trPr>
          <w:trHeight w:val="284"/>
          <w:jc w:val="center"/>
        </w:trPr>
        <w:tc>
          <w:tcPr>
            <w:tcW w:w="9067" w:type="dxa"/>
            <w:gridSpan w:val="6"/>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 - среднее, Me - медиана, SD – стандартное отклонение, CI – доверительный интервал, Q1-Q3 – интерквартильный размах,* критерий Манна-Уитни,** t критерий Стьюдента,  ИМТ – индекс массы тела, n - количество</w:t>
            </w:r>
          </w:p>
        </w:tc>
      </w:tr>
    </w:tbl>
    <w:p w:rsidR="000A3797" w:rsidRDefault="000A3797">
      <w:pPr>
        <w:pBdr>
          <w:top w:val="nil"/>
          <w:left w:val="nil"/>
          <w:bottom w:val="nil"/>
          <w:right w:val="nil"/>
          <w:between w:val="nil"/>
        </w:pBdr>
        <w:spacing w:after="0" w:line="240" w:lineRule="auto"/>
        <w:ind w:left="502"/>
        <w:rPr>
          <w:rFonts w:ascii="Times New Roman" w:eastAsia="Times New Roman" w:hAnsi="Times New Roman" w:cs="Times New Roman"/>
          <w:color w:val="000000"/>
          <w:sz w:val="24"/>
          <w:szCs w:val="24"/>
        </w:rPr>
      </w:pPr>
    </w:p>
    <w:p w:rsidR="000A3797" w:rsidRDefault="00A660E7">
      <w:pPr>
        <w:spacing w:after="0" w:line="240" w:lineRule="auto"/>
        <w:ind w:left="142"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Не было статистически значимых различий при сравнении анатомических позиций по классификации POP-Q до лечения </w:t>
      </w:r>
      <w:r>
        <w:rPr>
          <w:rFonts w:ascii="Times New Roman" w:eastAsia="Times New Roman" w:hAnsi="Times New Roman" w:cs="Times New Roman"/>
          <w:sz w:val="28"/>
          <w:szCs w:val="28"/>
          <w:highlight w:val="white"/>
        </w:rPr>
        <w:t>[201, стр. 390]</w:t>
      </w:r>
      <w:r>
        <w:rPr>
          <w:rFonts w:ascii="Times New Roman" w:eastAsia="Times New Roman" w:hAnsi="Times New Roman" w:cs="Times New Roman"/>
          <w:sz w:val="28"/>
          <w:szCs w:val="28"/>
        </w:rPr>
        <w:t xml:space="preserve">. При оценке этих показателей  до лечения и после лечения в динамике по группам с помощью критерия Уилкоксона, для всех точек были статистически значимые различия </w:t>
      </w:r>
      <w:r>
        <w:rPr>
          <w:rFonts w:ascii="Times New Roman" w:eastAsia="Times New Roman" w:hAnsi="Times New Roman" w:cs="Times New Roman"/>
          <w:sz w:val="28"/>
          <w:szCs w:val="28"/>
          <w:highlight w:val="white"/>
        </w:rPr>
        <w:t>[201, стр. 377]</w:t>
      </w:r>
      <w:r>
        <w:rPr>
          <w:rFonts w:ascii="Times New Roman" w:eastAsia="Times New Roman" w:hAnsi="Times New Roman" w:cs="Times New Roman"/>
          <w:sz w:val="28"/>
          <w:szCs w:val="28"/>
        </w:rPr>
        <w:t>. После лечения  статистически значимые различия обнаружены при сравнении двух</w:t>
      </w:r>
      <w:r>
        <w:rPr>
          <w:rFonts w:ascii="Times New Roman" w:eastAsia="Times New Roman" w:hAnsi="Times New Roman" w:cs="Times New Roman"/>
          <w:sz w:val="28"/>
          <w:szCs w:val="28"/>
        </w:rPr>
        <w:t xml:space="preserve"> точек на передней стенки влагалища между группами  (Aa и Ba, p=0.005); и показателя gh  (р&lt;0,001), (Таблица 28) </w:t>
      </w:r>
      <w:r>
        <w:rPr>
          <w:rFonts w:ascii="Times New Roman" w:eastAsia="Times New Roman" w:hAnsi="Times New Roman" w:cs="Times New Roman"/>
          <w:sz w:val="28"/>
          <w:szCs w:val="28"/>
          <w:highlight w:val="white"/>
        </w:rPr>
        <w:t>[201, стр. 390]</w:t>
      </w:r>
      <w:r>
        <w:rPr>
          <w:rFonts w:ascii="Times New Roman" w:eastAsia="Times New Roman" w:hAnsi="Times New Roman" w:cs="Times New Roman"/>
          <w:sz w:val="28"/>
          <w:szCs w:val="28"/>
        </w:rPr>
        <w:t>.</w:t>
      </w:r>
    </w:p>
    <w:p w:rsidR="000A3797" w:rsidRDefault="000A3797">
      <w:pPr>
        <w:spacing w:after="0" w:line="240" w:lineRule="auto"/>
        <w:ind w:left="142" w:firstLine="566"/>
        <w:jc w:val="both"/>
        <w:rPr>
          <w:rFonts w:ascii="Times New Roman" w:eastAsia="Times New Roman" w:hAnsi="Times New Roman" w:cs="Times New Roman"/>
          <w:sz w:val="28"/>
          <w:szCs w:val="28"/>
        </w:rPr>
      </w:pPr>
    </w:p>
    <w:p w:rsidR="000A3797" w:rsidRDefault="00A660E7">
      <w:pPr>
        <w:spacing w:after="0" w:line="240" w:lineRule="auto"/>
        <w:ind w:left="142"/>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28 - Количественная оценка тазового пролапса по классификации POP-Q</w:t>
      </w:r>
    </w:p>
    <w:p w:rsidR="000A3797" w:rsidRDefault="000A3797">
      <w:pPr>
        <w:spacing w:after="0" w:line="240" w:lineRule="auto"/>
        <w:ind w:left="142"/>
        <w:rPr>
          <w:rFonts w:ascii="Times New Roman" w:eastAsia="Times New Roman" w:hAnsi="Times New Roman" w:cs="Times New Roman"/>
          <w:sz w:val="28"/>
          <w:szCs w:val="28"/>
        </w:rPr>
      </w:pPr>
    </w:p>
    <w:tbl>
      <w:tblPr>
        <w:tblStyle w:val="affe"/>
        <w:tblW w:w="9400" w:type="dxa"/>
        <w:jc w:val="center"/>
        <w:tblInd w:w="0" w:type="dxa"/>
        <w:tblLayout w:type="fixed"/>
        <w:tblLook w:val="0000" w:firstRow="0" w:lastRow="0" w:firstColumn="0" w:lastColumn="0" w:noHBand="0" w:noVBand="0"/>
      </w:tblPr>
      <w:tblGrid>
        <w:gridCol w:w="862"/>
        <w:gridCol w:w="1418"/>
        <w:gridCol w:w="1259"/>
        <w:gridCol w:w="1132"/>
        <w:gridCol w:w="1417"/>
        <w:gridCol w:w="1168"/>
        <w:gridCol w:w="1012"/>
        <w:gridCol w:w="1132"/>
      </w:tblGrid>
      <w:tr w:rsidR="000A3797">
        <w:trPr>
          <w:trHeight w:val="1"/>
          <w:jc w:val="center"/>
        </w:trPr>
        <w:tc>
          <w:tcPr>
            <w:tcW w:w="862"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POP-Q</w:t>
            </w:r>
          </w:p>
        </w:tc>
        <w:tc>
          <w:tcPr>
            <w:tcW w:w="3809" w:type="dxa"/>
            <w:gridSpan w:val="3"/>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Основная группа </w:t>
            </w:r>
          </w:p>
        </w:tc>
        <w:tc>
          <w:tcPr>
            <w:tcW w:w="4729" w:type="dxa"/>
            <w:gridSpan w:val="4"/>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Контрольная группа </w:t>
            </w:r>
          </w:p>
        </w:tc>
      </w:tr>
      <w:tr w:rsidR="000A3797">
        <w:trPr>
          <w:trHeight w:val="1"/>
          <w:jc w:val="center"/>
        </w:trPr>
        <w:tc>
          <w:tcPr>
            <w:tcW w:w="862"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0A379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Mе (Q1-Q3)</w:t>
            </w:r>
          </w:p>
        </w:tc>
        <w:tc>
          <w:tcPr>
            <w:tcW w:w="125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 (±SD)</w:t>
            </w:r>
          </w:p>
        </w:tc>
        <w:tc>
          <w:tcPr>
            <w:tcW w:w="113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p-value *</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Mе(Q1-Q3)</w:t>
            </w:r>
          </w:p>
        </w:tc>
        <w:tc>
          <w:tcPr>
            <w:tcW w:w="116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 (±SD)</w:t>
            </w:r>
          </w:p>
        </w:tc>
        <w:tc>
          <w:tcPr>
            <w:tcW w:w="101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p-value**</w:t>
            </w:r>
          </w:p>
        </w:tc>
        <w:tc>
          <w:tcPr>
            <w:tcW w:w="113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p-value*</w:t>
            </w:r>
          </w:p>
        </w:tc>
      </w:tr>
      <w:tr w:rsidR="000A3797">
        <w:trPr>
          <w:trHeight w:val="1"/>
          <w:jc w:val="center"/>
        </w:trPr>
        <w:tc>
          <w:tcPr>
            <w:tcW w:w="86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25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13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16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01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113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r>
      <w:tr w:rsidR="000A3797">
        <w:trPr>
          <w:jc w:val="center"/>
        </w:trPr>
        <w:tc>
          <w:tcPr>
            <w:tcW w:w="86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Aa (b)</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0.000 (0.0)</w:t>
            </w:r>
          </w:p>
        </w:tc>
        <w:tc>
          <w:tcPr>
            <w:tcW w:w="125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0.007</w:t>
            </w:r>
          </w:p>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(±0.3016)</w:t>
            </w:r>
          </w:p>
        </w:tc>
        <w:tc>
          <w:tcPr>
            <w:tcW w:w="1132"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0.000 (0.0)</w:t>
            </w:r>
          </w:p>
        </w:tc>
        <w:tc>
          <w:tcPr>
            <w:tcW w:w="116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(-)0.10</w:t>
            </w:r>
          </w:p>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(±0.3418)</w:t>
            </w:r>
          </w:p>
        </w:tc>
        <w:tc>
          <w:tcPr>
            <w:tcW w:w="101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0.966*</w:t>
            </w:r>
          </w:p>
        </w:tc>
        <w:tc>
          <w:tcPr>
            <w:tcW w:w="1132"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r>
      <w:tr w:rsidR="000A3797">
        <w:trPr>
          <w:jc w:val="center"/>
        </w:trPr>
        <w:tc>
          <w:tcPr>
            <w:tcW w:w="86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Aa (a)</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(-)3.000 (0.5)</w:t>
            </w:r>
          </w:p>
        </w:tc>
        <w:tc>
          <w:tcPr>
            <w:tcW w:w="125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(-)2.843</w:t>
            </w:r>
          </w:p>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(±0.2661)</w:t>
            </w:r>
          </w:p>
        </w:tc>
        <w:tc>
          <w:tcPr>
            <w:tcW w:w="1132"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0A379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(-)2.500 (2.0)</w:t>
            </w:r>
          </w:p>
        </w:tc>
        <w:tc>
          <w:tcPr>
            <w:tcW w:w="116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(-)2.227</w:t>
            </w:r>
          </w:p>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(±0.8788)</w:t>
            </w:r>
          </w:p>
        </w:tc>
        <w:tc>
          <w:tcPr>
            <w:tcW w:w="101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0.005*</w:t>
            </w:r>
          </w:p>
        </w:tc>
        <w:tc>
          <w:tcPr>
            <w:tcW w:w="1132"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0A379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r>
      <w:tr w:rsidR="000A3797">
        <w:trPr>
          <w:trHeight w:val="1"/>
          <w:jc w:val="center"/>
        </w:trPr>
        <w:tc>
          <w:tcPr>
            <w:tcW w:w="86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Ap (b)</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0.000 (0.0)</w:t>
            </w:r>
          </w:p>
        </w:tc>
        <w:tc>
          <w:tcPr>
            <w:tcW w:w="125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(-)0.093</w:t>
            </w:r>
          </w:p>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(±0.2180)</w:t>
            </w:r>
          </w:p>
        </w:tc>
        <w:tc>
          <w:tcPr>
            <w:tcW w:w="1132"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0.000 (0.0)</w:t>
            </w:r>
          </w:p>
        </w:tc>
        <w:tc>
          <w:tcPr>
            <w:tcW w:w="116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(-)0.103</w:t>
            </w:r>
          </w:p>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(±0.2428)</w:t>
            </w:r>
          </w:p>
        </w:tc>
        <w:tc>
          <w:tcPr>
            <w:tcW w:w="101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0.955*</w:t>
            </w:r>
          </w:p>
        </w:tc>
        <w:tc>
          <w:tcPr>
            <w:tcW w:w="1132"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r>
      <w:tr w:rsidR="000A3797">
        <w:trPr>
          <w:trHeight w:val="1"/>
          <w:jc w:val="center"/>
        </w:trPr>
        <w:tc>
          <w:tcPr>
            <w:tcW w:w="86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Ap (a)</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(-)3.000 (0.0)</w:t>
            </w:r>
          </w:p>
        </w:tc>
        <w:tc>
          <w:tcPr>
            <w:tcW w:w="125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(-)2.967</w:t>
            </w:r>
          </w:p>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(±0.1373)</w:t>
            </w:r>
          </w:p>
        </w:tc>
        <w:tc>
          <w:tcPr>
            <w:tcW w:w="1132"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0A379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(-)3.000 (1.0)</w:t>
            </w:r>
          </w:p>
        </w:tc>
        <w:tc>
          <w:tcPr>
            <w:tcW w:w="116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(-)2.617</w:t>
            </w:r>
          </w:p>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(±0.6254)</w:t>
            </w:r>
          </w:p>
        </w:tc>
        <w:tc>
          <w:tcPr>
            <w:tcW w:w="101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0.020*</w:t>
            </w:r>
          </w:p>
        </w:tc>
        <w:tc>
          <w:tcPr>
            <w:tcW w:w="1132"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0A379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r>
    </w:tbl>
    <w:p w:rsidR="000A3797" w:rsidRDefault="000A3797">
      <w:pPr>
        <w:rPr>
          <w:rFonts w:ascii="Times New Roman" w:eastAsia="Times New Roman" w:hAnsi="Times New Roman" w:cs="Times New Roman"/>
        </w:rPr>
      </w:pPr>
    </w:p>
    <w:p w:rsidR="000A3797" w:rsidRDefault="000A3797">
      <w:pPr>
        <w:rPr>
          <w:rFonts w:ascii="Times New Roman" w:eastAsia="Times New Roman" w:hAnsi="Times New Roman" w:cs="Times New Roman"/>
          <w:sz w:val="28"/>
          <w:szCs w:val="28"/>
        </w:rPr>
      </w:pPr>
    </w:p>
    <w:p w:rsidR="000A3797" w:rsidRDefault="000A3797">
      <w:pPr>
        <w:rPr>
          <w:rFonts w:ascii="Times New Roman" w:eastAsia="Times New Roman" w:hAnsi="Times New Roman" w:cs="Times New Roman"/>
          <w:sz w:val="28"/>
          <w:szCs w:val="28"/>
        </w:rPr>
      </w:pPr>
    </w:p>
    <w:p w:rsidR="000A3797" w:rsidRDefault="00A660E7">
      <w:pPr>
        <w:rPr>
          <w:rFonts w:ascii="Times New Roman" w:eastAsia="Times New Roman" w:hAnsi="Times New Roman" w:cs="Times New Roman"/>
          <w:sz w:val="28"/>
          <w:szCs w:val="28"/>
        </w:rPr>
      </w:pPr>
      <w:r>
        <w:rPr>
          <w:rFonts w:ascii="Times New Roman" w:eastAsia="Times New Roman" w:hAnsi="Times New Roman" w:cs="Times New Roman"/>
          <w:sz w:val="28"/>
          <w:szCs w:val="28"/>
        </w:rPr>
        <w:t>Продолжение таблицы 28</w:t>
      </w:r>
    </w:p>
    <w:tbl>
      <w:tblPr>
        <w:tblStyle w:val="afff"/>
        <w:tblW w:w="9400" w:type="dxa"/>
        <w:jc w:val="center"/>
        <w:tblInd w:w="0" w:type="dxa"/>
        <w:tblLayout w:type="fixed"/>
        <w:tblLook w:val="0000" w:firstRow="0" w:lastRow="0" w:firstColumn="0" w:lastColumn="0" w:noHBand="0" w:noVBand="0"/>
      </w:tblPr>
      <w:tblGrid>
        <w:gridCol w:w="862"/>
        <w:gridCol w:w="1418"/>
        <w:gridCol w:w="1259"/>
        <w:gridCol w:w="1132"/>
        <w:gridCol w:w="1417"/>
        <w:gridCol w:w="1168"/>
        <w:gridCol w:w="1012"/>
        <w:gridCol w:w="1132"/>
      </w:tblGrid>
      <w:tr w:rsidR="000A3797">
        <w:trPr>
          <w:trHeight w:val="1"/>
          <w:jc w:val="center"/>
        </w:trPr>
        <w:tc>
          <w:tcPr>
            <w:tcW w:w="86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25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13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16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01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113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r>
      <w:tr w:rsidR="000A3797">
        <w:trPr>
          <w:trHeight w:val="1"/>
          <w:jc w:val="center"/>
        </w:trPr>
        <w:tc>
          <w:tcPr>
            <w:tcW w:w="86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C(b)</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(-)5.000 (1.5)</w:t>
            </w:r>
          </w:p>
        </w:tc>
        <w:tc>
          <w:tcPr>
            <w:tcW w:w="125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(-)4.883</w:t>
            </w:r>
          </w:p>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(±0.8579)</w:t>
            </w:r>
          </w:p>
        </w:tc>
        <w:tc>
          <w:tcPr>
            <w:tcW w:w="1132"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(-)4.500 (1.5)</w:t>
            </w:r>
          </w:p>
        </w:tc>
        <w:tc>
          <w:tcPr>
            <w:tcW w:w="116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(-)4.733</w:t>
            </w:r>
          </w:p>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(±0.7849)</w:t>
            </w:r>
          </w:p>
        </w:tc>
        <w:tc>
          <w:tcPr>
            <w:tcW w:w="101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0.524*</w:t>
            </w:r>
          </w:p>
        </w:tc>
        <w:tc>
          <w:tcPr>
            <w:tcW w:w="1132"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r>
      <w:tr w:rsidR="000A3797">
        <w:trPr>
          <w:trHeight w:val="1"/>
          <w:jc w:val="center"/>
        </w:trPr>
        <w:tc>
          <w:tcPr>
            <w:tcW w:w="86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 (a)</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(-)7.000 (1.0)</w:t>
            </w:r>
          </w:p>
        </w:tc>
        <w:tc>
          <w:tcPr>
            <w:tcW w:w="125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(-)6.873</w:t>
            </w:r>
          </w:p>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(±0.5483)</w:t>
            </w:r>
          </w:p>
        </w:tc>
        <w:tc>
          <w:tcPr>
            <w:tcW w:w="1132"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0A379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(-)6.500 (2.0)</w:t>
            </w:r>
          </w:p>
        </w:tc>
        <w:tc>
          <w:tcPr>
            <w:tcW w:w="116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(-)6.417</w:t>
            </w:r>
          </w:p>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(±1.1528)</w:t>
            </w:r>
          </w:p>
        </w:tc>
        <w:tc>
          <w:tcPr>
            <w:tcW w:w="101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0.239*</w:t>
            </w:r>
          </w:p>
        </w:tc>
        <w:tc>
          <w:tcPr>
            <w:tcW w:w="1132"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0A379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r>
      <w:tr w:rsidR="000A3797">
        <w:trPr>
          <w:trHeight w:val="1"/>
          <w:jc w:val="center"/>
        </w:trPr>
        <w:tc>
          <w:tcPr>
            <w:tcW w:w="86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Ba (b)</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0.00 (0)</w:t>
            </w:r>
          </w:p>
        </w:tc>
        <w:tc>
          <w:tcPr>
            <w:tcW w:w="125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0.00</w:t>
            </w:r>
          </w:p>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1132"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0.00 (0)</w:t>
            </w:r>
          </w:p>
        </w:tc>
        <w:tc>
          <w:tcPr>
            <w:tcW w:w="116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0.3</w:t>
            </w:r>
          </w:p>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(±0.183)</w:t>
            </w:r>
          </w:p>
        </w:tc>
        <w:tc>
          <w:tcPr>
            <w:tcW w:w="101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0.317*</w:t>
            </w:r>
          </w:p>
        </w:tc>
        <w:tc>
          <w:tcPr>
            <w:tcW w:w="1132"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r>
      <w:tr w:rsidR="000A3797">
        <w:trPr>
          <w:trHeight w:val="1"/>
          <w:jc w:val="center"/>
        </w:trPr>
        <w:tc>
          <w:tcPr>
            <w:tcW w:w="86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Ba (a)</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(-)6.000 (0.5)</w:t>
            </w:r>
          </w:p>
        </w:tc>
        <w:tc>
          <w:tcPr>
            <w:tcW w:w="125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(-)5.800</w:t>
            </w:r>
          </w:p>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(±0.3851)</w:t>
            </w:r>
          </w:p>
        </w:tc>
        <w:tc>
          <w:tcPr>
            <w:tcW w:w="1132"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0A379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(-)5.500 (2.5)</w:t>
            </w:r>
          </w:p>
        </w:tc>
        <w:tc>
          <w:tcPr>
            <w:tcW w:w="116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(-)4.900</w:t>
            </w:r>
          </w:p>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(±1.3287)</w:t>
            </w:r>
          </w:p>
        </w:tc>
        <w:tc>
          <w:tcPr>
            <w:tcW w:w="101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0.003*</w:t>
            </w:r>
          </w:p>
        </w:tc>
        <w:tc>
          <w:tcPr>
            <w:tcW w:w="1132"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0A379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r>
      <w:tr w:rsidR="000A3797">
        <w:trPr>
          <w:trHeight w:val="1"/>
          <w:jc w:val="center"/>
        </w:trPr>
        <w:tc>
          <w:tcPr>
            <w:tcW w:w="86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Bp (b)</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0.000 (0.0)</w:t>
            </w:r>
          </w:p>
        </w:tc>
        <w:tc>
          <w:tcPr>
            <w:tcW w:w="125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(-)0.283</w:t>
            </w:r>
          </w:p>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(±0.7154)</w:t>
            </w:r>
          </w:p>
        </w:tc>
        <w:tc>
          <w:tcPr>
            <w:tcW w:w="1132"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0.000 (0.0)</w:t>
            </w:r>
          </w:p>
        </w:tc>
        <w:tc>
          <w:tcPr>
            <w:tcW w:w="116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(-)0.067</w:t>
            </w:r>
          </w:p>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(±0.6530)</w:t>
            </w:r>
          </w:p>
        </w:tc>
        <w:tc>
          <w:tcPr>
            <w:tcW w:w="101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0.169*</w:t>
            </w:r>
          </w:p>
        </w:tc>
        <w:tc>
          <w:tcPr>
            <w:tcW w:w="1132"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r>
      <w:tr w:rsidR="000A3797">
        <w:trPr>
          <w:trHeight w:val="1"/>
          <w:jc w:val="center"/>
        </w:trPr>
        <w:tc>
          <w:tcPr>
            <w:tcW w:w="86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Bp (a)</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(-)5.500 (0.5)</w:t>
            </w:r>
          </w:p>
        </w:tc>
        <w:tc>
          <w:tcPr>
            <w:tcW w:w="125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(-)5.740</w:t>
            </w:r>
          </w:p>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(±0.2634)</w:t>
            </w:r>
          </w:p>
        </w:tc>
        <w:tc>
          <w:tcPr>
            <w:tcW w:w="1132"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0A379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(-)6.000 (1.6)</w:t>
            </w:r>
          </w:p>
        </w:tc>
        <w:tc>
          <w:tcPr>
            <w:tcW w:w="116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(-)5.400</w:t>
            </w:r>
          </w:p>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(±0.9685)</w:t>
            </w:r>
          </w:p>
        </w:tc>
        <w:tc>
          <w:tcPr>
            <w:tcW w:w="101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0.792*</w:t>
            </w:r>
          </w:p>
        </w:tc>
        <w:tc>
          <w:tcPr>
            <w:tcW w:w="1132"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0A379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r>
      <w:tr w:rsidR="000A3797">
        <w:trPr>
          <w:trHeight w:val="1"/>
          <w:jc w:val="center"/>
        </w:trPr>
        <w:tc>
          <w:tcPr>
            <w:tcW w:w="86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 (b)</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(-)6.000 (1.0)</w:t>
            </w:r>
          </w:p>
        </w:tc>
        <w:tc>
          <w:tcPr>
            <w:tcW w:w="125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6.876</w:t>
            </w:r>
          </w:p>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(±2.5248)</w:t>
            </w:r>
          </w:p>
        </w:tc>
        <w:tc>
          <w:tcPr>
            <w:tcW w:w="1132"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(-)6.000 (0.5)</w:t>
            </w:r>
          </w:p>
        </w:tc>
        <w:tc>
          <w:tcPr>
            <w:tcW w:w="116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(-)6.267</w:t>
            </w:r>
          </w:p>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(±0.5208)</w:t>
            </w:r>
          </w:p>
        </w:tc>
        <w:tc>
          <w:tcPr>
            <w:tcW w:w="101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0.712*</w:t>
            </w:r>
          </w:p>
        </w:tc>
        <w:tc>
          <w:tcPr>
            <w:tcW w:w="1132"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r>
      <w:tr w:rsidR="000A3797">
        <w:trPr>
          <w:trHeight w:val="1"/>
          <w:jc w:val="center"/>
        </w:trPr>
        <w:tc>
          <w:tcPr>
            <w:tcW w:w="86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 (a)</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(-)8.500 (1.0)</w:t>
            </w:r>
          </w:p>
        </w:tc>
        <w:tc>
          <w:tcPr>
            <w:tcW w:w="125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(-)8.567</w:t>
            </w:r>
          </w:p>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(±0.5040)</w:t>
            </w:r>
          </w:p>
        </w:tc>
        <w:tc>
          <w:tcPr>
            <w:tcW w:w="1132"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0A379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(-)8.500 (2.5)</w:t>
            </w:r>
          </w:p>
        </w:tc>
        <w:tc>
          <w:tcPr>
            <w:tcW w:w="116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(-)8.150</w:t>
            </w:r>
          </w:p>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(±1.4029)</w:t>
            </w:r>
          </w:p>
        </w:tc>
        <w:tc>
          <w:tcPr>
            <w:tcW w:w="101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0.802*</w:t>
            </w:r>
          </w:p>
        </w:tc>
        <w:tc>
          <w:tcPr>
            <w:tcW w:w="1132"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0A379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r>
      <w:tr w:rsidR="000A3797">
        <w:trPr>
          <w:trHeight w:val="1"/>
          <w:jc w:val="center"/>
        </w:trPr>
        <w:tc>
          <w:tcPr>
            <w:tcW w:w="86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tvl (b)</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6.000 (1.0)</w:t>
            </w:r>
          </w:p>
        </w:tc>
        <w:tc>
          <w:tcPr>
            <w:tcW w:w="125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6.403</w:t>
            </w:r>
          </w:p>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(±0.6547)</w:t>
            </w:r>
          </w:p>
        </w:tc>
        <w:tc>
          <w:tcPr>
            <w:tcW w:w="1132"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6.000 (0.5)</w:t>
            </w:r>
          </w:p>
        </w:tc>
        <w:tc>
          <w:tcPr>
            <w:tcW w:w="116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6.267</w:t>
            </w:r>
          </w:p>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(±0.528)</w:t>
            </w:r>
          </w:p>
        </w:tc>
        <w:tc>
          <w:tcPr>
            <w:tcW w:w="101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0.417*</w:t>
            </w:r>
          </w:p>
        </w:tc>
        <w:tc>
          <w:tcPr>
            <w:tcW w:w="1132"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r>
      <w:tr w:rsidR="000A3797">
        <w:trPr>
          <w:trHeight w:val="1"/>
          <w:jc w:val="center"/>
        </w:trPr>
        <w:tc>
          <w:tcPr>
            <w:tcW w:w="86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tvl (a)</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8.750 (0.6)</w:t>
            </w:r>
          </w:p>
        </w:tc>
        <w:tc>
          <w:tcPr>
            <w:tcW w:w="125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8.667</w:t>
            </w:r>
          </w:p>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(±0.4795)</w:t>
            </w:r>
          </w:p>
        </w:tc>
        <w:tc>
          <w:tcPr>
            <w:tcW w:w="1132"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0A379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8.500 (2.6)</w:t>
            </w:r>
          </w:p>
        </w:tc>
        <w:tc>
          <w:tcPr>
            <w:tcW w:w="116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7.700</w:t>
            </w:r>
          </w:p>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(±3.0218)</w:t>
            </w:r>
          </w:p>
        </w:tc>
        <w:tc>
          <w:tcPr>
            <w:tcW w:w="101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0.435*</w:t>
            </w:r>
          </w:p>
        </w:tc>
        <w:tc>
          <w:tcPr>
            <w:tcW w:w="1132"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0A379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r>
      <w:tr w:rsidR="000A3797">
        <w:trPr>
          <w:trHeight w:val="1"/>
          <w:jc w:val="center"/>
        </w:trPr>
        <w:tc>
          <w:tcPr>
            <w:tcW w:w="86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gh (b)</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5.000 (0.6)</w:t>
            </w:r>
          </w:p>
        </w:tc>
        <w:tc>
          <w:tcPr>
            <w:tcW w:w="125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5.233</w:t>
            </w:r>
          </w:p>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(±0.5979)</w:t>
            </w:r>
          </w:p>
        </w:tc>
        <w:tc>
          <w:tcPr>
            <w:tcW w:w="1132"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5.000 (1.0)</w:t>
            </w:r>
          </w:p>
        </w:tc>
        <w:tc>
          <w:tcPr>
            <w:tcW w:w="116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5.067</w:t>
            </w:r>
          </w:p>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(±0.4498)</w:t>
            </w:r>
          </w:p>
        </w:tc>
        <w:tc>
          <w:tcPr>
            <w:tcW w:w="101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0.267*</w:t>
            </w:r>
          </w:p>
        </w:tc>
        <w:tc>
          <w:tcPr>
            <w:tcW w:w="1132"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r>
      <w:tr w:rsidR="000A3797">
        <w:trPr>
          <w:trHeight w:val="1"/>
          <w:jc w:val="center"/>
        </w:trPr>
        <w:tc>
          <w:tcPr>
            <w:tcW w:w="86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gh (a)</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2.000 (0.0)</w:t>
            </w:r>
          </w:p>
        </w:tc>
        <w:tc>
          <w:tcPr>
            <w:tcW w:w="125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2.000</w:t>
            </w:r>
          </w:p>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1132"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0A379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2.000 (0.5)</w:t>
            </w:r>
          </w:p>
        </w:tc>
        <w:tc>
          <w:tcPr>
            <w:tcW w:w="116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2.317</w:t>
            </w:r>
          </w:p>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(±0.4450)</w:t>
            </w:r>
          </w:p>
        </w:tc>
        <w:tc>
          <w:tcPr>
            <w:tcW w:w="101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&lt;</w:t>
            </w:r>
            <w:r>
              <w:rPr>
                <w:rFonts w:ascii="Times New Roman" w:eastAsia="Times New Roman" w:hAnsi="Times New Roman" w:cs="Times New Roman"/>
                <w:sz w:val="24"/>
                <w:szCs w:val="24"/>
              </w:rPr>
              <w:t>0,001*</w:t>
            </w:r>
          </w:p>
        </w:tc>
        <w:tc>
          <w:tcPr>
            <w:tcW w:w="1132"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0A379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r>
      <w:tr w:rsidR="000A3797">
        <w:trPr>
          <w:trHeight w:val="1"/>
          <w:jc w:val="center"/>
        </w:trPr>
        <w:tc>
          <w:tcPr>
            <w:tcW w:w="86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pb (b)</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2.000 (0.6)</w:t>
            </w:r>
          </w:p>
        </w:tc>
        <w:tc>
          <w:tcPr>
            <w:tcW w:w="125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2.050</w:t>
            </w:r>
          </w:p>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(±0.4224)</w:t>
            </w:r>
          </w:p>
        </w:tc>
        <w:tc>
          <w:tcPr>
            <w:tcW w:w="1132"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2.000 (0.1)</w:t>
            </w:r>
          </w:p>
        </w:tc>
        <w:tc>
          <w:tcPr>
            <w:tcW w:w="116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2.133</w:t>
            </w:r>
          </w:p>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(±0.3198)</w:t>
            </w:r>
          </w:p>
        </w:tc>
        <w:tc>
          <w:tcPr>
            <w:tcW w:w="101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0.346*</w:t>
            </w:r>
          </w:p>
        </w:tc>
        <w:tc>
          <w:tcPr>
            <w:tcW w:w="1132"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r>
      <w:tr w:rsidR="000A3797">
        <w:trPr>
          <w:trHeight w:val="1"/>
          <w:jc w:val="center"/>
        </w:trPr>
        <w:tc>
          <w:tcPr>
            <w:tcW w:w="86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рb (a)</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4.500 (0.0)</w:t>
            </w:r>
          </w:p>
        </w:tc>
        <w:tc>
          <w:tcPr>
            <w:tcW w:w="125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4.617</w:t>
            </w:r>
          </w:p>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(±0.3395)</w:t>
            </w:r>
          </w:p>
        </w:tc>
        <w:tc>
          <w:tcPr>
            <w:tcW w:w="1132"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0A379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5.000 (2.0)</w:t>
            </w:r>
          </w:p>
        </w:tc>
        <w:tc>
          <w:tcPr>
            <w:tcW w:w="116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4.880</w:t>
            </w:r>
          </w:p>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±0,8892)</w:t>
            </w:r>
          </w:p>
        </w:tc>
        <w:tc>
          <w:tcPr>
            <w:tcW w:w="101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A660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0.477*</w:t>
            </w:r>
          </w:p>
        </w:tc>
        <w:tc>
          <w:tcPr>
            <w:tcW w:w="1132"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A3797" w:rsidRDefault="000A379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r>
      <w:tr w:rsidR="000A3797">
        <w:trPr>
          <w:trHeight w:val="1"/>
          <w:jc w:val="center"/>
        </w:trPr>
        <w:tc>
          <w:tcPr>
            <w:tcW w:w="9400" w:type="dxa"/>
            <w:gridSpan w:val="8"/>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0A3797" w:rsidRDefault="00A660E7">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 - средняя, Me - медиана, SD – стандартное отклонение, CI – доверительный интервал, Q1-Q-3 – интерквартильный размах,* U-критерий Манна - Уитни,** критерий Уилкоксона, до- (b), после- (a), p-value * - уровень значимости при сравнении До и после лечения, p</w:t>
            </w:r>
            <w:r>
              <w:rPr>
                <w:rFonts w:ascii="Times New Roman" w:eastAsia="Times New Roman" w:hAnsi="Times New Roman" w:cs="Times New Roman"/>
                <w:color w:val="000000"/>
                <w:sz w:val="24"/>
                <w:szCs w:val="24"/>
              </w:rPr>
              <w:t>-value** - уровень значимости при сравнении по группам</w:t>
            </w:r>
          </w:p>
        </w:tc>
      </w:tr>
    </w:tbl>
    <w:p w:rsidR="000A3797" w:rsidRDefault="000A3797">
      <w:pPr>
        <w:spacing w:after="0" w:line="240" w:lineRule="auto"/>
        <w:ind w:left="142"/>
        <w:jc w:val="both"/>
        <w:rPr>
          <w:rFonts w:ascii="Times New Roman" w:eastAsia="Times New Roman" w:hAnsi="Times New Roman" w:cs="Times New Roman"/>
          <w:sz w:val="20"/>
          <w:szCs w:val="20"/>
        </w:rPr>
      </w:pPr>
    </w:p>
    <w:p w:rsidR="000A3797" w:rsidRDefault="00A660E7">
      <w:pPr>
        <w:spacing w:after="0" w:line="240" w:lineRule="auto"/>
        <w:ind w:left="142"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отношении анатомических и функциональных проявлений рецидива были статистически значимые различия между группами. В основной группе после хирургического лечения и 6-ти месячного курса упражнений не</w:t>
      </w:r>
      <w:r>
        <w:rPr>
          <w:rFonts w:ascii="Times New Roman" w:eastAsia="Times New Roman" w:hAnsi="Times New Roman" w:cs="Times New Roman"/>
          <w:sz w:val="28"/>
          <w:szCs w:val="28"/>
        </w:rPr>
        <w:t xml:space="preserve"> было установлено объективно наличия опущения и симптомов стрессового недержания мочи </w:t>
      </w:r>
      <w:r>
        <w:rPr>
          <w:rFonts w:ascii="Times New Roman" w:eastAsia="Times New Roman" w:hAnsi="Times New Roman" w:cs="Times New Roman"/>
          <w:sz w:val="28"/>
          <w:szCs w:val="28"/>
          <w:highlight w:val="white"/>
        </w:rPr>
        <w:t>[201, стр. 390]</w:t>
      </w:r>
      <w:r>
        <w:rPr>
          <w:rFonts w:ascii="Times New Roman" w:eastAsia="Times New Roman" w:hAnsi="Times New Roman" w:cs="Times New Roman"/>
          <w:sz w:val="28"/>
          <w:szCs w:val="28"/>
        </w:rPr>
        <w:t>. В контрольной группе у 7 человек наблюдались незначительные начальные проявления рецидива,  отмечена 1 степень (23,3%) и у 1 (3,3%) – вторая степень опущ</w:t>
      </w:r>
      <w:r>
        <w:rPr>
          <w:rFonts w:ascii="Times New Roman" w:eastAsia="Times New Roman" w:hAnsi="Times New Roman" w:cs="Times New Roman"/>
          <w:sz w:val="28"/>
          <w:szCs w:val="28"/>
        </w:rPr>
        <w:t xml:space="preserve">ения, различия статистически значимы (р&lt;0,001), у 8 больных (26,7%) отмечались редкие эпизоды недержания мочи при кашле и чихании, различия статистически значимы (р&lt;0,001), (Таблица 28; 29, рисунок 9; 10) </w:t>
      </w:r>
      <w:r>
        <w:rPr>
          <w:rFonts w:ascii="Times New Roman" w:eastAsia="Times New Roman" w:hAnsi="Times New Roman" w:cs="Times New Roman"/>
          <w:sz w:val="28"/>
          <w:szCs w:val="28"/>
          <w:highlight w:val="white"/>
        </w:rPr>
        <w:t>[201, стр. 390]</w:t>
      </w:r>
      <w:r>
        <w:rPr>
          <w:rFonts w:ascii="Times New Roman" w:eastAsia="Times New Roman" w:hAnsi="Times New Roman" w:cs="Times New Roman"/>
          <w:sz w:val="28"/>
          <w:szCs w:val="28"/>
        </w:rPr>
        <w:t>.</w:t>
      </w:r>
    </w:p>
    <w:p w:rsidR="000A3797" w:rsidRDefault="000A3797">
      <w:pPr>
        <w:spacing w:after="0" w:line="240" w:lineRule="auto"/>
        <w:ind w:left="142" w:firstLine="566"/>
        <w:jc w:val="both"/>
        <w:rPr>
          <w:rFonts w:ascii="Times New Roman" w:eastAsia="Times New Roman" w:hAnsi="Times New Roman" w:cs="Times New Roman"/>
          <w:sz w:val="28"/>
          <w:szCs w:val="28"/>
        </w:rPr>
      </w:pPr>
    </w:p>
    <w:p w:rsidR="000A3797" w:rsidRDefault="000A3797">
      <w:pPr>
        <w:spacing w:after="0" w:line="240" w:lineRule="auto"/>
        <w:jc w:val="both"/>
        <w:rPr>
          <w:rFonts w:ascii="Times New Roman" w:eastAsia="Times New Roman" w:hAnsi="Times New Roman" w:cs="Times New Roman"/>
          <w:sz w:val="28"/>
          <w:szCs w:val="28"/>
        </w:rPr>
      </w:pPr>
    </w:p>
    <w:p w:rsidR="000A3797" w:rsidRDefault="000A3797">
      <w:pPr>
        <w:spacing w:after="0" w:line="240" w:lineRule="auto"/>
        <w:ind w:left="142" w:firstLine="566"/>
        <w:jc w:val="both"/>
        <w:rPr>
          <w:rFonts w:ascii="Times New Roman" w:eastAsia="Times New Roman" w:hAnsi="Times New Roman" w:cs="Times New Roman"/>
          <w:sz w:val="28"/>
          <w:szCs w:val="28"/>
        </w:rPr>
      </w:pPr>
    </w:p>
    <w:p w:rsidR="000A3797" w:rsidRDefault="000A3797">
      <w:pPr>
        <w:spacing w:after="0" w:line="240" w:lineRule="auto"/>
        <w:ind w:left="142" w:firstLine="566"/>
        <w:jc w:val="both"/>
        <w:rPr>
          <w:rFonts w:ascii="Times New Roman" w:eastAsia="Times New Roman" w:hAnsi="Times New Roman" w:cs="Times New Roman"/>
          <w:sz w:val="28"/>
          <w:szCs w:val="28"/>
        </w:rPr>
      </w:pPr>
    </w:p>
    <w:p w:rsidR="000A3797" w:rsidRDefault="00A660E7">
      <w:pPr>
        <w:spacing w:after="0" w:line="240" w:lineRule="auto"/>
        <w:ind w:lef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Таблица 29 - Степень опущения </w:t>
      </w:r>
      <w:r>
        <w:rPr>
          <w:rFonts w:ascii="Times New Roman" w:eastAsia="Times New Roman" w:hAnsi="Times New Roman" w:cs="Times New Roman"/>
          <w:sz w:val="28"/>
          <w:szCs w:val="28"/>
        </w:rPr>
        <w:t xml:space="preserve">и стрессового недержания мочи через 6 месяцев после операции </w:t>
      </w:r>
    </w:p>
    <w:p w:rsidR="000A3797" w:rsidRDefault="000A3797">
      <w:pPr>
        <w:spacing w:after="0" w:line="240" w:lineRule="auto"/>
        <w:ind w:left="142"/>
        <w:rPr>
          <w:rFonts w:ascii="Times New Roman" w:eastAsia="Times New Roman" w:hAnsi="Times New Roman" w:cs="Times New Roman"/>
          <w:sz w:val="28"/>
          <w:szCs w:val="28"/>
        </w:rPr>
      </w:pPr>
    </w:p>
    <w:tbl>
      <w:tblPr>
        <w:tblStyle w:val="afff0"/>
        <w:tblpPr w:leftFromText="180" w:rightFromText="180" w:vertAnchor="text" w:tblpX="1570" w:tblpY="50"/>
        <w:tblW w:w="949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
        <w:gridCol w:w="709"/>
        <w:gridCol w:w="567"/>
        <w:gridCol w:w="425"/>
        <w:gridCol w:w="850"/>
        <w:gridCol w:w="426"/>
        <w:gridCol w:w="425"/>
        <w:gridCol w:w="850"/>
        <w:gridCol w:w="567"/>
        <w:gridCol w:w="709"/>
        <w:gridCol w:w="992"/>
        <w:gridCol w:w="567"/>
        <w:gridCol w:w="426"/>
        <w:gridCol w:w="708"/>
        <w:gridCol w:w="709"/>
      </w:tblGrid>
      <w:tr w:rsidR="000A3797">
        <w:tc>
          <w:tcPr>
            <w:tcW w:w="1276" w:type="dxa"/>
            <w:gridSpan w:val="2"/>
            <w:vMerge w:val="restart"/>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Генитальный пролапс ДО и После</w:t>
            </w:r>
          </w:p>
        </w:tc>
        <w:tc>
          <w:tcPr>
            <w:tcW w:w="3543" w:type="dxa"/>
            <w:gridSpan w:val="6"/>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Основная группа </w:t>
            </w:r>
          </w:p>
        </w:tc>
        <w:tc>
          <w:tcPr>
            <w:tcW w:w="3969" w:type="dxa"/>
            <w:gridSpan w:val="6"/>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Контрольная </w:t>
            </w:r>
          </w:p>
        </w:tc>
        <w:tc>
          <w:tcPr>
            <w:tcW w:w="709" w:type="dxa"/>
          </w:tcPr>
          <w:p w:rsidR="000A3797" w:rsidRDefault="000A3797">
            <w:pPr>
              <w:rPr>
                <w:rFonts w:ascii="Times New Roman" w:eastAsia="Times New Roman" w:hAnsi="Times New Roman" w:cs="Times New Roman"/>
                <w:sz w:val="24"/>
                <w:szCs w:val="24"/>
              </w:rPr>
            </w:pPr>
          </w:p>
        </w:tc>
      </w:tr>
      <w:tr w:rsidR="000A3797">
        <w:tc>
          <w:tcPr>
            <w:tcW w:w="1276" w:type="dxa"/>
            <w:gridSpan w:val="2"/>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693" w:type="dxa"/>
            <w:gridSpan w:val="5"/>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степень</w:t>
            </w:r>
          </w:p>
        </w:tc>
        <w:tc>
          <w:tcPr>
            <w:tcW w:w="850" w:type="dxa"/>
            <w:vMerge w:val="restart"/>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w:t>
            </w:r>
          </w:p>
        </w:tc>
        <w:tc>
          <w:tcPr>
            <w:tcW w:w="3261" w:type="dxa"/>
            <w:gridSpan w:val="5"/>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степень</w:t>
            </w:r>
          </w:p>
        </w:tc>
        <w:tc>
          <w:tcPr>
            <w:tcW w:w="708" w:type="dxa"/>
            <w:vMerge w:val="restart"/>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w:t>
            </w:r>
          </w:p>
        </w:tc>
        <w:tc>
          <w:tcPr>
            <w:tcW w:w="709" w:type="dxa"/>
            <w:vMerge w:val="restart"/>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w:t>
            </w:r>
          </w:p>
        </w:tc>
      </w:tr>
      <w:tr w:rsidR="000A3797">
        <w:tc>
          <w:tcPr>
            <w:tcW w:w="1276" w:type="dxa"/>
            <w:gridSpan w:val="2"/>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567"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425"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85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426"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425"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850"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567"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09"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567"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426"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708"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709"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567"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до</w:t>
            </w:r>
          </w:p>
        </w:tc>
        <w:tc>
          <w:tcPr>
            <w:tcW w:w="709"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N (%)</w:t>
            </w:r>
          </w:p>
        </w:tc>
        <w:tc>
          <w:tcPr>
            <w:tcW w:w="567"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425"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85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30 (100%)</w:t>
            </w:r>
          </w:p>
        </w:tc>
        <w:tc>
          <w:tcPr>
            <w:tcW w:w="426"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425"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850" w:type="dxa"/>
            <w:vMerge w:val="restart"/>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567"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09"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30 (100%)</w:t>
            </w:r>
          </w:p>
        </w:tc>
        <w:tc>
          <w:tcPr>
            <w:tcW w:w="567"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426"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08"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vMerge w:val="restart"/>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r>
      <w:tr w:rsidR="000A3797">
        <w:tc>
          <w:tcPr>
            <w:tcW w:w="567"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после</w:t>
            </w:r>
          </w:p>
        </w:tc>
        <w:tc>
          <w:tcPr>
            <w:tcW w:w="709"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N (%)</w:t>
            </w:r>
          </w:p>
        </w:tc>
        <w:tc>
          <w:tcPr>
            <w:tcW w:w="567"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425"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85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426"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425"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850"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567"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09"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7(23,3%)</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1(3,3%)0</w:t>
            </w:r>
          </w:p>
        </w:tc>
        <w:tc>
          <w:tcPr>
            <w:tcW w:w="567"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426"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08"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0,005*</w:t>
            </w:r>
          </w:p>
        </w:tc>
        <w:tc>
          <w:tcPr>
            <w:tcW w:w="709"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276" w:type="dxa"/>
            <w:gridSpan w:val="2"/>
            <w:vMerge w:val="restart"/>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СНМ ДО и После</w:t>
            </w:r>
          </w:p>
        </w:tc>
        <w:tc>
          <w:tcPr>
            <w:tcW w:w="2693" w:type="dxa"/>
            <w:gridSpan w:val="5"/>
          </w:tcPr>
          <w:p w:rsidR="000A3797" w:rsidRDefault="00A660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степень</w:t>
            </w:r>
          </w:p>
        </w:tc>
        <w:tc>
          <w:tcPr>
            <w:tcW w:w="850" w:type="dxa"/>
          </w:tcPr>
          <w:p w:rsidR="000A3797" w:rsidRDefault="000A3797">
            <w:pPr>
              <w:rPr>
                <w:rFonts w:ascii="Times New Roman" w:eastAsia="Times New Roman" w:hAnsi="Times New Roman" w:cs="Times New Roman"/>
                <w:sz w:val="24"/>
                <w:szCs w:val="24"/>
              </w:rPr>
            </w:pPr>
          </w:p>
        </w:tc>
        <w:tc>
          <w:tcPr>
            <w:tcW w:w="3261" w:type="dxa"/>
            <w:gridSpan w:val="5"/>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степень</w:t>
            </w:r>
          </w:p>
        </w:tc>
        <w:tc>
          <w:tcPr>
            <w:tcW w:w="708" w:type="dxa"/>
          </w:tcPr>
          <w:p w:rsidR="000A3797" w:rsidRDefault="000A3797">
            <w:pPr>
              <w:rPr>
                <w:rFonts w:ascii="Times New Roman" w:eastAsia="Times New Roman" w:hAnsi="Times New Roman" w:cs="Times New Roman"/>
                <w:sz w:val="24"/>
                <w:szCs w:val="24"/>
              </w:rPr>
            </w:pPr>
          </w:p>
        </w:tc>
        <w:tc>
          <w:tcPr>
            <w:tcW w:w="709" w:type="dxa"/>
          </w:tcPr>
          <w:p w:rsidR="000A3797" w:rsidRDefault="000A3797">
            <w:pPr>
              <w:rPr>
                <w:rFonts w:ascii="Times New Roman" w:eastAsia="Times New Roman" w:hAnsi="Times New Roman" w:cs="Times New Roman"/>
                <w:sz w:val="24"/>
                <w:szCs w:val="24"/>
              </w:rPr>
            </w:pPr>
          </w:p>
        </w:tc>
      </w:tr>
      <w:tr w:rsidR="000A3797">
        <w:tc>
          <w:tcPr>
            <w:tcW w:w="1276" w:type="dxa"/>
            <w:gridSpan w:val="2"/>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567"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275" w:type="dxa"/>
            <w:gridSpan w:val="2"/>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851" w:type="dxa"/>
            <w:gridSpan w:val="2"/>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850" w:type="dxa"/>
          </w:tcPr>
          <w:p w:rsidR="000A3797" w:rsidRDefault="000A3797">
            <w:pPr>
              <w:rPr>
                <w:rFonts w:ascii="Times New Roman" w:eastAsia="Times New Roman" w:hAnsi="Times New Roman" w:cs="Times New Roman"/>
                <w:sz w:val="24"/>
                <w:szCs w:val="24"/>
              </w:rPr>
            </w:pPr>
          </w:p>
        </w:tc>
        <w:tc>
          <w:tcPr>
            <w:tcW w:w="1276" w:type="dxa"/>
            <w:gridSpan w:val="2"/>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993" w:type="dxa"/>
            <w:gridSpan w:val="2"/>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708" w:type="dxa"/>
          </w:tcPr>
          <w:p w:rsidR="000A3797" w:rsidRDefault="000A3797">
            <w:pPr>
              <w:rPr>
                <w:rFonts w:ascii="Times New Roman" w:eastAsia="Times New Roman" w:hAnsi="Times New Roman" w:cs="Times New Roman"/>
                <w:sz w:val="24"/>
                <w:szCs w:val="24"/>
              </w:rPr>
            </w:pPr>
          </w:p>
        </w:tc>
        <w:tc>
          <w:tcPr>
            <w:tcW w:w="709" w:type="dxa"/>
          </w:tcPr>
          <w:p w:rsidR="000A3797" w:rsidRDefault="000A3797">
            <w:pPr>
              <w:rPr>
                <w:rFonts w:ascii="Times New Roman" w:eastAsia="Times New Roman" w:hAnsi="Times New Roman" w:cs="Times New Roman"/>
                <w:sz w:val="24"/>
                <w:szCs w:val="24"/>
              </w:rPr>
            </w:pPr>
          </w:p>
        </w:tc>
      </w:tr>
      <w:tr w:rsidR="000A3797">
        <w:tc>
          <w:tcPr>
            <w:tcW w:w="567"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до</w:t>
            </w:r>
          </w:p>
        </w:tc>
        <w:tc>
          <w:tcPr>
            <w:tcW w:w="709"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N (%)</w:t>
            </w:r>
          </w:p>
        </w:tc>
        <w:tc>
          <w:tcPr>
            <w:tcW w:w="567" w:type="dxa"/>
          </w:tcPr>
          <w:p w:rsidR="000A3797" w:rsidRDefault="000A3797">
            <w:pPr>
              <w:rPr>
                <w:rFonts w:ascii="Times New Roman" w:eastAsia="Times New Roman" w:hAnsi="Times New Roman" w:cs="Times New Roman"/>
                <w:sz w:val="24"/>
                <w:szCs w:val="24"/>
              </w:rPr>
            </w:pPr>
          </w:p>
          <w:p w:rsidR="000A3797" w:rsidRDefault="000A3797">
            <w:pPr>
              <w:rPr>
                <w:rFonts w:ascii="Times New Roman" w:eastAsia="Times New Roman" w:hAnsi="Times New Roman" w:cs="Times New Roman"/>
                <w:sz w:val="24"/>
                <w:szCs w:val="24"/>
              </w:rPr>
            </w:pPr>
          </w:p>
        </w:tc>
        <w:tc>
          <w:tcPr>
            <w:tcW w:w="1275" w:type="dxa"/>
            <w:gridSpan w:val="2"/>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30 (100%)</w:t>
            </w:r>
          </w:p>
        </w:tc>
        <w:tc>
          <w:tcPr>
            <w:tcW w:w="851" w:type="dxa"/>
            <w:gridSpan w:val="2"/>
          </w:tcPr>
          <w:p w:rsidR="000A3797" w:rsidRDefault="000A3797">
            <w:pPr>
              <w:rPr>
                <w:rFonts w:ascii="Times New Roman" w:eastAsia="Times New Roman" w:hAnsi="Times New Roman" w:cs="Times New Roman"/>
                <w:sz w:val="24"/>
                <w:szCs w:val="24"/>
              </w:rPr>
            </w:pPr>
          </w:p>
        </w:tc>
        <w:tc>
          <w:tcPr>
            <w:tcW w:w="850" w:type="dxa"/>
            <w:vMerge w:val="restart"/>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1276" w:type="dxa"/>
            <w:gridSpan w:val="2"/>
          </w:tcPr>
          <w:p w:rsidR="000A3797" w:rsidRDefault="000A3797">
            <w:pPr>
              <w:rPr>
                <w:rFonts w:ascii="Times New Roman" w:eastAsia="Times New Roman" w:hAnsi="Times New Roman" w:cs="Times New Roman"/>
                <w:sz w:val="24"/>
                <w:szCs w:val="24"/>
              </w:rPr>
            </w:pP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30 (100%)</w:t>
            </w:r>
          </w:p>
        </w:tc>
        <w:tc>
          <w:tcPr>
            <w:tcW w:w="993" w:type="dxa"/>
            <w:gridSpan w:val="2"/>
          </w:tcPr>
          <w:p w:rsidR="000A3797" w:rsidRDefault="000A3797">
            <w:pPr>
              <w:rPr>
                <w:rFonts w:ascii="Times New Roman" w:eastAsia="Times New Roman" w:hAnsi="Times New Roman" w:cs="Times New Roman"/>
                <w:sz w:val="24"/>
                <w:szCs w:val="24"/>
              </w:rPr>
            </w:pPr>
          </w:p>
        </w:tc>
        <w:tc>
          <w:tcPr>
            <w:tcW w:w="708"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vMerge w:val="restart"/>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r>
      <w:tr w:rsidR="000A3797">
        <w:tc>
          <w:tcPr>
            <w:tcW w:w="567"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после</w:t>
            </w:r>
          </w:p>
        </w:tc>
        <w:tc>
          <w:tcPr>
            <w:tcW w:w="709"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N (%)</w:t>
            </w:r>
          </w:p>
        </w:tc>
        <w:tc>
          <w:tcPr>
            <w:tcW w:w="567"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1275" w:type="dxa"/>
            <w:gridSpan w:val="2"/>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851" w:type="dxa"/>
            <w:gridSpan w:val="2"/>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850"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276" w:type="dxa"/>
            <w:gridSpan w:val="2"/>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8 (26,7%)</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993" w:type="dxa"/>
            <w:gridSpan w:val="2"/>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08"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0,005*</w:t>
            </w:r>
          </w:p>
        </w:tc>
        <w:tc>
          <w:tcPr>
            <w:tcW w:w="709"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9497" w:type="dxa"/>
            <w:gridSpan w:val="15"/>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*точный критерий Фишера, **критерий Макнемера, СНМ – стрессовое недержание мочи, ГП – генитальный пролапс, p-value * - уровень значимости при сравнении До и после лечения, p-value** - уровень значимости при сравнении по группам</w:t>
            </w:r>
          </w:p>
        </w:tc>
      </w:tr>
    </w:tbl>
    <w:p w:rsidR="000A3797" w:rsidRDefault="000A3797">
      <w:pPr>
        <w:spacing w:after="0" w:line="240" w:lineRule="auto"/>
        <w:ind w:left="142"/>
        <w:rPr>
          <w:rFonts w:ascii="Times New Roman" w:eastAsia="Times New Roman" w:hAnsi="Times New Roman" w:cs="Times New Roman"/>
          <w:sz w:val="28"/>
          <w:szCs w:val="28"/>
        </w:rPr>
      </w:pPr>
    </w:p>
    <w:p w:rsidR="000A3797" w:rsidRDefault="000A3797">
      <w:pPr>
        <w:spacing w:after="0" w:line="240" w:lineRule="auto"/>
        <w:ind w:left="142"/>
        <w:rPr>
          <w:rFonts w:ascii="Times New Roman" w:eastAsia="Times New Roman" w:hAnsi="Times New Roman" w:cs="Times New Roman"/>
          <w:sz w:val="28"/>
          <w:szCs w:val="28"/>
        </w:rPr>
      </w:pPr>
    </w:p>
    <w:p w:rsidR="000A3797" w:rsidRDefault="00A660E7">
      <w:pPr>
        <w:spacing w:after="0" w:line="240" w:lineRule="auto"/>
        <w:ind w:left="142"/>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4381500" cy="3333750"/>
            <wp:effectExtent l="0" t="0" r="0"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0A3797" w:rsidRDefault="000A3797">
      <w:pPr>
        <w:spacing w:after="0" w:line="240" w:lineRule="auto"/>
        <w:ind w:left="142"/>
        <w:rPr>
          <w:rFonts w:ascii="Times New Roman" w:eastAsia="Times New Roman" w:hAnsi="Times New Roman" w:cs="Times New Roman"/>
          <w:sz w:val="28"/>
          <w:szCs w:val="28"/>
        </w:rPr>
      </w:pPr>
    </w:p>
    <w:p w:rsidR="000A3797" w:rsidRDefault="00A660E7">
      <w:pPr>
        <w:tabs>
          <w:tab w:val="left" w:pos="1841"/>
        </w:tabs>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9 – Влияние схемы упражнений с обратной связью на рецидив опущения</w:t>
      </w:r>
    </w:p>
    <w:p w:rsidR="000A3797" w:rsidRDefault="00A660E7">
      <w:pPr>
        <w:tabs>
          <w:tab w:val="left" w:pos="1841"/>
        </w:tabs>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3419475" cy="3076575"/>
            <wp:effectExtent l="0" t="0" r="9525" b="9525"/>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0A3797" w:rsidRDefault="00A660E7">
      <w:pPr>
        <w:tabs>
          <w:tab w:val="left" w:pos="1841"/>
        </w:tabs>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10 – Влияние схемы упражнений с обратной связью на рецидив стрессового недержания мочи</w:t>
      </w:r>
    </w:p>
    <w:p w:rsidR="000A3797" w:rsidRDefault="00A660E7">
      <w:pPr>
        <w:spacing w:after="0" w:line="240" w:lineRule="auto"/>
        <w:ind w:left="142" w:firstLine="566"/>
        <w:rPr>
          <w:rFonts w:ascii="Times New Roman" w:eastAsia="Times New Roman" w:hAnsi="Times New Roman" w:cs="Times New Roman"/>
          <w:sz w:val="28"/>
          <w:szCs w:val="28"/>
        </w:rPr>
      </w:pPr>
      <w:r>
        <w:rPr>
          <w:rFonts w:ascii="Times New Roman" w:eastAsia="Times New Roman" w:hAnsi="Times New Roman" w:cs="Times New Roman"/>
          <w:sz w:val="28"/>
          <w:szCs w:val="28"/>
        </w:rPr>
        <w:t>Тонус стенок влагалища, который мы измеряли с помощью Оксфордской шкалы и перинеометрии, статистически значимо увеличился за счет сужения просвета влагалища и пластики мышцы, поднимающей задний проход, в группе без тренировки (р&lt;0,001), однако сила сокраще</w:t>
      </w:r>
      <w:r>
        <w:rPr>
          <w:rFonts w:ascii="Times New Roman" w:eastAsia="Times New Roman" w:hAnsi="Times New Roman" w:cs="Times New Roman"/>
          <w:sz w:val="28"/>
          <w:szCs w:val="28"/>
        </w:rPr>
        <w:t xml:space="preserve">ний соответствовала низкой и умеренной, тогда как в основной группе она была хорошей и высокой, (р&lt;0,001) (Таблица 30) </w:t>
      </w:r>
      <w:r>
        <w:rPr>
          <w:rFonts w:ascii="Times New Roman" w:eastAsia="Times New Roman" w:hAnsi="Times New Roman" w:cs="Times New Roman"/>
          <w:sz w:val="28"/>
          <w:szCs w:val="28"/>
          <w:highlight w:val="white"/>
        </w:rPr>
        <w:t>[201, стр. 390]</w:t>
      </w:r>
      <w:r>
        <w:rPr>
          <w:rFonts w:ascii="Times New Roman" w:eastAsia="Times New Roman" w:hAnsi="Times New Roman" w:cs="Times New Roman"/>
          <w:sz w:val="28"/>
          <w:szCs w:val="28"/>
        </w:rPr>
        <w:t xml:space="preserve">. </w:t>
      </w:r>
    </w:p>
    <w:p w:rsidR="000A3797" w:rsidRDefault="000A3797">
      <w:pPr>
        <w:spacing w:after="0" w:line="240" w:lineRule="auto"/>
        <w:ind w:left="142"/>
        <w:rPr>
          <w:rFonts w:ascii="Times New Roman" w:eastAsia="Times New Roman" w:hAnsi="Times New Roman" w:cs="Times New Roman"/>
          <w:sz w:val="28"/>
          <w:szCs w:val="28"/>
        </w:rPr>
      </w:pPr>
    </w:p>
    <w:p w:rsidR="000A3797" w:rsidRDefault="00A660E7">
      <w:pPr>
        <w:spacing w:after="0" w:line="240" w:lineRule="auto"/>
        <w:ind w:left="142"/>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30 – Сравнение ила мышц тазового дна до и через 8 месяцев от начала выполнения упражнений в основной группе</w:t>
      </w:r>
    </w:p>
    <w:p w:rsidR="000A3797" w:rsidRDefault="00A660E7">
      <w:pPr>
        <w:spacing w:after="0" w:line="240" w:lineRule="auto"/>
        <w:ind w:lef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tbl>
      <w:tblPr>
        <w:tblStyle w:val="afff1"/>
        <w:tblpPr w:leftFromText="180" w:rightFromText="180" w:vertAnchor="text" w:tblpX="1774" w:tblpY="14"/>
        <w:tblW w:w="933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7"/>
        <w:gridCol w:w="1134"/>
        <w:gridCol w:w="1275"/>
        <w:gridCol w:w="993"/>
        <w:gridCol w:w="1275"/>
        <w:gridCol w:w="993"/>
        <w:gridCol w:w="850"/>
        <w:gridCol w:w="689"/>
      </w:tblGrid>
      <w:tr w:rsidR="000A3797">
        <w:tc>
          <w:tcPr>
            <w:tcW w:w="2127" w:type="dxa"/>
            <w:vMerge w:val="restart"/>
          </w:tcPr>
          <w:p w:rsidR="000A3797" w:rsidRDefault="000A3797">
            <w:pPr>
              <w:rPr>
                <w:rFonts w:ascii="Times New Roman" w:eastAsia="Times New Roman" w:hAnsi="Times New Roman" w:cs="Times New Roman"/>
                <w:sz w:val="24"/>
                <w:szCs w:val="24"/>
              </w:rPr>
            </w:pPr>
          </w:p>
        </w:tc>
        <w:tc>
          <w:tcPr>
            <w:tcW w:w="3402" w:type="dxa"/>
            <w:gridSpan w:val="3"/>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Основная группа </w:t>
            </w:r>
          </w:p>
        </w:tc>
        <w:tc>
          <w:tcPr>
            <w:tcW w:w="3807" w:type="dxa"/>
            <w:gridSpan w:val="4"/>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Контрольная </w:t>
            </w:r>
          </w:p>
        </w:tc>
      </w:tr>
      <w:tr w:rsidR="000A3797">
        <w:tc>
          <w:tcPr>
            <w:tcW w:w="2127"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134"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M (SD</w:t>
            </w:r>
            <m:oMath>
              <m:r>
                <w:rPr>
                  <w:rFonts w:ascii="Cambria Math" w:eastAsia="Cambria Math" w:hAnsi="Cambria Math" w:cs="Cambria Math"/>
                  <w:sz w:val="24"/>
                  <w:szCs w:val="24"/>
                </w:rPr>
                <m:t>±)</m:t>
              </m:r>
            </m:oMath>
          </w:p>
        </w:tc>
        <w:tc>
          <w:tcPr>
            <w:tcW w:w="1275"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Mе (Q1-Q3)</w:t>
            </w:r>
          </w:p>
        </w:tc>
        <w:tc>
          <w:tcPr>
            <w:tcW w:w="993"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p</w:t>
            </w:r>
          </w:p>
        </w:tc>
        <w:tc>
          <w:tcPr>
            <w:tcW w:w="1275"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M (SD</w:t>
            </w:r>
            <m:oMath>
              <m:r>
                <w:rPr>
                  <w:rFonts w:ascii="Cambria Math" w:hAnsi="Cambria Math"/>
                </w:rPr>
                <m:t>±</m:t>
              </m:r>
            </m:oMath>
            <w:r>
              <w:rPr>
                <w:rFonts w:ascii="Times New Roman" w:eastAsia="Times New Roman" w:hAnsi="Times New Roman" w:cs="Times New Roman"/>
                <w:sz w:val="24"/>
                <w:szCs w:val="24"/>
              </w:rPr>
              <w:t>)</w:t>
            </w:r>
          </w:p>
        </w:tc>
        <w:tc>
          <w:tcPr>
            <w:tcW w:w="993"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Mе (Q1-Q3)</w:t>
            </w:r>
          </w:p>
        </w:tc>
        <w:tc>
          <w:tcPr>
            <w:tcW w:w="85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p</w:t>
            </w:r>
          </w:p>
        </w:tc>
        <w:tc>
          <w:tcPr>
            <w:tcW w:w="689"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p</w:t>
            </w:r>
          </w:p>
        </w:tc>
      </w:tr>
      <w:tr w:rsidR="000A3797">
        <w:tc>
          <w:tcPr>
            <w:tcW w:w="2127"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Шкала оксфорда (b)</w:t>
            </w:r>
          </w:p>
        </w:tc>
        <w:tc>
          <w:tcPr>
            <w:tcW w:w="1134"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0,83 </w:t>
            </w:r>
            <m:oMath>
              <m:r>
                <w:rPr>
                  <w:rFonts w:ascii="Cambria Math" w:eastAsia="Cambria Math" w:hAnsi="Cambria Math" w:cs="Cambria Math"/>
                  <w:sz w:val="24"/>
                  <w:szCs w:val="24"/>
                </w:rPr>
                <m:t>(±</m:t>
              </m:r>
            </m:oMath>
            <w:r>
              <w:rPr>
                <w:rFonts w:ascii="Times New Roman" w:eastAsia="Times New Roman" w:hAnsi="Times New Roman" w:cs="Times New Roman"/>
                <w:sz w:val="24"/>
                <w:szCs w:val="24"/>
              </w:rPr>
              <w:t>0,461)</w:t>
            </w:r>
          </w:p>
        </w:tc>
        <w:tc>
          <w:tcPr>
            <w:tcW w:w="1275"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1,00 (0)</w:t>
            </w:r>
          </w:p>
        </w:tc>
        <w:tc>
          <w:tcPr>
            <w:tcW w:w="993" w:type="dxa"/>
            <w:vMerge w:val="restart"/>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1275"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0,73 </w:t>
            </w:r>
            <m:oMath>
              <m:r>
                <w:rPr>
                  <w:rFonts w:ascii="Cambria Math" w:eastAsia="Cambria Math" w:hAnsi="Cambria Math" w:cs="Cambria Math"/>
                  <w:sz w:val="24"/>
                  <w:szCs w:val="24"/>
                </w:rPr>
                <m:t>(±</m:t>
              </m:r>
            </m:oMath>
            <w:r>
              <w:rPr>
                <w:rFonts w:ascii="Times New Roman" w:eastAsia="Times New Roman" w:hAnsi="Times New Roman" w:cs="Times New Roman"/>
                <w:sz w:val="24"/>
                <w:szCs w:val="24"/>
              </w:rPr>
              <w:t>0,640)</w:t>
            </w:r>
          </w:p>
        </w:tc>
        <w:tc>
          <w:tcPr>
            <w:tcW w:w="993"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1,00 (1)</w:t>
            </w:r>
          </w:p>
        </w:tc>
        <w:tc>
          <w:tcPr>
            <w:tcW w:w="85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0,392*</w:t>
            </w:r>
          </w:p>
        </w:tc>
        <w:tc>
          <w:tcPr>
            <w:tcW w:w="689" w:type="dxa"/>
            <w:vMerge w:val="restart"/>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r>
      <w:tr w:rsidR="000A3797">
        <w:tc>
          <w:tcPr>
            <w:tcW w:w="2127"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Шкала оксфорда(a)</w:t>
            </w:r>
          </w:p>
        </w:tc>
        <w:tc>
          <w:tcPr>
            <w:tcW w:w="1134"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4,73 </w:t>
            </w:r>
            <m:oMath>
              <m:r>
                <w:rPr>
                  <w:rFonts w:ascii="Cambria Math" w:eastAsia="Cambria Math" w:hAnsi="Cambria Math" w:cs="Cambria Math"/>
                  <w:sz w:val="24"/>
                  <w:szCs w:val="24"/>
                </w:rPr>
                <m:t>(±</m:t>
              </m:r>
            </m:oMath>
            <w:r>
              <w:rPr>
                <w:rFonts w:ascii="Times New Roman" w:eastAsia="Times New Roman" w:hAnsi="Times New Roman" w:cs="Times New Roman"/>
                <w:sz w:val="24"/>
                <w:szCs w:val="24"/>
              </w:rPr>
              <w:t>0,450)</w:t>
            </w:r>
          </w:p>
        </w:tc>
        <w:tc>
          <w:tcPr>
            <w:tcW w:w="1275"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5,00 (1)</w:t>
            </w:r>
          </w:p>
        </w:tc>
        <w:tc>
          <w:tcPr>
            <w:tcW w:w="993"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275"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2,27 </w:t>
            </w:r>
            <m:oMath>
              <m:r>
                <w:rPr>
                  <w:rFonts w:ascii="Cambria Math" w:eastAsia="Cambria Math" w:hAnsi="Cambria Math" w:cs="Cambria Math"/>
                  <w:sz w:val="24"/>
                  <w:szCs w:val="24"/>
                </w:rPr>
                <m:t>(±</m:t>
              </m:r>
            </m:oMath>
            <w:r>
              <w:rPr>
                <w:rFonts w:ascii="Times New Roman" w:eastAsia="Times New Roman" w:hAnsi="Times New Roman" w:cs="Times New Roman"/>
                <w:sz w:val="24"/>
                <w:szCs w:val="24"/>
              </w:rPr>
              <w:t>0,740)</w:t>
            </w:r>
          </w:p>
        </w:tc>
        <w:tc>
          <w:tcPr>
            <w:tcW w:w="993"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2,00 (1)</w:t>
            </w:r>
          </w:p>
        </w:tc>
        <w:tc>
          <w:tcPr>
            <w:tcW w:w="85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689"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2127"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Перинеометрия (b), мм.рт.ст.</w:t>
            </w:r>
          </w:p>
        </w:tc>
        <w:tc>
          <w:tcPr>
            <w:tcW w:w="1134"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57,37 </w:t>
            </w:r>
            <m:oMath>
              <m:r>
                <w:rPr>
                  <w:rFonts w:ascii="Cambria Math" w:eastAsia="Cambria Math" w:hAnsi="Cambria Math" w:cs="Cambria Math"/>
                  <w:sz w:val="24"/>
                  <w:szCs w:val="24"/>
                </w:rPr>
                <m:t>(±</m:t>
              </m:r>
            </m:oMath>
            <w:r>
              <w:rPr>
                <w:rFonts w:ascii="Times New Roman" w:eastAsia="Times New Roman" w:hAnsi="Times New Roman" w:cs="Times New Roman"/>
                <w:sz w:val="24"/>
                <w:szCs w:val="24"/>
              </w:rPr>
              <w:t>2,025)</w:t>
            </w:r>
          </w:p>
        </w:tc>
        <w:tc>
          <w:tcPr>
            <w:tcW w:w="1275"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57,00 (2)</w:t>
            </w:r>
          </w:p>
        </w:tc>
        <w:tc>
          <w:tcPr>
            <w:tcW w:w="993" w:type="dxa"/>
            <w:vMerge w:val="restart"/>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1275"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57,47 </w:t>
            </w:r>
            <m:oMath>
              <m:r>
                <w:rPr>
                  <w:rFonts w:ascii="Cambria Math" w:eastAsia="Cambria Math" w:hAnsi="Cambria Math" w:cs="Cambria Math"/>
                  <w:sz w:val="24"/>
                  <w:szCs w:val="24"/>
                </w:rPr>
                <m:t>(±</m:t>
              </m:r>
            </m:oMath>
            <w:r>
              <w:rPr>
                <w:rFonts w:ascii="Times New Roman" w:eastAsia="Times New Roman" w:hAnsi="Times New Roman" w:cs="Times New Roman"/>
                <w:sz w:val="24"/>
                <w:szCs w:val="24"/>
              </w:rPr>
              <w:t>2,776)</w:t>
            </w:r>
          </w:p>
        </w:tc>
        <w:tc>
          <w:tcPr>
            <w:tcW w:w="993"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57,00 (4)</w:t>
            </w:r>
          </w:p>
        </w:tc>
        <w:tc>
          <w:tcPr>
            <w:tcW w:w="85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0,690*</w:t>
            </w:r>
          </w:p>
        </w:tc>
        <w:tc>
          <w:tcPr>
            <w:tcW w:w="689" w:type="dxa"/>
            <w:vMerge w:val="restart"/>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r>
      <w:tr w:rsidR="000A3797">
        <w:tc>
          <w:tcPr>
            <w:tcW w:w="2127" w:type="dxa"/>
          </w:tcPr>
          <w:p w:rsidR="000A3797" w:rsidRDefault="00A660E7">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Перинеометрия  (a), мм.рт.ст.</w:t>
            </w:r>
          </w:p>
        </w:tc>
        <w:tc>
          <w:tcPr>
            <w:tcW w:w="1134"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87,80 </w:t>
            </w:r>
            <m:oMath>
              <m:r>
                <w:rPr>
                  <w:rFonts w:ascii="Cambria Math" w:eastAsia="Cambria Math" w:hAnsi="Cambria Math" w:cs="Cambria Math"/>
                  <w:sz w:val="24"/>
                  <w:szCs w:val="24"/>
                </w:rPr>
                <m:t>(±</m:t>
              </m:r>
            </m:oMath>
            <w:r>
              <w:rPr>
                <w:rFonts w:ascii="Times New Roman" w:eastAsia="Times New Roman" w:hAnsi="Times New Roman" w:cs="Times New Roman"/>
                <w:sz w:val="24"/>
                <w:szCs w:val="24"/>
              </w:rPr>
              <w:t>5,436)</w:t>
            </w:r>
          </w:p>
        </w:tc>
        <w:tc>
          <w:tcPr>
            <w:tcW w:w="1275"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88,50 (7)</w:t>
            </w:r>
          </w:p>
        </w:tc>
        <w:tc>
          <w:tcPr>
            <w:tcW w:w="993"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275"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64,83 </w:t>
            </w:r>
            <m:oMath>
              <m:r>
                <w:rPr>
                  <w:rFonts w:ascii="Cambria Math" w:eastAsia="Cambria Math" w:hAnsi="Cambria Math" w:cs="Cambria Math"/>
                  <w:sz w:val="24"/>
                  <w:szCs w:val="24"/>
                </w:rPr>
                <m:t>(±</m:t>
              </m:r>
            </m:oMath>
            <w:r>
              <w:rPr>
                <w:rFonts w:ascii="Times New Roman" w:eastAsia="Times New Roman" w:hAnsi="Times New Roman" w:cs="Times New Roman"/>
                <w:sz w:val="24"/>
                <w:szCs w:val="24"/>
              </w:rPr>
              <w:t>5,528)</w:t>
            </w:r>
          </w:p>
        </w:tc>
        <w:tc>
          <w:tcPr>
            <w:tcW w:w="993"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63,50 (9)</w:t>
            </w:r>
          </w:p>
        </w:tc>
        <w:tc>
          <w:tcPr>
            <w:tcW w:w="85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689"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9336" w:type="dxa"/>
            <w:gridSpan w:val="8"/>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M - среднее, Me - медиана, SD – стандартное отклонение, Q1-Q-3 – интерквартильный размах,* критерий Манна-Уитни, ,** тест Уилкоксона ,*** t критерий Стьюдента, до- (b), после- (a)</w:t>
            </w:r>
          </w:p>
        </w:tc>
      </w:tr>
    </w:tbl>
    <w:p w:rsidR="000A3797" w:rsidRDefault="000A3797">
      <w:pPr>
        <w:spacing w:after="0" w:line="240" w:lineRule="auto"/>
        <w:ind w:left="142"/>
        <w:rPr>
          <w:rFonts w:ascii="Times New Roman" w:eastAsia="Times New Roman" w:hAnsi="Times New Roman" w:cs="Times New Roman"/>
          <w:sz w:val="28"/>
          <w:szCs w:val="28"/>
        </w:rPr>
      </w:pPr>
    </w:p>
    <w:p w:rsidR="000A3797" w:rsidRDefault="00A660E7">
      <w:pPr>
        <w:spacing w:after="0" w:line="24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Статистически значимых различий оценки качества жизни после курса лечения </w:t>
      </w:r>
      <w:r>
        <w:rPr>
          <w:rFonts w:ascii="Times New Roman" w:eastAsia="Times New Roman" w:hAnsi="Times New Roman" w:cs="Times New Roman"/>
          <w:sz w:val="28"/>
          <w:szCs w:val="28"/>
        </w:rPr>
        <w:t xml:space="preserve">между группами не было по всем девяти оцениваемым параметрам (таблица 31) </w:t>
      </w:r>
      <w:r>
        <w:rPr>
          <w:rFonts w:ascii="Times New Roman" w:eastAsia="Times New Roman" w:hAnsi="Times New Roman" w:cs="Times New Roman"/>
          <w:sz w:val="28"/>
          <w:szCs w:val="28"/>
          <w:highlight w:val="white"/>
        </w:rPr>
        <w:t>[201, стр. 390]</w:t>
      </w:r>
      <w:r>
        <w:rPr>
          <w:rFonts w:ascii="Times New Roman" w:eastAsia="Times New Roman" w:hAnsi="Times New Roman" w:cs="Times New Roman"/>
          <w:sz w:val="28"/>
          <w:szCs w:val="28"/>
        </w:rPr>
        <w:t xml:space="preserve">. Небольшие анатомические изменения в контрольной группе и эпизоды стрессового недержания мочи значительно не отражались на общем состоянии здоровья и других измеряемых шкалах качества жизни  (таблица 31) </w:t>
      </w:r>
      <w:r>
        <w:rPr>
          <w:rFonts w:ascii="Times New Roman" w:eastAsia="Times New Roman" w:hAnsi="Times New Roman" w:cs="Times New Roman"/>
          <w:sz w:val="28"/>
          <w:szCs w:val="28"/>
          <w:highlight w:val="white"/>
        </w:rPr>
        <w:t>[201, стр. 390]</w:t>
      </w:r>
      <w:r>
        <w:rPr>
          <w:rFonts w:ascii="Times New Roman" w:eastAsia="Times New Roman" w:hAnsi="Times New Roman" w:cs="Times New Roman"/>
          <w:sz w:val="28"/>
          <w:szCs w:val="28"/>
        </w:rPr>
        <w:t>.</w:t>
      </w:r>
    </w:p>
    <w:p w:rsidR="000A3797" w:rsidRDefault="000A3797">
      <w:pPr>
        <w:spacing w:after="0" w:line="240" w:lineRule="auto"/>
        <w:ind w:left="142"/>
        <w:rPr>
          <w:rFonts w:ascii="Times New Roman" w:eastAsia="Times New Roman" w:hAnsi="Times New Roman" w:cs="Times New Roman"/>
          <w:sz w:val="28"/>
          <w:szCs w:val="28"/>
        </w:rPr>
      </w:pPr>
    </w:p>
    <w:p w:rsidR="000A3797" w:rsidRDefault="00A660E7">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31 – Сравнительная оценка качества жизни через 8 месяцев от начала лечения (домены адаптированы из версии Коршунова М. ПД-КЖ [60, стр. 4])</w:t>
      </w:r>
    </w:p>
    <w:p w:rsidR="000A3797" w:rsidRDefault="000A3797">
      <w:pPr>
        <w:spacing w:after="0" w:line="240" w:lineRule="auto"/>
        <w:ind w:left="142"/>
        <w:rPr>
          <w:rFonts w:ascii="Times New Roman" w:eastAsia="Times New Roman" w:hAnsi="Times New Roman" w:cs="Times New Roman"/>
          <w:sz w:val="28"/>
          <w:szCs w:val="28"/>
        </w:rPr>
      </w:pPr>
    </w:p>
    <w:tbl>
      <w:tblPr>
        <w:tblStyle w:val="afff2"/>
        <w:tblW w:w="9356"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10"/>
        <w:gridCol w:w="993"/>
        <w:gridCol w:w="992"/>
        <w:gridCol w:w="567"/>
        <w:gridCol w:w="1134"/>
        <w:gridCol w:w="992"/>
        <w:gridCol w:w="425"/>
        <w:gridCol w:w="993"/>
        <w:gridCol w:w="850"/>
      </w:tblGrid>
      <w:tr w:rsidR="000A3797">
        <w:tc>
          <w:tcPr>
            <w:tcW w:w="2410" w:type="dxa"/>
            <w:vMerge w:val="restart"/>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домен</w:t>
            </w:r>
          </w:p>
        </w:tc>
        <w:tc>
          <w:tcPr>
            <w:tcW w:w="1985" w:type="dxa"/>
            <w:gridSpan w:val="2"/>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До</w:t>
            </w:r>
          </w:p>
        </w:tc>
        <w:tc>
          <w:tcPr>
            <w:tcW w:w="567" w:type="dxa"/>
            <w:vMerge w:val="restart"/>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p</w:t>
            </w:r>
          </w:p>
        </w:tc>
        <w:tc>
          <w:tcPr>
            <w:tcW w:w="2126" w:type="dxa"/>
            <w:gridSpan w:val="2"/>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После</w:t>
            </w:r>
          </w:p>
        </w:tc>
        <w:tc>
          <w:tcPr>
            <w:tcW w:w="425" w:type="dxa"/>
            <w:vMerge w:val="restart"/>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p</w:t>
            </w:r>
          </w:p>
        </w:tc>
        <w:tc>
          <w:tcPr>
            <w:tcW w:w="993" w:type="dxa"/>
            <w:vMerge w:val="restart"/>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p</w:t>
            </w:r>
          </w:p>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основная группа до и после</w:t>
            </w:r>
          </w:p>
        </w:tc>
        <w:tc>
          <w:tcPr>
            <w:tcW w:w="850" w:type="dxa"/>
            <w:vMerge w:val="restart"/>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p</w:t>
            </w:r>
          </w:p>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контрольная группа до и после</w:t>
            </w:r>
          </w:p>
        </w:tc>
      </w:tr>
      <w:tr w:rsidR="000A3797">
        <w:tc>
          <w:tcPr>
            <w:tcW w:w="2410"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993"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Основная группа</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Контрольная группа</w:t>
            </w:r>
          </w:p>
        </w:tc>
        <w:tc>
          <w:tcPr>
            <w:tcW w:w="567"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134"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Основная группа</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Контрольная группа</w:t>
            </w:r>
          </w:p>
        </w:tc>
        <w:tc>
          <w:tcPr>
            <w:tcW w:w="425"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993"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850"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2410"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993"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Ме (Q1-Q-3)</w:t>
            </w:r>
          </w:p>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100 –бальная оценка</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Ме (Q1-Q-3)</w:t>
            </w:r>
          </w:p>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100 –бальная оценка</w:t>
            </w:r>
          </w:p>
        </w:tc>
        <w:tc>
          <w:tcPr>
            <w:tcW w:w="567"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134"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Ме (Q1-Q-3)</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Ме(Q1-Q-3) 100-бальная система</w:t>
            </w:r>
          </w:p>
        </w:tc>
        <w:tc>
          <w:tcPr>
            <w:tcW w:w="425"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993"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850"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241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1.Общее состояние здоровья </w:t>
            </w:r>
            <w:r>
              <w:rPr>
                <w:rFonts w:ascii="Times New Roman" w:eastAsia="Times New Roman" w:hAnsi="Times New Roman" w:cs="Times New Roman"/>
              </w:rPr>
              <w:t>[60]</w:t>
            </w:r>
          </w:p>
        </w:tc>
        <w:tc>
          <w:tcPr>
            <w:tcW w:w="993"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69 (15)</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65 (18)</w:t>
            </w:r>
          </w:p>
        </w:tc>
        <w:tc>
          <w:tcPr>
            <w:tcW w:w="567"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134"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 (2)</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 (5)</w:t>
            </w:r>
          </w:p>
        </w:tc>
        <w:tc>
          <w:tcPr>
            <w:tcW w:w="425"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w:t>
            </w:r>
          </w:p>
        </w:tc>
        <w:tc>
          <w:tcPr>
            <w:tcW w:w="993" w:type="dxa"/>
          </w:tcPr>
          <w:p w:rsidR="000A3797" w:rsidRDefault="00A660E7">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&lt;0,001</w:t>
            </w:r>
          </w:p>
        </w:tc>
        <w:tc>
          <w:tcPr>
            <w:tcW w:w="850" w:type="dxa"/>
          </w:tcPr>
          <w:p w:rsidR="000A3797" w:rsidRDefault="00A660E7">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&lt;0,001</w:t>
            </w:r>
          </w:p>
        </w:tc>
      </w:tr>
      <w:tr w:rsidR="000A3797">
        <w:tc>
          <w:tcPr>
            <w:tcW w:w="241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2.Воздействие симптомов </w:t>
            </w:r>
            <w:r>
              <w:rPr>
                <w:rFonts w:ascii="Times New Roman" w:eastAsia="Times New Roman" w:hAnsi="Times New Roman" w:cs="Times New Roman"/>
              </w:rPr>
              <w:t>[60]</w:t>
            </w:r>
          </w:p>
        </w:tc>
        <w:tc>
          <w:tcPr>
            <w:tcW w:w="993"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73 (10)</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68 (11)</w:t>
            </w:r>
          </w:p>
        </w:tc>
        <w:tc>
          <w:tcPr>
            <w:tcW w:w="567"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134"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425"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w:t>
            </w:r>
          </w:p>
        </w:tc>
        <w:tc>
          <w:tcPr>
            <w:tcW w:w="993" w:type="dxa"/>
          </w:tcPr>
          <w:p w:rsidR="000A3797" w:rsidRDefault="00A660E7">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&lt;0,001</w:t>
            </w:r>
          </w:p>
        </w:tc>
        <w:tc>
          <w:tcPr>
            <w:tcW w:w="850" w:type="dxa"/>
          </w:tcPr>
          <w:p w:rsidR="000A3797" w:rsidRDefault="00A660E7">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&lt;0,001</w:t>
            </w:r>
          </w:p>
        </w:tc>
      </w:tr>
      <w:tr w:rsidR="000A3797">
        <w:tc>
          <w:tcPr>
            <w:tcW w:w="241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3.Симптомы и их восприятие </w:t>
            </w:r>
            <w:r>
              <w:rPr>
                <w:rFonts w:ascii="Times New Roman" w:eastAsia="Times New Roman" w:hAnsi="Times New Roman" w:cs="Times New Roman"/>
              </w:rPr>
              <w:t>[60]</w:t>
            </w:r>
          </w:p>
        </w:tc>
        <w:tc>
          <w:tcPr>
            <w:tcW w:w="993"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75 (12)</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72 (9)</w:t>
            </w:r>
          </w:p>
        </w:tc>
        <w:tc>
          <w:tcPr>
            <w:tcW w:w="567"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134"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425"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w:t>
            </w:r>
          </w:p>
        </w:tc>
        <w:tc>
          <w:tcPr>
            <w:tcW w:w="993" w:type="dxa"/>
          </w:tcPr>
          <w:p w:rsidR="000A3797" w:rsidRDefault="00A660E7">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&lt;0,001</w:t>
            </w:r>
          </w:p>
        </w:tc>
        <w:tc>
          <w:tcPr>
            <w:tcW w:w="850" w:type="dxa"/>
          </w:tcPr>
          <w:p w:rsidR="000A3797" w:rsidRDefault="00A660E7">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&lt;0,001</w:t>
            </w:r>
          </w:p>
        </w:tc>
      </w:tr>
      <w:tr w:rsidR="000A3797">
        <w:tc>
          <w:tcPr>
            <w:tcW w:w="241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4.Рoлевые ограничения </w:t>
            </w:r>
            <w:r>
              <w:rPr>
                <w:rFonts w:ascii="Times New Roman" w:eastAsia="Times New Roman" w:hAnsi="Times New Roman" w:cs="Times New Roman"/>
              </w:rPr>
              <w:t>[60]</w:t>
            </w:r>
          </w:p>
        </w:tc>
        <w:tc>
          <w:tcPr>
            <w:tcW w:w="993"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34 (11)</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38 (10)</w:t>
            </w:r>
          </w:p>
        </w:tc>
        <w:tc>
          <w:tcPr>
            <w:tcW w:w="567"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134"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425"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993"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85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r>
      <w:tr w:rsidR="000A3797">
        <w:tc>
          <w:tcPr>
            <w:tcW w:w="241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5.Физическое и социальное ограничения </w:t>
            </w:r>
            <w:r>
              <w:rPr>
                <w:rFonts w:ascii="Times New Roman" w:eastAsia="Times New Roman" w:hAnsi="Times New Roman" w:cs="Times New Roman"/>
              </w:rPr>
              <w:t>[60]</w:t>
            </w:r>
          </w:p>
        </w:tc>
        <w:tc>
          <w:tcPr>
            <w:tcW w:w="993"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33(4)</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35 (5)</w:t>
            </w:r>
          </w:p>
        </w:tc>
        <w:tc>
          <w:tcPr>
            <w:tcW w:w="567"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134"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0(2)</w:t>
            </w:r>
          </w:p>
        </w:tc>
        <w:tc>
          <w:tcPr>
            <w:tcW w:w="425"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993"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85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r>
      <w:tr w:rsidR="000A3797">
        <w:tc>
          <w:tcPr>
            <w:tcW w:w="241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 Межличностные взаимодействия </w:t>
            </w:r>
            <w:r>
              <w:rPr>
                <w:rFonts w:ascii="Times New Roman" w:eastAsia="Times New Roman" w:hAnsi="Times New Roman" w:cs="Times New Roman"/>
              </w:rPr>
              <w:t>[60]</w:t>
            </w:r>
          </w:p>
        </w:tc>
        <w:tc>
          <w:tcPr>
            <w:tcW w:w="993"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31 (7)</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34 (8)</w:t>
            </w:r>
          </w:p>
        </w:tc>
        <w:tc>
          <w:tcPr>
            <w:tcW w:w="567"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134"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425"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993"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c>
          <w:tcPr>
            <w:tcW w:w="85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r>
      <w:tr w:rsidR="000A3797">
        <w:tc>
          <w:tcPr>
            <w:tcW w:w="241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7.Эмоциональные проблемы </w:t>
            </w:r>
            <w:r>
              <w:rPr>
                <w:rFonts w:ascii="Times New Roman" w:eastAsia="Times New Roman" w:hAnsi="Times New Roman" w:cs="Times New Roman"/>
              </w:rPr>
              <w:t>[60]</w:t>
            </w:r>
          </w:p>
        </w:tc>
        <w:tc>
          <w:tcPr>
            <w:tcW w:w="993"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54 (11)</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49 (12)</w:t>
            </w:r>
          </w:p>
        </w:tc>
        <w:tc>
          <w:tcPr>
            <w:tcW w:w="567"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134"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0(1)</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425"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w:t>
            </w:r>
          </w:p>
        </w:tc>
        <w:tc>
          <w:tcPr>
            <w:tcW w:w="993" w:type="dxa"/>
          </w:tcPr>
          <w:p w:rsidR="000A3797" w:rsidRDefault="00A660E7">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&lt;0,001</w:t>
            </w:r>
          </w:p>
        </w:tc>
        <w:tc>
          <w:tcPr>
            <w:tcW w:w="850" w:type="dxa"/>
          </w:tcPr>
          <w:p w:rsidR="000A3797" w:rsidRDefault="00A660E7">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&lt;0,001</w:t>
            </w:r>
          </w:p>
        </w:tc>
      </w:tr>
      <w:tr w:rsidR="000A3797">
        <w:tc>
          <w:tcPr>
            <w:tcW w:w="241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8. Нaрушение сна и бодрствования </w:t>
            </w:r>
            <w:r>
              <w:rPr>
                <w:rFonts w:ascii="Times New Roman" w:eastAsia="Times New Roman" w:hAnsi="Times New Roman" w:cs="Times New Roman"/>
              </w:rPr>
              <w:t>[60]</w:t>
            </w:r>
          </w:p>
        </w:tc>
        <w:tc>
          <w:tcPr>
            <w:tcW w:w="993"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30 (8)</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28 (10)</w:t>
            </w:r>
          </w:p>
        </w:tc>
        <w:tc>
          <w:tcPr>
            <w:tcW w:w="567"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134"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 (0)</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 (0)</w:t>
            </w:r>
          </w:p>
        </w:tc>
        <w:tc>
          <w:tcPr>
            <w:tcW w:w="425"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w:t>
            </w:r>
          </w:p>
        </w:tc>
        <w:tc>
          <w:tcPr>
            <w:tcW w:w="993" w:type="dxa"/>
          </w:tcPr>
          <w:p w:rsidR="000A3797" w:rsidRDefault="00A660E7">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&lt;0,001</w:t>
            </w:r>
          </w:p>
        </w:tc>
        <w:tc>
          <w:tcPr>
            <w:tcW w:w="850" w:type="dxa"/>
          </w:tcPr>
          <w:p w:rsidR="000A3797" w:rsidRDefault="00A660E7">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&lt;0,001</w:t>
            </w:r>
          </w:p>
        </w:tc>
      </w:tr>
      <w:tr w:rsidR="000A3797">
        <w:tc>
          <w:tcPr>
            <w:tcW w:w="2410"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9.Степень выраженности симптомов </w:t>
            </w:r>
            <w:r>
              <w:rPr>
                <w:rFonts w:ascii="Times New Roman" w:eastAsia="Times New Roman" w:hAnsi="Times New Roman" w:cs="Times New Roman"/>
              </w:rPr>
              <w:t>[60]</w:t>
            </w:r>
          </w:p>
        </w:tc>
        <w:tc>
          <w:tcPr>
            <w:tcW w:w="993"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74 (11)</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69 (14)</w:t>
            </w:r>
          </w:p>
        </w:tc>
        <w:tc>
          <w:tcPr>
            <w:tcW w:w="567"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134"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 (0)</w:t>
            </w:r>
          </w:p>
        </w:tc>
        <w:tc>
          <w:tcPr>
            <w:tcW w:w="992"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0 (6)</w:t>
            </w:r>
          </w:p>
        </w:tc>
        <w:tc>
          <w:tcPr>
            <w:tcW w:w="425" w:type="dxa"/>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w:t>
            </w:r>
          </w:p>
        </w:tc>
        <w:tc>
          <w:tcPr>
            <w:tcW w:w="993" w:type="dxa"/>
          </w:tcPr>
          <w:p w:rsidR="000A3797" w:rsidRDefault="00A660E7">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&lt;0,001</w:t>
            </w:r>
          </w:p>
        </w:tc>
        <w:tc>
          <w:tcPr>
            <w:tcW w:w="850" w:type="dxa"/>
          </w:tcPr>
          <w:p w:rsidR="000A3797" w:rsidRDefault="00A660E7">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&lt;0,001</w:t>
            </w:r>
          </w:p>
        </w:tc>
      </w:tr>
      <w:tr w:rsidR="000A3797">
        <w:tc>
          <w:tcPr>
            <w:tcW w:w="9356" w:type="dxa"/>
            <w:gridSpan w:val="9"/>
          </w:tcPr>
          <w:p w:rsidR="000A3797" w:rsidRDefault="00A660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Me - медиана, SD – стандартное отклонение, Q1-Q-3 – интерквартильный размах, критерий Манна-Уитни (сравнение данных по группам), тест Уилкоксона (в динамике)</w:t>
            </w:r>
          </w:p>
        </w:tc>
      </w:tr>
    </w:tbl>
    <w:p w:rsidR="000A3797" w:rsidRDefault="000A3797">
      <w:pPr>
        <w:spacing w:after="0" w:line="240" w:lineRule="auto"/>
        <w:rPr>
          <w:rFonts w:ascii="Times New Roman" w:eastAsia="Times New Roman" w:hAnsi="Times New Roman" w:cs="Times New Roman"/>
          <w:sz w:val="28"/>
          <w:szCs w:val="28"/>
        </w:rPr>
      </w:pPr>
    </w:p>
    <w:p w:rsidR="000A3797" w:rsidRDefault="00A660E7">
      <w:pPr>
        <w:spacing w:after="0" w:line="240" w:lineRule="auto"/>
        <w:ind w:left="142" w:firstLine="566"/>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Выявлены статистически значимые обратные корреляционные связи заметной тесноты по шкале Чеддока между  силой мышц тазового дна, оценённой по шкале Оксфорда, со степенью опущения (r</w:t>
      </w:r>
      <w:r>
        <w:rPr>
          <w:rFonts w:ascii="Times New Roman" w:eastAsia="Times New Roman" w:hAnsi="Times New Roman" w:cs="Times New Roman"/>
          <w:sz w:val="28"/>
          <w:szCs w:val="28"/>
          <w:vertAlign w:val="subscript"/>
        </w:rPr>
        <w:t xml:space="preserve">xy </w:t>
      </w:r>
      <w:r>
        <w:rPr>
          <w:rFonts w:ascii="Times New Roman" w:eastAsia="Times New Roman" w:hAnsi="Times New Roman" w:cs="Times New Roman"/>
          <w:sz w:val="28"/>
          <w:szCs w:val="28"/>
        </w:rPr>
        <w:t>=(-) 0,607,р&lt;0,001) и со степенью стрессового недержания (r</w:t>
      </w:r>
      <w:r>
        <w:rPr>
          <w:rFonts w:ascii="Times New Roman" w:eastAsia="Times New Roman" w:hAnsi="Times New Roman" w:cs="Times New Roman"/>
          <w:sz w:val="28"/>
          <w:szCs w:val="28"/>
          <w:vertAlign w:val="subscript"/>
        </w:rPr>
        <w:t xml:space="preserve">xy </w:t>
      </w:r>
      <w:r>
        <w:rPr>
          <w:rFonts w:ascii="Times New Roman" w:eastAsia="Times New Roman" w:hAnsi="Times New Roman" w:cs="Times New Roman"/>
          <w:sz w:val="28"/>
          <w:szCs w:val="28"/>
        </w:rPr>
        <w:t>=(-) 0,607</w:t>
      </w:r>
      <w:r>
        <w:rPr>
          <w:rFonts w:ascii="Times New Roman" w:eastAsia="Times New Roman" w:hAnsi="Times New Roman" w:cs="Times New Roman"/>
          <w:sz w:val="28"/>
          <w:szCs w:val="28"/>
        </w:rPr>
        <w:t>,р&lt;0,001), а также статистически значимые обратные корреляционные связи умеренной тесноты по шкале Чеддока между  силой мышц тазового дна, установленной при перинеометрии  со степенью опущения (r</w:t>
      </w:r>
      <w:r>
        <w:rPr>
          <w:rFonts w:ascii="Times New Roman" w:eastAsia="Times New Roman" w:hAnsi="Times New Roman" w:cs="Times New Roman"/>
          <w:sz w:val="28"/>
          <w:szCs w:val="28"/>
          <w:vertAlign w:val="subscript"/>
        </w:rPr>
        <w:t xml:space="preserve">xy </w:t>
      </w:r>
      <w:r>
        <w:rPr>
          <w:rFonts w:ascii="Times New Roman" w:eastAsia="Times New Roman" w:hAnsi="Times New Roman" w:cs="Times New Roman"/>
          <w:sz w:val="28"/>
          <w:szCs w:val="28"/>
        </w:rPr>
        <w:t xml:space="preserve">=(-) 0,493,р&lt;0,001) и со степенью  стрессового недержания </w:t>
      </w:r>
      <w:r>
        <w:rPr>
          <w:rFonts w:ascii="Times New Roman" w:eastAsia="Times New Roman" w:hAnsi="Times New Roman" w:cs="Times New Roman"/>
          <w:sz w:val="28"/>
          <w:szCs w:val="28"/>
        </w:rPr>
        <w:t>(r</w:t>
      </w:r>
      <w:r>
        <w:rPr>
          <w:rFonts w:ascii="Times New Roman" w:eastAsia="Times New Roman" w:hAnsi="Times New Roman" w:cs="Times New Roman"/>
          <w:sz w:val="28"/>
          <w:szCs w:val="28"/>
          <w:vertAlign w:val="subscript"/>
        </w:rPr>
        <w:t xml:space="preserve">xy </w:t>
      </w:r>
      <w:r>
        <w:rPr>
          <w:rFonts w:ascii="Times New Roman" w:eastAsia="Times New Roman" w:hAnsi="Times New Roman" w:cs="Times New Roman"/>
          <w:sz w:val="28"/>
          <w:szCs w:val="28"/>
        </w:rPr>
        <w:t xml:space="preserve">=(-) 0,493,р&lt;0,001) </w:t>
      </w:r>
      <w:r>
        <w:rPr>
          <w:rFonts w:ascii="Times New Roman" w:eastAsia="Times New Roman" w:hAnsi="Times New Roman" w:cs="Times New Roman"/>
          <w:sz w:val="28"/>
          <w:szCs w:val="28"/>
          <w:highlight w:val="white"/>
        </w:rPr>
        <w:t>[201, стр. 392]</w:t>
      </w:r>
      <w:r>
        <w:rPr>
          <w:rFonts w:ascii="Times New Roman" w:eastAsia="Times New Roman" w:hAnsi="Times New Roman" w:cs="Times New Roman"/>
          <w:sz w:val="28"/>
          <w:szCs w:val="28"/>
        </w:rPr>
        <w:t xml:space="preserve">. </w:t>
      </w:r>
    </w:p>
    <w:p w:rsidR="000A3797" w:rsidRDefault="000A3797">
      <w:pPr>
        <w:spacing w:after="0" w:line="240" w:lineRule="auto"/>
        <w:ind w:left="142" w:firstLine="566"/>
        <w:rPr>
          <w:rFonts w:ascii="Times New Roman" w:eastAsia="Times New Roman" w:hAnsi="Times New Roman" w:cs="Times New Roman"/>
          <w:sz w:val="28"/>
          <w:szCs w:val="28"/>
        </w:rPr>
      </w:pPr>
    </w:p>
    <w:p w:rsidR="000A3797" w:rsidRDefault="00A660E7">
      <w:pPr>
        <w:numPr>
          <w:ilvl w:val="2"/>
          <w:numId w:val="14"/>
        </w:numPr>
        <w:pBdr>
          <w:top w:val="nil"/>
          <w:left w:val="nil"/>
          <w:bottom w:val="nil"/>
          <w:right w:val="nil"/>
          <w:between w:val="nil"/>
        </w:pBdr>
        <w:spacing w:after="0" w:line="24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Сила мышц тазового дна, как предиктор рецидива генитального пролапса после хирургического лечения</w:t>
      </w:r>
    </w:p>
    <w:p w:rsidR="000A3797" w:rsidRDefault="000A3797">
      <w:pPr>
        <w:pBdr>
          <w:top w:val="nil"/>
          <w:left w:val="nil"/>
          <w:bottom w:val="nil"/>
          <w:right w:val="nil"/>
          <w:between w:val="nil"/>
        </w:pBdr>
        <w:spacing w:after="0" w:line="240" w:lineRule="auto"/>
        <w:ind w:left="1095"/>
        <w:rPr>
          <w:rFonts w:ascii="Times New Roman" w:eastAsia="Times New Roman" w:hAnsi="Times New Roman" w:cs="Times New Roman"/>
          <w:color w:val="000000"/>
          <w:sz w:val="28"/>
          <w:szCs w:val="28"/>
        </w:rPr>
      </w:pPr>
    </w:p>
    <w:p w:rsidR="000A3797" w:rsidRDefault="00A660E7">
      <w:pPr>
        <w:spacing w:after="0" w:line="240" w:lineRule="auto"/>
        <w:ind w:left="142" w:firstLine="36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Площадь под ROC –кривой, соответствующей взаимосвязи прогноза силы мышц тазового дна и симптомов опущения составила 0,930 </w:t>
      </w:r>
      <m:oMath>
        <m:r>
          <w:rPr>
            <w:rFonts w:ascii="Cambria Math" w:hAnsi="Cambria Math"/>
          </w:rPr>
          <m:t>±</m:t>
        </m:r>
      </m:oMath>
      <w:r>
        <w:rPr>
          <w:rFonts w:ascii="Times New Roman" w:eastAsia="Times New Roman" w:hAnsi="Times New Roman" w:cs="Times New Roman"/>
          <w:sz w:val="28"/>
          <w:szCs w:val="28"/>
        </w:rPr>
        <w:t xml:space="preserve">0,033 с 95% ДИ: 0,865-0,996 (Рисунок 11). Полученная модель была статистически значимой (р&lt;0,001) </w:t>
      </w:r>
      <w:r>
        <w:rPr>
          <w:rFonts w:ascii="Times New Roman" w:eastAsia="Times New Roman" w:hAnsi="Times New Roman" w:cs="Times New Roman"/>
          <w:sz w:val="28"/>
          <w:szCs w:val="28"/>
          <w:highlight w:val="white"/>
        </w:rPr>
        <w:t>[201, стр. 393]</w:t>
      </w:r>
      <w:r>
        <w:rPr>
          <w:rFonts w:ascii="Times New Roman" w:eastAsia="Times New Roman" w:hAnsi="Times New Roman" w:cs="Times New Roman"/>
          <w:sz w:val="28"/>
          <w:szCs w:val="28"/>
        </w:rPr>
        <w:t>.</w:t>
      </w:r>
    </w:p>
    <w:p w:rsidR="000A3797" w:rsidRDefault="00A660E7">
      <w:pPr>
        <w:numPr>
          <w:ilvl w:val="0"/>
          <w:numId w:val="14"/>
        </w:numPr>
        <w:pBdr>
          <w:top w:val="nil"/>
          <w:left w:val="nil"/>
          <w:bottom w:val="nil"/>
          <w:right w:val="nil"/>
          <w:between w:val="nil"/>
        </w:pBd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noProof/>
          <w:color w:val="000000"/>
        </w:rPr>
        <w:drawing>
          <wp:inline distT="0" distB="0" distL="0" distR="0">
            <wp:extent cx="2711076" cy="2733249"/>
            <wp:effectExtent l="0" t="0" r="0" b="0"/>
            <wp:docPr id="62" name="image52.png" descr="C:\Users\1\Desktop\для ДР\Рок кривая РКИ.PNG"/>
            <wp:cNvGraphicFramePr/>
            <a:graphic xmlns:a="http://schemas.openxmlformats.org/drawingml/2006/main">
              <a:graphicData uri="http://schemas.openxmlformats.org/drawingml/2006/picture">
                <pic:pic xmlns:pic="http://schemas.openxmlformats.org/drawingml/2006/picture">
                  <pic:nvPicPr>
                    <pic:cNvPr id="0" name="image52.png" descr="C:\Users\1\Desktop\для ДР\Рок кривая РКИ.PNG"/>
                    <pic:cNvPicPr preferRelativeResize="0"/>
                  </pic:nvPicPr>
                  <pic:blipFill>
                    <a:blip r:embed="rId23"/>
                    <a:srcRect/>
                    <a:stretch>
                      <a:fillRect/>
                    </a:stretch>
                  </pic:blipFill>
                  <pic:spPr>
                    <a:xfrm>
                      <a:off x="0" y="0"/>
                      <a:ext cx="2711076" cy="2733249"/>
                    </a:xfrm>
                    <a:prstGeom prst="rect">
                      <a:avLst/>
                    </a:prstGeom>
                    <a:ln/>
                  </pic:spPr>
                </pic:pic>
              </a:graphicData>
            </a:graphic>
          </wp:inline>
        </w:drawing>
      </w:r>
    </w:p>
    <w:p w:rsidR="000A3797" w:rsidRDefault="00A660E7">
      <w:pPr>
        <w:spacing w:after="0" w:line="240" w:lineRule="auto"/>
        <w:ind w:left="142"/>
        <w:jc w:val="center"/>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Рисунок 11 – Рок –кривая взаимосвязи силы МТД и наличия симптомов тазового пролапса </w:t>
      </w:r>
      <w:r>
        <w:rPr>
          <w:rFonts w:ascii="Times New Roman" w:eastAsia="Times New Roman" w:hAnsi="Times New Roman" w:cs="Times New Roman"/>
          <w:sz w:val="28"/>
          <w:szCs w:val="28"/>
          <w:highlight w:val="white"/>
        </w:rPr>
        <w:t>[201, стр. 393]</w:t>
      </w:r>
      <w:r>
        <w:rPr>
          <w:rFonts w:ascii="Times New Roman" w:eastAsia="Times New Roman" w:hAnsi="Times New Roman" w:cs="Times New Roman"/>
          <w:sz w:val="28"/>
          <w:szCs w:val="28"/>
        </w:rPr>
        <w:t xml:space="preserve">. </w:t>
      </w:r>
    </w:p>
    <w:p w:rsidR="000A3797" w:rsidRDefault="000A3797">
      <w:pPr>
        <w:spacing w:after="0" w:line="240" w:lineRule="auto"/>
        <w:ind w:left="142"/>
        <w:jc w:val="both"/>
        <w:rPr>
          <w:rFonts w:ascii="Times New Roman" w:eastAsia="Times New Roman" w:hAnsi="Times New Roman" w:cs="Times New Roman"/>
          <w:sz w:val="28"/>
          <w:szCs w:val="28"/>
        </w:rPr>
      </w:pPr>
    </w:p>
    <w:p w:rsidR="000A3797" w:rsidRDefault="00A660E7">
      <w:pPr>
        <w:spacing w:after="0" w:line="240" w:lineRule="auto"/>
        <w:ind w:left="142"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Пороговое значения силы мышц тазового дна в точке cut-off равно 62,5 мм рт. Ст., что соответствует 2 –ум баллам по шкале Оксфорда. При равном или принижа</w:t>
      </w:r>
      <w:r>
        <w:rPr>
          <w:rFonts w:ascii="Times New Roman" w:eastAsia="Times New Roman" w:hAnsi="Times New Roman" w:cs="Times New Roman"/>
          <w:sz w:val="28"/>
          <w:szCs w:val="28"/>
        </w:rPr>
        <w:t xml:space="preserve">ющем данное значение силы мышечных сокращений  прогнозировался риск формирования пролапса тазовых органов </w:t>
      </w:r>
      <w:r>
        <w:rPr>
          <w:rFonts w:ascii="Times New Roman" w:eastAsia="Times New Roman" w:hAnsi="Times New Roman" w:cs="Times New Roman"/>
          <w:sz w:val="28"/>
          <w:szCs w:val="28"/>
          <w:highlight w:val="white"/>
        </w:rPr>
        <w:t>[201, стр. 393]</w:t>
      </w:r>
      <w:r>
        <w:rPr>
          <w:rFonts w:ascii="Times New Roman" w:eastAsia="Times New Roman" w:hAnsi="Times New Roman" w:cs="Times New Roman"/>
          <w:sz w:val="28"/>
          <w:szCs w:val="28"/>
        </w:rPr>
        <w:t>. Чувствительность, соответствующая доле случаев пролапса органов малого таза при давлении равном или ниже 62,5 мм рт.ст., составила 87</w:t>
      </w:r>
      <w:r>
        <w:rPr>
          <w:rFonts w:ascii="Times New Roman" w:eastAsia="Times New Roman" w:hAnsi="Times New Roman" w:cs="Times New Roman"/>
          <w:sz w:val="28"/>
          <w:szCs w:val="28"/>
        </w:rPr>
        <w:t xml:space="preserve">%, специфичность, соответствующая доле случаев отсутствия пролапса органов малого таза при значениях давления выше 62,5 мм рт.ст., составила 75% </w:t>
      </w:r>
      <w:r>
        <w:rPr>
          <w:rFonts w:ascii="Times New Roman" w:eastAsia="Times New Roman" w:hAnsi="Times New Roman" w:cs="Times New Roman"/>
          <w:sz w:val="28"/>
          <w:szCs w:val="28"/>
          <w:highlight w:val="white"/>
        </w:rPr>
        <w:t>[201, стр. 393]</w:t>
      </w:r>
      <w:r>
        <w:rPr>
          <w:rFonts w:ascii="Times New Roman" w:eastAsia="Times New Roman" w:hAnsi="Times New Roman" w:cs="Times New Roman"/>
          <w:sz w:val="28"/>
          <w:szCs w:val="28"/>
        </w:rPr>
        <w:t>.</w:t>
      </w:r>
    </w:p>
    <w:p w:rsidR="000A3797" w:rsidRDefault="000A3797">
      <w:pPr>
        <w:spacing w:after="0" w:line="240" w:lineRule="auto"/>
        <w:jc w:val="both"/>
        <w:rPr>
          <w:rFonts w:ascii="Times New Roman" w:eastAsia="Times New Roman" w:hAnsi="Times New Roman" w:cs="Times New Roman"/>
          <w:sz w:val="28"/>
          <w:szCs w:val="28"/>
        </w:rPr>
      </w:pPr>
    </w:p>
    <w:p w:rsidR="000A3797" w:rsidRDefault="00A660E7">
      <w:pPr>
        <w:spacing w:after="0" w:line="240" w:lineRule="auto"/>
        <w:ind w:lef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Обсуждение результатов 3.6</w:t>
      </w:r>
    </w:p>
    <w:p w:rsidR="000A3797" w:rsidRDefault="000A3797">
      <w:pPr>
        <w:spacing w:after="0" w:line="240" w:lineRule="auto"/>
        <w:ind w:left="142"/>
        <w:jc w:val="both"/>
        <w:rPr>
          <w:rFonts w:ascii="Times New Roman" w:eastAsia="Times New Roman" w:hAnsi="Times New Roman" w:cs="Times New Roman"/>
          <w:b/>
          <w:sz w:val="28"/>
          <w:szCs w:val="28"/>
        </w:rPr>
      </w:pPr>
    </w:p>
    <w:p w:rsidR="000A3797" w:rsidRDefault="00A660E7">
      <w:pPr>
        <w:spacing w:after="0" w:line="240" w:lineRule="auto"/>
        <w:ind w:left="142"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Результаты РКИ доказали статистически значимое увеличение силы мы</w:t>
      </w:r>
      <w:r>
        <w:rPr>
          <w:rFonts w:ascii="Times New Roman" w:eastAsia="Times New Roman" w:hAnsi="Times New Roman" w:cs="Times New Roman"/>
          <w:sz w:val="28"/>
          <w:szCs w:val="28"/>
        </w:rPr>
        <w:t xml:space="preserve">шц тазового дна при сочетании хирургического лечения и тренировки по сравнению с группой только хирургического лечения </w:t>
      </w:r>
      <w:r>
        <w:rPr>
          <w:rFonts w:ascii="Times New Roman" w:eastAsia="Times New Roman" w:hAnsi="Times New Roman" w:cs="Times New Roman"/>
          <w:sz w:val="28"/>
          <w:szCs w:val="28"/>
          <w:highlight w:val="white"/>
        </w:rPr>
        <w:t>[201, стр. 393]</w:t>
      </w:r>
      <w:r>
        <w:rPr>
          <w:rFonts w:ascii="Times New Roman" w:eastAsia="Times New Roman" w:hAnsi="Times New Roman" w:cs="Times New Roman"/>
          <w:sz w:val="28"/>
          <w:szCs w:val="28"/>
        </w:rPr>
        <w:t xml:space="preserve">. Установлены статистически значимые обратные корреляции между силой мышц тазового дна и симптомами пролапса </w:t>
      </w:r>
      <w:r>
        <w:rPr>
          <w:rFonts w:ascii="Times New Roman" w:eastAsia="Times New Roman" w:hAnsi="Times New Roman" w:cs="Times New Roman"/>
          <w:sz w:val="28"/>
          <w:szCs w:val="28"/>
          <w:highlight w:val="white"/>
        </w:rPr>
        <w:t>[201, стр. 393]</w:t>
      </w:r>
      <w:r>
        <w:rPr>
          <w:rFonts w:ascii="Times New Roman" w:eastAsia="Times New Roman" w:hAnsi="Times New Roman" w:cs="Times New Roman"/>
          <w:sz w:val="28"/>
          <w:szCs w:val="28"/>
        </w:rPr>
        <w:t xml:space="preserve">. Чем сильнее была объективно установленная сила мышц тазового дна, тем меньше было ранних проявлений пролапса таза. Однако клинически эти изменения не беспокоили пациентов и не ограничивали их повседневную деятельность. </w:t>
      </w:r>
    </w:p>
    <w:p w:rsidR="000A3797" w:rsidRDefault="00A660E7">
      <w:pPr>
        <w:spacing w:after="0" w:line="240" w:lineRule="auto"/>
        <w:ind w:lef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Высокая приверженно</w:t>
      </w:r>
      <w:r>
        <w:rPr>
          <w:rFonts w:ascii="Times New Roman" w:eastAsia="Times New Roman" w:hAnsi="Times New Roman" w:cs="Times New Roman"/>
          <w:sz w:val="28"/>
          <w:szCs w:val="28"/>
        </w:rPr>
        <w:t xml:space="preserve">сть была достигнута благодаря регулярной обратной связи </w:t>
      </w:r>
    </w:p>
    <w:p w:rsidR="000A3797" w:rsidRDefault="00A660E7">
      <w:pPr>
        <w:spacing w:after="0" w:line="240" w:lineRule="auto"/>
        <w:ind w:left="142"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нормативно –правовых документах РК  нет точных рекомендаций после операции по поводу послеоперационного ведения пациентов с ГП </w:t>
      </w:r>
      <w:r>
        <w:rPr>
          <w:rFonts w:ascii="Times New Roman" w:eastAsia="Times New Roman" w:hAnsi="Times New Roman" w:cs="Times New Roman"/>
          <w:sz w:val="28"/>
          <w:szCs w:val="28"/>
          <w:highlight w:val="white"/>
        </w:rPr>
        <w:t>[201, стр. 394]</w:t>
      </w:r>
      <w:r>
        <w:rPr>
          <w:rFonts w:ascii="Times New Roman" w:eastAsia="Times New Roman" w:hAnsi="Times New Roman" w:cs="Times New Roman"/>
          <w:sz w:val="28"/>
          <w:szCs w:val="28"/>
        </w:rPr>
        <w:t>. В настоящее время нет убедительных долгосрочных иссле</w:t>
      </w:r>
      <w:r>
        <w:rPr>
          <w:rFonts w:ascii="Times New Roman" w:eastAsia="Times New Roman" w:hAnsi="Times New Roman" w:cs="Times New Roman"/>
          <w:sz w:val="28"/>
          <w:szCs w:val="28"/>
        </w:rPr>
        <w:t xml:space="preserve">дований эффективности тренировки мышц тазового дна </w:t>
      </w:r>
      <w:r>
        <w:rPr>
          <w:rFonts w:ascii="Times New Roman" w:eastAsia="Times New Roman" w:hAnsi="Times New Roman" w:cs="Times New Roman"/>
          <w:sz w:val="28"/>
          <w:szCs w:val="28"/>
          <w:highlight w:val="white"/>
        </w:rPr>
        <w:t>[201, стр. 394]</w:t>
      </w:r>
      <w:r>
        <w:rPr>
          <w:rFonts w:ascii="Times New Roman" w:eastAsia="Times New Roman" w:hAnsi="Times New Roman" w:cs="Times New Roman"/>
          <w:sz w:val="28"/>
          <w:szCs w:val="28"/>
        </w:rPr>
        <w:t>. Можно предположить, что регулярные тренировки являются профилактикой рецидива, так как в группе без тренировок начальные проявления пролапса отмечены через 8 мес после операции в нашем исс</w:t>
      </w:r>
      <w:r>
        <w:rPr>
          <w:rFonts w:ascii="Times New Roman" w:eastAsia="Times New Roman" w:hAnsi="Times New Roman" w:cs="Times New Roman"/>
          <w:sz w:val="28"/>
          <w:szCs w:val="28"/>
        </w:rPr>
        <w:t xml:space="preserve">ледовании </w:t>
      </w:r>
      <w:r>
        <w:rPr>
          <w:rFonts w:ascii="Times New Roman" w:eastAsia="Times New Roman" w:hAnsi="Times New Roman" w:cs="Times New Roman"/>
          <w:sz w:val="28"/>
          <w:szCs w:val="28"/>
          <w:highlight w:val="white"/>
        </w:rPr>
        <w:t>[201, стр. 394]</w:t>
      </w:r>
      <w:r>
        <w:rPr>
          <w:rFonts w:ascii="Times New Roman" w:eastAsia="Times New Roman" w:hAnsi="Times New Roman" w:cs="Times New Roman"/>
          <w:sz w:val="28"/>
          <w:szCs w:val="28"/>
        </w:rPr>
        <w:t xml:space="preserve">. Изменение анатомических точек на передней стенке влагалища (Аа; Ва) и расширение девственного кольца (gh) подтверждают это </w:t>
      </w:r>
      <w:r>
        <w:rPr>
          <w:rFonts w:ascii="Times New Roman" w:eastAsia="Times New Roman" w:hAnsi="Times New Roman" w:cs="Times New Roman"/>
          <w:sz w:val="28"/>
          <w:szCs w:val="28"/>
          <w:highlight w:val="white"/>
        </w:rPr>
        <w:t>[201, стр. 394]</w:t>
      </w:r>
      <w:r>
        <w:rPr>
          <w:rFonts w:ascii="Times New Roman" w:eastAsia="Times New Roman" w:hAnsi="Times New Roman" w:cs="Times New Roman"/>
          <w:sz w:val="28"/>
          <w:szCs w:val="28"/>
        </w:rPr>
        <w:t xml:space="preserve">. Однако,  возможно, не у всех пациентов с начальными признаками пролапса будет дальнейшее </w:t>
      </w:r>
      <w:r>
        <w:rPr>
          <w:rFonts w:ascii="Times New Roman" w:eastAsia="Times New Roman" w:hAnsi="Times New Roman" w:cs="Times New Roman"/>
          <w:sz w:val="28"/>
          <w:szCs w:val="28"/>
        </w:rPr>
        <w:t xml:space="preserve">прогрессирование заболевания, необходимы более длительные исследования для подтверждения </w:t>
      </w:r>
      <w:r>
        <w:rPr>
          <w:rFonts w:ascii="Times New Roman" w:eastAsia="Times New Roman" w:hAnsi="Times New Roman" w:cs="Times New Roman"/>
          <w:sz w:val="28"/>
          <w:szCs w:val="28"/>
          <w:highlight w:val="white"/>
        </w:rPr>
        <w:t>[201, стр. 394]</w:t>
      </w:r>
      <w:r>
        <w:rPr>
          <w:rFonts w:ascii="Times New Roman" w:eastAsia="Times New Roman" w:hAnsi="Times New Roman" w:cs="Times New Roman"/>
          <w:sz w:val="28"/>
          <w:szCs w:val="28"/>
        </w:rPr>
        <w:t>.</w:t>
      </w:r>
    </w:p>
    <w:p w:rsidR="000A3797" w:rsidRDefault="00A660E7">
      <w:pPr>
        <w:spacing w:after="0" w:line="240" w:lineRule="auto"/>
        <w:ind w:left="142"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Это первое исследование, в котором мы предложили использовать силу мышц тазового дна для прогнозирования рецидива пролапса таза после операции </w:t>
      </w:r>
      <w:r>
        <w:rPr>
          <w:rFonts w:ascii="Times New Roman" w:eastAsia="Times New Roman" w:hAnsi="Times New Roman" w:cs="Times New Roman"/>
          <w:sz w:val="28"/>
          <w:szCs w:val="28"/>
          <w:highlight w:val="white"/>
        </w:rPr>
        <w:t>[201, с</w:t>
      </w:r>
      <w:r>
        <w:rPr>
          <w:rFonts w:ascii="Times New Roman" w:eastAsia="Times New Roman" w:hAnsi="Times New Roman" w:cs="Times New Roman"/>
          <w:sz w:val="28"/>
          <w:szCs w:val="28"/>
          <w:highlight w:val="white"/>
        </w:rPr>
        <w:t>тр. 394]</w:t>
      </w:r>
      <w:r>
        <w:rPr>
          <w:rFonts w:ascii="Times New Roman" w:eastAsia="Times New Roman" w:hAnsi="Times New Roman" w:cs="Times New Roman"/>
          <w:sz w:val="28"/>
          <w:szCs w:val="28"/>
        </w:rPr>
        <w:t>. Мы предполагаем, что этот показатель может быть использован клиницистами для оценки риска пролапса у бессимптомных пациенток с использованием простых неинвазивных методов: как с помощью пневматического перинеометра, так и с помощью метода вагинал</w:t>
      </w:r>
      <w:r>
        <w:rPr>
          <w:rFonts w:ascii="Times New Roman" w:eastAsia="Times New Roman" w:hAnsi="Times New Roman" w:cs="Times New Roman"/>
          <w:sz w:val="28"/>
          <w:szCs w:val="28"/>
        </w:rPr>
        <w:t xml:space="preserve">ьной пальпации с оценкой по шкале Оксфорда </w:t>
      </w:r>
      <w:r>
        <w:rPr>
          <w:rFonts w:ascii="Times New Roman" w:eastAsia="Times New Roman" w:hAnsi="Times New Roman" w:cs="Times New Roman"/>
          <w:sz w:val="28"/>
          <w:szCs w:val="28"/>
          <w:highlight w:val="white"/>
        </w:rPr>
        <w:t>[201, стр. 394]</w:t>
      </w:r>
      <w:r>
        <w:rPr>
          <w:rFonts w:ascii="Times New Roman" w:eastAsia="Times New Roman" w:hAnsi="Times New Roman" w:cs="Times New Roman"/>
          <w:sz w:val="28"/>
          <w:szCs w:val="28"/>
        </w:rPr>
        <w:t xml:space="preserve">. В любом случае, выполнение упражнений как рекомендация, не требуют финансовых затрат, это простой способ профилактики пролапса и возможных осложнений в родах без риска вреда для здоровья </w:t>
      </w:r>
      <w:r>
        <w:rPr>
          <w:rFonts w:ascii="Times New Roman" w:eastAsia="Times New Roman" w:hAnsi="Times New Roman" w:cs="Times New Roman"/>
          <w:sz w:val="28"/>
          <w:szCs w:val="28"/>
          <w:highlight w:val="white"/>
        </w:rPr>
        <w:t>[201, стр</w:t>
      </w:r>
      <w:r>
        <w:rPr>
          <w:rFonts w:ascii="Times New Roman" w:eastAsia="Times New Roman" w:hAnsi="Times New Roman" w:cs="Times New Roman"/>
          <w:sz w:val="28"/>
          <w:szCs w:val="28"/>
          <w:highlight w:val="white"/>
        </w:rPr>
        <w:t>. 394]</w:t>
      </w:r>
      <w:r>
        <w:rPr>
          <w:rFonts w:ascii="Times New Roman" w:eastAsia="Times New Roman" w:hAnsi="Times New Roman" w:cs="Times New Roman"/>
          <w:sz w:val="28"/>
          <w:szCs w:val="28"/>
        </w:rPr>
        <w:t>.</w:t>
      </w:r>
    </w:p>
    <w:p w:rsidR="000A3797" w:rsidRDefault="00A660E7">
      <w:pPr>
        <w:spacing w:after="0" w:line="240" w:lineRule="auto"/>
        <w:ind w:left="142"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Мы не использовали специализированные приложения, контроль осуществлялся через доступные мессенджеры </w:t>
      </w:r>
      <w:r>
        <w:rPr>
          <w:rFonts w:ascii="Times New Roman" w:eastAsia="Times New Roman" w:hAnsi="Times New Roman" w:cs="Times New Roman"/>
          <w:sz w:val="28"/>
          <w:szCs w:val="28"/>
          <w:highlight w:val="white"/>
        </w:rPr>
        <w:t>[201, стр. 394]</w:t>
      </w:r>
      <w:r>
        <w:rPr>
          <w:rFonts w:ascii="Times New Roman" w:eastAsia="Times New Roman" w:hAnsi="Times New Roman" w:cs="Times New Roman"/>
          <w:sz w:val="28"/>
          <w:szCs w:val="28"/>
        </w:rPr>
        <w:t>. Мы считаем, что онлайн-мониторинг повысил приверженность к регулярным физическим нагрузкам, так как сила мышц тазового дна была ст</w:t>
      </w:r>
      <w:r>
        <w:rPr>
          <w:rFonts w:ascii="Times New Roman" w:eastAsia="Times New Roman" w:hAnsi="Times New Roman" w:cs="Times New Roman"/>
          <w:sz w:val="28"/>
          <w:szCs w:val="28"/>
        </w:rPr>
        <w:t xml:space="preserve">атистически значимо выше в экспериментальной группе </w:t>
      </w:r>
      <w:r>
        <w:rPr>
          <w:rFonts w:ascii="Times New Roman" w:eastAsia="Times New Roman" w:hAnsi="Times New Roman" w:cs="Times New Roman"/>
          <w:sz w:val="28"/>
          <w:szCs w:val="28"/>
          <w:highlight w:val="white"/>
        </w:rPr>
        <w:t>[201, стр. 394]</w:t>
      </w:r>
      <w:r>
        <w:rPr>
          <w:rFonts w:ascii="Times New Roman" w:eastAsia="Times New Roman" w:hAnsi="Times New Roman" w:cs="Times New Roman"/>
          <w:sz w:val="28"/>
          <w:szCs w:val="28"/>
        </w:rPr>
        <w:t xml:space="preserve">. Однако объективно оценить, насколько правильно выполнялись упражнения, было невозможно </w:t>
      </w:r>
      <w:r>
        <w:rPr>
          <w:rFonts w:ascii="Times New Roman" w:eastAsia="Times New Roman" w:hAnsi="Times New Roman" w:cs="Times New Roman"/>
          <w:sz w:val="28"/>
          <w:szCs w:val="28"/>
          <w:highlight w:val="white"/>
        </w:rPr>
        <w:t>[201, стр. 394]</w:t>
      </w:r>
      <w:r>
        <w:rPr>
          <w:rFonts w:ascii="Times New Roman" w:eastAsia="Times New Roman" w:hAnsi="Times New Roman" w:cs="Times New Roman"/>
          <w:sz w:val="28"/>
          <w:szCs w:val="28"/>
        </w:rPr>
        <w:t xml:space="preserve">. </w:t>
      </w:r>
    </w:p>
    <w:p w:rsidR="000A3797" w:rsidRDefault="000A3797">
      <w:pPr>
        <w:spacing w:after="0" w:line="240" w:lineRule="auto"/>
        <w:ind w:left="142" w:firstLine="566"/>
        <w:jc w:val="both"/>
        <w:rPr>
          <w:rFonts w:ascii="Times New Roman" w:eastAsia="Times New Roman" w:hAnsi="Times New Roman" w:cs="Times New Roman"/>
          <w:sz w:val="28"/>
          <w:szCs w:val="28"/>
        </w:rPr>
      </w:pPr>
    </w:p>
    <w:p w:rsidR="000A3797" w:rsidRDefault="00A660E7">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3.6.2 Алгоритм послеоперационного наблюдения женщин с генитальным пролапсом</w:t>
      </w:r>
    </w:p>
    <w:p w:rsidR="000A3797" w:rsidRDefault="000A3797">
      <w:pPr>
        <w:spacing w:after="0" w:line="240" w:lineRule="auto"/>
        <w:jc w:val="both"/>
        <w:rPr>
          <w:rFonts w:ascii="Times New Roman" w:eastAsia="Times New Roman" w:hAnsi="Times New Roman" w:cs="Times New Roman"/>
          <w:b/>
          <w:sz w:val="28"/>
          <w:szCs w:val="28"/>
        </w:rPr>
      </w:pPr>
    </w:p>
    <w:p w:rsidR="000A3797" w:rsidRDefault="00A660E7">
      <w:pPr>
        <w:spacing w:after="0" w:line="240" w:lineRule="auto"/>
        <w:ind w:left="142"/>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ab/>
        <w:t>На</w:t>
      </w:r>
      <w:r>
        <w:rPr>
          <w:rFonts w:ascii="Times New Roman" w:eastAsia="Times New Roman" w:hAnsi="Times New Roman" w:cs="Times New Roman"/>
          <w:sz w:val="28"/>
          <w:szCs w:val="28"/>
        </w:rPr>
        <w:t xml:space="preserve"> основании полученных результатов эффективности динамического мониторинга с воздействием на факторы риска, установленных предикторов рецидива и данных обзора литературы разработан алгоритм послеоперационного наблюдения женщин с генитальным пролапсом на уро</w:t>
      </w:r>
      <w:r>
        <w:rPr>
          <w:rFonts w:ascii="Times New Roman" w:eastAsia="Times New Roman" w:hAnsi="Times New Roman" w:cs="Times New Roman"/>
          <w:sz w:val="28"/>
          <w:szCs w:val="28"/>
        </w:rPr>
        <w:t xml:space="preserve">вне ПМСП (Рисунок 12, Приложение Ж). Данный алгоритм размещен на  сайте электронного ресурса </w:t>
      </w:r>
      <w:hyperlink r:id="rId24">
        <w:r>
          <w:rPr>
            <w:rFonts w:ascii="Times New Roman" w:eastAsia="Times New Roman" w:hAnsi="Times New Roman" w:cs="Times New Roman"/>
            <w:b/>
            <w:color w:val="000000"/>
            <w:sz w:val="28"/>
            <w:szCs w:val="28"/>
            <w:u w:val="single"/>
          </w:rPr>
          <w:t>https://www.prolaps-monitoring.com</w:t>
        </w:r>
      </w:hyperlink>
      <w:r>
        <w:rPr>
          <w:rFonts w:ascii="Times New Roman" w:eastAsia="Times New Roman" w:hAnsi="Times New Roman" w:cs="Times New Roman"/>
          <w:b/>
          <w:color w:val="000000"/>
          <w:sz w:val="28"/>
          <w:szCs w:val="28"/>
          <w:u w:val="single"/>
        </w:rPr>
        <w:t xml:space="preserve"> </w:t>
      </w:r>
      <w:r>
        <w:rPr>
          <w:rFonts w:ascii="Times New Roman" w:eastAsia="Times New Roman" w:hAnsi="Times New Roman" w:cs="Times New Roman"/>
          <w:color w:val="000000"/>
          <w:sz w:val="28"/>
          <w:szCs w:val="28"/>
        </w:rPr>
        <w:t>(Приложение Н).Согласно алгоритму пациентка после лечения в стационаре дол</w:t>
      </w:r>
      <w:r>
        <w:rPr>
          <w:rFonts w:ascii="Times New Roman" w:eastAsia="Times New Roman" w:hAnsi="Times New Roman" w:cs="Times New Roman"/>
          <w:color w:val="000000"/>
          <w:sz w:val="28"/>
          <w:szCs w:val="28"/>
        </w:rPr>
        <w:t>жна быть осмотрена гинекологом, через 2 недели, далее через 1 месяц, через 3 месяца и через 6 месяцев после операции. При отсутствии послеоперационных осложнений, требующих наблюдения хирурга, пациентка направляется для наблюдения к гинекологу по месту при</w:t>
      </w:r>
      <w:r>
        <w:rPr>
          <w:rFonts w:ascii="Times New Roman" w:eastAsia="Times New Roman" w:hAnsi="Times New Roman" w:cs="Times New Roman"/>
          <w:color w:val="000000"/>
          <w:sz w:val="28"/>
          <w:szCs w:val="28"/>
        </w:rPr>
        <w:t xml:space="preserve">крепления.  При наличии рецидива после операции, если рецидив значительным или с выраженными симптомами (2,3,4 степени и/или наличие функциональных нарушений),то необходима сразу консультация хирурга и возможность рассмотрения повторной операции, в случае </w:t>
      </w:r>
      <w:r>
        <w:rPr>
          <w:rFonts w:ascii="Times New Roman" w:eastAsia="Times New Roman" w:hAnsi="Times New Roman" w:cs="Times New Roman"/>
          <w:color w:val="000000"/>
          <w:sz w:val="28"/>
          <w:szCs w:val="28"/>
        </w:rPr>
        <w:t>незначительного рецидива (1 степени или эпизодов функциональных нарушений,  необходима консультация физиотерапевта, назначение физиопроцедур, а также тренировок для МТД, далее повторный  осмотр у гинеколога, в случае сохранения симптомов, влияющих на качес</w:t>
      </w:r>
      <w:r>
        <w:rPr>
          <w:rFonts w:ascii="Times New Roman" w:eastAsia="Times New Roman" w:hAnsi="Times New Roman" w:cs="Times New Roman"/>
          <w:color w:val="000000"/>
          <w:sz w:val="28"/>
          <w:szCs w:val="28"/>
        </w:rPr>
        <w:t>тво жизни – консультация хирурга, при отсутствии – общие рекомендации. Если не установлен рецидив, пациент следует общим рекомендациям.В случае отклонений от нормы массы тела или наличия эндокринных заболеваний – консультация и лечение у эндокринолога. Так</w:t>
      </w:r>
      <w:r>
        <w:rPr>
          <w:rFonts w:ascii="Times New Roman" w:eastAsia="Times New Roman" w:hAnsi="Times New Roman" w:cs="Times New Roman"/>
          <w:color w:val="000000"/>
          <w:sz w:val="28"/>
          <w:szCs w:val="28"/>
        </w:rPr>
        <w:t>же значимым фактором риска являются заболевания, сопровождаемые длительным кашлем: хронический бронхит, аллергические и частые простудные заболевания, при наличии которых  необходима консультация и лечение терапевта (ВОП) для постановки диагноза и направле</w:t>
      </w:r>
      <w:r>
        <w:rPr>
          <w:rFonts w:ascii="Times New Roman" w:eastAsia="Times New Roman" w:hAnsi="Times New Roman" w:cs="Times New Roman"/>
          <w:color w:val="000000"/>
          <w:sz w:val="28"/>
          <w:szCs w:val="28"/>
        </w:rPr>
        <w:t>ния  к профильным специалистам. При наличии психоэмоциональных проблем рекомендована консультация психолога или психотерапевта, ввиду того, что данное заболевания значимо влияет на качество жизни, способствует самоизоляции, приводит к проблемам взаимодейст</w:t>
      </w:r>
      <w:r>
        <w:rPr>
          <w:rFonts w:ascii="Times New Roman" w:eastAsia="Times New Roman" w:hAnsi="Times New Roman" w:cs="Times New Roman"/>
          <w:color w:val="000000"/>
          <w:sz w:val="28"/>
          <w:szCs w:val="28"/>
        </w:rPr>
        <w:t>вия с партнером и социумом. Всем пациенткам следует придерживаться нормам употребления белковой пищи и углеводов, нутриентов,способсвующих выработки коллагена, поддерживать нормальный уровень витамина Д3 и выполнять упражнения для мышц тазового дна, а такж</w:t>
      </w:r>
      <w:r>
        <w:rPr>
          <w:rFonts w:ascii="Times New Roman" w:eastAsia="Times New Roman" w:hAnsi="Times New Roman" w:cs="Times New Roman"/>
          <w:color w:val="000000"/>
          <w:sz w:val="28"/>
          <w:szCs w:val="28"/>
        </w:rPr>
        <w:t>е ограничению поднятия тяжести. Все полученные результаты и рекомендации также вошли в контент руководства для женщин с генитальным пролапсом с целью повышения осведомленности населения о генитальном пролапсе (Приложение Е).Ввиду того, что на рецидив тазов</w:t>
      </w:r>
      <w:r>
        <w:rPr>
          <w:rFonts w:ascii="Times New Roman" w:eastAsia="Times New Roman" w:hAnsi="Times New Roman" w:cs="Times New Roman"/>
          <w:color w:val="000000"/>
          <w:sz w:val="28"/>
          <w:szCs w:val="28"/>
        </w:rPr>
        <w:t>ого пролапса влияет не только выбранная хирургическая тактика лечения, но и образ жизни, а также некоторые сопутствующие заболевания, для повышения эффективности послеоперационного наблюдения важно ориентировать пациента на приверженность к правильному обр</w:t>
      </w:r>
      <w:r>
        <w:rPr>
          <w:rFonts w:ascii="Times New Roman" w:eastAsia="Times New Roman" w:hAnsi="Times New Roman" w:cs="Times New Roman"/>
          <w:color w:val="000000"/>
          <w:sz w:val="28"/>
          <w:szCs w:val="28"/>
        </w:rPr>
        <w:t>азу жизни, а также обеспечить своевременной межсекторальное взаимодействие для предотвращения влияния известных факторов риска.  Данный алгоритм разработан с целью улучшения преемственности третьего этапа реабилитации между стационарной службой и ПМСП и ме</w:t>
      </w:r>
      <w:r>
        <w:rPr>
          <w:rFonts w:ascii="Times New Roman" w:eastAsia="Times New Roman" w:hAnsi="Times New Roman" w:cs="Times New Roman"/>
          <w:color w:val="000000"/>
          <w:sz w:val="28"/>
          <w:szCs w:val="28"/>
        </w:rPr>
        <w:t xml:space="preserve">жсекторального взаимодействия для улучшения оказания гинекологической реабилитационной помощи пациентам с ГП после операции. </w:t>
      </w:r>
    </w:p>
    <w:p w:rsidR="000A3797" w:rsidRDefault="00A660E7">
      <w:pPr>
        <w:spacing w:after="0" w:line="240" w:lineRule="auto"/>
        <w:ind w:left="142"/>
        <w:jc w:val="both"/>
        <w:rPr>
          <w:rFonts w:ascii="Times New Roman" w:eastAsia="Times New Roman" w:hAnsi="Times New Roman" w:cs="Times New Roman"/>
          <w:b/>
          <w:sz w:val="28"/>
          <w:szCs w:val="28"/>
        </w:rPr>
      </w:pPr>
      <w:r>
        <w:rPr>
          <w:rFonts w:ascii="Times New Roman" w:eastAsia="Times New Roman" w:hAnsi="Times New Roman" w:cs="Times New Roman"/>
          <w:noProof/>
          <w:color w:val="000000"/>
          <w:sz w:val="28"/>
          <w:szCs w:val="28"/>
        </w:rPr>
        <w:drawing>
          <wp:inline distT="0" distB="0" distL="0" distR="0">
            <wp:extent cx="6120130" cy="8654415"/>
            <wp:effectExtent l="0" t="0" r="0" b="0"/>
            <wp:docPr id="63" name="image53.png" descr="C:\Users\1\Desktop\для ДР\m_merged.png"/>
            <wp:cNvGraphicFramePr/>
            <a:graphic xmlns:a="http://schemas.openxmlformats.org/drawingml/2006/main">
              <a:graphicData uri="http://schemas.openxmlformats.org/drawingml/2006/picture">
                <pic:pic xmlns:pic="http://schemas.openxmlformats.org/drawingml/2006/picture">
                  <pic:nvPicPr>
                    <pic:cNvPr id="0" name="image53.png" descr="C:\Users\1\Desktop\для ДР\m_merged.png"/>
                    <pic:cNvPicPr preferRelativeResize="0"/>
                  </pic:nvPicPr>
                  <pic:blipFill>
                    <a:blip r:embed="rId25"/>
                    <a:srcRect/>
                    <a:stretch>
                      <a:fillRect/>
                    </a:stretch>
                  </pic:blipFill>
                  <pic:spPr>
                    <a:xfrm>
                      <a:off x="0" y="0"/>
                      <a:ext cx="6120130" cy="8654415"/>
                    </a:xfrm>
                    <a:prstGeom prst="rect">
                      <a:avLst/>
                    </a:prstGeom>
                    <a:ln/>
                  </pic:spPr>
                </pic:pic>
              </a:graphicData>
            </a:graphic>
          </wp:inline>
        </w:drawing>
      </w:r>
    </w:p>
    <w:p w:rsidR="000A3797" w:rsidRDefault="00A660E7">
      <w:pPr>
        <w:spacing w:after="0" w:line="240" w:lineRule="auto"/>
        <w:ind w:left="142"/>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Рисунок 12 - </w:t>
      </w:r>
      <w:r>
        <w:rPr>
          <w:rFonts w:ascii="Times New Roman" w:eastAsia="Times New Roman" w:hAnsi="Times New Roman" w:cs="Times New Roman"/>
          <w:sz w:val="28"/>
          <w:szCs w:val="28"/>
        </w:rPr>
        <w:t>Алгоритм послеоперационного наблюдения женщин с генитальным пролапсом (межсекторальный подход).</w:t>
      </w:r>
    </w:p>
    <w:p w:rsidR="000A3797" w:rsidRDefault="00A660E7">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3.7 Уровень грамотности пациентов о генитальном пролапсе  до и после ознакомления с электронным ресурсом для эффективного мониторинга и ведения пациентов после операции: Prolaps-monitoring</w:t>
      </w:r>
    </w:p>
    <w:p w:rsidR="000A3797" w:rsidRDefault="000A3797">
      <w:pPr>
        <w:pBdr>
          <w:top w:val="nil"/>
          <w:left w:val="nil"/>
          <w:bottom w:val="nil"/>
          <w:right w:val="nil"/>
          <w:between w:val="nil"/>
        </w:pBdr>
        <w:spacing w:after="0" w:line="240" w:lineRule="auto"/>
        <w:ind w:left="502"/>
        <w:jc w:val="both"/>
        <w:rPr>
          <w:rFonts w:ascii="Times New Roman" w:eastAsia="Times New Roman" w:hAnsi="Times New Roman" w:cs="Times New Roman"/>
          <w:b/>
          <w:smallCaps/>
          <w:color w:val="000000"/>
          <w:sz w:val="28"/>
          <w:szCs w:val="28"/>
        </w:rPr>
      </w:pP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Интерактивный электронный ресурс разработан государственном и русс</w:t>
      </w:r>
      <w:r>
        <w:rPr>
          <w:rFonts w:ascii="Times New Roman" w:eastAsia="Times New Roman" w:hAnsi="Times New Roman" w:cs="Times New Roman"/>
          <w:sz w:val="28"/>
          <w:szCs w:val="28"/>
        </w:rPr>
        <w:t>ком языках имеет компьютерную и мобильную версии. Состоит из трех вкладок. На первой «Инструменты эффективного мониторинга» размещены два опросника P-QOL [197] (Авторское свидетельство № 23609 от 15.02.22) и МВПИ (Авторское свидетельство № 23610 от 15.02.2</w:t>
      </w:r>
      <w:r>
        <w:rPr>
          <w:rFonts w:ascii="Times New Roman" w:eastAsia="Times New Roman" w:hAnsi="Times New Roman" w:cs="Times New Roman"/>
          <w:sz w:val="28"/>
          <w:szCs w:val="28"/>
        </w:rPr>
        <w:t>2г) [194], валидность и надежность которых доказана в результатах ко второй задаче. Автоматический расчет значений доменов опросника P-QOL и формирование краткого вывода для опросника МВПИ  значительно упрощает использование опросников в практическом здрав</w:t>
      </w:r>
      <w:r>
        <w:rPr>
          <w:rFonts w:ascii="Times New Roman" w:eastAsia="Times New Roman" w:hAnsi="Times New Roman" w:cs="Times New Roman"/>
          <w:sz w:val="28"/>
          <w:szCs w:val="28"/>
        </w:rPr>
        <w:t>оохранении и ускоряет интерпретацию данных. На второй вкладке размещено Руководство по генитальному пролапсу для женщин: авторское свидетельство № 31497 от 30.12.22г [209], где отображена вся информация, полученная в ходе исследования о профилактике как пе</w:t>
      </w:r>
      <w:r>
        <w:rPr>
          <w:rFonts w:ascii="Times New Roman" w:eastAsia="Times New Roman" w:hAnsi="Times New Roman" w:cs="Times New Roman"/>
          <w:sz w:val="28"/>
          <w:szCs w:val="28"/>
        </w:rPr>
        <w:t xml:space="preserve">рвичного пролапса, так и рецидива, схематично представлена информация о пролапсе и факторах риска, иллюстрации являются авторскими разработками. Контент Руководства составили результаты главы литературного обзора, собственных исследований о факторах риска </w:t>
      </w:r>
      <w:r>
        <w:rPr>
          <w:rFonts w:ascii="Times New Roman" w:eastAsia="Times New Roman" w:hAnsi="Times New Roman" w:cs="Times New Roman"/>
          <w:sz w:val="28"/>
          <w:szCs w:val="28"/>
        </w:rPr>
        <w:t>и описана важность выполнения упражнений и представлены известные схемы, включая модифицированную нами схему по Борелло-Франс для мышц тазового дна. В третьей вкладке «Медицинским работникам» размещен Алгоритм послеоперационного наблюдения женщин с генитал</w:t>
      </w:r>
      <w:r>
        <w:rPr>
          <w:rFonts w:ascii="Times New Roman" w:eastAsia="Times New Roman" w:hAnsi="Times New Roman" w:cs="Times New Roman"/>
          <w:sz w:val="28"/>
          <w:szCs w:val="28"/>
        </w:rPr>
        <w:t xml:space="preserve">ьным пролапсом на уровне ПМСП: Авторское свидетельство № 28674 от 08.09.22г [211]. </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Возраст респондентов варьировал от 30 до 80 лет (М: 59,37 ДИ:56,54-59,16). Большее количество пациентов приходилось на возраст в диапазоне от 51 – 60 (82 пациентки -33,5%),</w:t>
      </w:r>
      <w:r>
        <w:rPr>
          <w:rFonts w:ascii="Times New Roman" w:eastAsia="Times New Roman" w:hAnsi="Times New Roman" w:cs="Times New Roman"/>
          <w:sz w:val="28"/>
          <w:szCs w:val="28"/>
        </w:rPr>
        <w:t xml:space="preserve"> далее 61-70 (77 пациенток -31,4%), 41-50 (46 пациенток -18,8%), 71-80 (26 пациенток – 10,6%), и в возрастном диапазоне от 30 до 40 (14 пациенток – 5,7%) (Таблица 32) </w:t>
      </w:r>
      <w:r>
        <w:rPr>
          <w:rFonts w:ascii="Times New Roman" w:eastAsia="Times New Roman" w:hAnsi="Times New Roman" w:cs="Times New Roman"/>
          <w:sz w:val="28"/>
          <w:szCs w:val="28"/>
          <w:highlight w:val="white"/>
        </w:rPr>
        <w:t>[210, стр. 187]</w:t>
      </w:r>
      <w:r>
        <w:rPr>
          <w:rFonts w:ascii="Times New Roman" w:eastAsia="Times New Roman" w:hAnsi="Times New Roman" w:cs="Times New Roman"/>
          <w:sz w:val="28"/>
          <w:szCs w:val="28"/>
        </w:rPr>
        <w:t>.</w:t>
      </w:r>
    </w:p>
    <w:p w:rsidR="000A3797" w:rsidRDefault="000A3797">
      <w:pPr>
        <w:spacing w:after="0" w:line="240" w:lineRule="auto"/>
        <w:jc w:val="both"/>
        <w:rPr>
          <w:rFonts w:ascii="Times New Roman" w:eastAsia="Times New Roman" w:hAnsi="Times New Roman" w:cs="Times New Roman"/>
          <w:sz w:val="28"/>
          <w:szCs w:val="28"/>
        </w:rPr>
      </w:pP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32 – Возраст респондентов</w:t>
      </w:r>
    </w:p>
    <w:p w:rsidR="000A3797" w:rsidRDefault="000A3797">
      <w:pPr>
        <w:spacing w:after="0" w:line="240" w:lineRule="auto"/>
        <w:jc w:val="both"/>
        <w:rPr>
          <w:rFonts w:ascii="Times New Roman" w:eastAsia="Times New Roman" w:hAnsi="Times New Roman" w:cs="Times New Roman"/>
          <w:sz w:val="28"/>
          <w:szCs w:val="28"/>
        </w:rPr>
      </w:pPr>
    </w:p>
    <w:tbl>
      <w:tblPr>
        <w:tblStyle w:val="afff3"/>
        <w:tblW w:w="594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8"/>
        <w:gridCol w:w="1559"/>
        <w:gridCol w:w="1843"/>
        <w:gridCol w:w="1559"/>
      </w:tblGrid>
      <w:tr w:rsidR="000A3797">
        <w:tc>
          <w:tcPr>
            <w:tcW w:w="988"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p>
        </w:tc>
        <w:tc>
          <w:tcPr>
            <w:tcW w:w="1559"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возраст</w:t>
            </w:r>
          </w:p>
        </w:tc>
        <w:tc>
          <w:tcPr>
            <w:tcW w:w="1843"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количество</w:t>
            </w:r>
          </w:p>
        </w:tc>
        <w:tc>
          <w:tcPr>
            <w:tcW w:w="1559"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p>
        </w:tc>
      </w:tr>
      <w:tr w:rsidR="000A3797">
        <w:tc>
          <w:tcPr>
            <w:tcW w:w="988"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559"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30-40</w:t>
            </w:r>
          </w:p>
        </w:tc>
        <w:tc>
          <w:tcPr>
            <w:tcW w:w="1843"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1559"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5,7%</w:t>
            </w:r>
          </w:p>
        </w:tc>
      </w:tr>
      <w:tr w:rsidR="000A3797">
        <w:tc>
          <w:tcPr>
            <w:tcW w:w="988"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559"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41-50</w:t>
            </w:r>
          </w:p>
        </w:tc>
        <w:tc>
          <w:tcPr>
            <w:tcW w:w="1843"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46</w:t>
            </w:r>
          </w:p>
        </w:tc>
        <w:tc>
          <w:tcPr>
            <w:tcW w:w="1559"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18,8%</w:t>
            </w:r>
          </w:p>
        </w:tc>
      </w:tr>
      <w:tr w:rsidR="000A3797">
        <w:tc>
          <w:tcPr>
            <w:tcW w:w="988"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559"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51-60</w:t>
            </w:r>
          </w:p>
        </w:tc>
        <w:tc>
          <w:tcPr>
            <w:tcW w:w="1843"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82</w:t>
            </w:r>
          </w:p>
        </w:tc>
        <w:tc>
          <w:tcPr>
            <w:tcW w:w="1559"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33,5%</w:t>
            </w:r>
          </w:p>
        </w:tc>
      </w:tr>
      <w:tr w:rsidR="000A3797">
        <w:tc>
          <w:tcPr>
            <w:tcW w:w="988"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559"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61-70</w:t>
            </w:r>
          </w:p>
        </w:tc>
        <w:tc>
          <w:tcPr>
            <w:tcW w:w="1843"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77</w:t>
            </w:r>
          </w:p>
        </w:tc>
        <w:tc>
          <w:tcPr>
            <w:tcW w:w="1559"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31,4%</w:t>
            </w:r>
          </w:p>
        </w:tc>
      </w:tr>
    </w:tbl>
    <w:p w:rsidR="000A3797" w:rsidRDefault="000A3797">
      <w:pPr>
        <w:spacing w:after="0" w:line="240" w:lineRule="auto"/>
        <w:jc w:val="both"/>
        <w:rPr>
          <w:rFonts w:ascii="Times New Roman" w:eastAsia="Times New Roman" w:hAnsi="Times New Roman" w:cs="Times New Roman"/>
          <w:sz w:val="24"/>
          <w:szCs w:val="24"/>
        </w:rPr>
      </w:pPr>
    </w:p>
    <w:p w:rsidR="000A3797" w:rsidRDefault="00A660E7">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первичном опросе большая часть пациенток (115 человек – 46,9%), что не искали информацию о генитальном пролапсе самостоятельно, 96 человек (39,2%) спрашивали у знакомых или читали форумы в интернете. 34 пациентки спрашивали у медицинских работников (13</w:t>
      </w:r>
      <w:r>
        <w:rPr>
          <w:rFonts w:ascii="Times New Roman" w:eastAsia="Times New Roman" w:hAnsi="Times New Roman" w:cs="Times New Roman"/>
          <w:sz w:val="28"/>
          <w:szCs w:val="28"/>
        </w:rPr>
        <w:t xml:space="preserve">,9%). Научными источниками не интересовался никто (рисунок 13) </w:t>
      </w:r>
      <w:r>
        <w:rPr>
          <w:rFonts w:ascii="Times New Roman" w:eastAsia="Times New Roman" w:hAnsi="Times New Roman" w:cs="Times New Roman"/>
          <w:sz w:val="28"/>
          <w:szCs w:val="28"/>
          <w:highlight w:val="white"/>
        </w:rPr>
        <w:t>[210, стр. 187]</w:t>
      </w:r>
      <w:r>
        <w:rPr>
          <w:rFonts w:ascii="Times New Roman" w:eastAsia="Times New Roman" w:hAnsi="Times New Roman" w:cs="Times New Roman"/>
          <w:sz w:val="28"/>
          <w:szCs w:val="28"/>
        </w:rPr>
        <w:t>.</w:t>
      </w:r>
    </w:p>
    <w:p w:rsidR="000A3797" w:rsidRDefault="000A3797">
      <w:pPr>
        <w:spacing w:after="0" w:line="240" w:lineRule="auto"/>
        <w:ind w:firstLine="709"/>
        <w:jc w:val="both"/>
        <w:rPr>
          <w:rFonts w:ascii="Times New Roman" w:eastAsia="Times New Roman" w:hAnsi="Times New Roman" w:cs="Times New Roman"/>
          <w:sz w:val="28"/>
          <w:szCs w:val="28"/>
        </w:rPr>
      </w:pPr>
    </w:p>
    <w:p w:rsidR="000A3797" w:rsidRDefault="00A660E7">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524500" cy="2353586"/>
            <wp:effectExtent l="0" t="0" r="0" b="889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0A3797" w:rsidRDefault="000A3797">
      <w:pPr>
        <w:spacing w:after="0" w:line="240" w:lineRule="auto"/>
        <w:ind w:firstLine="709"/>
        <w:jc w:val="both"/>
        <w:rPr>
          <w:rFonts w:ascii="Times New Roman" w:eastAsia="Times New Roman" w:hAnsi="Times New Roman" w:cs="Times New Roman"/>
          <w:sz w:val="28"/>
          <w:szCs w:val="28"/>
        </w:rPr>
      </w:pPr>
    </w:p>
    <w:p w:rsidR="000A3797" w:rsidRDefault="00A660E7">
      <w:pPr>
        <w:spacing w:after="0" w:line="24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8"/>
          <w:szCs w:val="28"/>
        </w:rPr>
        <w:t>Рисунок 13- Получение информации о генитальном пролапсе</w:t>
      </w:r>
    </w:p>
    <w:p w:rsidR="000A3797" w:rsidRDefault="000A3797">
      <w:pPr>
        <w:spacing w:after="0" w:line="240" w:lineRule="auto"/>
        <w:ind w:left="720"/>
        <w:jc w:val="both"/>
        <w:rPr>
          <w:rFonts w:ascii="Times New Roman" w:eastAsia="Times New Roman" w:hAnsi="Times New Roman" w:cs="Times New Roman"/>
          <w:sz w:val="28"/>
          <w:szCs w:val="28"/>
        </w:rPr>
      </w:pPr>
    </w:p>
    <w:p w:rsidR="000A3797" w:rsidRDefault="00A660E7">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вопрос: «Насколько вам объяснили  проблему опущения и методы профилактики при п</w:t>
      </w:r>
      <w:r>
        <w:rPr>
          <w:rFonts w:ascii="Times New Roman" w:eastAsia="Times New Roman" w:hAnsi="Times New Roman" w:cs="Times New Roman"/>
          <w:sz w:val="28"/>
          <w:szCs w:val="28"/>
        </w:rPr>
        <w:t>осещении врача в поликлинике», большинство женщин (149 человек – 60,8%) ответило, что осталось много непонятного; 59 человек (24,1%)ответили, что объяснили большую часть, мало осталось непонятного; 29 пациентов отметили, что не объяснили ничего (11,8%) и т</w:t>
      </w:r>
      <w:r>
        <w:rPr>
          <w:rFonts w:ascii="Times New Roman" w:eastAsia="Times New Roman" w:hAnsi="Times New Roman" w:cs="Times New Roman"/>
          <w:sz w:val="28"/>
          <w:szCs w:val="28"/>
        </w:rPr>
        <w:t xml:space="preserve">олько 8 человек (3,3%) получили ответы на все вопросы (Рисунок 14) </w:t>
      </w:r>
      <w:r>
        <w:rPr>
          <w:rFonts w:ascii="Times New Roman" w:eastAsia="Times New Roman" w:hAnsi="Times New Roman" w:cs="Times New Roman"/>
          <w:sz w:val="28"/>
          <w:szCs w:val="28"/>
          <w:highlight w:val="white"/>
        </w:rPr>
        <w:t>[210, стр. 187]</w:t>
      </w:r>
      <w:r>
        <w:rPr>
          <w:rFonts w:ascii="Times New Roman" w:eastAsia="Times New Roman" w:hAnsi="Times New Roman" w:cs="Times New Roman"/>
          <w:sz w:val="28"/>
          <w:szCs w:val="28"/>
        </w:rPr>
        <w:t xml:space="preserve">. </w:t>
      </w:r>
    </w:p>
    <w:p w:rsidR="000A3797" w:rsidRDefault="000A3797">
      <w:pPr>
        <w:spacing w:after="0" w:line="240" w:lineRule="auto"/>
        <w:ind w:firstLine="709"/>
        <w:jc w:val="both"/>
        <w:rPr>
          <w:rFonts w:ascii="Times New Roman" w:eastAsia="Times New Roman" w:hAnsi="Times New Roman" w:cs="Times New Roman"/>
          <w:sz w:val="28"/>
          <w:szCs w:val="28"/>
        </w:rPr>
      </w:pPr>
    </w:p>
    <w:p w:rsidR="000A3797" w:rsidRDefault="00A660E7">
      <w:pPr>
        <w:spacing w:after="0" w:line="24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noProof/>
          <w:sz w:val="28"/>
          <w:szCs w:val="28"/>
        </w:rPr>
        <w:drawing>
          <wp:inline distT="0" distB="0" distL="0" distR="0">
            <wp:extent cx="5287617" cy="3220278"/>
            <wp:effectExtent l="0" t="0" r="8890" b="18415"/>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8"/>
          <w:szCs w:val="28"/>
        </w:rPr>
        <w:t>Рисунок 14- Информированность после посещения организаций ПМСП.</w:t>
      </w:r>
    </w:p>
    <w:p w:rsidR="000A3797" w:rsidRDefault="000A3797">
      <w:pPr>
        <w:spacing w:after="0" w:line="240" w:lineRule="auto"/>
        <w:ind w:firstLine="708"/>
        <w:jc w:val="both"/>
        <w:rPr>
          <w:rFonts w:ascii="Times New Roman" w:eastAsia="Times New Roman" w:hAnsi="Times New Roman" w:cs="Times New Roman"/>
          <w:sz w:val="28"/>
          <w:szCs w:val="28"/>
        </w:rPr>
      </w:pP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большем количестве случаев у пациенток было среднее профессиональное образование 176 </w:t>
      </w:r>
      <w:r>
        <w:rPr>
          <w:rFonts w:ascii="Times New Roman" w:eastAsia="Times New Roman" w:hAnsi="Times New Roman" w:cs="Times New Roman"/>
          <w:sz w:val="28"/>
          <w:szCs w:val="28"/>
        </w:rPr>
        <w:t xml:space="preserve">(75,1%), у 35 пациенток среднее (14,2%) и у 33 (13,4%) – высшее (Рисунок 15) </w:t>
      </w:r>
      <w:r>
        <w:rPr>
          <w:rFonts w:ascii="Times New Roman" w:eastAsia="Times New Roman" w:hAnsi="Times New Roman" w:cs="Times New Roman"/>
          <w:sz w:val="28"/>
          <w:szCs w:val="28"/>
          <w:highlight w:val="white"/>
        </w:rPr>
        <w:t>[210, стр. 188]</w:t>
      </w:r>
      <w:r>
        <w:rPr>
          <w:rFonts w:ascii="Times New Roman" w:eastAsia="Times New Roman" w:hAnsi="Times New Roman" w:cs="Times New Roman"/>
          <w:sz w:val="28"/>
          <w:szCs w:val="28"/>
        </w:rPr>
        <w:t xml:space="preserve">. </w:t>
      </w:r>
    </w:p>
    <w:p w:rsidR="000A3797" w:rsidRDefault="000A3797">
      <w:pPr>
        <w:spacing w:after="0" w:line="240" w:lineRule="auto"/>
        <w:ind w:firstLine="708"/>
        <w:jc w:val="both"/>
        <w:rPr>
          <w:rFonts w:ascii="Times New Roman" w:eastAsia="Times New Roman" w:hAnsi="Times New Roman" w:cs="Times New Roman"/>
          <w:sz w:val="28"/>
          <w:szCs w:val="28"/>
        </w:rPr>
      </w:pP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4770783" cy="2536190"/>
            <wp:effectExtent l="0" t="0" r="10795" b="1651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0A3797" w:rsidRDefault="000A3797">
      <w:pPr>
        <w:spacing w:after="0" w:line="240" w:lineRule="auto"/>
        <w:ind w:firstLine="709"/>
        <w:jc w:val="both"/>
        <w:rPr>
          <w:rFonts w:ascii="Times New Roman" w:eastAsia="Times New Roman" w:hAnsi="Times New Roman" w:cs="Times New Roman"/>
          <w:sz w:val="28"/>
          <w:szCs w:val="28"/>
        </w:rPr>
      </w:pPr>
    </w:p>
    <w:p w:rsidR="000A3797" w:rsidRDefault="00A660E7">
      <w:pPr>
        <w:spacing w:after="0" w:line="240" w:lineRule="auto"/>
        <w:ind w:firstLine="709"/>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15 - Сведенья об образовании</w:t>
      </w:r>
    </w:p>
    <w:p w:rsidR="000A3797" w:rsidRDefault="000A3797">
      <w:pPr>
        <w:spacing w:after="0" w:line="240" w:lineRule="auto"/>
        <w:ind w:firstLine="709"/>
        <w:jc w:val="both"/>
        <w:rPr>
          <w:rFonts w:ascii="Times New Roman" w:eastAsia="Times New Roman" w:hAnsi="Times New Roman" w:cs="Times New Roman"/>
          <w:sz w:val="28"/>
          <w:szCs w:val="28"/>
        </w:rPr>
      </w:pPr>
    </w:p>
    <w:p w:rsidR="000A3797" w:rsidRDefault="00A660E7">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Оценка уровня знаний до и после ознакомления с материалами электронного ресурса показала, разница медианы и ИКР баллов общих оценок до 8,0 (4) и после 26,(3) была статистически значимой ( р&lt;0,001). Медиана и ИКР баллов уровня знаний о пролапсе составили до</w:t>
      </w:r>
      <w:r>
        <w:rPr>
          <w:rFonts w:ascii="Times New Roman" w:eastAsia="Times New Roman" w:hAnsi="Times New Roman" w:cs="Times New Roman"/>
          <w:sz w:val="28"/>
          <w:szCs w:val="28"/>
        </w:rPr>
        <w:t xml:space="preserve"> – 3(1), после 9(1), знания о факторах риска до – 4 (3), после 10 (1), знания о профилактики рецидивов до 1(1), после 7(1)</w:t>
      </w:r>
      <w:r>
        <w:rPr>
          <w:rFonts w:ascii="Times New Roman" w:eastAsia="Times New Roman" w:hAnsi="Times New Roman" w:cs="Times New Roman"/>
          <w:sz w:val="24"/>
          <w:szCs w:val="24"/>
        </w:rPr>
        <w:t xml:space="preserve"> </w:t>
      </w:r>
      <w:r>
        <w:rPr>
          <w:rFonts w:ascii="Times New Roman" w:eastAsia="Times New Roman" w:hAnsi="Times New Roman" w:cs="Times New Roman"/>
          <w:sz w:val="28"/>
          <w:szCs w:val="28"/>
        </w:rPr>
        <w:t xml:space="preserve">( р&lt;0,001) (Таблица 33) </w:t>
      </w:r>
      <w:r>
        <w:rPr>
          <w:rFonts w:ascii="Times New Roman" w:eastAsia="Times New Roman" w:hAnsi="Times New Roman" w:cs="Times New Roman"/>
          <w:sz w:val="28"/>
          <w:szCs w:val="28"/>
          <w:highlight w:val="white"/>
        </w:rPr>
        <w:t>[210, стр. 188]</w:t>
      </w:r>
      <w:r>
        <w:rPr>
          <w:rFonts w:ascii="Times New Roman" w:eastAsia="Times New Roman" w:hAnsi="Times New Roman" w:cs="Times New Roman"/>
          <w:sz w:val="28"/>
          <w:szCs w:val="28"/>
        </w:rPr>
        <w:t>.</w:t>
      </w:r>
    </w:p>
    <w:p w:rsidR="000A3797" w:rsidRDefault="000A3797">
      <w:pPr>
        <w:spacing w:after="0" w:line="240" w:lineRule="auto"/>
        <w:ind w:firstLine="709"/>
        <w:jc w:val="both"/>
        <w:rPr>
          <w:rFonts w:ascii="Times New Roman" w:eastAsia="Times New Roman" w:hAnsi="Times New Roman" w:cs="Times New Roman"/>
          <w:sz w:val="28"/>
          <w:szCs w:val="28"/>
        </w:rPr>
      </w:pP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Таблица 33– Уровень грамотности пациентов в динамике до и после ознакомления с электронным </w:t>
      </w:r>
      <w:r>
        <w:rPr>
          <w:rFonts w:ascii="Times New Roman" w:eastAsia="Times New Roman" w:hAnsi="Times New Roman" w:cs="Times New Roman"/>
          <w:sz w:val="28"/>
          <w:szCs w:val="28"/>
        </w:rPr>
        <w:t>ресурсом</w:t>
      </w:r>
    </w:p>
    <w:p w:rsidR="000A3797" w:rsidRDefault="000A3797">
      <w:pPr>
        <w:spacing w:after="0" w:line="240" w:lineRule="auto"/>
        <w:jc w:val="both"/>
        <w:rPr>
          <w:rFonts w:ascii="Times New Roman" w:eastAsia="Times New Roman" w:hAnsi="Times New Roman" w:cs="Times New Roman"/>
          <w:sz w:val="28"/>
          <w:szCs w:val="28"/>
        </w:rPr>
      </w:pPr>
    </w:p>
    <w:tbl>
      <w:tblPr>
        <w:tblStyle w:val="afff4"/>
        <w:tblW w:w="6646" w:type="dxa"/>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7"/>
        <w:gridCol w:w="1837"/>
        <w:gridCol w:w="856"/>
        <w:gridCol w:w="851"/>
        <w:gridCol w:w="1265"/>
      </w:tblGrid>
      <w:tr w:rsidR="000A3797">
        <w:tc>
          <w:tcPr>
            <w:tcW w:w="183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Область знаний</w:t>
            </w:r>
          </w:p>
        </w:tc>
        <w:tc>
          <w:tcPr>
            <w:tcW w:w="183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Период</w:t>
            </w:r>
          </w:p>
        </w:tc>
        <w:tc>
          <w:tcPr>
            <w:tcW w:w="856" w:type="dxa"/>
          </w:tcPr>
          <w:p w:rsidR="000A3797" w:rsidRDefault="00A660E7">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Ме</w:t>
            </w:r>
          </w:p>
        </w:tc>
        <w:tc>
          <w:tcPr>
            <w:tcW w:w="851" w:type="dxa"/>
          </w:tcPr>
          <w:p w:rsidR="000A3797" w:rsidRDefault="00A660E7">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Q1-Q3</w:t>
            </w:r>
          </w:p>
        </w:tc>
        <w:tc>
          <w:tcPr>
            <w:tcW w:w="1265" w:type="dxa"/>
          </w:tcPr>
          <w:p w:rsidR="000A3797" w:rsidRDefault="00A660E7">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 -value</w:t>
            </w:r>
          </w:p>
        </w:tc>
      </w:tr>
      <w:tr w:rsidR="000A3797">
        <w:tc>
          <w:tcPr>
            <w:tcW w:w="1837"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Общая оценка знаний</w:t>
            </w:r>
          </w:p>
        </w:tc>
        <w:tc>
          <w:tcPr>
            <w:tcW w:w="183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До</w:t>
            </w:r>
          </w:p>
        </w:tc>
        <w:tc>
          <w:tcPr>
            <w:tcW w:w="856" w:type="dxa"/>
          </w:tcPr>
          <w:p w:rsidR="000A3797" w:rsidRDefault="00A660E7">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8,0</w:t>
            </w:r>
          </w:p>
        </w:tc>
        <w:tc>
          <w:tcPr>
            <w:tcW w:w="851" w:type="dxa"/>
          </w:tcPr>
          <w:p w:rsidR="000A3797" w:rsidRDefault="00A660E7">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265" w:type="dxa"/>
            <w:vMerge w:val="restart"/>
          </w:tcPr>
          <w:p w:rsidR="000A3797" w:rsidRDefault="00A660E7">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r>
      <w:tr w:rsidR="000A3797">
        <w:tc>
          <w:tcPr>
            <w:tcW w:w="1837"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83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После</w:t>
            </w:r>
          </w:p>
        </w:tc>
        <w:tc>
          <w:tcPr>
            <w:tcW w:w="856" w:type="dxa"/>
          </w:tcPr>
          <w:p w:rsidR="000A3797" w:rsidRDefault="00A660E7">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26,00</w:t>
            </w:r>
          </w:p>
        </w:tc>
        <w:tc>
          <w:tcPr>
            <w:tcW w:w="851" w:type="dxa"/>
          </w:tcPr>
          <w:p w:rsidR="000A3797" w:rsidRDefault="00A660E7">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265"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837"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Знания о пролапсе</w:t>
            </w:r>
          </w:p>
        </w:tc>
        <w:tc>
          <w:tcPr>
            <w:tcW w:w="183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До</w:t>
            </w:r>
          </w:p>
        </w:tc>
        <w:tc>
          <w:tcPr>
            <w:tcW w:w="856" w:type="dxa"/>
          </w:tcPr>
          <w:p w:rsidR="000A3797" w:rsidRDefault="00A660E7">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851" w:type="dxa"/>
          </w:tcPr>
          <w:p w:rsidR="000A3797" w:rsidRDefault="00A660E7">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265" w:type="dxa"/>
            <w:vMerge w:val="restart"/>
          </w:tcPr>
          <w:p w:rsidR="000A3797" w:rsidRDefault="00A660E7">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r>
      <w:tr w:rsidR="000A3797">
        <w:tc>
          <w:tcPr>
            <w:tcW w:w="1837"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83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После</w:t>
            </w:r>
          </w:p>
        </w:tc>
        <w:tc>
          <w:tcPr>
            <w:tcW w:w="856" w:type="dxa"/>
          </w:tcPr>
          <w:p w:rsidR="000A3797" w:rsidRDefault="00A660E7">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851" w:type="dxa"/>
          </w:tcPr>
          <w:p w:rsidR="000A3797" w:rsidRDefault="00A660E7">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265"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1837"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Знания о факторах риска</w:t>
            </w:r>
          </w:p>
        </w:tc>
        <w:tc>
          <w:tcPr>
            <w:tcW w:w="183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До</w:t>
            </w:r>
          </w:p>
        </w:tc>
        <w:tc>
          <w:tcPr>
            <w:tcW w:w="856" w:type="dxa"/>
          </w:tcPr>
          <w:p w:rsidR="000A3797" w:rsidRDefault="00A660E7">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851" w:type="dxa"/>
          </w:tcPr>
          <w:p w:rsidR="000A3797" w:rsidRDefault="00A660E7">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265" w:type="dxa"/>
            <w:vMerge w:val="restart"/>
          </w:tcPr>
          <w:p w:rsidR="000A3797" w:rsidRDefault="00A660E7">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r>
      <w:tr w:rsidR="000A3797">
        <w:tc>
          <w:tcPr>
            <w:tcW w:w="1837"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83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После</w:t>
            </w:r>
          </w:p>
        </w:tc>
        <w:tc>
          <w:tcPr>
            <w:tcW w:w="856" w:type="dxa"/>
          </w:tcPr>
          <w:p w:rsidR="000A3797" w:rsidRDefault="00A660E7">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851" w:type="dxa"/>
          </w:tcPr>
          <w:p w:rsidR="000A3797" w:rsidRDefault="00A660E7">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265"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rPr>
          <w:trHeight w:val="331"/>
        </w:trPr>
        <w:tc>
          <w:tcPr>
            <w:tcW w:w="1837" w:type="dxa"/>
            <w:vMerge w:val="restart"/>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Знания о профилактике рецидивов</w:t>
            </w:r>
          </w:p>
        </w:tc>
        <w:tc>
          <w:tcPr>
            <w:tcW w:w="183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До</w:t>
            </w:r>
          </w:p>
        </w:tc>
        <w:tc>
          <w:tcPr>
            <w:tcW w:w="856" w:type="dxa"/>
          </w:tcPr>
          <w:p w:rsidR="000A3797" w:rsidRDefault="00A660E7">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851" w:type="dxa"/>
          </w:tcPr>
          <w:p w:rsidR="000A3797" w:rsidRDefault="00A660E7">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265" w:type="dxa"/>
            <w:vMerge w:val="restart"/>
          </w:tcPr>
          <w:p w:rsidR="000A3797" w:rsidRDefault="00A660E7">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r>
      <w:tr w:rsidR="000A3797">
        <w:tc>
          <w:tcPr>
            <w:tcW w:w="1837"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837"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После</w:t>
            </w:r>
          </w:p>
        </w:tc>
        <w:tc>
          <w:tcPr>
            <w:tcW w:w="856" w:type="dxa"/>
          </w:tcPr>
          <w:p w:rsidR="000A3797" w:rsidRDefault="00A660E7">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851" w:type="dxa"/>
          </w:tcPr>
          <w:p w:rsidR="000A3797" w:rsidRDefault="00A660E7">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265" w:type="dxa"/>
            <w:vMerge/>
          </w:tcPr>
          <w:p w:rsidR="000A3797" w:rsidRDefault="000A3797">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0A3797">
        <w:tc>
          <w:tcPr>
            <w:tcW w:w="6646" w:type="dxa"/>
            <w:gridSpan w:val="5"/>
            <w:tcBorders>
              <w:bottom w:val="single" w:sz="4" w:space="0" w:color="000000"/>
            </w:tcBorders>
          </w:tcPr>
          <w:p w:rsidR="000A3797" w:rsidRDefault="00A660E7">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Ме – медиана, Q1-Q3 – интерквартильный размах</w:t>
            </w:r>
          </w:p>
        </w:tc>
      </w:tr>
    </w:tbl>
    <w:p w:rsidR="000A3797" w:rsidRDefault="000A3797">
      <w:pPr>
        <w:spacing w:after="0" w:line="240" w:lineRule="auto"/>
        <w:jc w:val="both"/>
        <w:rPr>
          <w:rFonts w:ascii="Times New Roman" w:eastAsia="Times New Roman" w:hAnsi="Times New Roman" w:cs="Times New Roman"/>
          <w:sz w:val="24"/>
          <w:szCs w:val="24"/>
        </w:rPr>
      </w:pPr>
    </w:p>
    <w:p w:rsidR="000A3797" w:rsidRDefault="00A660E7">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Оценена сила связи между оценками и  уровнем образования определена с помощью коэффициента ранговой корреляции Спирмена. Умеренная корреляционная связь была между уровнем образования и оценками (r</w:t>
      </w:r>
      <w:r>
        <w:rPr>
          <w:rFonts w:ascii="Times New Roman" w:eastAsia="Times New Roman" w:hAnsi="Times New Roman" w:cs="Times New Roman"/>
          <w:sz w:val="28"/>
          <w:szCs w:val="28"/>
          <w:vertAlign w:val="subscript"/>
        </w:rPr>
        <w:t xml:space="preserve">xy </w:t>
      </w:r>
      <w:r>
        <w:rPr>
          <w:rFonts w:ascii="Times New Roman" w:eastAsia="Times New Roman" w:hAnsi="Times New Roman" w:cs="Times New Roman"/>
          <w:sz w:val="28"/>
          <w:szCs w:val="28"/>
        </w:rPr>
        <w:t xml:space="preserve">=0,386) (Таблица 34) </w:t>
      </w:r>
      <w:r>
        <w:rPr>
          <w:rFonts w:ascii="Times New Roman" w:eastAsia="Times New Roman" w:hAnsi="Times New Roman" w:cs="Times New Roman"/>
          <w:sz w:val="28"/>
          <w:szCs w:val="28"/>
          <w:highlight w:val="white"/>
        </w:rPr>
        <w:t>[210, стр. 188]</w:t>
      </w:r>
      <w:r>
        <w:rPr>
          <w:rFonts w:ascii="Times New Roman" w:eastAsia="Times New Roman" w:hAnsi="Times New Roman" w:cs="Times New Roman"/>
          <w:sz w:val="28"/>
          <w:szCs w:val="28"/>
        </w:rPr>
        <w:t>.</w:t>
      </w:r>
    </w:p>
    <w:p w:rsidR="000A3797" w:rsidRDefault="000A3797">
      <w:pPr>
        <w:spacing w:after="0" w:line="240" w:lineRule="auto"/>
        <w:jc w:val="both"/>
        <w:rPr>
          <w:rFonts w:ascii="Times New Roman" w:eastAsia="Times New Roman" w:hAnsi="Times New Roman" w:cs="Times New Roman"/>
          <w:sz w:val="24"/>
          <w:szCs w:val="24"/>
        </w:rPr>
      </w:pP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34 - Корреляция между оценками и возрастом, уровнем образования, ознакомления с заболеванием на уровне ПМСП и источниками самостоятельного изучения информации о пролапсе</w:t>
      </w:r>
    </w:p>
    <w:p w:rsidR="000A3797" w:rsidRDefault="000A3797">
      <w:pPr>
        <w:spacing w:after="0" w:line="240" w:lineRule="auto"/>
        <w:jc w:val="both"/>
        <w:rPr>
          <w:rFonts w:ascii="Times New Roman" w:eastAsia="Times New Roman" w:hAnsi="Times New Roman" w:cs="Times New Roman"/>
          <w:sz w:val="28"/>
          <w:szCs w:val="28"/>
        </w:rPr>
      </w:pPr>
    </w:p>
    <w:tbl>
      <w:tblPr>
        <w:tblStyle w:val="afff5"/>
        <w:tblW w:w="831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79"/>
        <w:gridCol w:w="1558"/>
        <w:gridCol w:w="1532"/>
        <w:gridCol w:w="1554"/>
        <w:gridCol w:w="892"/>
      </w:tblGrid>
      <w:tr w:rsidR="000A3797">
        <w:trPr>
          <w:trHeight w:val="1013"/>
        </w:trPr>
        <w:tc>
          <w:tcPr>
            <w:tcW w:w="2779"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Фактор</w:t>
            </w:r>
          </w:p>
        </w:tc>
        <w:tc>
          <w:tcPr>
            <w:tcW w:w="1558"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Коэфициент корреляции</w:t>
            </w:r>
          </w:p>
        </w:tc>
        <w:tc>
          <w:tcPr>
            <w:tcW w:w="1532" w:type="dxa"/>
          </w:tcPr>
          <w:p w:rsidR="000A3797" w:rsidRDefault="00A660E7">
            <w:pPr>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Оценка силы связи по шкале Чеддока</w:t>
            </w:r>
          </w:p>
        </w:tc>
        <w:tc>
          <w:tcPr>
            <w:tcW w:w="1554" w:type="dxa"/>
          </w:tcPr>
          <w:p w:rsidR="000A3797" w:rsidRDefault="00A660E7">
            <w:pPr>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Направление связи</w:t>
            </w:r>
          </w:p>
        </w:tc>
        <w:tc>
          <w:tcPr>
            <w:tcW w:w="892" w:type="dxa"/>
          </w:tcPr>
          <w:p w:rsidR="000A3797" w:rsidRDefault="00A660E7">
            <w:pPr>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p-value</w:t>
            </w:r>
          </w:p>
        </w:tc>
      </w:tr>
      <w:tr w:rsidR="000A3797">
        <w:trPr>
          <w:trHeight w:val="593"/>
        </w:trPr>
        <w:tc>
          <w:tcPr>
            <w:tcW w:w="2779"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Уровень образования</w:t>
            </w:r>
          </w:p>
        </w:tc>
        <w:tc>
          <w:tcPr>
            <w:tcW w:w="1558"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0,386</w:t>
            </w:r>
          </w:p>
        </w:tc>
        <w:tc>
          <w:tcPr>
            <w:tcW w:w="1532"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слабая</w:t>
            </w:r>
          </w:p>
        </w:tc>
        <w:tc>
          <w:tcPr>
            <w:tcW w:w="1554"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прямая</w:t>
            </w:r>
          </w:p>
        </w:tc>
        <w:tc>
          <w:tcPr>
            <w:tcW w:w="892" w:type="dxa"/>
          </w:tcPr>
          <w:p w:rsidR="000A3797" w:rsidRDefault="00A660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&lt;0,001</w:t>
            </w:r>
          </w:p>
        </w:tc>
      </w:tr>
    </w:tbl>
    <w:p w:rsidR="000A3797" w:rsidRDefault="000A3797">
      <w:pPr>
        <w:spacing w:after="0" w:line="240" w:lineRule="auto"/>
        <w:jc w:val="both"/>
        <w:rPr>
          <w:rFonts w:ascii="Times New Roman" w:eastAsia="Times New Roman" w:hAnsi="Times New Roman" w:cs="Times New Roman"/>
          <w:sz w:val="24"/>
          <w:szCs w:val="24"/>
        </w:rPr>
      </w:pPr>
    </w:p>
    <w:p w:rsidR="000A3797" w:rsidRDefault="00A660E7">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Обсуждение 3.7.</w:t>
      </w:r>
    </w:p>
    <w:p w:rsidR="000A3797" w:rsidRDefault="000A3797">
      <w:pPr>
        <w:spacing w:after="0" w:line="240" w:lineRule="auto"/>
        <w:jc w:val="both"/>
        <w:rPr>
          <w:rFonts w:ascii="Times New Roman" w:eastAsia="Times New Roman" w:hAnsi="Times New Roman" w:cs="Times New Roman"/>
          <w:b/>
          <w:sz w:val="28"/>
          <w:szCs w:val="28"/>
        </w:rPr>
      </w:pPr>
    </w:p>
    <w:p w:rsidR="000A3797" w:rsidRDefault="00A660E7">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Разница между оценками до (Ме:8,0; Q1-Q3:4) и после (Ме:26; Q1-Q3:3) ознакомления с материалами электронного ресурса была статистически значимой (р&lt;0,001) </w:t>
      </w:r>
      <w:r>
        <w:rPr>
          <w:rFonts w:ascii="Times New Roman" w:eastAsia="Times New Roman" w:hAnsi="Times New Roman" w:cs="Times New Roman"/>
          <w:sz w:val="28"/>
          <w:szCs w:val="28"/>
          <w:highlight w:val="white"/>
        </w:rPr>
        <w:t>[210, стр. 188]</w:t>
      </w:r>
      <w:r>
        <w:rPr>
          <w:rFonts w:ascii="Times New Roman" w:eastAsia="Times New Roman" w:hAnsi="Times New Roman" w:cs="Times New Roman"/>
          <w:sz w:val="28"/>
          <w:szCs w:val="28"/>
        </w:rPr>
        <w:t>. Оказалось, что уровень информирования пациентов о пролапсе и факторах риска был низк</w:t>
      </w:r>
      <w:r>
        <w:rPr>
          <w:rFonts w:ascii="Times New Roman" w:eastAsia="Times New Roman" w:hAnsi="Times New Roman" w:cs="Times New Roman"/>
          <w:sz w:val="28"/>
          <w:szCs w:val="28"/>
        </w:rPr>
        <w:t>им при обращении в поликлинику. Только 3,3% (8 человек) сообщили, что на первичном приеме получили исчерпывающие ответы на свои вопросы, в то время как 60,8% (149 человек) отметили, что у них осталось много непонятного [</w:t>
      </w:r>
      <w:r>
        <w:rPr>
          <w:rFonts w:ascii="Times New Roman" w:eastAsia="Times New Roman" w:hAnsi="Times New Roman" w:cs="Times New Roman"/>
          <w:sz w:val="28"/>
          <w:szCs w:val="28"/>
          <w:highlight w:val="white"/>
        </w:rPr>
        <w:t>210</w:t>
      </w:r>
      <w:r>
        <w:rPr>
          <w:rFonts w:ascii="Times New Roman" w:eastAsia="Times New Roman" w:hAnsi="Times New Roman" w:cs="Times New Roman"/>
          <w:sz w:val="28"/>
          <w:szCs w:val="28"/>
        </w:rPr>
        <w:t>, стр. 188]</w:t>
      </w:r>
    </w:p>
    <w:p w:rsidR="000A3797" w:rsidRDefault="000A3797">
      <w:pPr>
        <w:spacing w:after="0" w:line="240" w:lineRule="auto"/>
        <w:ind w:firstLine="709"/>
        <w:jc w:val="both"/>
        <w:rPr>
          <w:rFonts w:ascii="Times New Roman" w:eastAsia="Times New Roman" w:hAnsi="Times New Roman" w:cs="Times New Roman"/>
          <w:sz w:val="28"/>
          <w:szCs w:val="28"/>
        </w:rPr>
      </w:pPr>
    </w:p>
    <w:p w:rsidR="000A3797" w:rsidRDefault="00A660E7">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Умеренная корреляцио</w:t>
      </w:r>
      <w:r>
        <w:rPr>
          <w:rFonts w:ascii="Times New Roman" w:eastAsia="Times New Roman" w:hAnsi="Times New Roman" w:cs="Times New Roman"/>
          <w:sz w:val="28"/>
          <w:szCs w:val="28"/>
        </w:rPr>
        <w:t>нная связь отмечалась между уровнем образования и оценками (r</w:t>
      </w:r>
      <w:r>
        <w:rPr>
          <w:rFonts w:ascii="Times New Roman" w:eastAsia="Times New Roman" w:hAnsi="Times New Roman" w:cs="Times New Roman"/>
          <w:sz w:val="28"/>
          <w:szCs w:val="28"/>
          <w:vertAlign w:val="subscript"/>
        </w:rPr>
        <w:t xml:space="preserve">xy </w:t>
      </w:r>
      <w:r>
        <w:rPr>
          <w:rFonts w:ascii="Times New Roman" w:eastAsia="Times New Roman" w:hAnsi="Times New Roman" w:cs="Times New Roman"/>
          <w:sz w:val="28"/>
          <w:szCs w:val="28"/>
        </w:rPr>
        <w:t xml:space="preserve">=0,386), что может указывать на доступность предоставляемой информации на сайте электронного ресурса </w:t>
      </w:r>
      <w:r>
        <w:rPr>
          <w:rFonts w:ascii="Times New Roman" w:eastAsia="Times New Roman" w:hAnsi="Times New Roman" w:cs="Times New Roman"/>
          <w:sz w:val="28"/>
          <w:szCs w:val="28"/>
          <w:highlight w:val="white"/>
        </w:rPr>
        <w:t>[210, стр. 188]</w:t>
      </w:r>
      <w:r>
        <w:rPr>
          <w:rFonts w:ascii="Times New Roman" w:eastAsia="Times New Roman" w:hAnsi="Times New Roman" w:cs="Times New Roman"/>
          <w:sz w:val="28"/>
          <w:szCs w:val="28"/>
        </w:rPr>
        <w:t xml:space="preserve">. </w:t>
      </w:r>
    </w:p>
    <w:p w:rsidR="000A3797" w:rsidRDefault="000A3797">
      <w:pPr>
        <w:tabs>
          <w:tab w:val="left" w:pos="1841"/>
        </w:tabs>
        <w:spacing w:after="0" w:line="240" w:lineRule="auto"/>
        <w:rPr>
          <w:rFonts w:ascii="Times New Roman" w:eastAsia="Times New Roman" w:hAnsi="Times New Roman" w:cs="Times New Roman"/>
          <w:sz w:val="28"/>
          <w:szCs w:val="28"/>
        </w:rPr>
      </w:pPr>
    </w:p>
    <w:p w:rsidR="000A3797" w:rsidRDefault="000A3797">
      <w:pPr>
        <w:tabs>
          <w:tab w:val="left" w:pos="1841"/>
        </w:tabs>
        <w:spacing w:after="0" w:line="240" w:lineRule="auto"/>
        <w:rPr>
          <w:rFonts w:ascii="Times New Roman" w:eastAsia="Times New Roman" w:hAnsi="Times New Roman" w:cs="Times New Roman"/>
          <w:b/>
          <w:sz w:val="28"/>
          <w:szCs w:val="28"/>
        </w:rPr>
      </w:pPr>
    </w:p>
    <w:p w:rsidR="000A3797" w:rsidRDefault="000A3797">
      <w:pPr>
        <w:tabs>
          <w:tab w:val="left" w:pos="1841"/>
        </w:tabs>
        <w:spacing w:after="0" w:line="240" w:lineRule="auto"/>
        <w:rPr>
          <w:rFonts w:ascii="Times New Roman" w:eastAsia="Times New Roman" w:hAnsi="Times New Roman" w:cs="Times New Roman"/>
          <w:b/>
          <w:sz w:val="28"/>
          <w:szCs w:val="28"/>
        </w:rPr>
      </w:pPr>
    </w:p>
    <w:p w:rsidR="000A3797" w:rsidRDefault="000A3797">
      <w:pPr>
        <w:tabs>
          <w:tab w:val="left" w:pos="1841"/>
        </w:tabs>
        <w:spacing w:after="0" w:line="240" w:lineRule="auto"/>
        <w:rPr>
          <w:rFonts w:ascii="Times New Roman" w:eastAsia="Times New Roman" w:hAnsi="Times New Roman" w:cs="Times New Roman"/>
          <w:b/>
          <w:sz w:val="28"/>
          <w:szCs w:val="28"/>
        </w:rPr>
      </w:pPr>
    </w:p>
    <w:p w:rsidR="000A3797" w:rsidRDefault="000A3797">
      <w:pPr>
        <w:tabs>
          <w:tab w:val="left" w:pos="1841"/>
        </w:tabs>
        <w:spacing w:after="0" w:line="240" w:lineRule="auto"/>
        <w:rPr>
          <w:rFonts w:ascii="Times New Roman" w:eastAsia="Times New Roman" w:hAnsi="Times New Roman" w:cs="Times New Roman"/>
          <w:b/>
          <w:sz w:val="28"/>
          <w:szCs w:val="28"/>
        </w:rPr>
      </w:pPr>
    </w:p>
    <w:p w:rsidR="000A3797" w:rsidRDefault="000A3797">
      <w:pPr>
        <w:tabs>
          <w:tab w:val="left" w:pos="1841"/>
        </w:tabs>
        <w:spacing w:after="0" w:line="240" w:lineRule="auto"/>
        <w:rPr>
          <w:rFonts w:ascii="Times New Roman" w:eastAsia="Times New Roman" w:hAnsi="Times New Roman" w:cs="Times New Roman"/>
          <w:b/>
          <w:sz w:val="28"/>
          <w:szCs w:val="28"/>
        </w:rPr>
      </w:pPr>
    </w:p>
    <w:p w:rsidR="000A3797" w:rsidRDefault="000A3797">
      <w:pPr>
        <w:tabs>
          <w:tab w:val="left" w:pos="1841"/>
        </w:tabs>
        <w:spacing w:after="0" w:line="240" w:lineRule="auto"/>
        <w:rPr>
          <w:rFonts w:ascii="Times New Roman" w:eastAsia="Times New Roman" w:hAnsi="Times New Roman" w:cs="Times New Roman"/>
          <w:b/>
          <w:sz w:val="28"/>
          <w:szCs w:val="28"/>
        </w:rPr>
      </w:pPr>
    </w:p>
    <w:p w:rsidR="000A3797" w:rsidRDefault="000A3797">
      <w:pPr>
        <w:tabs>
          <w:tab w:val="left" w:pos="1841"/>
        </w:tabs>
        <w:spacing w:after="0" w:line="240" w:lineRule="auto"/>
        <w:rPr>
          <w:rFonts w:ascii="Times New Roman" w:eastAsia="Times New Roman" w:hAnsi="Times New Roman" w:cs="Times New Roman"/>
          <w:b/>
          <w:sz w:val="28"/>
          <w:szCs w:val="28"/>
        </w:rPr>
      </w:pPr>
    </w:p>
    <w:p w:rsidR="000A3797" w:rsidRDefault="000A3797">
      <w:pPr>
        <w:tabs>
          <w:tab w:val="left" w:pos="1841"/>
        </w:tabs>
        <w:spacing w:after="0" w:line="240" w:lineRule="auto"/>
        <w:rPr>
          <w:rFonts w:ascii="Times New Roman" w:eastAsia="Times New Roman" w:hAnsi="Times New Roman" w:cs="Times New Roman"/>
          <w:b/>
          <w:sz w:val="28"/>
          <w:szCs w:val="28"/>
        </w:rPr>
      </w:pPr>
    </w:p>
    <w:p w:rsidR="000A3797" w:rsidRDefault="000A3797">
      <w:pPr>
        <w:tabs>
          <w:tab w:val="left" w:pos="1841"/>
        </w:tabs>
        <w:spacing w:after="0" w:line="240" w:lineRule="auto"/>
        <w:rPr>
          <w:rFonts w:ascii="Times New Roman" w:eastAsia="Times New Roman" w:hAnsi="Times New Roman" w:cs="Times New Roman"/>
          <w:b/>
          <w:sz w:val="28"/>
          <w:szCs w:val="28"/>
        </w:rPr>
      </w:pPr>
    </w:p>
    <w:p w:rsidR="000A3797" w:rsidRDefault="000A3797">
      <w:pPr>
        <w:tabs>
          <w:tab w:val="left" w:pos="1841"/>
        </w:tabs>
        <w:spacing w:after="0" w:line="240" w:lineRule="auto"/>
        <w:rPr>
          <w:rFonts w:ascii="Times New Roman" w:eastAsia="Times New Roman" w:hAnsi="Times New Roman" w:cs="Times New Roman"/>
          <w:b/>
          <w:sz w:val="28"/>
          <w:szCs w:val="28"/>
        </w:rPr>
      </w:pPr>
    </w:p>
    <w:p w:rsidR="000A3797" w:rsidRDefault="000A3797">
      <w:pPr>
        <w:tabs>
          <w:tab w:val="left" w:pos="1841"/>
        </w:tabs>
        <w:spacing w:after="0" w:line="240" w:lineRule="auto"/>
        <w:rPr>
          <w:rFonts w:ascii="Times New Roman" w:eastAsia="Times New Roman" w:hAnsi="Times New Roman" w:cs="Times New Roman"/>
          <w:b/>
          <w:sz w:val="28"/>
          <w:szCs w:val="28"/>
        </w:rPr>
      </w:pPr>
    </w:p>
    <w:p w:rsidR="000A3797" w:rsidRDefault="000A3797">
      <w:pPr>
        <w:tabs>
          <w:tab w:val="left" w:pos="1841"/>
        </w:tabs>
        <w:spacing w:after="0" w:line="240" w:lineRule="auto"/>
        <w:rPr>
          <w:rFonts w:ascii="Times New Roman" w:eastAsia="Times New Roman" w:hAnsi="Times New Roman" w:cs="Times New Roman"/>
          <w:b/>
          <w:sz w:val="28"/>
          <w:szCs w:val="28"/>
        </w:rPr>
      </w:pPr>
    </w:p>
    <w:p w:rsidR="000A3797" w:rsidRDefault="000A3797">
      <w:pPr>
        <w:tabs>
          <w:tab w:val="left" w:pos="1841"/>
        </w:tabs>
        <w:spacing w:after="0" w:line="240" w:lineRule="auto"/>
        <w:rPr>
          <w:rFonts w:ascii="Times New Roman" w:eastAsia="Times New Roman" w:hAnsi="Times New Roman" w:cs="Times New Roman"/>
          <w:b/>
          <w:sz w:val="28"/>
          <w:szCs w:val="28"/>
        </w:rPr>
      </w:pPr>
    </w:p>
    <w:p w:rsidR="000A3797" w:rsidRDefault="000A3797">
      <w:pPr>
        <w:tabs>
          <w:tab w:val="left" w:pos="1841"/>
        </w:tabs>
        <w:spacing w:after="0" w:line="240" w:lineRule="auto"/>
        <w:rPr>
          <w:rFonts w:ascii="Times New Roman" w:eastAsia="Times New Roman" w:hAnsi="Times New Roman" w:cs="Times New Roman"/>
          <w:b/>
          <w:sz w:val="28"/>
          <w:szCs w:val="28"/>
        </w:rPr>
      </w:pPr>
    </w:p>
    <w:p w:rsidR="000A3797" w:rsidRDefault="000A3797">
      <w:pPr>
        <w:tabs>
          <w:tab w:val="left" w:pos="1841"/>
        </w:tabs>
        <w:spacing w:after="0" w:line="240" w:lineRule="auto"/>
        <w:rPr>
          <w:rFonts w:ascii="Times New Roman" w:eastAsia="Times New Roman" w:hAnsi="Times New Roman" w:cs="Times New Roman"/>
          <w:b/>
          <w:sz w:val="28"/>
          <w:szCs w:val="28"/>
        </w:rPr>
      </w:pPr>
    </w:p>
    <w:p w:rsidR="000A3797" w:rsidRDefault="000A3797">
      <w:pPr>
        <w:tabs>
          <w:tab w:val="left" w:pos="1841"/>
        </w:tabs>
        <w:spacing w:after="0" w:line="240" w:lineRule="auto"/>
        <w:rPr>
          <w:rFonts w:ascii="Times New Roman" w:eastAsia="Times New Roman" w:hAnsi="Times New Roman" w:cs="Times New Roman"/>
          <w:b/>
          <w:sz w:val="28"/>
          <w:szCs w:val="28"/>
        </w:rPr>
      </w:pPr>
    </w:p>
    <w:p w:rsidR="000A3797" w:rsidRDefault="00A660E7">
      <w:pPr>
        <w:tabs>
          <w:tab w:val="left" w:pos="1841"/>
        </w:tabs>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p>
    <w:p w:rsidR="000A3797" w:rsidRDefault="00A660E7">
      <w:pPr>
        <w:tabs>
          <w:tab w:val="left" w:pos="1841"/>
        </w:tabs>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p>
    <w:p w:rsidR="000A3797" w:rsidRDefault="000A3797">
      <w:pPr>
        <w:tabs>
          <w:tab w:val="left" w:pos="1841"/>
        </w:tabs>
        <w:spacing w:after="0" w:line="240" w:lineRule="auto"/>
        <w:rPr>
          <w:rFonts w:ascii="Times New Roman" w:eastAsia="Times New Roman" w:hAnsi="Times New Roman" w:cs="Times New Roman"/>
          <w:b/>
          <w:sz w:val="28"/>
          <w:szCs w:val="28"/>
        </w:rPr>
      </w:pPr>
    </w:p>
    <w:p w:rsidR="000A3797" w:rsidRDefault="00A660E7">
      <w:pPr>
        <w:tabs>
          <w:tab w:val="left" w:pos="1841"/>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ЗАКЛЮЧЕНИЕ</w:t>
      </w:r>
      <w:r>
        <w:rPr>
          <w:rFonts w:ascii="Times New Roman" w:eastAsia="Times New Roman" w:hAnsi="Times New Roman" w:cs="Times New Roman"/>
          <w:sz w:val="28"/>
          <w:szCs w:val="28"/>
        </w:rPr>
        <w:t>.</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На сегодняшний день отмечается высокая распространенность женщин с опущением и выпадением половых органов, у 31% женщин встречается данная патология в возрастной группе от 50 до 60 лет и может достигать 50% ближе к 80 годам [2, стр.7; 15, стр. 252]. </w:t>
      </w:r>
      <w:r>
        <w:rPr>
          <w:rFonts w:ascii="Times New Roman" w:eastAsia="Times New Roman" w:hAnsi="Times New Roman" w:cs="Times New Roman"/>
          <w:sz w:val="28"/>
          <w:szCs w:val="28"/>
        </w:rPr>
        <w:t>По данным литературе данная тенденция будет не только сохранятся, но и увеличиваться, по некоторым оценкам процент распространенности увеличится на 46, что связывают с увеличением продолжительности жизни и влияния общеизвестных факторов [3, стр.142]. Все б</w:t>
      </w:r>
      <w:r>
        <w:rPr>
          <w:rFonts w:ascii="Times New Roman" w:eastAsia="Times New Roman" w:hAnsi="Times New Roman" w:cs="Times New Roman"/>
          <w:sz w:val="28"/>
          <w:szCs w:val="28"/>
        </w:rPr>
        <w:t>ольше женщин будет нуждаться в хирургическом лечении: около 20% перенесут операцию по поводу пролапса гениталий или недержания мочи к возрасту 85 лет.</w:t>
      </w:r>
      <w:r>
        <w:rPr>
          <w:rFonts w:ascii="Times New Roman" w:eastAsia="Times New Roman" w:hAnsi="Times New Roman" w:cs="Times New Roman"/>
        </w:rPr>
        <w:t xml:space="preserve"> </w:t>
      </w:r>
      <w:r>
        <w:rPr>
          <w:rFonts w:ascii="Times New Roman" w:eastAsia="Times New Roman" w:hAnsi="Times New Roman" w:cs="Times New Roman"/>
          <w:sz w:val="28"/>
          <w:szCs w:val="28"/>
        </w:rPr>
        <w:t>[1, стр.43]. Также известным фактом являются достаточно частые рецидивы. Введение сетчатых протезов помог</w:t>
      </w:r>
      <w:r>
        <w:rPr>
          <w:rFonts w:ascii="Times New Roman" w:eastAsia="Times New Roman" w:hAnsi="Times New Roman" w:cs="Times New Roman"/>
          <w:sz w:val="28"/>
          <w:szCs w:val="28"/>
        </w:rPr>
        <w:t>ло уменьшить число рецидивов, но привело к осложнениям, связанным с эрозией сетки, повреждением органов и новыми симптомами, что не сократило количество повторных операций [142, стр.221]. Однако производство новых материалов для тазовой хирургии не останов</w:t>
      </w:r>
      <w:r>
        <w:rPr>
          <w:rFonts w:ascii="Times New Roman" w:eastAsia="Times New Roman" w:hAnsi="Times New Roman" w:cs="Times New Roman"/>
          <w:sz w:val="28"/>
          <w:szCs w:val="28"/>
        </w:rPr>
        <w:t>илось, на сегодняшний день появились новые более мягкие и легкие материалы, однако пока нет достаточно данных об их эффективности и безопасности. Тем не менее достижения генетики и молекулярной биологии обещают нам разработку не только более подходящих мат</w:t>
      </w:r>
      <w:r>
        <w:rPr>
          <w:rFonts w:ascii="Times New Roman" w:eastAsia="Times New Roman" w:hAnsi="Times New Roman" w:cs="Times New Roman"/>
          <w:sz w:val="28"/>
          <w:szCs w:val="28"/>
        </w:rPr>
        <w:t xml:space="preserve">ериалов для тазовой хирургии, но и новых методов диагностики пролапса, связанных с генетической предрасположенностью [203, стр.99].       </w:t>
      </w:r>
    </w:p>
    <w:p w:rsidR="000A3797" w:rsidRDefault="00A660E7">
      <w:pPr>
        <w:spacing w:after="0" w:line="24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 xml:space="preserve">     Генитальный пролапс не приводит к летальному исходу, однако сильно влияет на качество жизни, что отражается на п</w:t>
      </w:r>
      <w:r>
        <w:rPr>
          <w:rFonts w:ascii="Times New Roman" w:eastAsia="Times New Roman" w:hAnsi="Times New Roman" w:cs="Times New Roman"/>
          <w:sz w:val="28"/>
          <w:szCs w:val="28"/>
        </w:rPr>
        <w:t>сихоэмоциональном состоянии женщин, влияет на трудоспособность, приводит к социальной изоляции, все это может увеличить нагрузку на Здравоохранение[46, стр.176]. Истинная оценка распространенности тазового пролапса затруднена, ввиду того, что данная патоло</w:t>
      </w:r>
      <w:r>
        <w:rPr>
          <w:rFonts w:ascii="Times New Roman" w:eastAsia="Times New Roman" w:hAnsi="Times New Roman" w:cs="Times New Roman"/>
          <w:sz w:val="28"/>
          <w:szCs w:val="28"/>
        </w:rPr>
        <w:t>гия находится на стыке трех специальностей, урологии, проктологии и гинекологии, а также известная на сегодняшний день кодировка диагноза по мкб 10 создает неточность в отражении истинной анатомии и нарушении функциональности органом малого таза при пролап</w:t>
      </w:r>
      <w:r>
        <w:rPr>
          <w:rFonts w:ascii="Times New Roman" w:eastAsia="Times New Roman" w:hAnsi="Times New Roman" w:cs="Times New Roman"/>
          <w:sz w:val="28"/>
          <w:szCs w:val="28"/>
        </w:rPr>
        <w:t>се. Смежные специалисты могут акцентировать на своей области вмешательства, упуская детали, относящиеся к другой специальности [26, стр.80]. Мы оценили динамику пролеченных случаев генитального пролапс за счет средств Республиканского бюджета по данным Рес</w:t>
      </w:r>
      <w:r>
        <w:rPr>
          <w:rFonts w:ascii="Times New Roman" w:eastAsia="Times New Roman" w:hAnsi="Times New Roman" w:cs="Times New Roman"/>
          <w:sz w:val="28"/>
          <w:szCs w:val="28"/>
        </w:rPr>
        <w:t xml:space="preserve">публиканского центра электронного здравоохранения с 2011 по 2021 годы. К сожалению на сегодняшний день не представляется возможным изучить динамику всех пролеченных случаев за указанный период, так как до недавнего времени информация о платных медицинских </w:t>
      </w:r>
      <w:r>
        <w:rPr>
          <w:rFonts w:ascii="Times New Roman" w:eastAsia="Times New Roman" w:hAnsi="Times New Roman" w:cs="Times New Roman"/>
          <w:sz w:val="28"/>
          <w:szCs w:val="28"/>
        </w:rPr>
        <w:t xml:space="preserve">услугах не регистрировалась в каком-либо едином реестре, тем не менее отмечается динамика в сторону увеличения в целом по Республике Казахстан </w:t>
      </w:r>
      <w:r>
        <w:rPr>
          <w:rFonts w:ascii="Times New Roman" w:eastAsia="Times New Roman" w:hAnsi="Times New Roman" w:cs="Times New Roman"/>
          <w:sz w:val="28"/>
          <w:szCs w:val="28"/>
          <w:highlight w:val="white"/>
        </w:rPr>
        <w:t xml:space="preserve">[192, стр.278]. </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highlight w:val="white"/>
        </w:rPr>
        <w:t xml:space="preserve">В среднем за счет республиканского бюджета ежегодно пролечивалось 2665,2 случая, с приростом на </w:t>
      </w:r>
      <w:r>
        <w:rPr>
          <w:rFonts w:ascii="Times New Roman" w:eastAsia="Times New Roman" w:hAnsi="Times New Roman" w:cs="Times New Roman"/>
          <w:sz w:val="28"/>
          <w:szCs w:val="28"/>
          <w:highlight w:val="white"/>
        </w:rPr>
        <w:t>561 случай или 8% (р=0,001), кроме 2017 и 2019 годов [192, стр.278]. В Алматинской области этот показатель составлял 79 случаев в год, с увеличением на 9 случаев (0,54%), хотя статистически значимого роста не наблюдалось, за исключением некоторых лет (2014</w:t>
      </w:r>
      <w:r>
        <w:rPr>
          <w:rFonts w:ascii="Times New Roman" w:eastAsia="Times New Roman" w:hAnsi="Times New Roman" w:cs="Times New Roman"/>
          <w:sz w:val="28"/>
          <w:szCs w:val="28"/>
          <w:highlight w:val="white"/>
        </w:rPr>
        <w:t>, 2015, 2016, 2018). В Алматы отмечен статистически значимый прирост на 48 случаев в год или 15% (р=0,034), среднегодовой показатель составил 438 случаев, кроме 2013, 2017 и 2020 годов. В Астане средний рост составил 31 случай в год или 8% (р=0,045), с общ</w:t>
      </w:r>
      <w:r>
        <w:rPr>
          <w:rFonts w:ascii="Times New Roman" w:eastAsia="Times New Roman" w:hAnsi="Times New Roman" w:cs="Times New Roman"/>
          <w:sz w:val="28"/>
          <w:szCs w:val="28"/>
          <w:highlight w:val="white"/>
        </w:rPr>
        <w:t>им значением 397 случаев, исключая 2016, 2017 и 2019 годы. В Шымкенте, за исключением 2013 года, наблюдалось статистически значимое увеличение количества пролеченных случаев (р=0,047), в среднем 56 случаев в год, с приростом на 11 случаев или 19%. При этом</w:t>
      </w:r>
      <w:r>
        <w:rPr>
          <w:rFonts w:ascii="Times New Roman" w:eastAsia="Times New Roman" w:hAnsi="Times New Roman" w:cs="Times New Roman"/>
          <w:sz w:val="28"/>
          <w:szCs w:val="28"/>
          <w:highlight w:val="white"/>
        </w:rPr>
        <w:t xml:space="preserve"> оценить, какая доля операций была повторной по тому же диагнозу или связана с другим кодом опущения, не удалось [192, стр.278].</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Исследование показало, что пациенты после операции часто остаются без должного наблюдения </w:t>
      </w:r>
      <w:r>
        <w:rPr>
          <w:rFonts w:ascii="Times New Roman" w:eastAsia="Times New Roman" w:hAnsi="Times New Roman" w:cs="Times New Roman"/>
          <w:sz w:val="28"/>
          <w:szCs w:val="28"/>
          <w:highlight w:val="white"/>
        </w:rPr>
        <w:t>[196, стр.277]</w:t>
      </w:r>
      <w:r>
        <w:rPr>
          <w:rFonts w:ascii="Times New Roman" w:eastAsia="Times New Roman" w:hAnsi="Times New Roman" w:cs="Times New Roman"/>
          <w:sz w:val="28"/>
          <w:szCs w:val="28"/>
        </w:rPr>
        <w:t>. По результатам опроса</w:t>
      </w:r>
      <w:r>
        <w:rPr>
          <w:rFonts w:ascii="Times New Roman" w:eastAsia="Times New Roman" w:hAnsi="Times New Roman" w:cs="Times New Roman"/>
          <w:sz w:val="28"/>
          <w:szCs w:val="28"/>
        </w:rPr>
        <w:t xml:space="preserve"> медработников стационаров и поликлиник, хирурги направляют пациентов для последующего наблюдения по месту жительства, однако гинекологи ПМСП не обеспечивают регулярное наблюдение </w:t>
      </w:r>
      <w:r>
        <w:rPr>
          <w:rFonts w:ascii="Times New Roman" w:eastAsia="Times New Roman" w:hAnsi="Times New Roman" w:cs="Times New Roman"/>
          <w:sz w:val="28"/>
          <w:szCs w:val="28"/>
          <w:highlight w:val="white"/>
        </w:rPr>
        <w:t>[196, стр.277]</w:t>
      </w:r>
      <w:r>
        <w:rPr>
          <w:rFonts w:ascii="Times New Roman" w:eastAsia="Times New Roman" w:hAnsi="Times New Roman" w:cs="Times New Roman"/>
          <w:sz w:val="28"/>
          <w:szCs w:val="28"/>
        </w:rPr>
        <w:t>.  Лишь 26,7% хирургов (8 человек) проводят осмотры один раз в</w:t>
      </w:r>
      <w:r>
        <w:rPr>
          <w:rFonts w:ascii="Times New Roman" w:eastAsia="Times New Roman" w:hAnsi="Times New Roman" w:cs="Times New Roman"/>
          <w:sz w:val="28"/>
          <w:szCs w:val="28"/>
        </w:rPr>
        <w:t xml:space="preserve"> полгода, 29,4% врачей ПМСП (9 человек) рекомендуют пациентам обращаться к оперирующему хирургу, и только 23,5% (8 человек) осматривают пациентов реже одного раза в год; остальные врачи наблюдение не проводят, что является статистически значимым различием </w:t>
      </w:r>
      <w:r>
        <w:rPr>
          <w:rFonts w:ascii="Times New Roman" w:eastAsia="Times New Roman" w:hAnsi="Times New Roman" w:cs="Times New Roman"/>
          <w:sz w:val="28"/>
          <w:szCs w:val="28"/>
        </w:rPr>
        <w:t xml:space="preserve">с умеренной взаимосвязью (р=0,004, V-крамера = 0,623) </w:t>
      </w:r>
      <w:r>
        <w:rPr>
          <w:rFonts w:ascii="Times New Roman" w:eastAsia="Times New Roman" w:hAnsi="Times New Roman" w:cs="Times New Roman"/>
          <w:sz w:val="28"/>
          <w:szCs w:val="28"/>
          <w:highlight w:val="white"/>
        </w:rPr>
        <w:t>[196, стр.277]</w:t>
      </w:r>
      <w:r>
        <w:rPr>
          <w:rFonts w:ascii="Times New Roman" w:eastAsia="Times New Roman" w:hAnsi="Times New Roman" w:cs="Times New Roman"/>
          <w:sz w:val="28"/>
          <w:szCs w:val="28"/>
        </w:rPr>
        <w:t xml:space="preserve">.  Хотя медработники ПМСП и хирурги часто сталкиваются с начальными стадиями пролапса, профилактические меры рекомендуют только 58,8% врачей ПМСП, и лишь 23,5% советуют профилактику после </w:t>
      </w:r>
      <w:r>
        <w:rPr>
          <w:rFonts w:ascii="Times New Roman" w:eastAsia="Times New Roman" w:hAnsi="Times New Roman" w:cs="Times New Roman"/>
          <w:sz w:val="28"/>
          <w:szCs w:val="28"/>
        </w:rPr>
        <w:t xml:space="preserve">родов.Также оценка знаний о факторах риска, определения начальных стадий пролапса и профилактике различалась между хирургами и врачами ПМСП </w:t>
      </w:r>
      <w:r>
        <w:rPr>
          <w:rFonts w:ascii="Times New Roman" w:eastAsia="Times New Roman" w:hAnsi="Times New Roman" w:cs="Times New Roman"/>
          <w:sz w:val="28"/>
          <w:szCs w:val="28"/>
          <w:highlight w:val="white"/>
        </w:rPr>
        <w:t>[196, стр.277]</w:t>
      </w:r>
      <w:r>
        <w:rPr>
          <w:rFonts w:ascii="Times New Roman" w:eastAsia="Times New Roman" w:hAnsi="Times New Roman" w:cs="Times New Roman"/>
          <w:sz w:val="28"/>
          <w:szCs w:val="28"/>
        </w:rPr>
        <w:t>.  У хирургов медиана и ИКР уровня знаний была статистически значимо выше 26 (1), тогда как у врачей П</w:t>
      </w:r>
      <w:r>
        <w:rPr>
          <w:rFonts w:ascii="Times New Roman" w:eastAsia="Times New Roman" w:hAnsi="Times New Roman" w:cs="Times New Roman"/>
          <w:sz w:val="28"/>
          <w:szCs w:val="28"/>
        </w:rPr>
        <w:t xml:space="preserve">МСП 10 (6), р&lt;0,001 </w:t>
      </w:r>
      <w:r>
        <w:rPr>
          <w:rFonts w:ascii="Times New Roman" w:eastAsia="Times New Roman" w:hAnsi="Times New Roman" w:cs="Times New Roman"/>
          <w:sz w:val="28"/>
          <w:szCs w:val="28"/>
          <w:highlight w:val="white"/>
        </w:rPr>
        <w:t>[196, стр.277]</w:t>
      </w:r>
      <w:r>
        <w:rPr>
          <w:rFonts w:ascii="Times New Roman" w:eastAsia="Times New Roman" w:hAnsi="Times New Roman" w:cs="Times New Roman"/>
          <w:sz w:val="28"/>
          <w:szCs w:val="28"/>
        </w:rPr>
        <w:t>.  Что вероятно связано с тем, что  гинекологи ПМСП в 100% случаях занимались ведением беременности и предпочитали курсы повышения квалификации в этой сфере, в ходе дискуссии 88,2% врачей согласны с тем, что имеет смысл ра</w:t>
      </w:r>
      <w:r>
        <w:rPr>
          <w:rFonts w:ascii="Times New Roman" w:eastAsia="Times New Roman" w:hAnsi="Times New Roman" w:cs="Times New Roman"/>
          <w:sz w:val="28"/>
          <w:szCs w:val="28"/>
        </w:rPr>
        <w:t xml:space="preserve">зделить врачей ПМСП , занимающихся только гинекологическими вопросами и на врачей, занимающихся только ведением беременности и послеродового периода </w:t>
      </w:r>
      <w:r>
        <w:rPr>
          <w:rFonts w:ascii="Times New Roman" w:eastAsia="Times New Roman" w:hAnsi="Times New Roman" w:cs="Times New Roman"/>
          <w:sz w:val="28"/>
          <w:szCs w:val="28"/>
          <w:highlight w:val="white"/>
        </w:rPr>
        <w:t>[196, стр.277]</w:t>
      </w:r>
      <w:r>
        <w:rPr>
          <w:rFonts w:ascii="Times New Roman" w:eastAsia="Times New Roman" w:hAnsi="Times New Roman" w:cs="Times New Roman"/>
          <w:sz w:val="28"/>
          <w:szCs w:val="28"/>
        </w:rPr>
        <w:t>.  Таким образом, мы определили необходимость определения четких стратегий ведения послеопера</w:t>
      </w:r>
      <w:r>
        <w:rPr>
          <w:rFonts w:ascii="Times New Roman" w:eastAsia="Times New Roman" w:hAnsi="Times New Roman" w:cs="Times New Roman"/>
          <w:sz w:val="28"/>
          <w:szCs w:val="28"/>
        </w:rPr>
        <w:t>ционного периода на уровне ПМСП, разработки алгоритмов, а также удобных инструментов ведения после операции, с возможностью делегирования обязанностей медицинской сестре, в том числе и образовательной платформы для врачей и пациентов о профилактических мер</w:t>
      </w:r>
      <w:r>
        <w:rPr>
          <w:rFonts w:ascii="Times New Roman" w:eastAsia="Times New Roman" w:hAnsi="Times New Roman" w:cs="Times New Roman"/>
          <w:sz w:val="28"/>
          <w:szCs w:val="28"/>
        </w:rPr>
        <w:t xml:space="preserve">оприятиях, факторах риска и их коррекции </w:t>
      </w:r>
      <w:r>
        <w:rPr>
          <w:rFonts w:ascii="Times New Roman" w:eastAsia="Times New Roman" w:hAnsi="Times New Roman" w:cs="Times New Roman"/>
          <w:sz w:val="28"/>
          <w:szCs w:val="28"/>
          <w:highlight w:val="white"/>
        </w:rPr>
        <w:t>[196, стр.277]</w:t>
      </w:r>
      <w:r>
        <w:rPr>
          <w:rFonts w:ascii="Times New Roman" w:eastAsia="Times New Roman" w:hAnsi="Times New Roman" w:cs="Times New Roman"/>
          <w:sz w:val="28"/>
          <w:szCs w:val="28"/>
        </w:rPr>
        <w:t xml:space="preserve">.  Также обоснована необходимость разработки образовательных программ курсов повышения квалификации для врачей и среднего медицинского персонала </w:t>
      </w:r>
      <w:r>
        <w:rPr>
          <w:rFonts w:ascii="Times New Roman" w:eastAsia="Times New Roman" w:hAnsi="Times New Roman" w:cs="Times New Roman"/>
          <w:sz w:val="28"/>
          <w:szCs w:val="28"/>
          <w:highlight w:val="white"/>
        </w:rPr>
        <w:t>[196, стр.277]</w:t>
      </w:r>
      <w:r>
        <w:rPr>
          <w:rFonts w:ascii="Times New Roman" w:eastAsia="Times New Roman" w:hAnsi="Times New Roman" w:cs="Times New Roman"/>
          <w:sz w:val="28"/>
          <w:szCs w:val="28"/>
        </w:rPr>
        <w:t>.</w:t>
      </w:r>
    </w:p>
    <w:p w:rsidR="000A3797" w:rsidRDefault="00A660E7">
      <w:pPr>
        <w:shd w:val="clear" w:color="auto" w:fill="FFFFFF"/>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"Мы разработали модифицированную версию </w:t>
      </w:r>
      <w:r>
        <w:rPr>
          <w:rFonts w:ascii="Times New Roman" w:eastAsia="Times New Roman" w:hAnsi="Times New Roman" w:cs="Times New Roman"/>
          <w:sz w:val="28"/>
          <w:szCs w:val="28"/>
        </w:rPr>
        <w:t xml:space="preserve">опросника P-QOL, объединяющую элементы оригинальной анкеты и российской версии ПД-ЖК, учитывая культурные и этнические сходства наших народов. Однако для нашего русскоязычного населения потребовалась собственная адаптация, что привело к созданию версии на </w:t>
      </w:r>
      <w:r>
        <w:rPr>
          <w:rFonts w:ascii="Times New Roman" w:eastAsia="Times New Roman" w:hAnsi="Times New Roman" w:cs="Times New Roman"/>
          <w:sz w:val="28"/>
          <w:szCs w:val="28"/>
        </w:rPr>
        <w:t>русском языке. Также нами была переведена эта версия на казахский язык, что обеспечивает доступность опросника для обеих основных языковых групп, результаты опубликованы в 2022 году [196, стр.90].  Отметим, что наряду с нашим опросником существует валидиро</w:t>
      </w:r>
      <w:r>
        <w:rPr>
          <w:rFonts w:ascii="Times New Roman" w:eastAsia="Times New Roman" w:hAnsi="Times New Roman" w:cs="Times New Roman"/>
          <w:sz w:val="28"/>
          <w:szCs w:val="28"/>
        </w:rPr>
        <w:t xml:space="preserve">ванная версия на казахском языке, представленная Айтбаевой Б., состоящая из 9 доменов, 38 вопросов [214].  </w:t>
      </w:r>
    </w:p>
    <w:p w:rsidR="000A3797" w:rsidRDefault="00A660E7">
      <w:pPr>
        <w:shd w:val="clear" w:color="auto" w:fill="FFFFFF"/>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Корреляция между степенью субъективной оценки пациентов и суммарным индексом оценки качества жизни была выше (сильная корреляция), чем при объективн</w:t>
      </w:r>
      <w:r>
        <w:rPr>
          <w:rFonts w:ascii="Times New Roman" w:eastAsia="Times New Roman" w:hAnsi="Times New Roman" w:cs="Times New Roman"/>
          <w:sz w:val="28"/>
          <w:szCs w:val="28"/>
        </w:rPr>
        <w:t xml:space="preserve">ой оценке во время гинекологического осмотра (средняя корреляция). Это подтверждает наше предположение о том, что оценка пациента своего состояния в большей мере является показанием к принятию решения о выборе метода лечения при данной патологии. Опрос не </w:t>
      </w:r>
      <w:r>
        <w:rPr>
          <w:rFonts w:ascii="Times New Roman" w:eastAsia="Times New Roman" w:hAnsi="Times New Roman" w:cs="Times New Roman"/>
          <w:sz w:val="28"/>
          <w:szCs w:val="28"/>
        </w:rPr>
        <w:t>может заменить осмотр для выявления ранней стадии пролапса, с целью предотвращения развития более прогрессирующей, однако при принятии решения о методе лечения и мониторинга состояния после лечения может являться надежным инструментом для клинической оценк</w:t>
      </w:r>
      <w:r>
        <w:rPr>
          <w:rFonts w:ascii="Times New Roman" w:eastAsia="Times New Roman" w:hAnsi="Times New Roman" w:cs="Times New Roman"/>
          <w:sz w:val="28"/>
          <w:szCs w:val="28"/>
        </w:rPr>
        <w:t xml:space="preserve">и. Опросник размещен на сайте электронного ресурса </w:t>
      </w:r>
      <w:hyperlink r:id="rId29">
        <w:r>
          <w:rPr>
            <w:rFonts w:ascii="Times New Roman" w:eastAsia="Times New Roman" w:hAnsi="Times New Roman" w:cs="Times New Roman"/>
            <w:b/>
            <w:color w:val="000000"/>
            <w:sz w:val="28"/>
            <w:szCs w:val="28"/>
            <w:u w:val="single"/>
          </w:rPr>
          <w:t>https://www.prolaps-monitoring.com</w:t>
        </w:r>
      </w:hyperlink>
      <w:r>
        <w:rPr>
          <w:rFonts w:ascii="Times New Roman" w:eastAsia="Times New Roman" w:hAnsi="Times New Roman" w:cs="Times New Roman"/>
          <w:b/>
          <w:color w:val="000000"/>
          <w:sz w:val="28"/>
          <w:szCs w:val="28"/>
          <w:u w:val="single"/>
        </w:rPr>
        <w:t xml:space="preserve">. </w:t>
      </w:r>
      <w:r>
        <w:rPr>
          <w:rFonts w:ascii="Times New Roman" w:eastAsia="Times New Roman" w:hAnsi="Times New Roman" w:cs="Times New Roman"/>
          <w:sz w:val="28"/>
          <w:szCs w:val="28"/>
        </w:rPr>
        <w:t xml:space="preserve">Наша версия состоит из 9 доменов, 40 вопросов и автоматизирована. </w:t>
      </w:r>
      <w:r>
        <w:rPr>
          <w:rFonts w:ascii="Times New Roman" w:eastAsia="Times New Roman" w:hAnsi="Times New Roman" w:cs="Times New Roman"/>
          <w:color w:val="000000"/>
          <w:sz w:val="28"/>
          <w:szCs w:val="28"/>
        </w:rPr>
        <w:t>Результат очень прост для интерпретации, не требу</w:t>
      </w:r>
      <w:r>
        <w:rPr>
          <w:rFonts w:ascii="Times New Roman" w:eastAsia="Times New Roman" w:hAnsi="Times New Roman" w:cs="Times New Roman"/>
          <w:color w:val="000000"/>
          <w:sz w:val="28"/>
          <w:szCs w:val="28"/>
        </w:rPr>
        <w:t xml:space="preserve">ет применения формул и расчетов, подсчет значений доменов выводится автоматически и не обязательно требует врачебной оценки, после заполнения результатом можно поделиться с врачом или медицинской сестрой, что отличает, разработанную нами версию. </w:t>
      </w:r>
      <w:r>
        <w:rPr>
          <w:rFonts w:ascii="Times New Roman" w:eastAsia="Times New Roman" w:hAnsi="Times New Roman" w:cs="Times New Roman"/>
          <w:sz w:val="28"/>
          <w:szCs w:val="28"/>
        </w:rPr>
        <w:t xml:space="preserve">Мы также представили систему градаций для оценки уровня качества жизни по 4 степеням, аналогично градации ответов на каждый вопрос, но рекомендуем учитывать их с осторожностью. </w:t>
      </w:r>
      <w:r>
        <w:rPr>
          <w:rFonts w:ascii="Times New Roman" w:eastAsia="Times New Roman" w:hAnsi="Times New Roman" w:cs="Times New Roman"/>
          <w:color w:val="000000"/>
          <w:sz w:val="28"/>
          <w:szCs w:val="28"/>
        </w:rPr>
        <w:t>Ввиду того, что корреляционный анализ показал все же в различии восприятия паци</w:t>
      </w:r>
      <w:r>
        <w:rPr>
          <w:rFonts w:ascii="Times New Roman" w:eastAsia="Times New Roman" w:hAnsi="Times New Roman" w:cs="Times New Roman"/>
          <w:color w:val="000000"/>
          <w:sz w:val="28"/>
          <w:szCs w:val="28"/>
        </w:rPr>
        <w:t>ентов выраженности симптомов, следует интерпретировать результаты отдельно по каждому домену и индивидуально для каждого пациента, не опираясь на какие-либо системы степени оценки уровня качества жизни, так как незначительные симптомы могут оказывать выраж</w:t>
      </w:r>
      <w:r>
        <w:rPr>
          <w:rFonts w:ascii="Times New Roman" w:eastAsia="Times New Roman" w:hAnsi="Times New Roman" w:cs="Times New Roman"/>
          <w:color w:val="000000"/>
          <w:sz w:val="28"/>
          <w:szCs w:val="28"/>
        </w:rPr>
        <w:t>енное влияние и наоборот, что в сумме может усреднить результат и не отражать объективного воздействия.</w:t>
      </w:r>
      <w:r>
        <w:rPr>
          <w:rFonts w:ascii="Times New Roman" w:eastAsia="Times New Roman" w:hAnsi="Times New Roman" w:cs="Times New Roman"/>
          <w:sz w:val="28"/>
          <w:szCs w:val="28"/>
        </w:rPr>
        <w:t xml:space="preserve"> Это подчеркивает важность индивидуального подхода, при котором даже минимальные отклонения от 0 являются поводом для наблюдения и проведения лечебно-про</w:t>
      </w:r>
      <w:r>
        <w:rPr>
          <w:rFonts w:ascii="Times New Roman" w:eastAsia="Times New Roman" w:hAnsi="Times New Roman" w:cs="Times New Roman"/>
          <w:sz w:val="28"/>
          <w:szCs w:val="28"/>
        </w:rPr>
        <w:t>филактических мероприятий. Также для оценки эффективности лечения как в сравнительном аспекте, так и в динамическом (до и после лечения) рекомендуем придерживаться достижения медианного показателя, как достижения уровня качества жизни выше или ниже среднег</w:t>
      </w:r>
      <w:r>
        <w:rPr>
          <w:rFonts w:ascii="Times New Roman" w:eastAsia="Times New Roman" w:hAnsi="Times New Roman" w:cs="Times New Roman"/>
          <w:sz w:val="28"/>
          <w:szCs w:val="28"/>
        </w:rPr>
        <w:t>о, опять же основываясь данными корреляционного анализа где результаты домена  «Симптомы и их восприятие» и имели умеренную корреляцию с результатами домена  «Выраженность симптомов», что указывает на силу субъективности оценки. Тогда как достижение медиан</w:t>
      </w:r>
      <w:r>
        <w:rPr>
          <w:rFonts w:ascii="Times New Roman" w:eastAsia="Times New Roman" w:hAnsi="Times New Roman" w:cs="Times New Roman"/>
          <w:sz w:val="28"/>
          <w:szCs w:val="28"/>
        </w:rPr>
        <w:t>ного показателя является более наглядным показателем значительного ухудшения или улучшения уровня качества жизни.</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доступных источниках мы не нашли убедительных рекомендаций по послеоперационному ведению женщин с пролапсом и тренировке мышц тазового дна [</w:t>
      </w:r>
      <w:r>
        <w:rPr>
          <w:rFonts w:ascii="Times New Roman" w:eastAsia="Times New Roman" w:hAnsi="Times New Roman" w:cs="Times New Roman"/>
          <w:sz w:val="28"/>
          <w:szCs w:val="28"/>
        </w:rPr>
        <w:t>201, стр.393].  В Кокрановском обзоре 2018 года сообщили только о результатах нескольких исследований, в которых оценивали периоперационную тренировку мышц тазового дна с помощью упражнений [170, стр.74]. У пациентов, которые занимались физическими упражне</w:t>
      </w:r>
      <w:r>
        <w:rPr>
          <w:rFonts w:ascii="Times New Roman" w:eastAsia="Times New Roman" w:hAnsi="Times New Roman" w:cs="Times New Roman"/>
          <w:sz w:val="28"/>
          <w:szCs w:val="28"/>
        </w:rPr>
        <w:t>ниями за 2 недели до операции и через 2, 4, 6, 8 и 12 недель после операции, не было обнаружено различий между симптомами пролапса, но мышечная функция значительно улучшилась в группе упражнений в одном из этих исследований [205, стр.275]. Хотя авторы не с</w:t>
      </w:r>
      <w:r>
        <w:rPr>
          <w:rFonts w:ascii="Times New Roman" w:eastAsia="Times New Roman" w:hAnsi="Times New Roman" w:cs="Times New Roman"/>
          <w:sz w:val="28"/>
          <w:szCs w:val="28"/>
        </w:rPr>
        <w:t>ообщали о каких-либо нежелательных явлениях [205,стр.275], мы обеспокоены тем, что ранние упражнения могут вызывать боль или мешать процессу заживления, так как полное восстановление тканей после операции происходит в течение 6–8 недель [215, стр.9; 192, с</w:t>
      </w:r>
      <w:r>
        <w:rPr>
          <w:rFonts w:ascii="Times New Roman" w:eastAsia="Times New Roman" w:hAnsi="Times New Roman" w:cs="Times New Roman"/>
          <w:sz w:val="28"/>
          <w:szCs w:val="28"/>
        </w:rPr>
        <w:t>тр.5]. McClurg D at al. сообщили о значительной разнице в симптомах пролапса через 12 месяцев в группе послеоперационных упражнений по сравнению с контрольной, однако они сообщили о риске систематической ошибки [216, стр.889]. В этом исследовании каждый па</w:t>
      </w:r>
      <w:r>
        <w:rPr>
          <w:rFonts w:ascii="Times New Roman" w:eastAsia="Times New Roman" w:hAnsi="Times New Roman" w:cs="Times New Roman"/>
          <w:sz w:val="28"/>
          <w:szCs w:val="28"/>
        </w:rPr>
        <w:t>циент получил индивидуальный план упражнений через 6 недель после операции [216,стр.889]. Пациенты находились в постоянном контакте с врачом и были проинформированы о рисках рецидива и мерах профилактике, как и в нашем исследовании [216, стр.889]. В то вре</w:t>
      </w:r>
      <w:r>
        <w:rPr>
          <w:rFonts w:ascii="Times New Roman" w:eastAsia="Times New Roman" w:hAnsi="Times New Roman" w:cs="Times New Roman"/>
          <w:sz w:val="28"/>
          <w:szCs w:val="28"/>
        </w:rPr>
        <w:t>мя как многоцентровое факторное рандомизированное исследование 2 x 2 с участием 374 женщин не показало значимой разницы в симптомах пролапса между группами через 2 года после операции, в основной группе также использовалась периоперационная подготовка с тр</w:t>
      </w:r>
      <w:r>
        <w:rPr>
          <w:rFonts w:ascii="Times New Roman" w:eastAsia="Times New Roman" w:hAnsi="Times New Roman" w:cs="Times New Roman"/>
          <w:sz w:val="28"/>
          <w:szCs w:val="28"/>
        </w:rPr>
        <w:t>енировкой мышц тазового дна [165, стр.4].</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Как сообщалось, нерегулярное выполнение тренировок на мышцы тазового дна были причиной неэффективности лечения пролапса физическими упражнениями [13, стр.11]. Оценка самоэффективности считается важным компонентом п</w:t>
      </w:r>
      <w:r>
        <w:rPr>
          <w:rFonts w:ascii="Times New Roman" w:eastAsia="Times New Roman" w:hAnsi="Times New Roman" w:cs="Times New Roman"/>
          <w:sz w:val="28"/>
          <w:szCs w:val="28"/>
        </w:rPr>
        <w:t>овышения приверженности [217, стр.186].Sacomori C, Berghmans B at al. сообщили о результатах РКИ, где обсуждение достижений и целей, видеоотзывы и напоминания о тренировках не повышали приверженность к упражнениям и эффективность больше, чем мастерство вып</w:t>
      </w:r>
      <w:r>
        <w:rPr>
          <w:rFonts w:ascii="Times New Roman" w:eastAsia="Times New Roman" w:hAnsi="Times New Roman" w:cs="Times New Roman"/>
          <w:sz w:val="28"/>
          <w:szCs w:val="28"/>
        </w:rPr>
        <w:t>олнения упражнений [218, стр.190]. Тем не менее, высокая приверженность была достигнута благодаря регулярной обратной связи как в нашем исследовании, так и в исследовании McClurg D at al.  [216,стр.889]. Как сообщалось в более позднем мета-анализе, контрол</w:t>
      </w:r>
      <w:r>
        <w:rPr>
          <w:rFonts w:ascii="Times New Roman" w:eastAsia="Times New Roman" w:hAnsi="Times New Roman" w:cs="Times New Roman"/>
          <w:sz w:val="28"/>
          <w:szCs w:val="28"/>
        </w:rPr>
        <w:t>ь медицинских работников и использование онлайн-приложений улучшили результаты лечения с помощью упражнений для мышц тазового дна [13, стр.11].</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нормативно-правовых документах РК нет точных рекомендаций после операции по поводу пролапса гениталий в казахс</w:t>
      </w:r>
      <w:r>
        <w:rPr>
          <w:rFonts w:ascii="Times New Roman" w:eastAsia="Times New Roman" w:hAnsi="Times New Roman" w:cs="Times New Roman"/>
          <w:sz w:val="28"/>
          <w:szCs w:val="28"/>
        </w:rPr>
        <w:t>танском клиническом протоколе диагностики и лечения пролапса женских половых органов (от 20.11.2015, протокол №16) [201, стр.393].  В настоящее время нет убедительных долгосрочных исследований эффективности тренировки мышц тазового дна [200, стр.394].  Gla</w:t>
      </w:r>
      <w:r>
        <w:rPr>
          <w:rFonts w:ascii="Times New Roman" w:eastAsia="Times New Roman" w:hAnsi="Times New Roman" w:cs="Times New Roman"/>
          <w:sz w:val="28"/>
          <w:szCs w:val="28"/>
        </w:rPr>
        <w:t>zener CM et al.  опубликовали результаты 12-летнего рандомизированного контролируемого исследования, в котором сравнивались вмешательства под руководством медсестры (тренировка тазового дна и детрузора) через 5, 7 и 9 месяцев после родов со стандартным ухо</w:t>
      </w:r>
      <w:r>
        <w:rPr>
          <w:rFonts w:ascii="Times New Roman" w:eastAsia="Times New Roman" w:hAnsi="Times New Roman" w:cs="Times New Roman"/>
          <w:sz w:val="28"/>
          <w:szCs w:val="28"/>
        </w:rPr>
        <w:t>дом, показали, что наличие пролапса органов малого таза и его симптомов не различаются между группами [206, стр.112]. Однако некоторые результаты кажутся обнадёживающими. Hagen S et al оценили более интенсивную программу упражнений (индивидуальная физиотер</w:t>
      </w:r>
      <w:r>
        <w:rPr>
          <w:rFonts w:ascii="Times New Roman" w:eastAsia="Times New Roman" w:hAnsi="Times New Roman" w:cs="Times New Roman"/>
          <w:sz w:val="28"/>
          <w:szCs w:val="28"/>
        </w:rPr>
        <w:t>апия, поддерживающая пилатес и ежегодные индивидуальные осмотры) [218, стр.394]. Результаты исследования показали, что тренировка мышц тазового дна привела к небольшому, но, вероятно, значительному уменьшению симптомов пролапса [180, стр.1]. Тренировка мыш</w:t>
      </w:r>
      <w:r>
        <w:rPr>
          <w:rFonts w:ascii="Times New Roman" w:eastAsia="Times New Roman" w:hAnsi="Times New Roman" w:cs="Times New Roman"/>
          <w:sz w:val="28"/>
          <w:szCs w:val="28"/>
        </w:rPr>
        <w:t>ц тазового дна рекомендована в качестве первой линии лечения недержания мочи в Кокрановском обзоре 2018 года, но необходимы дальнейшие исследования с долгосрочным прогнозом [219, стр.186]. Беременные женщины, которые выполняли интенсивную программу упражне</w:t>
      </w:r>
      <w:r>
        <w:rPr>
          <w:rFonts w:ascii="Times New Roman" w:eastAsia="Times New Roman" w:hAnsi="Times New Roman" w:cs="Times New Roman"/>
          <w:sz w:val="28"/>
          <w:szCs w:val="28"/>
        </w:rPr>
        <w:t>ний во время беременности, реже сообщали о недержании мочи до 6 месяцев после родов (hazard ratio (RR) 0.71, 95% CI 0.54–0.95) [219, стр.186]. Женщины с недержанием мочи, которые выполняли послеродовые упражнения, реже сообщали о недержании мочи через 12 м</w:t>
      </w:r>
      <w:r>
        <w:rPr>
          <w:rFonts w:ascii="Times New Roman" w:eastAsia="Times New Roman" w:hAnsi="Times New Roman" w:cs="Times New Roman"/>
          <w:sz w:val="28"/>
          <w:szCs w:val="28"/>
        </w:rPr>
        <w:t>есяцев после родов (RR 0.60, 95% CI 0.35–1.03) [219, стр.186].</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Можно предположить, что регулярные тренировки являются профилактикой рецидива, так как в группе без тренировок начальные проявления пролапса отмечены через 8 месяцев после операции в нашем иссл</w:t>
      </w:r>
      <w:r>
        <w:rPr>
          <w:rFonts w:ascii="Times New Roman" w:eastAsia="Times New Roman" w:hAnsi="Times New Roman" w:cs="Times New Roman"/>
          <w:sz w:val="28"/>
          <w:szCs w:val="28"/>
        </w:rPr>
        <w:t>едовании. Изменение анатомических точек на передней стенке влагалища (Аа; Ва) и расширение девственного кольца (gh) подтверждают это [201,стр.394].  Однако,  возможно, не у всех пациентов с начальными признаками пролапса будет дальнейшее прогрессирование з</w:t>
      </w:r>
      <w:r>
        <w:rPr>
          <w:rFonts w:ascii="Times New Roman" w:eastAsia="Times New Roman" w:hAnsi="Times New Roman" w:cs="Times New Roman"/>
          <w:sz w:val="28"/>
          <w:szCs w:val="28"/>
        </w:rPr>
        <w:t>аболевания, необходимы более длительные исследования для подтверждения [201,стр 394].</w:t>
      </w:r>
    </w:p>
    <w:p w:rsidR="000A3797" w:rsidRDefault="00A660E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Это первое исследование, в котором мы предложили использовать силу мышц тазового дна для прогнозирования рецидива пролапса таза после операции [201, стр.394]. Мы предпола</w:t>
      </w:r>
      <w:r>
        <w:rPr>
          <w:rFonts w:ascii="Times New Roman" w:eastAsia="Times New Roman" w:hAnsi="Times New Roman" w:cs="Times New Roman"/>
          <w:sz w:val="28"/>
          <w:szCs w:val="28"/>
        </w:rPr>
        <w:t>гаем, что этот показатель может быть использован клиницистами для оценки риска пролапса у бессимптомных пациенток с использованием простых неинвазивных методов: как с помощью пневматического перинеометра, так и с помощью метода вагинальной пальпации с оцен</w:t>
      </w:r>
      <w:r>
        <w:rPr>
          <w:rFonts w:ascii="Times New Roman" w:eastAsia="Times New Roman" w:hAnsi="Times New Roman" w:cs="Times New Roman"/>
          <w:sz w:val="28"/>
          <w:szCs w:val="28"/>
        </w:rPr>
        <w:t>кой по шкале Оксфорда [201, стр.394]. В любом случае, выполнение упражнений как рекомендация, не требуют финансовых затрат, это простой способ профилактики пролапса и возможных осложнений в родах без риска вреда для здоровья [201, стр 394].</w:t>
      </w:r>
    </w:p>
    <w:p w:rsidR="000A3797" w:rsidRDefault="00A660E7">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Комплексное хирургическое лечение сочетанного пролапса статистически значимо улучшает показатели качества жизни по сравнению с этапным лечением. Также статистически значимо отличались количество повторных госпитализаций по поводу симптомов пролапса, что та</w:t>
      </w:r>
      <w:r>
        <w:rPr>
          <w:rFonts w:ascii="Times New Roman" w:eastAsia="Times New Roman" w:hAnsi="Times New Roman" w:cs="Times New Roman"/>
          <w:sz w:val="28"/>
          <w:szCs w:val="28"/>
        </w:rPr>
        <w:t>кже подтверждено в зарубежных исследованиях [125, стр180].</w:t>
      </w:r>
    </w:p>
    <w:p w:rsidR="000A3797" w:rsidRDefault="00A660E7">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Результаты нашего исследования демонстрируют эффективность оценки качества жизни как исходной точки определения эффективности лечения при пролапсе, что служит основанием оценивать качество жизни ка</w:t>
      </w:r>
      <w:r>
        <w:rPr>
          <w:rFonts w:ascii="Times New Roman" w:eastAsia="Times New Roman" w:hAnsi="Times New Roman" w:cs="Times New Roman"/>
          <w:sz w:val="28"/>
          <w:szCs w:val="28"/>
        </w:rPr>
        <w:t xml:space="preserve">к критерий излечения [200, стр.64]. </w:t>
      </w:r>
    </w:p>
    <w:p w:rsidR="000A3797" w:rsidRDefault="00A660E7">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Также имеет смысл пересмотра оплаты за счет средств обязательного медицинского страхования при лечении сочетанного пролапса с возможностью проведения нескольких процедур за одну операцию, либо проводить операцию с допущ</w:t>
      </w:r>
      <w:r>
        <w:rPr>
          <w:rFonts w:ascii="Times New Roman" w:eastAsia="Times New Roman" w:hAnsi="Times New Roman" w:cs="Times New Roman"/>
          <w:sz w:val="28"/>
          <w:szCs w:val="28"/>
        </w:rPr>
        <w:t>ением сооплаты.  Даже одно оперативное вмешательство является стрессом, сбор анализов, инструментальных исследований, осмотр специалистов, риски связанные с хирургической манипуляцией и анестезиологическим пособием, длительный период реабилитации, временна</w:t>
      </w:r>
      <w:r>
        <w:rPr>
          <w:rFonts w:ascii="Times New Roman" w:eastAsia="Times New Roman" w:hAnsi="Times New Roman" w:cs="Times New Roman"/>
          <w:sz w:val="28"/>
          <w:szCs w:val="28"/>
        </w:rPr>
        <w:t>я утрата трудоспособности, учитывая, что после первой операции пациент не испытывает значительного улучшения своего состояния. Этапное лечение не только не улучшает клинические исходы, но и влияет на эмоциональное, социальное и экономическое благополучие п</w:t>
      </w:r>
      <w:r>
        <w:rPr>
          <w:rFonts w:ascii="Times New Roman" w:eastAsia="Times New Roman" w:hAnsi="Times New Roman" w:cs="Times New Roman"/>
          <w:sz w:val="28"/>
          <w:szCs w:val="28"/>
        </w:rPr>
        <w:t xml:space="preserve">ациентов, что в целом является критериями здоровья по определению Всемирной Организации Здравоохранения. </w:t>
      </w:r>
    </w:p>
    <w:p w:rsidR="000A3797" w:rsidRDefault="00A660E7">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оценки влияния факторов риска и приверженности к профилактическим мероприятиям нам необходим был надежный опросник. Мы разработали опросник «Монит</w:t>
      </w:r>
      <w:r>
        <w:rPr>
          <w:rFonts w:ascii="Times New Roman" w:eastAsia="Times New Roman" w:hAnsi="Times New Roman" w:cs="Times New Roman"/>
          <w:sz w:val="28"/>
          <w:szCs w:val="28"/>
        </w:rPr>
        <w:t>оринг выявления послеоперационных исходов у пациентов с генитальным пролапсом» (МВПИ), предназначенный для своевременного выявления рецидива, оценки приверженности пациентов к выполнению рекомендаций и выявления факторов, способствующих рецидиву после опер</w:t>
      </w:r>
      <w:r>
        <w:rPr>
          <w:rFonts w:ascii="Times New Roman" w:eastAsia="Times New Roman" w:hAnsi="Times New Roman" w:cs="Times New Roman"/>
          <w:sz w:val="28"/>
          <w:szCs w:val="28"/>
        </w:rPr>
        <w:t>ации. Опросник создан на основе данных крупных исследований, протоколов и клинических рекомендаций [193, стр. 90]. После проведения этапов внешней и содержательной валидности итоговая версия опросника включает 6 доменов и 41 вопрос, при этом все сложные дл</w:t>
      </w:r>
      <w:r>
        <w:rPr>
          <w:rFonts w:ascii="Times New Roman" w:eastAsia="Times New Roman" w:hAnsi="Times New Roman" w:cs="Times New Roman"/>
          <w:sz w:val="28"/>
          <w:szCs w:val="28"/>
        </w:rPr>
        <w:t>я понимания вопросы были адаптированы, а гинекологи-эксперты внесли необходимые корректировки. Статистический анализ подтвердил надежность и валидность опросника [193, стр. 90], а время его заполнения составляет менее 12 минут.</w:t>
      </w:r>
    </w:p>
    <w:p w:rsidR="000A3797" w:rsidRDefault="00A660E7">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Мы полагаем, что данный инст</w:t>
      </w:r>
      <w:r>
        <w:rPr>
          <w:rFonts w:ascii="Times New Roman" w:eastAsia="Times New Roman" w:hAnsi="Times New Roman" w:cs="Times New Roman"/>
          <w:sz w:val="28"/>
          <w:szCs w:val="28"/>
        </w:rPr>
        <w:t>румент может быть успешно применен в клинической практике для своевременного отслеживания рецидива и связанных с ним факторов, что позволит предотвратить усугубление симптомов. Электронная версия опросника автоматически формирует краткий анамнез, который л</w:t>
      </w:r>
      <w:r>
        <w:rPr>
          <w:rFonts w:ascii="Times New Roman" w:eastAsia="Times New Roman" w:hAnsi="Times New Roman" w:cs="Times New Roman"/>
          <w:sz w:val="28"/>
          <w:szCs w:val="28"/>
        </w:rPr>
        <w:t>егко и быстро могут интерпретировать как врачи, так и медицинские сестры.</w:t>
      </w:r>
    </w:p>
    <w:p w:rsidR="000A3797" w:rsidRDefault="00A660E7">
      <w:pPr>
        <w:spacing w:after="0" w:line="240" w:lineRule="auto"/>
        <w:ind w:firstLine="567"/>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Заполнить опросник можно на сайте электронного ресурса </w:t>
      </w:r>
      <w:hyperlink r:id="rId30">
        <w:r>
          <w:rPr>
            <w:rFonts w:ascii="Times New Roman" w:eastAsia="Times New Roman" w:hAnsi="Times New Roman" w:cs="Times New Roman"/>
            <w:b/>
            <w:color w:val="000000"/>
            <w:sz w:val="28"/>
            <w:szCs w:val="28"/>
            <w:u w:val="single"/>
          </w:rPr>
          <w:t>https://www.prolaps-monitoring.com</w:t>
        </w:r>
      </w:hyperlink>
      <w:r>
        <w:rPr>
          <w:rFonts w:ascii="Times New Roman" w:eastAsia="Times New Roman" w:hAnsi="Times New Roman" w:cs="Times New Roman"/>
          <w:b/>
          <w:color w:val="000000"/>
          <w:sz w:val="28"/>
          <w:szCs w:val="28"/>
          <w:u w:val="single"/>
        </w:rPr>
        <w:t xml:space="preserve">, </w:t>
      </w:r>
      <w:r>
        <w:rPr>
          <w:rFonts w:ascii="Times New Roman" w:eastAsia="Times New Roman" w:hAnsi="Times New Roman" w:cs="Times New Roman"/>
          <w:color w:val="000000"/>
          <w:sz w:val="28"/>
          <w:szCs w:val="28"/>
        </w:rPr>
        <w:t>а ответом поделиться с врачом или мед</w:t>
      </w:r>
      <w:r>
        <w:rPr>
          <w:rFonts w:ascii="Times New Roman" w:eastAsia="Times New Roman" w:hAnsi="Times New Roman" w:cs="Times New Roman"/>
          <w:color w:val="000000"/>
          <w:sz w:val="28"/>
          <w:szCs w:val="28"/>
        </w:rPr>
        <w:t>ицинской сестрой, что позволит своевременно реагировать на изменении в приверженности к профилактике или появлений симптомов пролапса, таким образом снизив и кратность посещения медицинской организации и не пропустить нуждаемость в осмотре.</w:t>
      </w:r>
      <w:r>
        <w:rPr>
          <w:rFonts w:ascii="Times New Roman" w:eastAsia="Times New Roman" w:hAnsi="Times New Roman" w:cs="Times New Roman"/>
          <w:b/>
          <w:color w:val="000000"/>
          <w:sz w:val="28"/>
          <w:szCs w:val="28"/>
        </w:rPr>
        <w:t xml:space="preserve"> </w:t>
      </w:r>
    </w:p>
    <w:p w:rsidR="000A3797" w:rsidRDefault="00A660E7">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Данные мета-ан</w:t>
      </w:r>
      <w:r>
        <w:rPr>
          <w:rFonts w:ascii="Times New Roman" w:eastAsia="Times New Roman" w:hAnsi="Times New Roman" w:cs="Times New Roman"/>
          <w:sz w:val="28"/>
          <w:szCs w:val="28"/>
        </w:rPr>
        <w:t>ализа 2022 года определили более молодой возраст и предоперационную стадию пролапса как существенные риски рецидива пролапса. Некоторые данные, включённые в мета-анализ, свидетельствуют о влиянии ИМТ на частоту повторных оперативных вмешательств при пролап</w:t>
      </w:r>
      <w:r>
        <w:rPr>
          <w:rFonts w:ascii="Times New Roman" w:eastAsia="Times New Roman" w:hAnsi="Times New Roman" w:cs="Times New Roman"/>
          <w:sz w:val="28"/>
          <w:szCs w:val="28"/>
        </w:rPr>
        <w:t>се. В этом же мета-анализе сообщается, что наличие курения оказывало протективную роль в отношении рецидива [149, стр.192]. В другом более раннем исследовании курение, наоборот, повышало риски шансы рецидива, в том числе и ИМТ [151, стр.503]. В данной прог</w:t>
      </w:r>
      <w:r>
        <w:rPr>
          <w:rFonts w:ascii="Times New Roman" w:eastAsia="Times New Roman" w:hAnsi="Times New Roman" w:cs="Times New Roman"/>
          <w:sz w:val="28"/>
          <w:szCs w:val="28"/>
        </w:rPr>
        <w:t>ностической модели курение увеличивает шанс развития рецидива в 6.4 раза (95% ДИ: 2.427-16.742), Увеличение индекса массы тела на 1 кг/м</w:t>
      </w:r>
      <w:r>
        <w:rPr>
          <w:rFonts w:ascii="Times New Roman" w:eastAsia="Times New Roman" w:hAnsi="Times New Roman" w:cs="Times New Roman"/>
          <w:sz w:val="28"/>
          <w:szCs w:val="28"/>
          <w:vertAlign w:val="superscript"/>
        </w:rPr>
        <w:t xml:space="preserve">2 </w:t>
      </w:r>
      <w:r>
        <w:rPr>
          <w:rFonts w:ascii="Times New Roman" w:eastAsia="Times New Roman" w:hAnsi="Times New Roman" w:cs="Times New Roman"/>
          <w:sz w:val="28"/>
          <w:szCs w:val="28"/>
        </w:rPr>
        <w:t xml:space="preserve">увеличивает шанс рецидива генитального пролапса в 1.3 раза (ДИ: 1.120-1.599) [198,стр.12488].  Однако стадия пролапса </w:t>
      </w:r>
      <w:r>
        <w:rPr>
          <w:rFonts w:ascii="Times New Roman" w:eastAsia="Times New Roman" w:hAnsi="Times New Roman" w:cs="Times New Roman"/>
          <w:sz w:val="28"/>
          <w:szCs w:val="28"/>
        </w:rPr>
        <w:t>до операции статистически значимо не влияла на вероятность рецидива пролапса [198,  стр.12488]. Роль сетчатых протезов в защите от рецидива до конца не ясна, хотя достаточно много данных сообщали о снижении рецидива при использовании сетки, также есть данн</w:t>
      </w:r>
      <w:r>
        <w:rPr>
          <w:rFonts w:ascii="Times New Roman" w:eastAsia="Times New Roman" w:hAnsi="Times New Roman" w:cs="Times New Roman"/>
          <w:sz w:val="28"/>
          <w:szCs w:val="28"/>
        </w:rPr>
        <w:t>ые, что не было разницы между использованием сетки по сравнению с нативными тканями или биологическими трансплантатами [151, стр.503]. В данной прогностической модели не было статистически значимого влияния использования сетчатых протезов по сравнению с оп</w:t>
      </w:r>
      <w:r>
        <w:rPr>
          <w:rFonts w:ascii="Times New Roman" w:eastAsia="Times New Roman" w:hAnsi="Times New Roman" w:cs="Times New Roman"/>
          <w:sz w:val="28"/>
          <w:szCs w:val="28"/>
        </w:rPr>
        <w:t>ерациями нативными тканями [198 ,стр.12488].  Также не было влияния выбранного хирургического метода, хотя некоторые данные говорят о влиянии хирургической тактики на вероятность рецидива пролапса [177, стр.6].</w:t>
      </w:r>
    </w:p>
    <w:p w:rsidR="000A3797" w:rsidRDefault="00A660E7">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Вегетарианство было фактором риска рецидива, </w:t>
      </w:r>
      <w:r>
        <w:rPr>
          <w:rFonts w:ascii="Times New Roman" w:eastAsia="Times New Roman" w:hAnsi="Times New Roman" w:cs="Times New Roman"/>
          <w:sz w:val="28"/>
          <w:szCs w:val="28"/>
        </w:rPr>
        <w:t>тогда как частое употребление в пищу соевых продуктов и вагинальный половой акт после операции могут уменьшить рецидив [198 ,стр.12488].  Как известно, некоторые нутриенты могут влиять на образование коллагена в исследованиях</w:t>
      </w:r>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 xml:space="preserve"> В нашей прогностической модел</w:t>
      </w:r>
      <w:r>
        <w:rPr>
          <w:rFonts w:ascii="Times New Roman" w:eastAsia="Times New Roman" w:hAnsi="Times New Roman" w:cs="Times New Roman"/>
          <w:sz w:val="28"/>
          <w:szCs w:val="28"/>
        </w:rPr>
        <w:t>и нерегулярное употребление белковой пищи (менее 1.2 грамма на 1 кг веса) способствует увеличению шанса рецидива в 3.6 раз (95% ДИ: 1.431-8.977), однако однозначно судить о влиянии белковой пищи по данным авторов нельзя, оценка по данным анкетирования явля</w:t>
      </w:r>
      <w:r>
        <w:rPr>
          <w:rFonts w:ascii="Times New Roman" w:eastAsia="Times New Roman" w:hAnsi="Times New Roman" w:cs="Times New Roman"/>
          <w:sz w:val="28"/>
          <w:szCs w:val="28"/>
        </w:rPr>
        <w:t xml:space="preserve">ется весьма субъективной [201 ,стр.188].  Есть недостаточно убедительные данные о влиянии заместительной гормональной терапии на свойство тканей </w:t>
      </w:r>
      <w:r>
        <w:rPr>
          <w:rFonts w:ascii="Times New Roman" w:eastAsia="Times New Roman" w:hAnsi="Times New Roman" w:cs="Times New Roman"/>
          <w:sz w:val="28"/>
          <w:szCs w:val="28"/>
          <w:highlight w:val="white"/>
        </w:rPr>
        <w:t>[181, стр.83]</w:t>
      </w:r>
      <w:r>
        <w:rPr>
          <w:rFonts w:ascii="Times New Roman" w:eastAsia="Times New Roman" w:hAnsi="Times New Roman" w:cs="Times New Roman"/>
          <w:sz w:val="28"/>
          <w:szCs w:val="28"/>
        </w:rPr>
        <w:t>, однако в этом исследовании протективного влияния заместительной гормональной терапии (ЗГТ) на ре</w:t>
      </w:r>
      <w:r>
        <w:rPr>
          <w:rFonts w:ascii="Times New Roman" w:eastAsia="Times New Roman" w:hAnsi="Times New Roman" w:cs="Times New Roman"/>
          <w:sz w:val="28"/>
          <w:szCs w:val="28"/>
        </w:rPr>
        <w:t>цидив не было. Роль Витамин D может быть многообещающей в профилактике рецидива [198, стр.12488].  Многие исследования продемонстрировали корреляцию между слабостью скелетных мышц и низкой концентрацией витамина D, в том числе и связь с дисфункцией тазовог</w:t>
      </w:r>
      <w:r>
        <w:rPr>
          <w:rFonts w:ascii="Times New Roman" w:eastAsia="Times New Roman" w:hAnsi="Times New Roman" w:cs="Times New Roman"/>
          <w:sz w:val="28"/>
          <w:szCs w:val="28"/>
        </w:rPr>
        <w:t>о дна, а также уменьшения симптомов пролапса при использовании добавок витамина D [191, стр.1512]. В данной модели нормализация уровня витамина D3 уменьшает шанс развития рецидива в 1.9 раза (95% ДИ: 0.747-0.945), что также может влиять на прочность соедин</w:t>
      </w:r>
      <w:r>
        <w:rPr>
          <w:rFonts w:ascii="Times New Roman" w:eastAsia="Times New Roman" w:hAnsi="Times New Roman" w:cs="Times New Roman"/>
          <w:sz w:val="28"/>
          <w:szCs w:val="28"/>
        </w:rPr>
        <w:t xml:space="preserve">ительной ткани [198,  стр.12488].  Есть некоторые исследования, о нарушении структуры коллагена, в следствие его гликолизации </w:t>
      </w:r>
      <w:r>
        <w:rPr>
          <w:rFonts w:ascii="Times New Roman" w:eastAsia="Times New Roman" w:hAnsi="Times New Roman" w:cs="Times New Roman"/>
          <w:sz w:val="28"/>
          <w:szCs w:val="28"/>
          <w:highlight w:val="white"/>
        </w:rPr>
        <w:t xml:space="preserve">[152.стр.1517]. </w:t>
      </w:r>
      <w:r>
        <w:rPr>
          <w:rFonts w:ascii="Times New Roman" w:eastAsia="Times New Roman" w:hAnsi="Times New Roman" w:cs="Times New Roman"/>
          <w:sz w:val="28"/>
          <w:szCs w:val="28"/>
        </w:rPr>
        <w:t>Употребление углеводов более 25 грамм в день увеличивает шанс рецидива на 2.058 (ДИ: 0.887-4.771) [198,   стр.12488].  Однако, оценка употребления углеводов также достаточно субъективна и скорее имеет влияние через повышение массы тела, несмотря на это авт</w:t>
      </w:r>
      <w:r>
        <w:rPr>
          <w:rFonts w:ascii="Times New Roman" w:eastAsia="Times New Roman" w:hAnsi="Times New Roman" w:cs="Times New Roman"/>
          <w:sz w:val="28"/>
          <w:szCs w:val="28"/>
        </w:rPr>
        <w:t xml:space="preserve">оры все же включили данную рекомендацию для женщин с целью предотвращения рецидива [198  ,стр.12488].  </w:t>
      </w:r>
    </w:p>
    <w:p w:rsidR="000A3797" w:rsidRDefault="00A660E7">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highlight w:val="white"/>
        </w:rPr>
        <w:t xml:space="preserve">Комплексное воздействие на другие факторы риска могли бы служить комплексом мероприятий по профилактике пролапса </w:t>
      </w:r>
      <w:r>
        <w:rPr>
          <w:rFonts w:ascii="Times New Roman" w:eastAsia="Times New Roman" w:hAnsi="Times New Roman" w:cs="Times New Roman"/>
          <w:sz w:val="28"/>
          <w:szCs w:val="28"/>
        </w:rPr>
        <w:t xml:space="preserve">[198 ,стр.12488]. </w:t>
      </w:r>
      <w:r>
        <w:rPr>
          <w:rFonts w:ascii="Times New Roman" w:eastAsia="Times New Roman" w:hAnsi="Times New Roman" w:cs="Times New Roman"/>
          <w:sz w:val="28"/>
          <w:szCs w:val="28"/>
          <w:highlight w:val="white"/>
        </w:rPr>
        <w:t xml:space="preserve"> Например, предотвра</w:t>
      </w:r>
      <w:r>
        <w:rPr>
          <w:rFonts w:ascii="Times New Roman" w:eastAsia="Times New Roman" w:hAnsi="Times New Roman" w:cs="Times New Roman"/>
          <w:sz w:val="28"/>
          <w:szCs w:val="28"/>
          <w:highlight w:val="white"/>
        </w:rPr>
        <w:t>щение действий, повышающий внутрибрюшное давление, такие как длительный кашель, поднятие тяжести, запоры [180, стр.69]. Широко распространённая практика лечения дисбактериоза кишечника, хронических запоров, которые не были подтверждены в крупных исследован</w:t>
      </w:r>
      <w:r>
        <w:rPr>
          <w:rFonts w:ascii="Times New Roman" w:eastAsia="Times New Roman" w:hAnsi="Times New Roman" w:cs="Times New Roman"/>
          <w:sz w:val="28"/>
          <w:szCs w:val="28"/>
          <w:highlight w:val="white"/>
        </w:rPr>
        <w:t xml:space="preserve">иях [180 ,стр.69]. В качестве профилактической меры также предлагается снижение веса с помощью диеты или бариатрической хирургии </w:t>
      </w:r>
      <w:r>
        <w:rPr>
          <w:rFonts w:ascii="Times New Roman" w:eastAsia="Times New Roman" w:hAnsi="Times New Roman" w:cs="Times New Roman"/>
          <w:sz w:val="28"/>
          <w:szCs w:val="28"/>
        </w:rPr>
        <w:t xml:space="preserve">[171, стр. 26; 8стр.188]. </w:t>
      </w:r>
      <w:r>
        <w:rPr>
          <w:rFonts w:ascii="Times New Roman" w:eastAsia="Times New Roman" w:hAnsi="Times New Roman" w:cs="Times New Roman"/>
          <w:sz w:val="28"/>
          <w:szCs w:val="28"/>
          <w:highlight w:val="white"/>
        </w:rPr>
        <w:t xml:space="preserve"> Некоторые исследования подтвердили влияние снижения веса на улучшение симптомов пролапса [</w:t>
      </w:r>
      <w:r>
        <w:rPr>
          <w:rFonts w:ascii="Times New Roman" w:eastAsia="Times New Roman" w:hAnsi="Times New Roman" w:cs="Times New Roman"/>
          <w:sz w:val="28"/>
          <w:szCs w:val="28"/>
        </w:rPr>
        <w:t xml:space="preserve">171, стр. </w:t>
      </w:r>
      <w:r>
        <w:rPr>
          <w:rFonts w:ascii="Times New Roman" w:eastAsia="Times New Roman" w:hAnsi="Times New Roman" w:cs="Times New Roman"/>
          <w:sz w:val="28"/>
          <w:szCs w:val="28"/>
        </w:rPr>
        <w:t>26;</w:t>
      </w:r>
      <w:r>
        <w:rPr>
          <w:rFonts w:ascii="Times New Roman" w:eastAsia="Times New Roman" w:hAnsi="Times New Roman" w:cs="Times New Roman"/>
          <w:sz w:val="28"/>
          <w:szCs w:val="28"/>
          <w:highlight w:val="white"/>
        </w:rPr>
        <w:t xml:space="preserve">180, стр.69], но в исследованиях с использованием объективных количественных методов оценки пролапса статистически значимых улучшений не выявлено [181, стр.1219]. В данной модели </w:t>
      </w:r>
      <w:r>
        <w:rPr>
          <w:rFonts w:ascii="Times New Roman" w:eastAsia="Times New Roman" w:hAnsi="Times New Roman" w:cs="Times New Roman"/>
          <w:sz w:val="28"/>
          <w:szCs w:val="28"/>
        </w:rPr>
        <w:t>снижение массы тела на 5 кг и более способствует снижению шанса развития р</w:t>
      </w:r>
      <w:r>
        <w:rPr>
          <w:rFonts w:ascii="Times New Roman" w:eastAsia="Times New Roman" w:hAnsi="Times New Roman" w:cs="Times New Roman"/>
          <w:sz w:val="28"/>
          <w:szCs w:val="28"/>
        </w:rPr>
        <w:t>ецидива в 2 раза (95% ДИ: 0.008-0.300), запоры увеличивают шанс развития рецидива в 3.535 раза (95% ДИ: 1.336-9.355). В мета-анализе 2022 года выявлено влияние более молодого возраста на рецидив. Однако авторы не включили в исследование женщин младше 45 ле</w:t>
      </w:r>
      <w:r>
        <w:rPr>
          <w:rFonts w:ascii="Times New Roman" w:eastAsia="Times New Roman" w:hAnsi="Times New Roman" w:cs="Times New Roman"/>
          <w:sz w:val="28"/>
          <w:szCs w:val="28"/>
        </w:rPr>
        <w:t>т, что вероятно повлияло на отсутствие влияния возраста, однако с увеличение продолжительности менопаузы на 1 год, повышался шанс рецидива в 2.7 раза (95% ДИ: 1.286-5.755). Диагностическая эффективность данной модели составила 84.7%. Поднятие тяжести более</w:t>
      </w:r>
      <w:r>
        <w:rPr>
          <w:rFonts w:ascii="Times New Roman" w:eastAsia="Times New Roman" w:hAnsi="Times New Roman" w:cs="Times New Roman"/>
          <w:sz w:val="28"/>
          <w:szCs w:val="28"/>
        </w:rPr>
        <w:t xml:space="preserve"> 5 кг увеличивает шанс развития рецидива в 11.12 раз (95% ДИ: 2.233-56.091). Мы также определили допустимое поднятие тяжести 4.75 кг, чувствительность и специфичность метода составила 67.4% и 95.3% соответственно, подобных рекомендаций о максимально допуст</w:t>
      </w:r>
      <w:r>
        <w:rPr>
          <w:rFonts w:ascii="Times New Roman" w:eastAsia="Times New Roman" w:hAnsi="Times New Roman" w:cs="Times New Roman"/>
          <w:sz w:val="28"/>
          <w:szCs w:val="28"/>
        </w:rPr>
        <w:t xml:space="preserve">имом поднятии тяжести авторы не встречали [198 , стр.12488].  </w:t>
      </w:r>
    </w:p>
    <w:p w:rsidR="000A3797" w:rsidRDefault="00A660E7">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Непрерывный мониторинг и коррекция факторов риска статистически значимо снижали частоту рецидивов в основной группе, где рецидивы различной степени тяжести встречались лишь у 3 процентов пациен</w:t>
      </w:r>
      <w:r>
        <w:rPr>
          <w:rFonts w:ascii="Times New Roman" w:eastAsia="Times New Roman" w:hAnsi="Times New Roman" w:cs="Times New Roman"/>
          <w:sz w:val="28"/>
          <w:szCs w:val="28"/>
        </w:rPr>
        <w:t xml:space="preserve">тов, тогда как во второй группе этот показатель достигал 43 процентов [198, стр. 12488]. Высокая частота рецидивов была связана с тем, что пациенты, наблюдающиеся в организациях ПМСП, в 36 процентах случаев не посещали гинеколога после операции ни разу, а </w:t>
      </w:r>
      <w:r>
        <w:rPr>
          <w:rFonts w:ascii="Times New Roman" w:eastAsia="Times New Roman" w:hAnsi="Times New Roman" w:cs="Times New Roman"/>
          <w:sz w:val="28"/>
          <w:szCs w:val="28"/>
        </w:rPr>
        <w:t>в 64 процентах случаев делали это реже одного раза в год. В основной группе все пациенты соблюдали частоту посещений раз в 6 месяцев [201, стр. 188].</w:t>
      </w:r>
    </w:p>
    <w:p w:rsidR="000A3797" w:rsidRDefault="00A660E7">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Также в контрольной группе частота встречаемости всех изучаемых факторов риска была статистически значимо </w:t>
      </w:r>
      <w:r>
        <w:rPr>
          <w:rFonts w:ascii="Times New Roman" w:eastAsia="Times New Roman" w:hAnsi="Times New Roman" w:cs="Times New Roman"/>
          <w:sz w:val="28"/>
          <w:szCs w:val="28"/>
        </w:rPr>
        <w:t>выше по сравнению с группой мониторинга [198, стр.12488].  Благодаря динамическому наблюдению пациентов, нам удалось добиться снижения влияния факторов риска, что привело к значительному снижению рецидива ГП. Наиболее распространенным анатомическим проявле</w:t>
      </w:r>
      <w:r>
        <w:rPr>
          <w:rFonts w:ascii="Times New Roman" w:eastAsia="Times New Roman" w:hAnsi="Times New Roman" w:cs="Times New Roman"/>
          <w:sz w:val="28"/>
          <w:szCs w:val="28"/>
        </w:rPr>
        <w:t xml:space="preserve">нием рецидива был цистоцеле [198, стр.12488]. При этом в 36% участниц клинического эксперимента, не посещавших врача, появлялись симптомы </w:t>
      </w:r>
      <w:r>
        <w:rPr>
          <w:rFonts w:ascii="Times New Roman" w:eastAsia="Times New Roman" w:hAnsi="Times New Roman" w:cs="Times New Roman"/>
          <w:i/>
          <w:sz w:val="28"/>
          <w:szCs w:val="28"/>
        </w:rPr>
        <w:t>de novo.</w:t>
      </w:r>
      <w:r>
        <w:rPr>
          <w:rFonts w:ascii="Times New Roman" w:eastAsia="Times New Roman" w:hAnsi="Times New Roman" w:cs="Times New Roman"/>
          <w:sz w:val="28"/>
          <w:szCs w:val="28"/>
        </w:rPr>
        <w:t xml:space="preserve"> У пациенток основной группы не отмечены тазовые боли и симптомы эрозии сетки [198 ,стр.12488].  Лабораторные </w:t>
      </w:r>
      <w:r>
        <w:rPr>
          <w:rFonts w:ascii="Times New Roman" w:eastAsia="Times New Roman" w:hAnsi="Times New Roman" w:cs="Times New Roman"/>
          <w:sz w:val="28"/>
          <w:szCs w:val="28"/>
        </w:rPr>
        <w:t>показатели больных, которые периодически наблюдались гинекологом, статистически значимо отличались от показателей выборки, не посещавшей врача в послеоперационный период: у репрезентов основной группы определялись более высокие значения содержания гемоглоб</w:t>
      </w:r>
      <w:r>
        <w:rPr>
          <w:rFonts w:ascii="Times New Roman" w:eastAsia="Times New Roman" w:hAnsi="Times New Roman" w:cs="Times New Roman"/>
          <w:sz w:val="28"/>
          <w:szCs w:val="28"/>
        </w:rPr>
        <w:t>ина, ферритина и витамина Д3 [198, стр.12488].  Улучшение общего состояния фиксировалось у всех пациенток основной группы и 58% представителей контрольной выборки [198, стр.12488].  Согласно коэффициентам регрессии прогностической модели для определения фа</w:t>
      </w:r>
      <w:r>
        <w:rPr>
          <w:rFonts w:ascii="Times New Roman" w:eastAsia="Times New Roman" w:hAnsi="Times New Roman" w:cs="Times New Roman"/>
          <w:sz w:val="28"/>
          <w:szCs w:val="28"/>
        </w:rPr>
        <w:t>кторов риска появления рецидивов, к таким относятся: продолжительность менопаузы; излишние силовые физические нагрузки; недостаточное потребление белков и чрезмерное – углеводов; индекс массы тела [198, стр.12488].  Пороговым значением силовой нагрузки сле</w:t>
      </w:r>
      <w:r>
        <w:rPr>
          <w:rFonts w:ascii="Times New Roman" w:eastAsia="Times New Roman" w:hAnsi="Times New Roman" w:cs="Times New Roman"/>
          <w:sz w:val="28"/>
          <w:szCs w:val="28"/>
        </w:rPr>
        <w:t>дует считать подъем груза массой 4,75 кг [198,  стр.12488].  В свою очередь, предотвратить рецидив могут достаточный уровень витамина Д3 и снижение массы тела на 5 кг и более [198 ,стр.12488]. Определено пороговое значение функции P (1) в точке cut-off сос</w:t>
      </w:r>
      <w:r>
        <w:rPr>
          <w:rFonts w:ascii="Times New Roman" w:eastAsia="Times New Roman" w:hAnsi="Times New Roman" w:cs="Times New Roman"/>
          <w:sz w:val="28"/>
          <w:szCs w:val="28"/>
        </w:rPr>
        <w:t xml:space="preserve">тавляло 0.07 для полученной прогностической модели [198 ,стр.12488].  Чувствительность, соответствующая доле рецидивов пролапса, составили 95.7 % и специфичность, соответствующая доле случаев отсутствие тазового пролапса, составила 91.3% [198, стр.12488]. </w:t>
      </w:r>
      <w:r>
        <w:rPr>
          <w:rFonts w:ascii="Times New Roman" w:eastAsia="Times New Roman" w:hAnsi="Times New Roman" w:cs="Times New Roman"/>
          <w:sz w:val="28"/>
          <w:szCs w:val="28"/>
        </w:rPr>
        <w:t>Данное пороговое значение можно использовать в клинической практике для оценки риска рецидива пролапса при использовании нашей прогностической модели [198 ,стр.12488].</w:t>
      </w:r>
    </w:p>
    <w:p w:rsidR="000A3797" w:rsidRDefault="00A660E7">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Внедрение прогностических моделей в клиническую практику поможет оценивать вероятность </w:t>
      </w:r>
      <w:r>
        <w:rPr>
          <w:rFonts w:ascii="Times New Roman" w:eastAsia="Times New Roman" w:hAnsi="Times New Roman" w:cs="Times New Roman"/>
          <w:sz w:val="28"/>
          <w:szCs w:val="28"/>
        </w:rPr>
        <w:t xml:space="preserve">развития рецидива и влиять на факторы риска. Мы включили все эти факторы, оценку их влияния и меры профилактики в руководств по генитальному пролапсу для женщин и разместили на сайте, разработанного электронного ресурса </w:t>
      </w:r>
      <w:hyperlink r:id="rId31">
        <w:r>
          <w:rPr>
            <w:rFonts w:ascii="Times New Roman" w:eastAsia="Times New Roman" w:hAnsi="Times New Roman" w:cs="Times New Roman"/>
            <w:color w:val="000000"/>
            <w:sz w:val="28"/>
            <w:szCs w:val="28"/>
            <w:u w:val="single"/>
          </w:rPr>
          <w:t>https://www.prolaps-monitoring.com</w:t>
        </w:r>
      </w:hyperlink>
      <w:r>
        <w:rPr>
          <w:rFonts w:ascii="Times New Roman" w:eastAsia="Times New Roman" w:hAnsi="Times New Roman" w:cs="Times New Roman"/>
          <w:sz w:val="28"/>
          <w:szCs w:val="28"/>
        </w:rPr>
        <w:t>. Также на основании полученных результатов разработан алгоритм тактики ведения женщин, оперированных по поводу генитального пролапса в организациях ПМСП (Приложение ). Алгоритм на русском и казахском язы</w:t>
      </w:r>
      <w:r>
        <w:rPr>
          <w:rFonts w:ascii="Times New Roman" w:eastAsia="Times New Roman" w:hAnsi="Times New Roman" w:cs="Times New Roman"/>
          <w:sz w:val="28"/>
          <w:szCs w:val="28"/>
        </w:rPr>
        <w:t xml:space="preserve">ках размещен на сайте электронного ресурса </w:t>
      </w:r>
      <w:hyperlink r:id="rId32">
        <w:r>
          <w:rPr>
            <w:rFonts w:ascii="Times New Roman" w:eastAsia="Times New Roman" w:hAnsi="Times New Roman" w:cs="Times New Roman"/>
            <w:color w:val="000000"/>
            <w:sz w:val="28"/>
            <w:szCs w:val="28"/>
            <w:u w:val="single"/>
          </w:rPr>
          <w:t>https://www.prolaps-monitoring.com</w:t>
        </w:r>
      </w:hyperlink>
      <w:r>
        <w:rPr>
          <w:rFonts w:ascii="Times New Roman" w:eastAsia="Times New Roman" w:hAnsi="Times New Roman" w:cs="Times New Roman"/>
          <w:sz w:val="28"/>
          <w:szCs w:val="28"/>
        </w:rPr>
        <w:t xml:space="preserve"> для всех заинтересованных лиц. Данный ресурс внедрён в поликлиники и медицинские учреждения Республики Казахстан и рекомендо</w:t>
      </w:r>
      <w:r>
        <w:rPr>
          <w:rFonts w:ascii="Times New Roman" w:eastAsia="Times New Roman" w:hAnsi="Times New Roman" w:cs="Times New Roman"/>
          <w:sz w:val="28"/>
          <w:szCs w:val="28"/>
        </w:rPr>
        <w:t>ван женщинам в качестве руководства после операции (Приложение). Также на основании полученных результатов разработаны образовательные программы  курсов повышения квалификации для врачей и среднего медицинского персонала (Приложение). Согласно данным образ</w:t>
      </w:r>
      <w:r>
        <w:rPr>
          <w:rFonts w:ascii="Times New Roman" w:eastAsia="Times New Roman" w:hAnsi="Times New Roman" w:cs="Times New Roman"/>
          <w:sz w:val="28"/>
          <w:szCs w:val="28"/>
        </w:rPr>
        <w:t>овательным программа обучено 12 врачей и 19 медицинских сестер.</w:t>
      </w:r>
    </w:p>
    <w:p w:rsidR="000A3797" w:rsidRDefault="00A660E7">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Отмечалась низкая информированность населения о генитальном пролапсе, только 3,3% - 8 человек при опросе ответили, что во время первичного приема им объяснили все интересующие их вопросы, тогд</w:t>
      </w:r>
      <w:r>
        <w:rPr>
          <w:rFonts w:ascii="Times New Roman" w:eastAsia="Times New Roman" w:hAnsi="Times New Roman" w:cs="Times New Roman"/>
          <w:sz w:val="28"/>
          <w:szCs w:val="28"/>
        </w:rPr>
        <w:t>а как большее количество пациентов,149 человек – 60,8%, ответили, что осталось много непонятного. Через две недели после ознакомления с материалами электронного ресурса, уровень знаний вырос более, чем в три раза, что было статистически значимым (р&lt;0,001),</w:t>
      </w:r>
      <w:r>
        <w:rPr>
          <w:rFonts w:ascii="Times New Roman" w:eastAsia="Times New Roman" w:hAnsi="Times New Roman" w:cs="Times New Roman"/>
          <w:sz w:val="28"/>
          <w:szCs w:val="28"/>
        </w:rPr>
        <w:t xml:space="preserve"> что говорит о положительном влиянии электронного ресурса  на повышение осведомленности пациентов с генитальным пролапсом о причинах и мерах профилактики данного заболевания [201, стр.188]..</w:t>
      </w:r>
    </w:p>
    <w:p w:rsidR="000A3797" w:rsidRDefault="00A660E7">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Отмечалась умеренная корреляционная связь была между уровнем обра</w:t>
      </w:r>
      <w:r>
        <w:rPr>
          <w:rFonts w:ascii="Times New Roman" w:eastAsia="Times New Roman" w:hAnsi="Times New Roman" w:cs="Times New Roman"/>
          <w:sz w:val="28"/>
          <w:szCs w:val="28"/>
        </w:rPr>
        <w:t xml:space="preserve">зования и оценками (0,386), что позволяет предполагать, о доступности предоставляемой информации для населения с любым уровнем образования [201, стр.188].  </w:t>
      </w:r>
    </w:p>
    <w:p w:rsidR="000A3797" w:rsidRDefault="00A660E7">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Основываясь на данных результатах, электронный ресурс </w:t>
      </w:r>
      <w:r>
        <w:rPr>
          <w:rFonts w:ascii="Times New Roman" w:eastAsia="Times New Roman" w:hAnsi="Times New Roman" w:cs="Times New Roman"/>
          <w:b/>
          <w:sz w:val="28"/>
          <w:szCs w:val="28"/>
        </w:rPr>
        <w:t xml:space="preserve"> </w:t>
      </w:r>
      <w:hyperlink r:id="rId33">
        <w:r>
          <w:rPr>
            <w:rFonts w:ascii="Times New Roman" w:eastAsia="Times New Roman" w:hAnsi="Times New Roman" w:cs="Times New Roman"/>
            <w:b/>
            <w:color w:val="000000"/>
            <w:sz w:val="28"/>
            <w:szCs w:val="28"/>
          </w:rPr>
          <w:t xml:space="preserve"> P</w:t>
        </w:r>
      </w:hyperlink>
      <w:r>
        <w:rPr>
          <w:rFonts w:ascii="Times New Roman" w:eastAsia="Times New Roman" w:hAnsi="Times New Roman" w:cs="Times New Roman"/>
          <w:b/>
          <w:sz w:val="28"/>
          <w:szCs w:val="28"/>
        </w:rPr>
        <w:t>rolaps-monitoring</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 xml:space="preserve">достоверно </w:t>
      </w:r>
      <w:r>
        <w:rPr>
          <w:rFonts w:ascii="Times New Roman" w:eastAsia="Times New Roman" w:hAnsi="Times New Roman" w:cs="Times New Roman"/>
          <w:sz w:val="28"/>
          <w:szCs w:val="28"/>
        </w:rPr>
        <w:t xml:space="preserve"> обеспечивает население  информацией о генитальном пролапсе и может быть вспомогательным элементом, используемый акушером-гинекологом для повышения информированности пациентов. </w:t>
      </w:r>
    </w:p>
    <w:p w:rsidR="000A3797" w:rsidRDefault="000A3797">
      <w:pPr>
        <w:spacing w:after="0" w:line="240" w:lineRule="auto"/>
        <w:rPr>
          <w:rFonts w:ascii="Times New Roman" w:eastAsia="Times New Roman" w:hAnsi="Times New Roman" w:cs="Times New Roman"/>
          <w:b/>
          <w:sz w:val="28"/>
          <w:szCs w:val="28"/>
        </w:rPr>
      </w:pPr>
    </w:p>
    <w:p w:rsidR="000A3797" w:rsidRDefault="00A660E7">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Выводы:</w:t>
      </w:r>
    </w:p>
    <w:p w:rsidR="000A3797" w:rsidRDefault="00A660E7">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8"/>
          <w:szCs w:val="28"/>
        </w:rPr>
        <w:t>Изучение доступных литературных источников, посвященных хирургическому лечению генитального пролапса (ГП) и частоте рецидивов, выявило тревожную тенденцию к возможному увеличению числа случаев к 2050 году. Это подчеркивает необходимость разработки четких м</w:t>
      </w:r>
      <w:r>
        <w:rPr>
          <w:rFonts w:ascii="Times New Roman" w:eastAsia="Times New Roman" w:hAnsi="Times New Roman" w:cs="Times New Roman"/>
          <w:color w:val="000000"/>
          <w:sz w:val="28"/>
          <w:szCs w:val="28"/>
        </w:rPr>
        <w:t>етодических рекомендаций для третьего этапа реабилитации. Анализ статистических данных, предоставленных Республиканским центром электронного здравоохранения (РЦЭЗ), показал увеличение числа хирургических вмешательств при ГП на 8% в целом по стране, 15% в А</w:t>
      </w:r>
      <w:r>
        <w:rPr>
          <w:rFonts w:ascii="Times New Roman" w:eastAsia="Times New Roman" w:hAnsi="Times New Roman" w:cs="Times New Roman"/>
          <w:color w:val="000000"/>
          <w:sz w:val="28"/>
          <w:szCs w:val="28"/>
        </w:rPr>
        <w:t>лматы, 8% в Нур-Султане (Астане) и 11% в Шымкенте за период с 2012 по 2021 год. Различия между 2012 и 2021 годами были статистически значимыми, что подтверждает необходимость усиленного внимания к данному вопросу.</w:t>
      </w:r>
    </w:p>
    <w:p w:rsidR="000A3797" w:rsidRDefault="00A660E7">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 Внедрение динамического мониторинга сос</w:t>
      </w:r>
      <w:r>
        <w:rPr>
          <w:rFonts w:ascii="Times New Roman" w:eastAsia="Times New Roman" w:hAnsi="Times New Roman" w:cs="Times New Roman"/>
          <w:color w:val="000000"/>
          <w:sz w:val="28"/>
          <w:szCs w:val="28"/>
        </w:rPr>
        <w:t>тояния пациенток с генитальным пролапсом, включающего регулярные осмотры, контроль факторов риска и повышение медицинской грамотности, позволило значительно снизить частоту рецидивов (2,9% в основной группе против 43,3% в контрольной, р&lt;0,001) и улучшить к</w:t>
      </w:r>
      <w:r>
        <w:rPr>
          <w:rFonts w:ascii="Times New Roman" w:eastAsia="Times New Roman" w:hAnsi="Times New Roman" w:cs="Times New Roman"/>
          <w:color w:val="000000"/>
          <w:sz w:val="28"/>
          <w:szCs w:val="28"/>
        </w:rPr>
        <w:t>ачество жизни (р&lt;0,001). В контрольной группе 42,2% пациенток потребовалось повторное хирургическое вмешательство, тогда как в основной группе повторные операции не потребовались (р&lt;0,001). Ключевую роль в мониторинге сыграли валидированные и автоматизиров</w:t>
      </w:r>
      <w:r>
        <w:rPr>
          <w:rFonts w:ascii="Times New Roman" w:eastAsia="Times New Roman" w:hAnsi="Times New Roman" w:cs="Times New Roman"/>
          <w:color w:val="000000"/>
          <w:sz w:val="28"/>
          <w:szCs w:val="28"/>
        </w:rPr>
        <w:t>анные нами анкеты P-QOL и МВПИ, подтвердившие свою надёжность. Интерактивные формы этих опросников позволили эффективно выявлять и корректировать факторы риска, что подчёркивает необходимость широкого внедрения динамического мониторинга в медицинскую практ</w:t>
      </w:r>
      <w:r>
        <w:rPr>
          <w:rFonts w:ascii="Times New Roman" w:eastAsia="Times New Roman" w:hAnsi="Times New Roman" w:cs="Times New Roman"/>
          <w:color w:val="000000"/>
          <w:sz w:val="28"/>
          <w:szCs w:val="28"/>
        </w:rPr>
        <w:t>ику для снижения рецидивов и повышения качества жизни.</w:t>
      </w:r>
    </w:p>
    <w:p w:rsidR="000A3797" w:rsidRDefault="00A660E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3. Мониторинг в период с 2013 по 2022 годы позволил выявить ключевые факторы, которые влияют на рецидив генитального пролапса, обосновывая важность разработки целенаправленных профилактических стратегий в области гинекологии. С помощью ROC-анализа был уста</w:t>
      </w:r>
      <w:r>
        <w:rPr>
          <w:rFonts w:ascii="Times New Roman" w:eastAsia="Times New Roman" w:hAnsi="Times New Roman" w:cs="Times New Roman"/>
          <w:color w:val="000000"/>
          <w:sz w:val="28"/>
          <w:szCs w:val="28"/>
        </w:rPr>
        <w:t>новлен порог подъёма тяжестей в 4,75 кг, превышение которого связано с рецидивом генитального пролапса. Этот порог затем был использован в модели бинарной логистической регрессии, что позволило рассчитать, что поднятие тяжестей выше 4,75 кг повышает вероят</w:t>
      </w:r>
      <w:r>
        <w:rPr>
          <w:rFonts w:ascii="Times New Roman" w:eastAsia="Times New Roman" w:hAnsi="Times New Roman" w:cs="Times New Roman"/>
          <w:color w:val="000000"/>
          <w:sz w:val="28"/>
          <w:szCs w:val="28"/>
        </w:rPr>
        <w:t>ность рецидива в 11,12 раз. Для итоговой прогностической модели пороговое значение функции вероятности, установленное на уровне 0,07, позволяет с высокой точностью предсказать риск рецидива, а ключевыми факторами риска являются: увеличение ИМТ на 1 кг/м² (</w:t>
      </w:r>
      <w:r>
        <w:rPr>
          <w:rFonts w:ascii="Times New Roman" w:eastAsia="Times New Roman" w:hAnsi="Times New Roman" w:cs="Times New Roman"/>
          <w:color w:val="000000"/>
          <w:sz w:val="28"/>
          <w:szCs w:val="28"/>
        </w:rPr>
        <w:t>повышает вероятность рецидива в 1,3 раза), нерегулярное потребление белковой пищи (в 3,6 раза), курение (в 6,4 раза), запоры (в 3,5 раза), каждый дополнительный год менопаузы (в </w:t>
      </w:r>
      <w:r>
        <w:rPr>
          <w:rFonts w:ascii="Times New Roman" w:eastAsia="Times New Roman" w:hAnsi="Times New Roman" w:cs="Times New Roman"/>
          <w:b/>
          <w:color w:val="000000"/>
          <w:sz w:val="28"/>
          <w:szCs w:val="28"/>
        </w:rPr>
        <w:t>2.7</w:t>
      </w:r>
      <w:r>
        <w:rPr>
          <w:rFonts w:ascii="Times New Roman" w:eastAsia="Times New Roman" w:hAnsi="Times New Roman" w:cs="Times New Roman"/>
          <w:color w:val="000000"/>
          <w:sz w:val="28"/>
          <w:szCs w:val="28"/>
        </w:rPr>
        <w:t> раз), употребление сахара более 25 грамм  в день (в 2 раза). Снижение масс</w:t>
      </w:r>
      <w:r>
        <w:rPr>
          <w:rFonts w:ascii="Times New Roman" w:eastAsia="Times New Roman" w:hAnsi="Times New Roman" w:cs="Times New Roman"/>
          <w:color w:val="000000"/>
          <w:sz w:val="28"/>
          <w:szCs w:val="28"/>
        </w:rPr>
        <w:t>ы тела на 5 кг и нормализация уровня витамина D3, способны снизить риск рецидива на 1,9 и 2 раза соответственно.</w:t>
      </w:r>
    </w:p>
    <w:p w:rsidR="000A3797" w:rsidRDefault="00A660E7">
      <w:pPr>
        <w:pBdr>
          <w:top w:val="nil"/>
          <w:left w:val="nil"/>
          <w:bottom w:val="nil"/>
          <w:right w:val="nil"/>
          <w:between w:val="nil"/>
        </w:pBdr>
        <w:spacing w:after="0" w:line="240" w:lineRule="auto"/>
        <w:ind w:firstLine="70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Недостаточное информирование пациентов акушерами-гинекологами первичного звена о заболевании и профилактике (менее половины опрошенных врачей а</w:t>
      </w:r>
      <w:r>
        <w:rPr>
          <w:rFonts w:ascii="Times New Roman" w:eastAsia="Times New Roman" w:hAnsi="Times New Roman" w:cs="Times New Roman"/>
          <w:color w:val="000000"/>
          <w:sz w:val="28"/>
          <w:szCs w:val="28"/>
        </w:rPr>
        <w:t>кцентируют внимание на профилактических мероприятиях после операции, охватывая 23.5%</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должных рекомендации) и недостаточная преемственность третьего этапа реабилитации между стационарной службой и ПМСП в отношении пациентов с генитальным пролапсом  подчерки</w:t>
      </w:r>
      <w:r>
        <w:rPr>
          <w:rFonts w:ascii="Times New Roman" w:eastAsia="Times New Roman" w:hAnsi="Times New Roman" w:cs="Times New Roman"/>
          <w:color w:val="000000"/>
          <w:sz w:val="28"/>
          <w:szCs w:val="28"/>
        </w:rPr>
        <w:t>вают необходимость повышения квалификации медицинских работников и улучшения организации реабилитационного процесса в послеоперационный период.</w:t>
      </w:r>
    </w:p>
    <w:p w:rsidR="000A3797" w:rsidRDefault="00A660E7">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 Результаты исследования продемонстрировали значимость улучшения системы здравоохранения через внедрение непрерывного курса упражнений с использованием упрощенной схемы и онлайн-мониторинга с обеспечением  (100%) обратной связи между врачом и пациентом н</w:t>
      </w:r>
      <w:r>
        <w:rPr>
          <w:rFonts w:ascii="Times New Roman" w:eastAsia="Times New Roman" w:hAnsi="Times New Roman" w:cs="Times New Roman"/>
          <w:color w:val="000000"/>
          <w:sz w:val="28"/>
          <w:szCs w:val="28"/>
        </w:rPr>
        <w:t>а третьем этапе реабилитации в ПМСП. Такой подход способствовал снижению рецидива в краткосрочной перспективе, о чем свидетельствует отсутствие рецидивов в основной группе. Установлено, что при силе мышечных сокращений, равной или принижающей 62,5 мм рт. с</w:t>
      </w:r>
      <w:r>
        <w:rPr>
          <w:rFonts w:ascii="Times New Roman" w:eastAsia="Times New Roman" w:hAnsi="Times New Roman" w:cs="Times New Roman"/>
          <w:color w:val="000000"/>
          <w:sz w:val="28"/>
          <w:szCs w:val="28"/>
        </w:rPr>
        <w:t>т. или 2 балла по шкале Оксфорда, прогнозируется рецидив с чувствительностью 87% и специфичностью 75%, что имеет клиническое значение для персонализации реабилитации.</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5. Разработка и  интеграция цифровой платформы </w:t>
      </w:r>
      <w:hyperlink r:id="rId34">
        <w:r>
          <w:rPr>
            <w:rFonts w:ascii="Times New Roman" w:eastAsia="Times New Roman" w:hAnsi="Times New Roman" w:cs="Times New Roman"/>
            <w:b/>
            <w:color w:val="000000"/>
            <w:sz w:val="28"/>
            <w:szCs w:val="28"/>
          </w:rPr>
          <w:t xml:space="preserve"> P</w:t>
        </w:r>
      </w:hyperlink>
      <w:r>
        <w:rPr>
          <w:rFonts w:ascii="Times New Roman" w:eastAsia="Times New Roman" w:hAnsi="Times New Roman" w:cs="Times New Roman"/>
          <w:b/>
          <w:sz w:val="28"/>
          <w:szCs w:val="28"/>
        </w:rPr>
        <w:t>rolaps-monitoring</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sz w:val="28"/>
          <w:szCs w:val="28"/>
        </w:rPr>
        <w:t>для врачей акушеров - гинекологов на республиканском уровне значительно улучшило информирование пациентов о генитальном пролапсе, его рисках и методах профилактики. Установлено повышение более чем в три раза уровня медицинс</w:t>
      </w:r>
      <w:r>
        <w:rPr>
          <w:rFonts w:ascii="Times New Roman" w:eastAsia="Times New Roman" w:hAnsi="Times New Roman" w:cs="Times New Roman"/>
          <w:sz w:val="28"/>
          <w:szCs w:val="28"/>
        </w:rPr>
        <w:t>кой грамотности среди населения с ГП (до Ме:8,0; Q1-Q3:4, после Ме:26,0; Q1-Q3:3), что подтверждает эффективность внедрения ресурса для улучшения общественных знаний об опущении органов малого таза. Созданная платформа, направленная на доступность интеракт</w:t>
      </w:r>
      <w:r>
        <w:rPr>
          <w:rFonts w:ascii="Times New Roman" w:eastAsia="Times New Roman" w:hAnsi="Times New Roman" w:cs="Times New Roman"/>
          <w:sz w:val="28"/>
          <w:szCs w:val="28"/>
        </w:rPr>
        <w:t>ивного электронного ресурса с алгоритмом послеоперационного наблюдения за пациентами с генитальным пролапсом и его внедрение для акушер-гинекологов на уровне республики и областей является инструментом оценки влияния на качество оказания медицинских услуг.</w:t>
      </w:r>
    </w:p>
    <w:p w:rsidR="000A3797" w:rsidRDefault="00A660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0A3797" w:rsidRDefault="00A660E7">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Практические рекомендации:</w:t>
      </w:r>
    </w:p>
    <w:p w:rsidR="000A3797" w:rsidRDefault="00A660E7">
      <w:pPr>
        <w:spacing w:after="0" w:line="24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Врачам -гинекологам ПМСП рекомендуется:</w:t>
      </w:r>
    </w:p>
    <w:p w:rsidR="000A3797" w:rsidRDefault="00A660E7">
      <w:pPr>
        <w:numPr>
          <w:ilvl w:val="0"/>
          <w:numId w:val="16"/>
        </w:numPr>
        <w:pBdr>
          <w:top w:val="nil"/>
          <w:left w:val="nil"/>
          <w:bottom w:val="nil"/>
          <w:right w:val="nil"/>
          <w:between w:val="nil"/>
        </w:pBdr>
        <w:spacing w:after="0" w:line="240" w:lineRule="auto"/>
        <w:rPr>
          <w:color w:val="000000"/>
          <w:sz w:val="28"/>
          <w:szCs w:val="28"/>
        </w:rPr>
      </w:pPr>
      <w:r>
        <w:rPr>
          <w:rFonts w:ascii="Times New Roman" w:eastAsia="Times New Roman" w:hAnsi="Times New Roman" w:cs="Times New Roman"/>
          <w:color w:val="000000"/>
          <w:sz w:val="28"/>
          <w:szCs w:val="28"/>
        </w:rPr>
        <w:t>Предлагаемые нами автоматизированные инструменты эффективного мониторинга P-QOL и МВПИ в силу их простоты, доступности и надежности, размещенные на сайте электронного ресурса позволят улучшить самоменеджмент пациентов, минимизацию развития рисков осложнени</w:t>
      </w:r>
      <w:r>
        <w:rPr>
          <w:rFonts w:ascii="Times New Roman" w:eastAsia="Times New Roman" w:hAnsi="Times New Roman" w:cs="Times New Roman"/>
          <w:color w:val="000000"/>
          <w:sz w:val="28"/>
          <w:szCs w:val="28"/>
        </w:rPr>
        <w:t>й, а также усилить и упростить мониторинг за ГП врачам ПМСП</w:t>
      </w:r>
    </w:p>
    <w:p w:rsidR="000A3797" w:rsidRDefault="00A660E7">
      <w:pPr>
        <w:numPr>
          <w:ilvl w:val="0"/>
          <w:numId w:val="16"/>
        </w:numPr>
        <w:pBdr>
          <w:top w:val="nil"/>
          <w:left w:val="nil"/>
          <w:bottom w:val="nil"/>
          <w:right w:val="nil"/>
          <w:between w:val="nil"/>
        </w:pBdr>
        <w:spacing w:after="0" w:line="240" w:lineRule="auto"/>
        <w:rPr>
          <w:color w:val="000000"/>
          <w:sz w:val="28"/>
          <w:szCs w:val="28"/>
        </w:rPr>
      </w:pPr>
      <w:r>
        <w:rPr>
          <w:rFonts w:ascii="Times New Roman" w:eastAsia="Times New Roman" w:hAnsi="Times New Roman" w:cs="Times New Roman"/>
          <w:color w:val="000000"/>
          <w:sz w:val="28"/>
          <w:szCs w:val="28"/>
        </w:rPr>
        <w:t>Предложенная схема тренировок после операции под непрерывным мониторингом медицинского персонала и обратной связью (врач, медицинская сестра) рекомендуется использовать через два месяца после хиру</w:t>
      </w:r>
      <w:r>
        <w:rPr>
          <w:rFonts w:ascii="Times New Roman" w:eastAsia="Times New Roman" w:hAnsi="Times New Roman" w:cs="Times New Roman"/>
          <w:color w:val="000000"/>
          <w:sz w:val="28"/>
          <w:szCs w:val="28"/>
        </w:rPr>
        <w:t>ргического лечения генитального пролапса в качестве реабилитации тазового дна</w:t>
      </w:r>
    </w:p>
    <w:p w:rsidR="000A3797" w:rsidRDefault="00A660E7">
      <w:pPr>
        <w:numPr>
          <w:ilvl w:val="0"/>
          <w:numId w:val="16"/>
        </w:numPr>
        <w:pBdr>
          <w:top w:val="nil"/>
          <w:left w:val="nil"/>
          <w:bottom w:val="nil"/>
          <w:right w:val="nil"/>
          <w:between w:val="nil"/>
        </w:pBdr>
        <w:spacing w:after="0" w:line="240" w:lineRule="auto"/>
        <w:rPr>
          <w:color w:val="000000"/>
          <w:sz w:val="28"/>
          <w:szCs w:val="28"/>
        </w:rPr>
      </w:pPr>
      <w:r>
        <w:rPr>
          <w:rFonts w:ascii="Times New Roman" w:eastAsia="Times New Roman" w:hAnsi="Times New Roman" w:cs="Times New Roman"/>
          <w:color w:val="000000"/>
          <w:sz w:val="28"/>
          <w:szCs w:val="28"/>
        </w:rPr>
        <w:t xml:space="preserve">Установленное пороговое значение мышечных сокращений как пальцевым методом по шкале Оксфорда, так и с помощью перинеометра при его наличии рекомендовано использовать врачам ПМСП </w:t>
      </w:r>
      <w:r>
        <w:rPr>
          <w:rFonts w:ascii="Times New Roman" w:eastAsia="Times New Roman" w:hAnsi="Times New Roman" w:cs="Times New Roman"/>
          <w:color w:val="000000"/>
          <w:sz w:val="28"/>
          <w:szCs w:val="28"/>
        </w:rPr>
        <w:t>в качестве прогнозирования риска рецидива генитального пролапса</w:t>
      </w:r>
    </w:p>
    <w:p w:rsidR="000A3797" w:rsidRDefault="00A660E7">
      <w:pPr>
        <w:numPr>
          <w:ilvl w:val="0"/>
          <w:numId w:val="16"/>
        </w:numPr>
        <w:pBdr>
          <w:top w:val="nil"/>
          <w:left w:val="nil"/>
          <w:bottom w:val="nil"/>
          <w:right w:val="nil"/>
          <w:between w:val="nil"/>
        </w:pBdr>
        <w:spacing w:after="0" w:line="240" w:lineRule="auto"/>
        <w:rPr>
          <w:color w:val="000000"/>
          <w:sz w:val="28"/>
          <w:szCs w:val="28"/>
        </w:rPr>
      </w:pPr>
      <w:r>
        <w:rPr>
          <w:rFonts w:ascii="Times New Roman" w:eastAsia="Times New Roman" w:hAnsi="Times New Roman" w:cs="Times New Roman"/>
          <w:color w:val="000000"/>
          <w:sz w:val="28"/>
          <w:szCs w:val="28"/>
        </w:rPr>
        <w:t xml:space="preserve">Гинекологам ПМСП желательно придерживаться алгоритма ведения женщин после операции с генитальным пролапсом, размещенного на сайте электронного ресурса </w:t>
      </w:r>
      <w:hyperlink r:id="rId35">
        <w:r>
          <w:rPr>
            <w:rFonts w:ascii="Times New Roman" w:eastAsia="Times New Roman" w:hAnsi="Times New Roman" w:cs="Times New Roman"/>
            <w:color w:val="000000"/>
            <w:sz w:val="28"/>
            <w:szCs w:val="28"/>
            <w:u w:val="single"/>
          </w:rPr>
          <w:t>https://www.prolaps-monitoring.com</w:t>
        </w:r>
      </w:hyperlink>
      <w:r>
        <w:rPr>
          <w:rFonts w:ascii="Times New Roman" w:eastAsia="Times New Roman" w:hAnsi="Times New Roman" w:cs="Times New Roman"/>
          <w:color w:val="000000"/>
          <w:sz w:val="28"/>
          <w:szCs w:val="28"/>
          <w:u w:val="single"/>
        </w:rPr>
        <w:t xml:space="preserve">, </w:t>
      </w:r>
      <w:r>
        <w:rPr>
          <w:rFonts w:ascii="Times New Roman" w:eastAsia="Times New Roman" w:hAnsi="Times New Roman" w:cs="Times New Roman"/>
          <w:color w:val="000000"/>
          <w:sz w:val="28"/>
          <w:szCs w:val="28"/>
        </w:rPr>
        <w:t>включающий в себя коррекцию факторов риска прогностической модели, доказавшей свою практическую ценность и медико-социальную эффективность</w:t>
      </w:r>
    </w:p>
    <w:p w:rsidR="000A3797" w:rsidRDefault="00A660E7">
      <w:pPr>
        <w:numPr>
          <w:ilvl w:val="0"/>
          <w:numId w:val="16"/>
        </w:numPr>
        <w:pBdr>
          <w:top w:val="nil"/>
          <w:left w:val="nil"/>
          <w:bottom w:val="nil"/>
          <w:right w:val="nil"/>
          <w:between w:val="nil"/>
        </w:pBdr>
        <w:spacing w:after="0" w:line="240" w:lineRule="auto"/>
        <w:rPr>
          <w:b/>
          <w:color w:val="000000"/>
          <w:sz w:val="28"/>
          <w:szCs w:val="28"/>
        </w:rPr>
      </w:pPr>
      <w:r>
        <w:rPr>
          <w:rFonts w:ascii="Times New Roman" w:eastAsia="Times New Roman" w:hAnsi="Times New Roman" w:cs="Times New Roman"/>
          <w:color w:val="000000"/>
          <w:sz w:val="28"/>
          <w:szCs w:val="28"/>
        </w:rPr>
        <w:t>Разработанный электронный рес</w:t>
      </w:r>
      <w:r>
        <w:rPr>
          <w:rFonts w:ascii="Times New Roman" w:eastAsia="Times New Roman" w:hAnsi="Times New Roman" w:cs="Times New Roman"/>
          <w:color w:val="000000"/>
          <w:sz w:val="28"/>
          <w:szCs w:val="28"/>
        </w:rPr>
        <w:t xml:space="preserve">урс </w:t>
      </w:r>
      <w:hyperlink r:id="rId36">
        <w:r>
          <w:rPr>
            <w:rFonts w:ascii="Times New Roman" w:eastAsia="Times New Roman" w:hAnsi="Times New Roman" w:cs="Times New Roman"/>
            <w:color w:val="000000"/>
            <w:sz w:val="28"/>
            <w:szCs w:val="28"/>
          </w:rPr>
          <w:t>prolaps-monitoring</w:t>
        </w:r>
      </w:hyperlink>
      <w:r>
        <w:rPr>
          <w:rFonts w:ascii="Times New Roman" w:eastAsia="Times New Roman" w:hAnsi="Times New Roman" w:cs="Times New Roman"/>
          <w:color w:val="000000"/>
          <w:sz w:val="28"/>
          <w:szCs w:val="28"/>
        </w:rPr>
        <w:t xml:space="preserve"> позволит повысить информированность пациента, перенесшего оперативное вмешательство с ГП и ориентировать его на последующий этап прохождения реабилитации на уровне ПМСП </w:t>
      </w:r>
    </w:p>
    <w:p w:rsidR="000A3797" w:rsidRDefault="00A660E7">
      <w:pPr>
        <w:spacing w:after="0" w:line="240" w:lineRule="auto"/>
        <w:ind w:left="709"/>
        <w:rPr>
          <w:rFonts w:ascii="Times New Roman" w:eastAsia="Times New Roman" w:hAnsi="Times New Roman" w:cs="Times New Roman"/>
          <w:i/>
          <w:sz w:val="28"/>
          <w:szCs w:val="28"/>
        </w:rPr>
      </w:pPr>
      <w:r>
        <w:rPr>
          <w:rFonts w:ascii="Times New Roman" w:eastAsia="Times New Roman" w:hAnsi="Times New Roman" w:cs="Times New Roman"/>
          <w:i/>
          <w:sz w:val="28"/>
          <w:szCs w:val="28"/>
        </w:rPr>
        <w:t>Руководит</w:t>
      </w:r>
      <w:r>
        <w:rPr>
          <w:rFonts w:ascii="Times New Roman" w:eastAsia="Times New Roman" w:hAnsi="Times New Roman" w:cs="Times New Roman"/>
          <w:i/>
          <w:sz w:val="28"/>
          <w:szCs w:val="28"/>
        </w:rPr>
        <w:t>елям УОЗ:</w:t>
      </w:r>
    </w:p>
    <w:p w:rsidR="000A3797" w:rsidRDefault="00A660E7">
      <w:pPr>
        <w:numPr>
          <w:ilvl w:val="0"/>
          <w:numId w:val="17"/>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Принять к сведению и поддержать предлагаемый нами электронный ресурс для внедрения на уровне ПМСП как инструмент общественного здравоохранения с целью оптимизации третьего этапа реабилитации</w:t>
      </w:r>
    </w:p>
    <w:p w:rsidR="000A3797" w:rsidRDefault="00A660E7">
      <w:pPr>
        <w:numPr>
          <w:ilvl w:val="0"/>
          <w:numId w:val="17"/>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Экспертам СМК поликлиник разработанные нами автоматизир</w:t>
      </w:r>
      <w:r>
        <w:rPr>
          <w:rFonts w:ascii="Times New Roman" w:eastAsia="Times New Roman" w:hAnsi="Times New Roman" w:cs="Times New Roman"/>
          <w:color w:val="000000"/>
          <w:sz w:val="28"/>
          <w:szCs w:val="28"/>
        </w:rPr>
        <w:t>ованные анкеты P-QOL и МВПИ позволят наладить регулярность мониторинга за частотой осложнений в послеоперационный период ГП, а также обеспечение качества оказания гинекологической помощи на уровне ПМСП</w:t>
      </w:r>
    </w:p>
    <w:p w:rsidR="000A3797" w:rsidRDefault="000A3797">
      <w:pPr>
        <w:pBdr>
          <w:top w:val="nil"/>
          <w:left w:val="nil"/>
          <w:bottom w:val="nil"/>
          <w:right w:val="nil"/>
          <w:between w:val="nil"/>
        </w:pBdr>
        <w:spacing w:after="0" w:line="240" w:lineRule="auto"/>
        <w:ind w:left="1069"/>
        <w:rPr>
          <w:rFonts w:ascii="Times New Roman" w:eastAsia="Times New Roman" w:hAnsi="Times New Roman" w:cs="Times New Roman"/>
          <w:b/>
          <w:color w:val="000000"/>
          <w:sz w:val="28"/>
          <w:szCs w:val="28"/>
        </w:rPr>
      </w:pPr>
    </w:p>
    <w:p w:rsidR="000A3797" w:rsidRDefault="00A660E7">
      <w:pPr>
        <w:spacing w:after="0" w:line="24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В медицинские ВУЗы и медицинские колледжы:</w:t>
      </w:r>
    </w:p>
    <w:p w:rsidR="000A3797" w:rsidRDefault="00A660E7">
      <w:pPr>
        <w:numPr>
          <w:ilvl w:val="0"/>
          <w:numId w:val="2"/>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для расширения теоретических знаний в области реабилитации и профилактики ГП врачей и СМП внедрить, разработанные нами ОП («Основы профилактических мероприятий рецидивов генитального пролапса в организ</w:t>
      </w:r>
      <w:r>
        <w:rPr>
          <w:rFonts w:ascii="Times New Roman" w:eastAsia="Times New Roman" w:hAnsi="Times New Roman" w:cs="Times New Roman"/>
          <w:color w:val="000000"/>
          <w:sz w:val="28"/>
          <w:szCs w:val="28"/>
        </w:rPr>
        <w:t>ациях, оказывающих ПМСП», «Междисциплинарный подход профилактики рецидивов генитального пролапса в организациях, оказывающих ПМСП»), способные повысить уровень квалификации по дисциплине –«гинекология»</w:t>
      </w:r>
    </w:p>
    <w:p w:rsidR="000A3797" w:rsidRDefault="000A3797">
      <w:pPr>
        <w:spacing w:after="0" w:line="240" w:lineRule="auto"/>
        <w:ind w:left="1069"/>
        <w:rPr>
          <w:rFonts w:ascii="Times New Roman" w:eastAsia="Times New Roman" w:hAnsi="Times New Roman" w:cs="Times New Roman"/>
          <w:b/>
          <w:sz w:val="28"/>
          <w:szCs w:val="28"/>
        </w:rPr>
      </w:pPr>
    </w:p>
    <w:p w:rsidR="000A3797" w:rsidRDefault="00A660E7">
      <w:pPr>
        <w:spacing w:after="0" w:line="240" w:lineRule="auto"/>
        <w:ind w:left="1069"/>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Частным и государственным медицинским центрам </w:t>
      </w:r>
    </w:p>
    <w:p w:rsidR="000A3797" w:rsidRDefault="00A660E7">
      <w:pPr>
        <w:numPr>
          <w:ilvl w:val="0"/>
          <w:numId w:val="3"/>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Провод</w:t>
      </w:r>
      <w:r>
        <w:rPr>
          <w:rFonts w:ascii="Times New Roman" w:eastAsia="Times New Roman" w:hAnsi="Times New Roman" w:cs="Times New Roman"/>
          <w:color w:val="000000"/>
          <w:sz w:val="28"/>
          <w:szCs w:val="28"/>
        </w:rPr>
        <w:t>ить на регулярной основе обучение медицинского персонала, включая медицинских сестер, согласно разработанных нами ОП, реализуя комптентностный подход в обучении.</w:t>
      </w:r>
    </w:p>
    <w:p w:rsidR="000A3797" w:rsidRDefault="00A660E7">
      <w:pPr>
        <w:spacing w:after="0" w:line="240" w:lineRule="auto"/>
        <w:ind w:left="1069"/>
        <w:rPr>
          <w:rFonts w:ascii="Times New Roman" w:eastAsia="Times New Roman" w:hAnsi="Times New Roman" w:cs="Times New Roman"/>
          <w:i/>
          <w:sz w:val="28"/>
          <w:szCs w:val="28"/>
        </w:rPr>
      </w:pPr>
      <w:r>
        <w:rPr>
          <w:rFonts w:ascii="Times New Roman" w:eastAsia="Times New Roman" w:hAnsi="Times New Roman" w:cs="Times New Roman"/>
          <w:i/>
          <w:sz w:val="28"/>
          <w:szCs w:val="28"/>
        </w:rPr>
        <w:t>На Республиканском уровне</w:t>
      </w:r>
    </w:p>
    <w:p w:rsidR="000A3797" w:rsidRDefault="00A660E7">
      <w:pPr>
        <w:numPr>
          <w:ilvl w:val="0"/>
          <w:numId w:val="4"/>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Запланировано, после расширения территориального охвата опроса медицинских работников в организациях оказывающих ПМСП о применяемых мерах профилактики рецидивов генитального пролапса, предложить внесение некоторых изменений в действующие приказы (в частнос</w:t>
      </w:r>
      <w:r>
        <w:rPr>
          <w:rFonts w:ascii="Times New Roman" w:eastAsia="Times New Roman" w:hAnsi="Times New Roman" w:cs="Times New Roman"/>
          <w:color w:val="000000"/>
          <w:sz w:val="28"/>
          <w:szCs w:val="28"/>
        </w:rPr>
        <w:t xml:space="preserve">ти о диспансеризации пациентов после операции по поводу ГП) </w:t>
      </w:r>
    </w:p>
    <w:p w:rsidR="000A3797" w:rsidRDefault="00A660E7">
      <w:pPr>
        <w:numPr>
          <w:ilvl w:val="0"/>
          <w:numId w:val="4"/>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Также запланировано, после проведения анализа экономической эффективности комплексного лечения сочетанного генитального пролапса, предложить  внесение некоторых изменений в действующие приказы (о</w:t>
      </w:r>
      <w:r>
        <w:rPr>
          <w:rFonts w:ascii="Times New Roman" w:eastAsia="Times New Roman" w:hAnsi="Times New Roman" w:cs="Times New Roman"/>
          <w:color w:val="000000"/>
          <w:sz w:val="28"/>
          <w:szCs w:val="28"/>
        </w:rPr>
        <w:t xml:space="preserve">тносительно возможности при оказании хирургической помощи за счет средств Республиканского бюджета проводить сооплату  второй хирургической манипуляции за одно оперативное вмешательство при сочетанном тазовом пролапсе на основе договора о платных услугах, </w:t>
      </w:r>
      <w:r>
        <w:rPr>
          <w:rFonts w:ascii="Times New Roman" w:eastAsia="Times New Roman" w:hAnsi="Times New Roman" w:cs="Times New Roman"/>
          <w:color w:val="000000"/>
          <w:sz w:val="28"/>
          <w:szCs w:val="28"/>
        </w:rPr>
        <w:t>либо возможности получить вторую хирургическую манипуляцию за одно оперативное вмешательство за счет средств Республиканского бюджета).</w:t>
      </w:r>
    </w:p>
    <w:p w:rsidR="000A3797" w:rsidRDefault="000A3797">
      <w:pPr>
        <w:pBdr>
          <w:top w:val="nil"/>
          <w:left w:val="nil"/>
          <w:bottom w:val="nil"/>
          <w:right w:val="nil"/>
          <w:between w:val="nil"/>
        </w:pBdr>
        <w:spacing w:after="0" w:line="240" w:lineRule="auto"/>
        <w:ind w:left="720"/>
        <w:rPr>
          <w:rFonts w:ascii="Times New Roman" w:eastAsia="Times New Roman" w:hAnsi="Times New Roman" w:cs="Times New Roman"/>
          <w:color w:val="000000"/>
          <w:sz w:val="28"/>
          <w:szCs w:val="28"/>
        </w:rPr>
      </w:pPr>
    </w:p>
    <w:p w:rsidR="000A3797" w:rsidRDefault="000A3797">
      <w:pPr>
        <w:spacing w:after="0" w:line="240" w:lineRule="auto"/>
        <w:rPr>
          <w:rFonts w:ascii="Times New Roman" w:eastAsia="Times New Roman" w:hAnsi="Times New Roman" w:cs="Times New Roman"/>
          <w:b/>
          <w:sz w:val="28"/>
          <w:szCs w:val="28"/>
        </w:rPr>
      </w:pPr>
    </w:p>
    <w:p w:rsidR="000A3797" w:rsidRDefault="00A660E7">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Список используемой литературы:</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highlight w:val="white"/>
        </w:rPr>
        <w:t xml:space="preserve"> Milsom I., Gyhagen M. Breaking news in the prediction of pelvic floor disorders //Best practice &amp; research Clinical obstetrics &amp; gynaecology. – 2019. – Vol. 54. – P. 41-48.</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highlight w:val="white"/>
        </w:rPr>
        <w:t>Weintraub A. Y., Glinter H., Marcus-Braun N. Narrative review of the epidemiology,</w:t>
      </w:r>
      <w:r>
        <w:rPr>
          <w:rFonts w:ascii="Times New Roman" w:eastAsia="Times New Roman" w:hAnsi="Times New Roman" w:cs="Times New Roman"/>
          <w:color w:val="000000"/>
          <w:sz w:val="28"/>
          <w:szCs w:val="28"/>
          <w:highlight w:val="white"/>
        </w:rPr>
        <w:t xml:space="preserve"> diagnosis and pathophysiology of pelvic organ prolapse //International braz j urol. – 2019. – Vol. 46. – P. 5-14.</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Wu J. M. et al. Prevalence and trends of symptomatic pelvic floor disorders in US women //Obstetrics and gynecology. – 2014. – Vol. 123. – №.</w:t>
      </w:r>
      <w:r>
        <w:rPr>
          <w:rFonts w:ascii="Times New Roman" w:eastAsia="Times New Roman" w:hAnsi="Times New Roman" w:cs="Times New Roman"/>
          <w:color w:val="000000"/>
          <w:sz w:val="28"/>
          <w:szCs w:val="28"/>
          <w:highlight w:val="white"/>
        </w:rPr>
        <w:t xml:space="preserve"> 1. – P. 141-148.</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Shi W, Guo L. Risk factors for the recurrence of pelvic organ prolapse: a meta-analysis. Journal of Obstetrics and Gynaecology. 2023 Dec 31;43(1):2160929.</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highlight w:val="white"/>
        </w:rPr>
        <w:t>Shrestha B. et al. Women’s experiences and health care-seeking practices in relatio</w:t>
      </w:r>
      <w:r>
        <w:rPr>
          <w:rFonts w:ascii="Times New Roman" w:eastAsia="Times New Roman" w:hAnsi="Times New Roman" w:cs="Times New Roman"/>
          <w:color w:val="000000"/>
          <w:sz w:val="28"/>
          <w:szCs w:val="28"/>
          <w:highlight w:val="white"/>
        </w:rPr>
        <w:t>n to uterine prolapse in a hill district of Nepal //BMC women's health. – 2014. – Vol. 14. – P. 1-9.</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Masenga G. G., Shayo B. C., Rasch V. Prevalence and risk factors for pelvic organ prolapse in Kilimanjaro, Tanzania: A population based study in Tanzanian </w:t>
      </w:r>
      <w:r>
        <w:rPr>
          <w:rFonts w:ascii="Times New Roman" w:eastAsia="Times New Roman" w:hAnsi="Times New Roman" w:cs="Times New Roman"/>
          <w:color w:val="000000"/>
          <w:sz w:val="28"/>
          <w:szCs w:val="28"/>
          <w:highlight w:val="white"/>
        </w:rPr>
        <w:t>rural community //PloS one. – 2018. – Vol. 13. – №. 4. – p. 1-13.</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Ntakwinja M. et al. Pelvic floor symptoms among premenopausal women with pelvic organ prolapse in the Democratic Republic of the Congo //International Urogynecology Journal. – 2023. – Vol.35</w:t>
      </w:r>
      <w:r>
        <w:rPr>
          <w:rFonts w:ascii="Times New Roman" w:eastAsia="Times New Roman" w:hAnsi="Times New Roman" w:cs="Times New Roman"/>
          <w:color w:val="000000"/>
          <w:sz w:val="28"/>
          <w:szCs w:val="28"/>
          <w:highlight w:val="white"/>
        </w:rPr>
        <w:t>-№1 - P. 1-6.</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Hadizadeh-Talasaz Z. et al. The experiences of women who live with pelvic floor disorders: a qualitative study //International Journal of Community Based Nursing and Midwifery. – 2021. – Vol. 9. – №. 2. – P. 159-171.</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highlight w:val="white"/>
        </w:rPr>
        <w:t>Doumouchtsis S. K. et al.</w:t>
      </w:r>
      <w:r>
        <w:rPr>
          <w:rFonts w:ascii="Times New Roman" w:eastAsia="Times New Roman" w:hAnsi="Times New Roman" w:cs="Times New Roman"/>
          <w:color w:val="000000"/>
          <w:sz w:val="28"/>
          <w:szCs w:val="28"/>
          <w:highlight w:val="white"/>
        </w:rPr>
        <w:t xml:space="preserve"> A systematic review on outcome reporting in randomised controlled trials on surgical interventions for female stress urinary incontinence: a call to develop a core outcome set //BJOG: An International Journal of Obstetrics &amp; Gynaecology. – 2019. – Vol. 12</w:t>
      </w:r>
      <w:r>
        <w:rPr>
          <w:rFonts w:ascii="Times New Roman" w:eastAsia="Times New Roman" w:hAnsi="Times New Roman" w:cs="Times New Roman"/>
          <w:color w:val="000000"/>
          <w:sz w:val="28"/>
          <w:szCs w:val="28"/>
          <w:highlight w:val="white"/>
        </w:rPr>
        <w:t>6. – №. 12. – P. 1417-1422.</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Lian W. et al. Effects of bariatric surgery on pelvic floor disorders in obese women: a meta-analysis //Archives of Gynecology and Obstetrics. – 2017. – Vol. 296. – P. 181-189.</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highlight w:val="white"/>
        </w:rPr>
        <w:t>Rehabilitation in health systems. Geneva: World Hea</w:t>
      </w:r>
      <w:r>
        <w:rPr>
          <w:rFonts w:ascii="Times New Roman" w:eastAsia="Times New Roman" w:hAnsi="Times New Roman" w:cs="Times New Roman"/>
          <w:color w:val="000000"/>
          <w:sz w:val="28"/>
          <w:szCs w:val="28"/>
          <w:highlight w:val="white"/>
        </w:rPr>
        <w:t>lth Organization; 2017. Available from: https://www.ncbi.nlm.nih.gov/books/NBK552492/</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Hou Y. et al. Effect of pelvic floor muscle training using mobile health applications for stress urinary incontinence in women: a systematic review //BMC Women's Health. </w:t>
      </w:r>
      <w:r>
        <w:rPr>
          <w:rFonts w:ascii="Times New Roman" w:eastAsia="Times New Roman" w:hAnsi="Times New Roman" w:cs="Times New Roman"/>
          <w:color w:val="000000"/>
          <w:sz w:val="28"/>
          <w:szCs w:val="28"/>
          <w:highlight w:val="white"/>
        </w:rPr>
        <w:t>– 2022. – Vol. 22. – №. 1. – P. 1-15.</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Bugge C. et al. Pessaries (mechanical devices) for managing pelvic organ prolapse in women //Cochrane Database of Systematic Reviews. – 2020. – №. 11. – P. 1-55.</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rPr>
        <w:t>Барманашева З.Е., Кудайбергенов Т.К., Джакупов Д.В., Котлобовский В.И., Лактионова М.В, Баймуратова М.А. Современные подходы к подготовке оперативной техники в гинекологии//Фармация Казахстана.2024. №1. С.7-21.DOI 10.53511/PHARMKAZ.2024.52.79.001</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rPr>
        <w:t>Лактионов</w:t>
      </w:r>
      <w:r>
        <w:rPr>
          <w:rFonts w:ascii="Times New Roman" w:eastAsia="Times New Roman" w:hAnsi="Times New Roman" w:cs="Times New Roman"/>
          <w:color w:val="000000"/>
          <w:sz w:val="28"/>
          <w:szCs w:val="28"/>
        </w:rPr>
        <w:t>а М.В., Арингазина А.М., Кульжанов М.К., Баймуратова М.А., Аскеров А.А., Хамидуллина З.Г. Эпидемиология, этиология и профилактика генитального пролапса: обзор литературы // Наука и Здравоохранение. 2023. 3(Т.25). С. 247-256. doi 10.34689/SH.2023.25.3.031</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rPr>
        <w:t>Л</w:t>
      </w:r>
      <w:r>
        <w:rPr>
          <w:rFonts w:ascii="Times New Roman" w:eastAsia="Times New Roman" w:hAnsi="Times New Roman" w:cs="Times New Roman"/>
          <w:color w:val="000000"/>
          <w:sz w:val="28"/>
          <w:szCs w:val="28"/>
        </w:rPr>
        <w:t>актионова М.В., Кульжанов М.К., Баймуратова М.А. Оценка качества жизни как необходимый инструмент диагностики и эффективности лечения при генитальном пролапсе. Сборник научных статей по итогам межвузовского международного конгресса "Высшая школа:научные ис</w:t>
      </w:r>
      <w:r>
        <w:rPr>
          <w:rFonts w:ascii="Times New Roman" w:eastAsia="Times New Roman" w:hAnsi="Times New Roman" w:cs="Times New Roman"/>
          <w:color w:val="000000"/>
          <w:sz w:val="28"/>
          <w:szCs w:val="28"/>
        </w:rPr>
        <w:t>следования", Москва, 2022, С. 73-79. DOI 10.34660/INF.2022.20.62.117</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rPr>
        <w:t>Лактионова М.В., Баймуратова М.А., Попова Т.В. Оптимизация методов профилактики и реабилитации. Функциональной целостности тазового дна // Сборник научных статей по итогам межвузовского международного конгресса "Наука и иновации -современные концепции, Мос</w:t>
      </w:r>
      <w:r>
        <w:rPr>
          <w:rFonts w:ascii="Times New Roman" w:eastAsia="Times New Roman" w:hAnsi="Times New Roman" w:cs="Times New Roman"/>
          <w:color w:val="000000"/>
          <w:sz w:val="28"/>
          <w:szCs w:val="28"/>
        </w:rPr>
        <w:t>кава 2022, Издательство Инфинити,  С. 107-114. DOI 10.34660/INF.2022.29.72.001</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rPr>
        <w:t>Лактионова М.В., Баймуратова М.А., Жаганова С.  Оптимизация методов профилактики и реабилитации. Функциональной целостности тазового дна // Сборник научных статей по итогам межв</w:t>
      </w:r>
      <w:r>
        <w:rPr>
          <w:rFonts w:ascii="Times New Roman" w:eastAsia="Times New Roman" w:hAnsi="Times New Roman" w:cs="Times New Roman"/>
          <w:color w:val="000000"/>
          <w:sz w:val="28"/>
          <w:szCs w:val="28"/>
        </w:rPr>
        <w:t>узовского международного конгресса "Наука и иновации -современные концепции, Москава 2022, Издательство Инфинити,  С. 123-129. DOI 10.34660/INF.2022.74.25.087</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Oraekwe O. I. et al. Genital prolapse: a 5-year review at federal medical centre Umuahia, Southea</w:t>
      </w:r>
      <w:r>
        <w:rPr>
          <w:rFonts w:ascii="Times New Roman" w:eastAsia="Times New Roman" w:hAnsi="Times New Roman" w:cs="Times New Roman"/>
          <w:color w:val="000000"/>
          <w:sz w:val="28"/>
          <w:szCs w:val="28"/>
          <w:highlight w:val="white"/>
        </w:rPr>
        <w:t>stern Nigeria //Nigerian Medical Journal: Journal of the Nigeria Medical Association. – 2016. – Vol. 57. – №. 5. – P. 286.</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Jokhio A.H., Rizvi R.M., MacArthur C. Prevalence of pelvic organ prolapse in women, associated factors and impact on quality of life </w:t>
      </w:r>
      <w:r>
        <w:rPr>
          <w:rFonts w:ascii="Times New Roman" w:eastAsia="Times New Roman" w:hAnsi="Times New Roman" w:cs="Times New Roman"/>
          <w:color w:val="000000"/>
          <w:sz w:val="28"/>
          <w:szCs w:val="28"/>
        </w:rPr>
        <w:t>in rural Pakistan: Population-based study // BMC Womens. Health. 2020. Vol. 20, № 1. P. 1–14.</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highlight w:val="white"/>
        </w:rPr>
        <w:t>de Tayrac R. et al. Summary: 2021 International Consultation on Incontinence evidence-based surgical pathway for pelvic organ prolapse //Journal of Clinical Medic</w:t>
      </w:r>
      <w:r>
        <w:rPr>
          <w:rFonts w:ascii="Times New Roman" w:eastAsia="Times New Roman" w:hAnsi="Times New Roman" w:cs="Times New Roman"/>
          <w:color w:val="000000"/>
          <w:sz w:val="28"/>
          <w:szCs w:val="28"/>
          <w:highlight w:val="white"/>
        </w:rPr>
        <w:t>ine. – 2022. – Т. 11. – №. 20. – С. 6106.</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highlight w:val="white"/>
        </w:rPr>
        <w:t>Islam R. M. et al. Prevalence of symptomatic pelvic floor disorders in community-dwelling women in low and middle-income countries: a systematic review and meta-analysis //International urogynecology journal. – 201</w:t>
      </w:r>
      <w:r>
        <w:rPr>
          <w:rFonts w:ascii="Times New Roman" w:eastAsia="Times New Roman" w:hAnsi="Times New Roman" w:cs="Times New Roman"/>
          <w:color w:val="000000"/>
          <w:sz w:val="28"/>
          <w:szCs w:val="28"/>
          <w:highlight w:val="white"/>
        </w:rPr>
        <w:t>9. – Vol. 30. – P. 2001-2011.</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highlight w:val="white"/>
        </w:rPr>
        <w:t>Shrestha B. et al. Women’s experiences and health care-seeking practices in relation to uterine prolapse in a hill district of Nepal //BMC women's health. – 2014. – Vol. 14. – P. 1-9.</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Oraekwe O. I. et al. Genital prolapse: a 5</w:t>
      </w:r>
      <w:r>
        <w:rPr>
          <w:rFonts w:ascii="Times New Roman" w:eastAsia="Times New Roman" w:hAnsi="Times New Roman" w:cs="Times New Roman"/>
          <w:color w:val="000000"/>
          <w:sz w:val="28"/>
          <w:szCs w:val="28"/>
          <w:highlight w:val="white"/>
        </w:rPr>
        <w:t>-year review at federal medical centre Umuahia, Southeastern Nigeria //Nigerian Medical Journal: Journal of the Nigeria Medical Association. – 2016. – Vol. 57. – №. 5. – P. 286-289.</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highlight w:val="white"/>
        </w:rPr>
        <w:t>Wusu-Ansah O. K., Opare-Addo H. S. Pelvic organ prolapse in rural Ghana //</w:t>
      </w:r>
      <w:r>
        <w:rPr>
          <w:rFonts w:ascii="Times New Roman" w:eastAsia="Times New Roman" w:hAnsi="Times New Roman" w:cs="Times New Roman"/>
          <w:color w:val="000000"/>
          <w:sz w:val="28"/>
          <w:szCs w:val="28"/>
          <w:highlight w:val="white"/>
        </w:rPr>
        <w:t>International Journal of Gynecology &amp; Obstetrics. – 2008. – Vol. 103. – №. 2. – P. 121-124.</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Zeleke B. M. et al. Symptomatic pelvic floor disorders in community-dwelling older Australian women //Maturitas. – 2016. – Vol. 85. – P. 34-41.</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Li Z. et al. An epid</w:t>
      </w:r>
      <w:r>
        <w:rPr>
          <w:rFonts w:ascii="Times New Roman" w:eastAsia="Times New Roman" w:hAnsi="Times New Roman" w:cs="Times New Roman"/>
          <w:color w:val="000000"/>
          <w:sz w:val="28"/>
          <w:szCs w:val="28"/>
          <w:highlight w:val="white"/>
        </w:rPr>
        <w:t>emiologic study of pelvic organ prolapse in postmenopausal women: a population-based sample in China //Climacteric. – 2019. – Vol. 22. – №. 1. – P. 79-84.</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Yuk J. S. et al. The prevalence and treatment pattern of clinically diagnosed pelvic organ prolapse: </w:t>
      </w:r>
      <w:r>
        <w:rPr>
          <w:rFonts w:ascii="Times New Roman" w:eastAsia="Times New Roman" w:hAnsi="Times New Roman" w:cs="Times New Roman"/>
          <w:color w:val="000000"/>
          <w:sz w:val="28"/>
          <w:szCs w:val="28"/>
          <w:highlight w:val="white"/>
        </w:rPr>
        <w:t>a Korean National Health Insurance Database-based cross-sectional study 2009–2015 //Scientific reports. – 2018. – Vol. 8. – №. 1. – P. 1-6.</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Barber M. D., Neubauer N. L., Klein-Olarte V. Can we screen for pelvic organ prolapse without a physical examination</w:t>
      </w:r>
      <w:r>
        <w:rPr>
          <w:rFonts w:ascii="Times New Roman" w:eastAsia="Times New Roman" w:hAnsi="Times New Roman" w:cs="Times New Roman"/>
          <w:color w:val="000000"/>
          <w:sz w:val="28"/>
          <w:szCs w:val="28"/>
          <w:highlight w:val="white"/>
        </w:rPr>
        <w:t xml:space="preserve"> in epidemiologic studies? //American journal of obstetrics and gynecology. – 2006. – Vol. 195. – №. 4. – P. 942-948.</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Horst W. et al. Pelvic organ prolapse: prevalence and risk factors in a Brazilian population //International urogynecology journal. – 2017</w:t>
      </w:r>
      <w:r>
        <w:rPr>
          <w:rFonts w:ascii="Times New Roman" w:eastAsia="Times New Roman" w:hAnsi="Times New Roman" w:cs="Times New Roman"/>
          <w:color w:val="000000"/>
          <w:sz w:val="28"/>
          <w:szCs w:val="28"/>
          <w:highlight w:val="white"/>
        </w:rPr>
        <w:t>. – Vol. 28. – P. 1165-1170.</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highlight w:val="white"/>
        </w:rPr>
        <w:t>Akter F. et al. Prevalence of, and risk factors for, symptomatic pelvic organ prolapse in Rural Bangladesh: a cross-sectional survey study //International urogynecology journal. – 2016. – Vol. 27. – P. 1753-1759.</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Wein A. J. Re:</w:t>
      </w:r>
      <w:r>
        <w:rPr>
          <w:rFonts w:ascii="Times New Roman" w:eastAsia="Times New Roman" w:hAnsi="Times New Roman" w:cs="Times New Roman"/>
          <w:color w:val="000000"/>
          <w:sz w:val="28"/>
          <w:szCs w:val="28"/>
          <w:highlight w:val="white"/>
        </w:rPr>
        <w:t xml:space="preserve"> Association between Joint Hypermobility and Pelvic Organ Prolapse in Women: A Systematic Review and Meta-Analysis //Journal of Urology. – 2017. – Vol. 198. – №. 5. – P. 988-989.</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Cattani L. et al. Pregnancy, labour and delivery as risk factors for pelvic o</w:t>
      </w:r>
      <w:r>
        <w:rPr>
          <w:rFonts w:ascii="Times New Roman" w:eastAsia="Times New Roman" w:hAnsi="Times New Roman" w:cs="Times New Roman"/>
          <w:color w:val="000000"/>
          <w:sz w:val="28"/>
          <w:szCs w:val="28"/>
          <w:highlight w:val="white"/>
        </w:rPr>
        <w:t>rgan prolapse: a systematic review //International urogynecology journal. – 2021. – Vol. 32. – P. 1623-1631.</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Ouyang Y. et al. Safety and efficacy of a self-developed Chinese pelvic repair system and Avaulta repair system for the treatment of pelvic organ p</w:t>
      </w:r>
      <w:r>
        <w:rPr>
          <w:rFonts w:ascii="Times New Roman" w:eastAsia="Times New Roman" w:hAnsi="Times New Roman" w:cs="Times New Roman"/>
          <w:color w:val="000000"/>
          <w:sz w:val="28"/>
          <w:szCs w:val="28"/>
          <w:highlight w:val="white"/>
        </w:rPr>
        <w:t>rolapse in women: a multicenter, prospective, randomized, parallel-group study //Medicine. – 2020. – Vol. 99. – №. 38. – P. 1-7.</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Chen Y. et al. Systematic review and meta-analysis of evaluation of selective cesarean section in postpartum pelvic floor funct</w:t>
      </w:r>
      <w:r>
        <w:rPr>
          <w:rFonts w:ascii="Times New Roman" w:eastAsia="Times New Roman" w:hAnsi="Times New Roman" w:cs="Times New Roman"/>
          <w:color w:val="000000"/>
          <w:sz w:val="28"/>
          <w:szCs w:val="28"/>
          <w:highlight w:val="white"/>
        </w:rPr>
        <w:t>ion recovery under perineal ultrasound //Annals of Palliative Medicine. – 2022. – Vol. 11. – №. 2. – P. 730-742.</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Hage‐Fransen M. A. H. et al. Pregnancy‐and obstetric‐related risk factors for urinary incontinence, fecal incontinence, or pelvic organ prolaps</w:t>
      </w:r>
      <w:r>
        <w:rPr>
          <w:rFonts w:ascii="Times New Roman" w:eastAsia="Times New Roman" w:hAnsi="Times New Roman" w:cs="Times New Roman"/>
          <w:color w:val="000000"/>
          <w:sz w:val="28"/>
          <w:szCs w:val="28"/>
          <w:highlight w:val="white"/>
        </w:rPr>
        <w:t>e later in life: a systematic review and meta‐analysis //Acta obstetricia et gynecologica Scandinavica. – 2021. – Vol. 100. – №. 3. – P. 373-382.</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Nur Farihan M. et al. Prevalence, Knowledge and Awareness of Pelvic Floor Disorder among Pregnant Women in a Tertiary Centre, Malaysia //International Journal of Environmental Research and Public Health. – 2022. – Vol. 19. – №. 14. – P. 1-11.</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Barca J. A. e</w:t>
      </w:r>
      <w:r>
        <w:rPr>
          <w:rFonts w:ascii="Times New Roman" w:eastAsia="Times New Roman" w:hAnsi="Times New Roman" w:cs="Times New Roman"/>
          <w:color w:val="000000"/>
          <w:sz w:val="28"/>
          <w:szCs w:val="28"/>
          <w:highlight w:val="white"/>
        </w:rPr>
        <w:t xml:space="preserve">t al. Pelvic floor morbidity following vaginal delivery versus cesarean delivery: systematic review and meta-analysis //Journal of Clinical </w:t>
      </w:r>
    </w:p>
    <w:p w:rsidR="000A3797" w:rsidRDefault="00A660E7">
      <w:pPr>
        <w:widowControl w:val="0"/>
        <w:pBdr>
          <w:top w:val="nil"/>
          <w:left w:val="nil"/>
          <w:bottom w:val="nil"/>
          <w:right w:val="nil"/>
          <w:between w:val="nil"/>
        </w:pBdr>
        <w:spacing w:after="0" w:line="240" w:lineRule="auto"/>
        <w:ind w:left="720"/>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Medicine. – 2021. – Vol. 10. – №. 8. – P. 1-14.</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Siyoum M, Teklesilasie W, Nardos R, Sirak B, Astatkie A. Reliabilit</w:t>
      </w:r>
      <w:r>
        <w:rPr>
          <w:rFonts w:ascii="Times New Roman" w:eastAsia="Times New Roman" w:hAnsi="Times New Roman" w:cs="Times New Roman"/>
          <w:color w:val="000000"/>
          <w:sz w:val="28"/>
          <w:szCs w:val="28"/>
          <w:highlight w:val="white"/>
        </w:rPr>
        <w:t>y and validity of the Sidaamu Afoo version of the pelvic organ prolapse symptom score questionnaire. BMC Womens Health. 2023 Jun 20;23(1):324. doi: 10.1186/s12905-023-02478-x. PMID: 37340303; PMCID: PMC10283297</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Hatthanirun P. et al. Quality of Life in Wome</w:t>
      </w:r>
      <w:r>
        <w:rPr>
          <w:rFonts w:ascii="Times New Roman" w:eastAsia="Times New Roman" w:hAnsi="Times New Roman" w:cs="Times New Roman"/>
          <w:color w:val="000000"/>
          <w:sz w:val="28"/>
          <w:szCs w:val="28"/>
          <w:highlight w:val="white"/>
        </w:rPr>
        <w:t>n with Pelvic Organ Prolapse Attending Urogynecology Clinic, Ramathibodi Hospital //Ramathibodi Medical Journal. – 2015. – Vol. 38. – №. 3. – P. 181-188.</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Kindie W. et al. Quality of life among women with a diagnosis of pelvic organ prolapse at Felege Hiwot</w:t>
      </w:r>
      <w:r>
        <w:rPr>
          <w:rFonts w:ascii="Times New Roman" w:eastAsia="Times New Roman" w:hAnsi="Times New Roman" w:cs="Times New Roman"/>
          <w:color w:val="000000"/>
          <w:sz w:val="28"/>
          <w:szCs w:val="28"/>
          <w:highlight w:val="white"/>
        </w:rPr>
        <w:t xml:space="preserve"> Comprehensive Specialized Hospital, Bahir Dar, Northwest Ethiopia: an institutional based cross-sectional study //International Urogynecology Journal. – 2023. – Vol. 34. – №. 1. – P. 225-230.</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Barber M. D. et al. Psychometric evaluation of 2 comprehensive </w:t>
      </w:r>
      <w:r>
        <w:rPr>
          <w:rFonts w:ascii="Times New Roman" w:eastAsia="Times New Roman" w:hAnsi="Times New Roman" w:cs="Times New Roman"/>
          <w:color w:val="000000"/>
          <w:sz w:val="28"/>
          <w:szCs w:val="28"/>
          <w:highlight w:val="white"/>
        </w:rPr>
        <w:t>condition-specific quality of life instruments for women with pelvic floor disorders //American journal of obstetrics and gynecology. – 2001. – Vol. 185. – №. 6. – P. 1388-1395.</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highlight w:val="white"/>
        </w:rPr>
        <w:t>Borsamo A. et al. Factors associated with delay in seeking treatment among wom</w:t>
      </w:r>
      <w:r>
        <w:rPr>
          <w:rFonts w:ascii="Times New Roman" w:eastAsia="Times New Roman" w:hAnsi="Times New Roman" w:cs="Times New Roman"/>
          <w:color w:val="000000"/>
          <w:sz w:val="28"/>
          <w:szCs w:val="28"/>
          <w:highlight w:val="white"/>
        </w:rPr>
        <w:t>en with pelvic organ prolapse at selected general and referral hospitals of Southern Ethiopia, 2020 //BMC women's health. – 2021. – Vol. 21. – №. 1. – P. 1-8.</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Bradley C. S. et al. Generic health-related quality of life in patients seeking care for pelvic o</w:t>
      </w:r>
      <w:r>
        <w:rPr>
          <w:rFonts w:ascii="Times New Roman" w:eastAsia="Times New Roman" w:hAnsi="Times New Roman" w:cs="Times New Roman"/>
          <w:color w:val="000000"/>
          <w:sz w:val="28"/>
          <w:szCs w:val="28"/>
          <w:highlight w:val="white"/>
        </w:rPr>
        <w:t>rgan prolapse //Urogynecology. – 2021. – Vol. 27. – №. 6. – P. 337-343.</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Curillo-Aguirre C. A., Gea-Izquierdo E. Effectiveness of Pelvic Floor Muscle Training on Quality of Life in Women with Urinary Incontinence: A Systematic Review and Meta-Analysis //Med</w:t>
      </w:r>
      <w:r>
        <w:rPr>
          <w:rFonts w:ascii="Times New Roman" w:eastAsia="Times New Roman" w:hAnsi="Times New Roman" w:cs="Times New Roman"/>
          <w:color w:val="000000"/>
          <w:sz w:val="28"/>
          <w:szCs w:val="28"/>
          <w:highlight w:val="white"/>
        </w:rPr>
        <w:t>icina. – 2023. – Vol. 59. – №. 6. – P. 1004.</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Zalewski M. et al. The assessment of quality of life and satisfaction with life of patients before and after surgery of an isolated apical defect using synthetic materials //BMC urology. – 2020. – Vol. 20. – №. 1. – P. 1-8.</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Karaca S. Y. The effect of recon</w:t>
      </w:r>
      <w:r>
        <w:rPr>
          <w:rFonts w:ascii="Times New Roman" w:eastAsia="Times New Roman" w:hAnsi="Times New Roman" w:cs="Times New Roman"/>
          <w:color w:val="000000"/>
          <w:sz w:val="28"/>
          <w:szCs w:val="28"/>
          <w:highlight w:val="white"/>
        </w:rPr>
        <w:t>structive vaginal surgery on quality of life and sexual functions in postmenopausal women with advanced pelvic organ prolapse in intermediate-term follow-up //Post Reproductive Health. – 2021. – Vol. 27. – №. 3. – P. 145-150.</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Belayneh T. et al. Pelvic orga</w:t>
      </w:r>
      <w:r>
        <w:rPr>
          <w:rFonts w:ascii="Times New Roman" w:eastAsia="Times New Roman" w:hAnsi="Times New Roman" w:cs="Times New Roman"/>
          <w:color w:val="000000"/>
          <w:sz w:val="28"/>
          <w:szCs w:val="28"/>
          <w:highlight w:val="white"/>
        </w:rPr>
        <w:t>n prolapse surgery and health-related quality of life: a follow-up study //BMC Women's Health. – 2021. – Vol. 21. – P. 1-11.</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Doaee M. et al. Management of pelvic organ prolapse and quality of life: a systematic review and meta-analysis //International urog</w:t>
      </w:r>
      <w:r>
        <w:rPr>
          <w:rFonts w:ascii="Times New Roman" w:eastAsia="Times New Roman" w:hAnsi="Times New Roman" w:cs="Times New Roman"/>
          <w:color w:val="000000"/>
          <w:sz w:val="28"/>
          <w:szCs w:val="28"/>
          <w:highlight w:val="white"/>
        </w:rPr>
        <w:t>ynecology journal. – 2014. – Т. 25. – С. 153-163.</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Barber M. D., Walters M. D., Bump R. C. Short forms of two condition-specific quality-of-life questionnaires for women with pelvic floor disorders (PFDI-20 and PFIQ-7) //American journal of obstetrics and g</w:t>
      </w:r>
      <w:r>
        <w:rPr>
          <w:rFonts w:ascii="Times New Roman" w:eastAsia="Times New Roman" w:hAnsi="Times New Roman" w:cs="Times New Roman"/>
          <w:color w:val="000000"/>
          <w:sz w:val="28"/>
          <w:szCs w:val="28"/>
          <w:highlight w:val="white"/>
        </w:rPr>
        <w:t>ynecology. – 2005. – Vol. 193. – №. 1. – P. 103-113.</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Sánchez B. S. et al. Responsiveness of the Spanish pelvic floor distress inventory and pelvic floor impact questionnaires short forms (PFDI-20 and PFIQ-7) in women with pelvic floor disorders //European </w:t>
      </w:r>
      <w:r>
        <w:rPr>
          <w:rFonts w:ascii="Times New Roman" w:eastAsia="Times New Roman" w:hAnsi="Times New Roman" w:cs="Times New Roman"/>
          <w:color w:val="000000"/>
          <w:sz w:val="28"/>
          <w:szCs w:val="28"/>
          <w:highlight w:val="white"/>
        </w:rPr>
        <w:t>Journal of Obstetrics &amp; Gynecology and Reproductive Biology. – 2015. – Vol. 190. – P. 20-25.</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Digesu G. A. et al. P-QOL: a validated questionnaire to assess the symptoms and quality of life of women with urogenital prolapse //International Urogynecology Journal. – 2005. – Vol. 16. – P. 176-181.</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highlight w:val="white"/>
        </w:rPr>
        <w:t>Brandt C., Van Rooyen C., Cronjé H. S. Validation of t</w:t>
      </w:r>
      <w:r>
        <w:rPr>
          <w:rFonts w:ascii="Times New Roman" w:eastAsia="Times New Roman" w:hAnsi="Times New Roman" w:cs="Times New Roman"/>
          <w:color w:val="000000"/>
          <w:sz w:val="28"/>
          <w:szCs w:val="28"/>
          <w:highlight w:val="white"/>
        </w:rPr>
        <w:t>he prolapse quality-of-life questionnaire (P-QOL): An Afrikaans version in a South African population //South African Journal of Obstetrics and Gynaecology. – 2016. – Vol. 22. – №. 2. – P. 38-41.</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highlight w:val="white"/>
        </w:rPr>
        <w:t>Belayneh T. et al. Translation, transcultural adaptation, re</w:t>
      </w:r>
      <w:r>
        <w:rPr>
          <w:rFonts w:ascii="Times New Roman" w:eastAsia="Times New Roman" w:hAnsi="Times New Roman" w:cs="Times New Roman"/>
          <w:color w:val="000000"/>
          <w:sz w:val="28"/>
          <w:szCs w:val="28"/>
          <w:highlight w:val="white"/>
        </w:rPr>
        <w:t>liability and validation of the pelvic organ prolapse quality of life (P-QoL) in Amharic //Health and quality of life outcomes. – 2019. – Vol. 17. – P. 1-11.</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Scarlato A. et al. Validation, reliability, and responsiveness of Prolapse Quality of Life Questio</w:t>
      </w:r>
      <w:r>
        <w:rPr>
          <w:rFonts w:ascii="Times New Roman" w:eastAsia="Times New Roman" w:hAnsi="Times New Roman" w:cs="Times New Roman"/>
          <w:color w:val="000000"/>
          <w:sz w:val="28"/>
          <w:szCs w:val="28"/>
          <w:highlight w:val="white"/>
        </w:rPr>
        <w:t>nnaire (P-QOL) in a Brazilian population //International urogynecology journal. – 2011. – Vol. 22. – P. 751-755.</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Sánchez-Sánchez B. et al. Quality of life in POP: Validity, reliability and responsiveness of the Prolapse Quality of Life Questionnaire (P-QoL</w:t>
      </w:r>
      <w:r>
        <w:rPr>
          <w:rFonts w:ascii="Times New Roman" w:eastAsia="Times New Roman" w:hAnsi="Times New Roman" w:cs="Times New Roman"/>
          <w:color w:val="000000"/>
          <w:sz w:val="28"/>
          <w:szCs w:val="28"/>
          <w:highlight w:val="white"/>
        </w:rPr>
        <w:t>) in Spanish women //International Journal of Environmental Research and Public Health. – 2020. – Vol. 17. – №. 5. – P. 1690.</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highlight w:val="white"/>
        </w:rPr>
        <w:t>Cam C. et al. Validation of the prolapse quality of life questionnaire (P-QOL) in a Turkish population //European Journal of Obste</w:t>
      </w:r>
      <w:r>
        <w:rPr>
          <w:rFonts w:ascii="Times New Roman" w:eastAsia="Times New Roman" w:hAnsi="Times New Roman" w:cs="Times New Roman"/>
          <w:color w:val="000000"/>
          <w:sz w:val="28"/>
          <w:szCs w:val="28"/>
          <w:highlight w:val="white"/>
        </w:rPr>
        <w:t>trics &amp; Gynecology and Reproductive Biology. – 2007. – Vol. 135. – №. 1. – P. 132-135.</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highlight w:val="white"/>
        </w:rPr>
        <w:t>Belayneh T. et al. A systematic review of the psychometric properties of the cross-cultural adaptations and translations of the Prolapse Quality of Life (P-QoL) question</w:t>
      </w:r>
      <w:r>
        <w:rPr>
          <w:rFonts w:ascii="Times New Roman" w:eastAsia="Times New Roman" w:hAnsi="Times New Roman" w:cs="Times New Roman"/>
          <w:color w:val="000000"/>
          <w:sz w:val="28"/>
          <w:szCs w:val="28"/>
          <w:highlight w:val="white"/>
        </w:rPr>
        <w:t>naire //International urogynecology journal. – 2019. – Vol. 30. – P. 1989-2000.</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Kayondo M. et al. Impact of surgery on quality of life of Ugandan women with symptomatic pelvic organ prolapse: a prospective cohort study //BMC Women's Health. – 2021. – Vol. </w:t>
      </w:r>
      <w:r>
        <w:rPr>
          <w:rFonts w:ascii="Times New Roman" w:eastAsia="Times New Roman" w:hAnsi="Times New Roman" w:cs="Times New Roman"/>
          <w:color w:val="000000"/>
          <w:sz w:val="28"/>
          <w:szCs w:val="28"/>
          <w:highlight w:val="white"/>
        </w:rPr>
        <w:t>21. – №. 1. – P. 258.</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Коршунов М.Ю., Сазыкина Е. И.. Опросник пд-кж — валидированный способ оценки симптомов дисфункций тазового дна и качества жизни у пациенток с пролапсом тазовых органов//Клинические лекции/- 2008. Том 4, С.1-8.</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highlight w:val="white"/>
        </w:rPr>
        <w:t>Volløyhaug I., Mørkved S</w:t>
      </w:r>
      <w:r>
        <w:rPr>
          <w:rFonts w:ascii="Times New Roman" w:eastAsia="Times New Roman" w:hAnsi="Times New Roman" w:cs="Times New Roman"/>
          <w:color w:val="000000"/>
          <w:sz w:val="28"/>
          <w:szCs w:val="28"/>
          <w:highlight w:val="white"/>
        </w:rPr>
        <w:t>., Salvesen K. Å. Association between pelvic floor muscle trauma and pelvic organ prolapse 20 years after delivery //International urogynecology journal. – 2016. – Vol. 27. – P. 39-45.</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highlight w:val="white"/>
        </w:rPr>
        <w:t>Schreiber Pedersen L. et al. Prevalence of urinary incontinence among w</w:t>
      </w:r>
      <w:r>
        <w:rPr>
          <w:rFonts w:ascii="Times New Roman" w:eastAsia="Times New Roman" w:hAnsi="Times New Roman" w:cs="Times New Roman"/>
          <w:color w:val="000000"/>
          <w:sz w:val="28"/>
          <w:szCs w:val="28"/>
          <w:highlight w:val="white"/>
        </w:rPr>
        <w:t>omen and analysis of potential risk factors in Germany and Denmark //Acta obstetricia et gynecologica Scandinavica. – 2017. – Vol. 96. – №. 8. – P. 939-948.</w:t>
      </w:r>
      <w:r>
        <w:rPr>
          <w:rFonts w:ascii="Times New Roman" w:eastAsia="Times New Roman" w:hAnsi="Times New Roman" w:cs="Times New Roman"/>
          <w:color w:val="000000"/>
          <w:sz w:val="28"/>
          <w:szCs w:val="28"/>
        </w:rPr>
        <w:t xml:space="preserve"> </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Romeikienė K. E., Bartkevičienė D. Pelvic-floor dysfunction prevention in prepartum and postpartum</w:t>
      </w:r>
      <w:r>
        <w:rPr>
          <w:rFonts w:ascii="Times New Roman" w:eastAsia="Times New Roman" w:hAnsi="Times New Roman" w:cs="Times New Roman"/>
          <w:color w:val="000000"/>
          <w:sz w:val="28"/>
          <w:szCs w:val="28"/>
          <w:highlight w:val="white"/>
        </w:rPr>
        <w:t xml:space="preserve"> periods //Medicina. – 2021. – Vol. 57. – №. 4. – P. 1 - 23.</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Wu Y. M., McInnes N., Leong Y. Pelvic floor muscle training versus watchful waiting and pelvic floor disorders in postpartum women: a systematic review and meta-analysis //Urogynecology. – 2018. </w:t>
      </w:r>
      <w:r>
        <w:rPr>
          <w:rFonts w:ascii="Times New Roman" w:eastAsia="Times New Roman" w:hAnsi="Times New Roman" w:cs="Times New Roman"/>
          <w:color w:val="000000"/>
          <w:sz w:val="28"/>
          <w:szCs w:val="28"/>
          <w:highlight w:val="white"/>
        </w:rPr>
        <w:t>– Vol. 24. – №. 2. – P. 142-</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highlight w:val="white"/>
        </w:rPr>
        <w:t xml:space="preserve">Borsamo A. et al. Factors associated with delay in seeking treatment among women with pelvic organ prolapse at selected general and referral hospitals of Southern Ethiopia, 2020 //BMC women's health. – 2021. – Vol. 21. – №. 1. </w:t>
      </w:r>
      <w:r>
        <w:rPr>
          <w:rFonts w:ascii="Times New Roman" w:eastAsia="Times New Roman" w:hAnsi="Times New Roman" w:cs="Times New Roman"/>
          <w:color w:val="000000"/>
          <w:sz w:val="28"/>
          <w:szCs w:val="28"/>
          <w:highlight w:val="white"/>
        </w:rPr>
        <w:t>– P. 1-8.</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Doumouchtsis S. K. et al. An International Continence Society (ICS)/International Urogynecological Association (IUGA) joint report on the terminology for the assessment and management of obstetric pelvic floor disorders //International urogynecol</w:t>
      </w:r>
      <w:r>
        <w:rPr>
          <w:rFonts w:ascii="Times New Roman" w:eastAsia="Times New Roman" w:hAnsi="Times New Roman" w:cs="Times New Roman"/>
          <w:color w:val="000000"/>
          <w:sz w:val="28"/>
          <w:szCs w:val="28"/>
          <w:highlight w:val="white"/>
        </w:rPr>
        <w:t>ogy journal. – 2023. – Vol. 34. – №. 1. – С. 1-42</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Deprest J. A. et al. International Urogynecological Consultation (IUC): pathophysiology of pelvic organ prolapse (POP) //International Urogynecology Journal. – 2022. – Vol. 33. – №. 7. – P. 1699-1710.</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Dicke</w:t>
      </w:r>
      <w:r>
        <w:rPr>
          <w:rFonts w:ascii="Times New Roman" w:eastAsia="Times New Roman" w:hAnsi="Times New Roman" w:cs="Times New Roman"/>
          <w:color w:val="000000"/>
          <w:sz w:val="28"/>
          <w:szCs w:val="28"/>
          <w:highlight w:val="white"/>
        </w:rPr>
        <w:t xml:space="preserve"> G. B. et al. Modern methods for assessing the function and strength of the pelvic floor muscles in women // Medical alphabet. – 2019. – Vol. 1. – No. 1. – P. 80-85.</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Cross D. et al. Does a Kegel Exercise Program Prior to Resistance Training Reduce the Risk</w:t>
      </w:r>
      <w:r>
        <w:rPr>
          <w:rFonts w:ascii="Times New Roman" w:eastAsia="Times New Roman" w:hAnsi="Times New Roman" w:cs="Times New Roman"/>
          <w:color w:val="000000"/>
          <w:sz w:val="28"/>
          <w:szCs w:val="28"/>
          <w:highlight w:val="white"/>
        </w:rPr>
        <w:t xml:space="preserve"> of Stress Urinary Incontinence? //International Journal of Environmental Research and Public Health. – 2023. – Vol. 20. – №. 2. – P. 1-12.</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Sheng Y. et al. Mechanisms of pelvic floor muscle training for managing urinary incontinence in women: a scoping rev</w:t>
      </w:r>
      <w:r>
        <w:rPr>
          <w:rFonts w:ascii="Times New Roman" w:eastAsia="Times New Roman" w:hAnsi="Times New Roman" w:cs="Times New Roman"/>
          <w:color w:val="000000"/>
          <w:sz w:val="28"/>
          <w:szCs w:val="28"/>
          <w:highlight w:val="white"/>
        </w:rPr>
        <w:t>iew //BMC Women's Health. – 2022. – Vol. 22. – №. 1. – P. 1-16.</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Kolberg Tennfjord M. et al. Effect of postpartum pelvic floor muscle training on vaginal symptoms and sexual dysfunction—secondary analysis of a randomised trial //BJOG: An International Journ</w:t>
      </w:r>
      <w:r>
        <w:rPr>
          <w:rFonts w:ascii="Times New Roman" w:eastAsia="Times New Roman" w:hAnsi="Times New Roman" w:cs="Times New Roman"/>
          <w:color w:val="000000"/>
          <w:sz w:val="28"/>
          <w:szCs w:val="28"/>
          <w:highlight w:val="white"/>
        </w:rPr>
        <w:t>al of Obstetrics &amp; Gynaecology. – 2016. – Vol. 123. – №. 4. – P. 634-642.</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Dumoulin C., Cacciari L. P., Hay‐Smith E. J. C. Pelvic floor muscle training versus no treatment, or inactive control treatments, for urinary incontinence in women //Cochrane databas</w:t>
      </w:r>
      <w:r>
        <w:rPr>
          <w:rFonts w:ascii="Times New Roman" w:eastAsia="Times New Roman" w:hAnsi="Times New Roman" w:cs="Times New Roman"/>
          <w:color w:val="000000"/>
          <w:sz w:val="28"/>
          <w:szCs w:val="28"/>
          <w:highlight w:val="white"/>
        </w:rPr>
        <w:t>e of systematic reviews. – 2018. – №. 10. – P. 1 - 155.</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Ozdemir F. C., Pehlivan E., Melekoglu R. Pelvic floor muscle strength of women consulting at the gynecology outpatient clinics and its correlation with sexual dysfunction: A cross-sectional study //Pa</w:t>
      </w:r>
      <w:r>
        <w:rPr>
          <w:rFonts w:ascii="Times New Roman" w:eastAsia="Times New Roman" w:hAnsi="Times New Roman" w:cs="Times New Roman"/>
          <w:color w:val="000000"/>
          <w:sz w:val="28"/>
          <w:szCs w:val="28"/>
          <w:highlight w:val="white"/>
        </w:rPr>
        <w:t>kistan journal of medical sciences. – 2017. – Vol. 33. – №. 4. – P. 854.</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Faubion S. S., Shuster L. T., Bharucha A. E. Recognition and management of nonrelaxing pelvic floor dysfunction //Mayo Clinic Proceedings. – Elsevier, 2012. – Vol. 87. – №. 2. – P. 18</w:t>
      </w:r>
      <w:r>
        <w:rPr>
          <w:rFonts w:ascii="Times New Roman" w:eastAsia="Times New Roman" w:hAnsi="Times New Roman" w:cs="Times New Roman"/>
          <w:color w:val="000000"/>
          <w:sz w:val="28"/>
          <w:szCs w:val="28"/>
          <w:highlight w:val="white"/>
        </w:rPr>
        <w:t>7-193.</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Bordoni B., Sugumar K., Leslie S. W. Anatomy, abdomen and pelvis, pelvic floor. – 2018. – P. 305-312.</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Eser A. et al. Is there a relationship between pelvic organ prolapse and tissue Fibrillin-1 levels? //International Neurourology Journal. – 2015. – Т. 19. – №. 3. – С. 164.</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Lammers K. et al. Pelvic organ prolapse and collagen-associated disorders //Interna</w:t>
      </w:r>
      <w:r>
        <w:rPr>
          <w:rFonts w:ascii="Times New Roman" w:eastAsia="Times New Roman" w:hAnsi="Times New Roman" w:cs="Times New Roman"/>
          <w:color w:val="000000"/>
          <w:sz w:val="28"/>
          <w:szCs w:val="28"/>
          <w:highlight w:val="white"/>
        </w:rPr>
        <w:t>tional urogynecology journal. – 2012. – Vol. 23. – P. 313-319.</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Ustyuzhina A. S. et al. Signs of connective tissue dysplasia in women with genital prolapse // Obstetrics, gynecology and reproduction. – 2021. – Vol. 15. – No. 1. – P. 32-40.</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Schoenfeld B. J. </w:t>
      </w:r>
      <w:r>
        <w:rPr>
          <w:rFonts w:ascii="Times New Roman" w:eastAsia="Times New Roman" w:hAnsi="Times New Roman" w:cs="Times New Roman"/>
          <w:color w:val="000000"/>
          <w:sz w:val="28"/>
          <w:szCs w:val="28"/>
          <w:highlight w:val="white"/>
        </w:rPr>
        <w:t>et al. Loading recommendations for muscle strength, hypertrophy, and local endurance: a re-examination of the repetition continuum //Sports. – 2021. – Vo. 9. – №. 2. – P. 1-25.</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Krzysztofik M. et al. Maximizing muscle hypertrophy: a systematic review of adv</w:t>
      </w:r>
      <w:r>
        <w:rPr>
          <w:rFonts w:ascii="Times New Roman" w:eastAsia="Times New Roman" w:hAnsi="Times New Roman" w:cs="Times New Roman"/>
          <w:color w:val="000000"/>
          <w:sz w:val="28"/>
          <w:szCs w:val="28"/>
          <w:highlight w:val="white"/>
        </w:rPr>
        <w:t>anced resistance training techniques and methods //International journal of environmental research and public health. – 2019. – Vol. 16. – №. 24. – P. 1-14.</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Tobias I. S., Galpin A. J. Moving human muscle physiology research forward: an evaluation of fiber </w:t>
      </w:r>
      <w:r>
        <w:rPr>
          <w:rFonts w:ascii="Times New Roman" w:eastAsia="Times New Roman" w:hAnsi="Times New Roman" w:cs="Times New Roman"/>
          <w:color w:val="000000"/>
          <w:sz w:val="28"/>
          <w:szCs w:val="28"/>
          <w:highlight w:val="white"/>
        </w:rPr>
        <w:t>type-specific protein research methodologies //American Journal of Physiology-Cell Physiology. – 2020. – Vol. 319. – №. 5. – P. C858-C876.</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Farup J. et al. Influence of exercise contraction mode and protein supplementation on human skeletal muscle satellite</w:t>
      </w:r>
      <w:r>
        <w:rPr>
          <w:rFonts w:ascii="Times New Roman" w:eastAsia="Times New Roman" w:hAnsi="Times New Roman" w:cs="Times New Roman"/>
          <w:color w:val="000000"/>
          <w:sz w:val="28"/>
          <w:szCs w:val="28"/>
          <w:highlight w:val="white"/>
        </w:rPr>
        <w:t xml:space="preserve"> cell content and muscle fiber growth //Journal of applied physiology. – 2014. – Vol. 117. – №. 8. – P. 898-909.</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Gries K. J. et al. Single-muscle fiber contractile properties in lifelong aerobic exercising women //Journal of Applied Physiology. – 2019. – Т</w:t>
      </w:r>
      <w:r>
        <w:rPr>
          <w:rFonts w:ascii="Times New Roman" w:eastAsia="Times New Roman" w:hAnsi="Times New Roman" w:cs="Times New Roman"/>
          <w:color w:val="000000"/>
          <w:sz w:val="28"/>
          <w:szCs w:val="28"/>
          <w:highlight w:val="white"/>
        </w:rPr>
        <w:t>. 127. – №. 6. – С. 1710-1719.</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Katti P. et al. Mitochondrial network configuration influences sarcomere and myosin filament structure in striated muscles //Nature Communications. – 2022. – Vol. 13. – №. 1. – P. 6058.</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Mithal A. et al. Impact of nutrition on</w:t>
      </w:r>
      <w:r>
        <w:rPr>
          <w:rFonts w:ascii="Times New Roman" w:eastAsia="Times New Roman" w:hAnsi="Times New Roman" w:cs="Times New Roman"/>
          <w:color w:val="000000"/>
          <w:sz w:val="28"/>
          <w:szCs w:val="28"/>
          <w:highlight w:val="white"/>
        </w:rPr>
        <w:t xml:space="preserve"> muscle mass, strength, and performance in older adults: response to Scott and Jones //Osteoporosis International. – 2014. – Vol. 25. – P. 793-793.</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Gazzani D. et al. Vegetable but not animal protein intake is associated to a better physical performance: A </w:t>
      </w:r>
      <w:r>
        <w:rPr>
          <w:rFonts w:ascii="Times New Roman" w:eastAsia="Times New Roman" w:hAnsi="Times New Roman" w:cs="Times New Roman"/>
          <w:color w:val="000000"/>
          <w:sz w:val="28"/>
          <w:szCs w:val="28"/>
          <w:highlight w:val="white"/>
        </w:rPr>
        <w:t>study on a general population sample of adults //Food &amp; nutrition research. – 2019. – Vol. 63.</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Bibiloni M. M. et al. Association between physical condition and body composition, nutrient intake, sociodemographic characteristics, and lifestyle habits in old</w:t>
      </w:r>
      <w:r>
        <w:rPr>
          <w:rFonts w:ascii="Times New Roman" w:eastAsia="Times New Roman" w:hAnsi="Times New Roman" w:cs="Times New Roman"/>
          <w:color w:val="000000"/>
          <w:sz w:val="28"/>
          <w:szCs w:val="28"/>
          <w:highlight w:val="white"/>
        </w:rPr>
        <w:t>er Spanish adults //nutrients. – 2018. – Vol. 10. – №. 11. – P. 1608.</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Cholewa J. M. et al. Dietary proteins and amino acids in the control of the muscle mass during immobilization and aging: role of the MPS response //Amino Acids. – 2017. – Vol. 49. – P. 8</w:t>
      </w:r>
      <w:r>
        <w:rPr>
          <w:rFonts w:ascii="Times New Roman" w:eastAsia="Times New Roman" w:hAnsi="Times New Roman" w:cs="Times New Roman"/>
          <w:color w:val="000000"/>
          <w:sz w:val="28"/>
          <w:szCs w:val="28"/>
          <w:highlight w:val="white"/>
        </w:rPr>
        <w:t>11-820.</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Cross D. et al. Effectiveness of supervised Kegel exercises using bio-feedback versus unsupervised Kegel exercises on stress urinary incontinence: A quasi-experimental study //International Urogynecology Journal. – 2023. – Vol. 34. – №. 4. – P. 913</w:t>
      </w:r>
      <w:r>
        <w:rPr>
          <w:rFonts w:ascii="Times New Roman" w:eastAsia="Times New Roman" w:hAnsi="Times New Roman" w:cs="Times New Roman"/>
          <w:color w:val="000000"/>
          <w:sz w:val="28"/>
          <w:szCs w:val="28"/>
          <w:highlight w:val="white"/>
        </w:rPr>
        <w:t>-920.</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Alouini S., Memic S., Couillandre A. Pelvic floor muscle training for urinary incontinence with or without biofeedback or electrostimulation in women: a systematic review //International Journal of Environmental Research and Public Health. – 2022. – </w:t>
      </w:r>
      <w:r>
        <w:rPr>
          <w:rFonts w:ascii="Times New Roman" w:eastAsia="Times New Roman" w:hAnsi="Times New Roman" w:cs="Times New Roman"/>
          <w:color w:val="000000"/>
          <w:sz w:val="28"/>
          <w:szCs w:val="28"/>
          <w:highlight w:val="white"/>
        </w:rPr>
        <w:t>Vol. 19. – №. 5. – P. 2789.</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Abu Raddaha A. H., Nasr E. H. Kegel Exercise Training Program among Women with Urinary Incontinence //Healthcare. – MDPI, 2022. – Vol. 10. – №. 12. – P. 2359.</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Marques A., Stothers L., Macnab A. The status of pelvic floor muscle </w:t>
      </w:r>
      <w:r>
        <w:rPr>
          <w:rFonts w:ascii="Times New Roman" w:eastAsia="Times New Roman" w:hAnsi="Times New Roman" w:cs="Times New Roman"/>
          <w:color w:val="000000"/>
          <w:sz w:val="28"/>
          <w:szCs w:val="28"/>
          <w:highlight w:val="white"/>
        </w:rPr>
        <w:t>training for women //Canadian Urological Association Journal. – 2010. – Vol. 4. – №. 6. – P. 419 - 424</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highlight w:val="white"/>
        </w:rPr>
        <w:t>Nie X. F. et al. A meta-analysis of pelvic floor muscle training for the treatment of urinary incontinence //International journal of gynaecology and obs</w:t>
      </w:r>
      <w:r>
        <w:rPr>
          <w:rFonts w:ascii="Times New Roman" w:eastAsia="Times New Roman" w:hAnsi="Times New Roman" w:cs="Times New Roman"/>
          <w:color w:val="000000"/>
          <w:sz w:val="28"/>
          <w:szCs w:val="28"/>
          <w:highlight w:val="white"/>
        </w:rPr>
        <w:t>tetrics: the official organ of the International Federation of Gynaecology and Obstetrics. – 2017. – Vol. 138. – №. 3. – P. 250-255.</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Wu X. et al. Electromyographic biofeedback for stress urinary incontinence or pelvic floor dysfunction in women: a systemat</w:t>
      </w:r>
      <w:r>
        <w:rPr>
          <w:rFonts w:ascii="Times New Roman" w:eastAsia="Times New Roman" w:hAnsi="Times New Roman" w:cs="Times New Roman"/>
          <w:color w:val="000000"/>
          <w:sz w:val="28"/>
          <w:szCs w:val="28"/>
          <w:highlight w:val="white"/>
        </w:rPr>
        <w:t>ic review and meta-analysis //Advances in Therapy. – 2021. – Vol. 38. – №. 8. – P. 4163-4177.</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Todhunter-Brown A. et al. Conservative interventions for treating urinary incontinence in women: an overview of Cochrane systematic reviews //Cochrane Database of</w:t>
      </w:r>
      <w:r>
        <w:rPr>
          <w:rFonts w:ascii="Times New Roman" w:eastAsia="Times New Roman" w:hAnsi="Times New Roman" w:cs="Times New Roman"/>
          <w:color w:val="000000"/>
          <w:sz w:val="28"/>
          <w:szCs w:val="28"/>
          <w:highlight w:val="white"/>
        </w:rPr>
        <w:t xml:space="preserve"> Systematic Reviews. – 2022. – №. 9.</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Boyle R. et al. Pelvic floor muscle training for prevention and treatment of urinary and fecal incontinence in antenatal and postnatal women: a short version Cochrane review //Neurourology and urodynamics. – 2014. – Vol</w:t>
      </w:r>
      <w:r>
        <w:rPr>
          <w:rFonts w:ascii="Times New Roman" w:eastAsia="Times New Roman" w:hAnsi="Times New Roman" w:cs="Times New Roman"/>
          <w:color w:val="000000"/>
          <w:sz w:val="28"/>
          <w:szCs w:val="28"/>
          <w:highlight w:val="white"/>
        </w:rPr>
        <w:t>. 33. – №. 3. – P. 269-276.</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Almousa S., van Loon A. B. The prevalence of urinary incontinence in nulliparous adolescent and middle-aged women and the associated risk factors: a systematic review //Maturitas. – 2018. – Vol. 107. – P. 78-83.</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Shinozaki K. et al. Postpartum urinary incontinence and birth outcomes as a result of the pushing technique: a systematic review and meta-analysis //International Urogynecology Journal. – 2022. – Vol. 33. – №. 6. – P. 1435-1449.</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highlight w:val="white"/>
        </w:rPr>
        <w:t>Moossdorff-Steinhauser H. F</w:t>
      </w:r>
      <w:r>
        <w:rPr>
          <w:rFonts w:ascii="Times New Roman" w:eastAsia="Times New Roman" w:hAnsi="Times New Roman" w:cs="Times New Roman"/>
          <w:color w:val="000000"/>
          <w:sz w:val="28"/>
          <w:szCs w:val="28"/>
          <w:highlight w:val="white"/>
        </w:rPr>
        <w:t>. A. et al. Prevalence, incidence and bothersomeness of urinary incontinence between 6 weeks and 1 year post-partum: a systematic review and meta-analysis //International Urogynecology Journal. – 2021. – Vol. 32. – №. 7. – P. 1675-1693.</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Ferreira L. A. et a</w:t>
      </w:r>
      <w:r>
        <w:rPr>
          <w:rFonts w:ascii="Times New Roman" w:eastAsia="Times New Roman" w:hAnsi="Times New Roman" w:cs="Times New Roman"/>
          <w:color w:val="000000"/>
          <w:sz w:val="28"/>
          <w:szCs w:val="28"/>
          <w:highlight w:val="white"/>
        </w:rPr>
        <w:t>l. Management of Stress Urinary Incontinence With Pelvic Floor Muscle Training for a Woman With Charcot-Marie-Tooth Disease: A Case Report //Journal of Chiropractic Medicine. – 2022. – Т. 21. – №. 3. – С. 220-224.</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sz w:val="28"/>
          <w:szCs w:val="28"/>
          <w:highlight w:val="white"/>
        </w:rPr>
        <w:t>Hilde G., Bo K. The pelvic floor during pr</w:t>
      </w:r>
      <w:r>
        <w:rPr>
          <w:rFonts w:ascii="Times New Roman" w:eastAsia="Times New Roman" w:hAnsi="Times New Roman" w:cs="Times New Roman"/>
          <w:color w:val="000000"/>
          <w:sz w:val="28"/>
          <w:szCs w:val="28"/>
          <w:highlight w:val="white"/>
        </w:rPr>
        <w:t>egnancy and after childbirth, and the effect of pelvic floor muscle training on urinary incontinence-a literature review //Current Women's Health Reviews. – 2015. – Т. 11. – №. 1. – С. 19-30.</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Soave I. et al. Pelvic floor muscle training for prevention and </w:t>
      </w:r>
      <w:r>
        <w:rPr>
          <w:rFonts w:ascii="Times New Roman" w:eastAsia="Times New Roman" w:hAnsi="Times New Roman" w:cs="Times New Roman"/>
          <w:color w:val="000000"/>
          <w:sz w:val="28"/>
          <w:szCs w:val="28"/>
          <w:highlight w:val="white"/>
        </w:rPr>
        <w:t>treatment of urinary incontinence during pregnancy and after childbirth and its effect on urinary system and supportive structures assessed by objective measurement techniques //Archives of gynecology and obstetrics. – 2019. – Vol. 299. – P. 609-623.</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Asklu</w:t>
      </w:r>
      <w:r>
        <w:rPr>
          <w:rFonts w:ascii="Times New Roman" w:eastAsia="Times New Roman" w:hAnsi="Times New Roman" w:cs="Times New Roman"/>
          <w:color w:val="000000"/>
          <w:sz w:val="28"/>
          <w:szCs w:val="28"/>
          <w:highlight w:val="white"/>
        </w:rPr>
        <w:t>nd I. et al. Mobile app for treatment of stress urinary incontinence: a randomized controlled trial //Neurourology and urodynamics. – 2017. – Vol. 36. – №. 5. – P. 1369-1376.</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B Bø K., Finckenhagen H. B. Vaginal palpation of pelvic floor muscle strength: in</w:t>
      </w:r>
      <w:r>
        <w:rPr>
          <w:rFonts w:ascii="Times New Roman" w:eastAsia="Times New Roman" w:hAnsi="Times New Roman" w:cs="Times New Roman"/>
          <w:color w:val="000000"/>
          <w:sz w:val="28"/>
          <w:szCs w:val="28"/>
          <w:highlight w:val="white"/>
        </w:rPr>
        <w:t>ter-test reproducibility and comparison between palpation and vaginal squeeze pressure //Acta obstetricia et gynecologica Scandinavica. – 2001. – Vol. 80. – №. 10. – P. 883-883.</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Ikeda M., Mori A. Vaginal palpation versus transabdominal ultrasound in the co</w:t>
      </w:r>
      <w:r>
        <w:rPr>
          <w:rFonts w:ascii="Times New Roman" w:eastAsia="Times New Roman" w:hAnsi="Times New Roman" w:cs="Times New Roman"/>
          <w:color w:val="000000"/>
          <w:sz w:val="28"/>
          <w:szCs w:val="28"/>
          <w:highlight w:val="white"/>
        </w:rPr>
        <w:t>mprehension of pelvic floor muscle contraction after vaginal delivery: a randomised controlled trial //BMC women's health. – 2021. – Vol. 21. – P. 1-9.</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de Azevedo Ferreira L. et al. The role of vaginal palpation in motor learning of the pelvic floor muscle</w:t>
      </w:r>
      <w:r>
        <w:rPr>
          <w:rFonts w:ascii="Times New Roman" w:eastAsia="Times New Roman" w:hAnsi="Times New Roman" w:cs="Times New Roman"/>
          <w:color w:val="000000"/>
          <w:sz w:val="28"/>
          <w:szCs w:val="28"/>
          <w:highlight w:val="white"/>
        </w:rPr>
        <w:t>s for women with stress urinary incontinence: study protocol for a randomized controlled trial //Trials. – 2020. – Vol. 21. – P. 1-7.</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Gao Y. et al. Diagnostic value of pelvic floor ultrasonography for diagnosis of pelvic organ prolapse: a systematic review</w:t>
      </w:r>
      <w:r>
        <w:rPr>
          <w:rFonts w:ascii="Times New Roman" w:eastAsia="Times New Roman" w:hAnsi="Times New Roman" w:cs="Times New Roman"/>
          <w:color w:val="000000"/>
          <w:sz w:val="28"/>
          <w:szCs w:val="28"/>
          <w:highlight w:val="white"/>
        </w:rPr>
        <w:t xml:space="preserve"> //International Urogynecology Journal. – 2020. – Vol. 31. – P. 15-33. </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Speksnijder L. et al. Agreement and reliability of pelvic floor measurements during rest and on maximum Valsalva maneuver using three‐dimensional translabial ultrasound and virtual reality imaging //Ultrasound in Obstetrics &amp; Gynecology. – 2016. – Vol. 48.</w:t>
      </w:r>
      <w:r>
        <w:rPr>
          <w:rFonts w:ascii="Times New Roman" w:eastAsia="Times New Roman" w:hAnsi="Times New Roman" w:cs="Times New Roman"/>
          <w:color w:val="000000"/>
          <w:sz w:val="28"/>
          <w:szCs w:val="28"/>
          <w:highlight w:val="white"/>
        </w:rPr>
        <w:t xml:space="preserve"> – №. 2. – P. 243-249.</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Notten K. J. B. et al. Diagnostic accuracy and clinical implications of translabial ultrasound for the assessment of levator ani defects and levator ani biometry in women with pelvic organ prolapse: a systematic review //Urogynecolog</w:t>
      </w:r>
      <w:r>
        <w:rPr>
          <w:rFonts w:ascii="Times New Roman" w:eastAsia="Times New Roman" w:hAnsi="Times New Roman" w:cs="Times New Roman"/>
          <w:color w:val="000000"/>
          <w:sz w:val="28"/>
          <w:szCs w:val="28"/>
          <w:highlight w:val="white"/>
        </w:rPr>
        <w:t>y. – 2017. – Vol. 23. – №. 6. – P. 420-428.</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Speksnijder L. et al. Agreement and reliability of pelvic floor measurements during rest and on maximum Valsalva maneuver using three‐dimensional translabial ultrasound and virtual reality imaging //Ultrasound in</w:t>
      </w:r>
      <w:r>
        <w:rPr>
          <w:rFonts w:ascii="Times New Roman" w:eastAsia="Times New Roman" w:hAnsi="Times New Roman" w:cs="Times New Roman"/>
          <w:color w:val="000000"/>
          <w:sz w:val="28"/>
          <w:szCs w:val="28"/>
          <w:highlight w:val="white"/>
        </w:rPr>
        <w:t xml:space="preserve"> Obstetrics &amp; Gynecology. – 2016. – Vol. 48. – №. 2. – P. 243-249.</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Ramage L. et al. Magnetic resonance defecography versus clinical examination and fluoroscopy: a systematic review and meta-analysis //Techniques in Coloproctology. – 2017. – Vol. 21. – P. 9</w:t>
      </w:r>
      <w:r>
        <w:rPr>
          <w:rFonts w:ascii="Times New Roman" w:eastAsia="Times New Roman" w:hAnsi="Times New Roman" w:cs="Times New Roman"/>
          <w:color w:val="000000"/>
          <w:sz w:val="28"/>
          <w:szCs w:val="28"/>
          <w:highlight w:val="white"/>
        </w:rPr>
        <w:t>15-927.</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Khatri G. et al. Defecation versus pre-and post-defecation Valsalva maneuvers for dynamic MR assessment of pelvic floor dysfunction //Abdominal Radiology. – 2021. – Vol. 46. – P. 1362-1372.</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 Chill H. H. et al. Pubococcygeal Line Versus H-line as MR</w:t>
      </w:r>
      <w:r>
        <w:rPr>
          <w:rFonts w:ascii="Times New Roman" w:eastAsia="Times New Roman" w:hAnsi="Times New Roman" w:cs="Times New Roman"/>
          <w:color w:val="000000"/>
          <w:sz w:val="28"/>
          <w:szCs w:val="28"/>
          <w:highlight w:val="white"/>
        </w:rPr>
        <w:t xml:space="preserve"> Defecography Reference for Bladder Descent //International Urogynecology Journal. – 2024. – P. 1-8.</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Wang H. et al. The feasibility of uterine-vaginal axis MRI-based as evaluation of surgical efficacy in women with pelvic organ prolapse //Annals of Transla</w:t>
      </w:r>
      <w:r>
        <w:rPr>
          <w:rFonts w:ascii="Times New Roman" w:eastAsia="Times New Roman" w:hAnsi="Times New Roman" w:cs="Times New Roman"/>
          <w:color w:val="000000"/>
          <w:sz w:val="28"/>
          <w:szCs w:val="28"/>
          <w:highlight w:val="white"/>
        </w:rPr>
        <w:t>tional Medicine. – 2022. – Vol. 10. – №. 8.</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Voorham-van der Zalm P. J. et al. “Diagnostic investigation of the pelvic floor”: a helpful tool in the approach in patients with complaints of micturition, defecation, and/or sexual dysfunction //The Journal of </w:t>
      </w:r>
      <w:r>
        <w:rPr>
          <w:rFonts w:ascii="Times New Roman" w:eastAsia="Times New Roman" w:hAnsi="Times New Roman" w:cs="Times New Roman"/>
          <w:color w:val="000000"/>
          <w:sz w:val="28"/>
          <w:szCs w:val="28"/>
          <w:highlight w:val="white"/>
        </w:rPr>
        <w:t>Sexual Medicine. – 2008. – Vol. 5. – №. 4. – P. 864-871.</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Min L. et al. Effectiveness of intravaginal electrical stimulation combined with electromyography biofeedback-mediated pelvic floor muscle training for postpartum symptomatic pelvic organ prolapse: p</w:t>
      </w:r>
      <w:r>
        <w:rPr>
          <w:rFonts w:ascii="Times New Roman" w:eastAsia="Times New Roman" w:hAnsi="Times New Roman" w:cs="Times New Roman"/>
          <w:color w:val="000000"/>
          <w:sz w:val="28"/>
          <w:szCs w:val="28"/>
          <w:highlight w:val="white"/>
        </w:rPr>
        <w:t>rotocol for the PROSPECT randomized trial //Trials. – 2022. – Vol. 23. – №. 1. – P. 131.</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Albaladejo-Belmonte M. et al. Characterization of pelvic floor activity in healthy subjects and with chronic pelvic pain: diagnostic potential of surface electromyogra</w:t>
      </w:r>
      <w:r>
        <w:rPr>
          <w:rFonts w:ascii="Times New Roman" w:eastAsia="Times New Roman" w:hAnsi="Times New Roman" w:cs="Times New Roman"/>
          <w:color w:val="000000"/>
          <w:sz w:val="28"/>
          <w:szCs w:val="28"/>
          <w:highlight w:val="white"/>
        </w:rPr>
        <w:t>phy //Sensors. – 2021. – Vol. 21. – №. 6. – P. 2225.</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Angelo P. H. et al. A manometry classification to assess pelvic floor muscle function in women //PLoS One. – 2017. – Vol. 12. – №. 10. – P. e0187045.</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highlight w:val="white"/>
        </w:rPr>
        <w:t>Deegan E. G. et al. Quantification of pelvic floor mu</w:t>
      </w:r>
      <w:r>
        <w:rPr>
          <w:rFonts w:ascii="Times New Roman" w:eastAsia="Times New Roman" w:hAnsi="Times New Roman" w:cs="Times New Roman"/>
          <w:color w:val="000000"/>
          <w:sz w:val="28"/>
          <w:szCs w:val="28"/>
          <w:highlight w:val="white"/>
        </w:rPr>
        <w:t>scle strength in female urinary incontinence: A systematic review and comparison of contemporary methodologies //Neurourology and Urodynamics. – 2018. – Vol. 37. – №. 1. – P. 33-45.</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Rahmani N, Mohseni-Bandpei MA. Application of perineometer in the assessme</w:t>
      </w:r>
      <w:r>
        <w:rPr>
          <w:rFonts w:ascii="Times New Roman" w:eastAsia="Times New Roman" w:hAnsi="Times New Roman" w:cs="Times New Roman"/>
          <w:color w:val="000000"/>
          <w:sz w:val="28"/>
          <w:szCs w:val="28"/>
          <w:highlight w:val="white"/>
        </w:rPr>
        <w:t>nt of pelvic floor muscle strength and endurance: a reliability study. J Bodyw Mov Ther. 2011 Apr;15(2):209-14. doi: 10.1016/j.jbmt.2009.07.007. Epub 2009 Aug 7. PMID: 21419362.</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Macêdo L. C. et al. Correlation between electromyography and perineometry in evaluating pelvic floor muscle function in nulligravidas: A cross‐sectional study //Neurourology and urodynamics. – 2018. –VolТ. 37. – №. 5. – P. 1658-1666.</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Chehrehrazi M. et al. </w:t>
      </w:r>
      <w:r>
        <w:rPr>
          <w:rFonts w:ascii="Times New Roman" w:eastAsia="Times New Roman" w:hAnsi="Times New Roman" w:cs="Times New Roman"/>
          <w:color w:val="000000"/>
          <w:sz w:val="28"/>
          <w:szCs w:val="28"/>
          <w:highlight w:val="white"/>
        </w:rPr>
        <w:t>Assessment of pelvic floor muscle contraction in stress urinary incontinent women: comparison between transabdominal ultrasound and perineometry //International Urogynecology Journal. – 2009. – Vol. 20. – P. 1491-1496.</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Herbison G. P., Dean N. Weighted vagi</w:t>
      </w:r>
      <w:r>
        <w:rPr>
          <w:rFonts w:ascii="Times New Roman" w:eastAsia="Times New Roman" w:hAnsi="Times New Roman" w:cs="Times New Roman"/>
          <w:color w:val="000000"/>
          <w:sz w:val="28"/>
          <w:szCs w:val="28"/>
          <w:highlight w:val="white"/>
        </w:rPr>
        <w:t>nal cones for urinary incontinence //Cochrane Database of Systematic Reviews. – 2013. – №. 7. – P. 1-61.</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Braga A. et al. Update in native tissue vaginal vault prolapse repair //International urogynecology journal. – 2020. – Vol. 31. – P. 2003-2010. </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Maher </w:t>
      </w:r>
      <w:r>
        <w:rPr>
          <w:rFonts w:ascii="Times New Roman" w:eastAsia="Times New Roman" w:hAnsi="Times New Roman" w:cs="Times New Roman"/>
          <w:color w:val="000000"/>
          <w:sz w:val="28"/>
          <w:szCs w:val="28"/>
          <w:highlight w:val="white"/>
        </w:rPr>
        <w:t>C. et al. Surgical management of pelvic organ prolapse in women //Cochrane database of systematic reviews. – 2013. – №. 4. P. 1-263.</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Serati M. et al. Ten years’ follow-up after iliococcygeus fixation for the treatment of apical vaginal prolapse //Internati</w:t>
      </w:r>
      <w:r>
        <w:rPr>
          <w:rFonts w:ascii="Times New Roman" w:eastAsia="Times New Roman" w:hAnsi="Times New Roman" w:cs="Times New Roman"/>
          <w:color w:val="000000"/>
          <w:sz w:val="28"/>
          <w:szCs w:val="28"/>
          <w:highlight w:val="white"/>
        </w:rPr>
        <w:t>onal urogynecology journal. – 2021. – Vol. 32. – P. 1533-1538.</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Serati M. et al. Ten years’ follow-up after iliococcygeus fixation for the treatment of apical vaginal prolapse //International urogynecology journal. – 2021. – Vol. 32. – P. 1533-1538.</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Wei D. </w:t>
      </w:r>
      <w:r>
        <w:rPr>
          <w:rFonts w:ascii="Times New Roman" w:eastAsia="Times New Roman" w:hAnsi="Times New Roman" w:cs="Times New Roman"/>
          <w:color w:val="000000"/>
          <w:sz w:val="28"/>
          <w:szCs w:val="28"/>
          <w:highlight w:val="white"/>
        </w:rPr>
        <w:t xml:space="preserve">et al. Comparison between laparoscopic uterus/sacrocolpopexy and total pelvic floor reconstruction with vaginal mesh for the treatment of pelvic organ prolapse //Journal of Obstetrics and Gynaecology Research. – 2019. – Vol. 45. – №. 4. – P. 915-922. </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Hija</w:t>
      </w:r>
      <w:r>
        <w:rPr>
          <w:rFonts w:ascii="Times New Roman" w:eastAsia="Times New Roman" w:hAnsi="Times New Roman" w:cs="Times New Roman"/>
          <w:color w:val="000000"/>
          <w:sz w:val="28"/>
          <w:szCs w:val="28"/>
          <w:highlight w:val="white"/>
        </w:rPr>
        <w:t>zi S. et al. Abdominal sacrocolpopexy with Pelvicol xenograft and concomitant Burch colposuspension //International Journal of Women's Health. – 2017. – P. 625-630.</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Costantini E. et al. Sacrocolpopexy for pelvic organ prolapse: evidence-based review and re</w:t>
      </w:r>
      <w:r>
        <w:rPr>
          <w:rFonts w:ascii="Times New Roman" w:eastAsia="Times New Roman" w:hAnsi="Times New Roman" w:cs="Times New Roman"/>
          <w:color w:val="000000"/>
          <w:sz w:val="28"/>
          <w:szCs w:val="28"/>
          <w:highlight w:val="white"/>
        </w:rPr>
        <w:t>commendations //European Journal of Obstetrics &amp; Gynecology and Reproductive Biology. – 2016. – Vol. 205. – P. 60-65.</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Larouche M., Belzile E., Geoffrion R. Surgical management of symptomatic apical pelvic organ prolapse: a systematic review and meta-analys</w:t>
      </w:r>
      <w:r>
        <w:rPr>
          <w:rFonts w:ascii="Times New Roman" w:eastAsia="Times New Roman" w:hAnsi="Times New Roman" w:cs="Times New Roman"/>
          <w:color w:val="000000"/>
          <w:sz w:val="28"/>
          <w:szCs w:val="28"/>
          <w:highlight w:val="white"/>
        </w:rPr>
        <w:t>is //Obstetrics &amp; Gynecology. – 2021. – Vol. 137. – №. 6. – P. 1061-1073.</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Borahay M. A. et al. Pelvic pain and apical prolapse surgery: a population-based retrospective cohort study //Female pelvic medicine &amp; reconstructive surgery. – 2020. – Vol. 26. – №.</w:t>
      </w:r>
      <w:r>
        <w:rPr>
          <w:rFonts w:ascii="Times New Roman" w:eastAsia="Times New Roman" w:hAnsi="Times New Roman" w:cs="Times New Roman"/>
          <w:color w:val="000000"/>
          <w:sz w:val="28"/>
          <w:szCs w:val="28"/>
          <w:highlight w:val="white"/>
        </w:rPr>
        <w:t xml:space="preserve"> 11. – P. 704.</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Szymański J. K. et al. Impact of preoperative pelvic floor muscle function on the success of surgical treatment of pelvic organ prolapse //International Urogynecology Journal. – 2023. – P. 1-9.</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Simoncini T. et al. Robotic-assisted apical lat</w:t>
      </w:r>
      <w:r>
        <w:rPr>
          <w:rFonts w:ascii="Times New Roman" w:eastAsia="Times New Roman" w:hAnsi="Times New Roman" w:cs="Times New Roman"/>
          <w:color w:val="000000"/>
          <w:sz w:val="28"/>
          <w:szCs w:val="28"/>
          <w:highlight w:val="white"/>
        </w:rPr>
        <w:t>eral suspension for advanced pelvic organ prolapse: surgical technique and perioperative outcomes //Surgical endoscopy. – 2016. – Vol. 30. – P. 5647-5655.</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Maher C. et al. Surgery for women with anterior compartment prolapse //Cochrane Database of Systemati</w:t>
      </w:r>
      <w:r>
        <w:rPr>
          <w:rFonts w:ascii="Times New Roman" w:eastAsia="Times New Roman" w:hAnsi="Times New Roman" w:cs="Times New Roman"/>
          <w:color w:val="000000"/>
          <w:sz w:val="28"/>
          <w:szCs w:val="28"/>
          <w:highlight w:val="white"/>
        </w:rPr>
        <w:t>c Reviews. – 2016. – №. 11. – P. 1-117.</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Maher C. et al. Transvaginal mesh or grafts compared with native tissue repair for vaginal prolapse //Cochrane Database of Systematic Reviews. – 1996. – Vol. 2017. – №. 11. – P. 1-138.</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Juliato C. R. T. et al. Mesh su</w:t>
      </w:r>
      <w:r>
        <w:rPr>
          <w:rFonts w:ascii="Times New Roman" w:eastAsia="Times New Roman" w:hAnsi="Times New Roman" w:cs="Times New Roman"/>
          <w:color w:val="000000"/>
          <w:sz w:val="28"/>
          <w:szCs w:val="28"/>
          <w:highlight w:val="white"/>
        </w:rPr>
        <w:t>rgery for anterior vaginal wall prolapse: a meta-analysis //Revista Brasileira de Ginecologia e Obstetrícia. – 2016. – Vol. 38. – P. 356-364.</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Rudnicki M. et al. A 3–year follow‐up after anterior colporrhaphy compared with collagen‐coated transvaginal mesh </w:t>
      </w:r>
      <w:r>
        <w:rPr>
          <w:rFonts w:ascii="Times New Roman" w:eastAsia="Times New Roman" w:hAnsi="Times New Roman" w:cs="Times New Roman"/>
          <w:color w:val="000000"/>
          <w:sz w:val="28"/>
          <w:szCs w:val="28"/>
          <w:highlight w:val="white"/>
        </w:rPr>
        <w:t>for anterior vaginal wall prolapse: a randomised controlled trial //BJOG: An International Journal of Obstetrics &amp; Gynaecology. – 2016. – Vol. 123. – №. 1. – P. 136-142.</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Caveney M. et al. Short‐term complications associated with the use of transvaginal mes</w:t>
      </w:r>
      <w:r>
        <w:rPr>
          <w:rFonts w:ascii="Times New Roman" w:eastAsia="Times New Roman" w:hAnsi="Times New Roman" w:cs="Times New Roman"/>
          <w:color w:val="000000"/>
          <w:sz w:val="28"/>
          <w:szCs w:val="28"/>
          <w:highlight w:val="white"/>
        </w:rPr>
        <w:t>h in pelvic floor reconstructive surgery: results from a multi‐institutional prospectively maintained dataset //Neurourology and Urodynamics. – 2017. – Vol. 36. – №. 8. – P. 2044-2048.</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Коркан А.И.,Лактионова М.В. </w:t>
      </w:r>
      <w:r>
        <w:rPr>
          <w:rFonts w:ascii="Times New Roman" w:eastAsia="Times New Roman" w:hAnsi="Times New Roman" w:cs="Times New Roman"/>
          <w:color w:val="000000"/>
          <w:sz w:val="28"/>
          <w:szCs w:val="28"/>
        </w:rPr>
        <w:t>Опыт применения нового подхода  установки с</w:t>
      </w:r>
      <w:r>
        <w:rPr>
          <w:rFonts w:ascii="Times New Roman" w:eastAsia="Times New Roman" w:hAnsi="Times New Roman" w:cs="Times New Roman"/>
          <w:color w:val="000000"/>
          <w:sz w:val="28"/>
          <w:szCs w:val="28"/>
        </w:rPr>
        <w:t>етчатого протеза трансвагинально в хирургии генитального пролапса// Репродуктивная медицина. - 2020. Том 42 №1. С. 27-30.</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Sun Z. J. et al. A 14-year multi-institutional collaborative study of Chinese pelvic floor surgical procedures related to pelvic organ prolapse //Chinese medical journal. – 2021. – Vol. 134. – №. 02. – P. 200-205.</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Notten K. J. B. et al. Do patients prefer </w:t>
      </w:r>
      <w:r>
        <w:rPr>
          <w:rFonts w:ascii="Times New Roman" w:eastAsia="Times New Roman" w:hAnsi="Times New Roman" w:cs="Times New Roman"/>
          <w:color w:val="000000"/>
          <w:sz w:val="28"/>
          <w:szCs w:val="28"/>
          <w:highlight w:val="white"/>
        </w:rPr>
        <w:t>mesh or anterior colporrhaphy for primary correction of anterior vaginal wall prolapse: a labelled discrete choice experiment //BJOG: An International Journal of Obstetrics &amp; Gynaecology. – 2015. – Vol. 122. – №. 6. – P. 873-880.</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Dandolu V. et al. Mesh com</w:t>
      </w:r>
      <w:r>
        <w:rPr>
          <w:rFonts w:ascii="Times New Roman" w:eastAsia="Times New Roman" w:hAnsi="Times New Roman" w:cs="Times New Roman"/>
          <w:color w:val="000000"/>
          <w:sz w:val="28"/>
          <w:szCs w:val="28"/>
          <w:highlight w:val="white"/>
        </w:rPr>
        <w:t>plications and failure rates after transvaginal mesh repair compared with abdominal or laparoscopic sacrocolpopexy and to native tissue repair in treating apical prolapse //International urogynecology journal. – 2017. – Vol. 28. – P. 215-222.</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Milani A. L. et al. Long-term outcome of vaginal mesh or native tissue in recurrent prolapse: a randomized controlled trial //International Urogynecology Journal. – 2018. – Vol. 29. – P. 847-858.</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Mowat A. et al. Surgery for women with posterior compartment</w:t>
      </w:r>
      <w:r>
        <w:rPr>
          <w:rFonts w:ascii="Times New Roman" w:eastAsia="Times New Roman" w:hAnsi="Times New Roman" w:cs="Times New Roman"/>
          <w:color w:val="000000"/>
          <w:sz w:val="28"/>
          <w:szCs w:val="28"/>
          <w:highlight w:val="white"/>
        </w:rPr>
        <w:t xml:space="preserve"> prolapse //Cochrane Database of Systematic Reviews. – 1996. – Vol. 2018. – №. 3., р.1-64</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Baessler K. et al. Surgery for women with pelvic organ prolapse with or without stress urinary incontinence //Cochrane Database of Systematic Reviews. – 1996. – Vol. </w:t>
      </w:r>
      <w:r>
        <w:rPr>
          <w:rFonts w:ascii="Times New Roman" w:eastAsia="Times New Roman" w:hAnsi="Times New Roman" w:cs="Times New Roman"/>
          <w:color w:val="000000"/>
          <w:sz w:val="28"/>
          <w:szCs w:val="28"/>
          <w:highlight w:val="white"/>
        </w:rPr>
        <w:t>2018. – №. 8.</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Wang J. et al. Laparoscopic Sacrocolpopexy Plus Colporrhaphy With an Small Intestine Submucosa Graft Versus Total Pelvic Floor Reconstruction for Advanced Prolapse: A Retrospective Cohort Study //International Neurourology Journal. – 2019. – </w:t>
      </w:r>
      <w:r>
        <w:rPr>
          <w:rFonts w:ascii="Times New Roman" w:eastAsia="Times New Roman" w:hAnsi="Times New Roman" w:cs="Times New Roman"/>
          <w:color w:val="000000"/>
          <w:sz w:val="28"/>
          <w:szCs w:val="28"/>
          <w:highlight w:val="white"/>
        </w:rPr>
        <w:t>Vol. 23. – №. 2. – P. 144 - 150.</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Liang X. Z. et al. Mid-term efficacy of laparoscopic sacral colpopexy of combined transabdominal-transvaginal approach in the treatment of stage Ⅳ pelvic organ prolapse //Zhonghua fu chan ke za zhi. – 2019. – Vol. 54. – №. </w:t>
      </w:r>
      <w:r>
        <w:rPr>
          <w:rFonts w:ascii="Times New Roman" w:eastAsia="Times New Roman" w:hAnsi="Times New Roman" w:cs="Times New Roman"/>
          <w:color w:val="000000"/>
          <w:sz w:val="28"/>
          <w:szCs w:val="28"/>
          <w:highlight w:val="white"/>
        </w:rPr>
        <w:t>3. – P. 160-165.</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Wein A. J. Re: Mid-urethral sling operations for stress urinary incontinence in women //Journal of Urology. – 2016. – Vol. 196. – №. 3. – P. 847-848.</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Schulten S. F. M. et al. Risk factors for primary pelvic organ prolapse and prolapse recu</w:t>
      </w:r>
      <w:r>
        <w:rPr>
          <w:rFonts w:ascii="Times New Roman" w:eastAsia="Times New Roman" w:hAnsi="Times New Roman" w:cs="Times New Roman"/>
          <w:color w:val="000000"/>
          <w:sz w:val="28"/>
          <w:szCs w:val="28"/>
          <w:highlight w:val="white"/>
        </w:rPr>
        <w:t>rrence: an updated systematic review and meta-analysis //American Journal of Obstetrics and Gynecology. – 2022. – Vol. 227. – №. 2. – P. 192-208.</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Handa V. L. et al. Pelvic floor disorders after obstetric avulsion of the levator ani muscle //Urogynecology. </w:t>
      </w:r>
      <w:r>
        <w:rPr>
          <w:rFonts w:ascii="Times New Roman" w:eastAsia="Times New Roman" w:hAnsi="Times New Roman" w:cs="Times New Roman"/>
          <w:color w:val="000000"/>
          <w:sz w:val="28"/>
          <w:szCs w:val="28"/>
          <w:highlight w:val="white"/>
        </w:rPr>
        <w:t>– 2019. – Т. 25. – №. 1. – С. 3-7.</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Wei A. M. et al. Evaluation of clinical outcome and risk factors for recurrence after pelvic reconstruction of pelvic organ prolapse with implanted mesh or biological grafts: a single-blind randomized trial //Gynecologic </w:t>
      </w:r>
      <w:r>
        <w:rPr>
          <w:rFonts w:ascii="Times New Roman" w:eastAsia="Times New Roman" w:hAnsi="Times New Roman" w:cs="Times New Roman"/>
          <w:color w:val="000000"/>
          <w:sz w:val="28"/>
          <w:szCs w:val="28"/>
          <w:highlight w:val="white"/>
        </w:rPr>
        <w:t>and Obstetric Investigation. – 2019. – Vol. 84. – №. 5. – P. 503-511.</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rPr>
        <w:t>Лукьянова К. Д.</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Прогнозирование и профилактика тазовых и уродинамических дисфункций у женщин после родов: дис. ... канд. мед. наук. – М., 2023. – 137 с.</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Aydogmus H., Demirdal U. S. Vitam</w:t>
      </w:r>
      <w:r>
        <w:rPr>
          <w:rFonts w:ascii="Times New Roman" w:eastAsia="Times New Roman" w:hAnsi="Times New Roman" w:cs="Times New Roman"/>
          <w:color w:val="000000"/>
          <w:sz w:val="28"/>
          <w:szCs w:val="28"/>
          <w:highlight w:val="white"/>
        </w:rPr>
        <w:t>in D deficiency and lower urinary tract symptoms in women //European Journal of Obstetrics &amp; Gynecology and Reproductive Biology. – 2018. – Т. 228. – С. 48-52.</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Shahraki S. K. et al. Effect of vitamin D supplementation on the severity of stress urinary inco</w:t>
      </w:r>
      <w:r>
        <w:rPr>
          <w:rFonts w:ascii="Times New Roman" w:eastAsia="Times New Roman" w:hAnsi="Times New Roman" w:cs="Times New Roman"/>
          <w:color w:val="000000"/>
          <w:sz w:val="28"/>
          <w:szCs w:val="28"/>
          <w:highlight w:val="white"/>
        </w:rPr>
        <w:t>ntinence in premenopausal women with vitamin D insufficiency: a randomized controlled clinical trial //BMC Women's Health. – 2022. – Vol. 22. – №. 1. – P. 431.</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Crescioli C. et al. Human bladder as a novel target for vitamin D receptor ligands //The Journal</w:t>
      </w:r>
      <w:r>
        <w:rPr>
          <w:rFonts w:ascii="Times New Roman" w:eastAsia="Times New Roman" w:hAnsi="Times New Roman" w:cs="Times New Roman"/>
          <w:color w:val="000000"/>
          <w:sz w:val="28"/>
          <w:szCs w:val="28"/>
          <w:highlight w:val="white"/>
        </w:rPr>
        <w:t xml:space="preserve"> of Clinical Endocrinology &amp; Metabolism. – 2005. – Vol. 90. – №. 2. – P. 962-972.</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Annweiler C. et al. Is there an association between serum 25-hydroxyvitamin D concentration and muscle strength among older women? Results from baseline assessment of the EPI</w:t>
      </w:r>
      <w:r>
        <w:rPr>
          <w:rFonts w:ascii="Times New Roman" w:eastAsia="Times New Roman" w:hAnsi="Times New Roman" w:cs="Times New Roman"/>
          <w:color w:val="000000"/>
          <w:sz w:val="28"/>
          <w:szCs w:val="28"/>
          <w:highlight w:val="white"/>
        </w:rPr>
        <w:t>DOS study //JNHA-The Journal of Nutrition, Health and Aging. – 2009. – Vol. 13. – P. 90-95.</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Hyung Ahn J. et al. Vitamin D status and vitamin D receptor gene polymorphysms are associated with pelvic floor disorders //J Menopav Med. – 2018. – Vol. 24. – P. 1</w:t>
      </w:r>
      <w:r>
        <w:rPr>
          <w:rFonts w:ascii="Times New Roman" w:eastAsia="Times New Roman" w:hAnsi="Times New Roman" w:cs="Times New Roman"/>
          <w:color w:val="000000"/>
          <w:sz w:val="28"/>
          <w:szCs w:val="28"/>
          <w:highlight w:val="white"/>
        </w:rPr>
        <w:t>19-126.</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Alkhatib A. A., Tuteja A. K. High prevalence of vitamin D deficiency among patients with fecal incontinence //Digestive diseases and sciences. – 2010. – Vol. 55. – P. 3632-3633.</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highlight w:val="white"/>
        </w:rPr>
        <w:t>Berger M. B. et al. Structural, functional, and symptomatic difference</w:t>
      </w:r>
      <w:r>
        <w:rPr>
          <w:rFonts w:ascii="Times New Roman" w:eastAsia="Times New Roman" w:hAnsi="Times New Roman" w:cs="Times New Roman"/>
          <w:color w:val="000000"/>
          <w:sz w:val="28"/>
          <w:szCs w:val="28"/>
          <w:highlight w:val="white"/>
        </w:rPr>
        <w:t>s between women with rectocele versus cystocele and normal support //American journal of obstetrics and gynecology. – 2018. – Vol. 218. – №. 5. – P. 510. e1-510. e8.</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Wang Y., DeLuca H. F. Is the vitamin D receptor found in muscle? //Endocrinology. – 2011. </w:t>
      </w:r>
      <w:r>
        <w:rPr>
          <w:rFonts w:ascii="Times New Roman" w:eastAsia="Times New Roman" w:hAnsi="Times New Roman" w:cs="Times New Roman"/>
          <w:color w:val="000000"/>
          <w:sz w:val="28"/>
          <w:szCs w:val="28"/>
          <w:highlight w:val="white"/>
        </w:rPr>
        <w:t>– Vol. 152. – №. 2. – P. 354-363.</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Ceglia L., Harris S. S. Vitamin D and its role in skeletal muscle //Calcified tissue international. – 2013. – Vol. 92. – P. 151-162.</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Legan M. et al. Association of vitamin D deficiency and pelvic organ prolapse in postmenopausal women: a cross-sectional study //Women's Midlife Health. – 2022. – Vol. 8. – №. 1. – P. 9.</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Badalian S. S., Rosenbaum P. F. Vitamin D and pelvic floor disorders </w:t>
      </w:r>
      <w:r>
        <w:rPr>
          <w:rFonts w:ascii="Times New Roman" w:eastAsia="Times New Roman" w:hAnsi="Times New Roman" w:cs="Times New Roman"/>
          <w:color w:val="000000"/>
          <w:sz w:val="28"/>
          <w:szCs w:val="28"/>
          <w:highlight w:val="white"/>
        </w:rPr>
        <w:t>in women: results from the National Health and Nutrition Examination Survey //Obstetrics &amp; Gynecology. – 2010. – Vol. 115. – №. 4. – P. 795-803.</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Sharma S., Aggarwal N. Vitamin D and pelvic floor disorders //Journal of Mid-life Health. – 2017. – Vol. 8. – №</w:t>
      </w:r>
      <w:r>
        <w:rPr>
          <w:rFonts w:ascii="Times New Roman" w:eastAsia="Times New Roman" w:hAnsi="Times New Roman" w:cs="Times New Roman"/>
          <w:color w:val="000000"/>
          <w:sz w:val="28"/>
          <w:szCs w:val="28"/>
          <w:highlight w:val="white"/>
        </w:rPr>
        <w:t>. 3. – P. 101-102.</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Giarenis I., Robinson D. Prevention and management of pelvic organ prolapse //F1000prime reports. – 2014. – Vol. 6. – P. 1-8</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Vergeldt T. F. M. et al. Risk factors for pelvic organ prolapse and its recurrence: a systematic review //International urogynecology journal. – 2015. – Vol. 26. – P. 1559-1573.</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Abdel-Fattah M. et al. Primary and repeat surgical treatment for female pelvic</w:t>
      </w:r>
      <w:r>
        <w:rPr>
          <w:rFonts w:ascii="Times New Roman" w:eastAsia="Times New Roman" w:hAnsi="Times New Roman" w:cs="Times New Roman"/>
          <w:color w:val="000000"/>
          <w:sz w:val="28"/>
          <w:szCs w:val="28"/>
          <w:highlight w:val="white"/>
        </w:rPr>
        <w:t xml:space="preserve"> organ prolapse and incontinence in parous women in the UK: a register linkage study //BMJ open. – 2011. – Vol. 1. – №. 2.</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highlight w:val="white"/>
        </w:rPr>
        <w:t xml:space="preserve">Smith F. J. et al. Lifetime risk of undergoing surgery for pelvic organ prolapse //Obstetrics &amp; Gynecology. – 2010. – Vol. 116. – №. </w:t>
      </w:r>
      <w:r>
        <w:rPr>
          <w:rFonts w:ascii="Times New Roman" w:eastAsia="Times New Roman" w:hAnsi="Times New Roman" w:cs="Times New Roman"/>
          <w:color w:val="000000"/>
          <w:sz w:val="28"/>
          <w:szCs w:val="28"/>
          <w:highlight w:val="white"/>
        </w:rPr>
        <w:t>5. – P. 1096-1100.</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Hagen S., Stark D. Conservative prevention and management of pelvic organ prolapse in women //Cochrane Database of Systematic Reviews. – 2011. – №. 12.</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rPr>
        <w:t>Устюжина А. С. Прогнозирование пролапса тазовых органов у женщин: дис. ... канд. мед.</w:t>
      </w:r>
      <w:r>
        <w:rPr>
          <w:rFonts w:ascii="Times New Roman" w:eastAsia="Times New Roman" w:hAnsi="Times New Roman" w:cs="Times New Roman"/>
          <w:color w:val="000000"/>
          <w:sz w:val="28"/>
          <w:szCs w:val="28"/>
        </w:rPr>
        <w:t xml:space="preserve"> наук: 3.1.4 / Устюжина Александра Сергеевна; [Место защиты: ФГАОУ ВО «Белгородский государственный национальный исследовательский университет»]. – Белгород, 2022. – 131 с.: ил.</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Ecker J. Elective cesarean delivery on maternal request //Jama. – 2013. – Vol.</w:t>
      </w:r>
      <w:r>
        <w:rPr>
          <w:rFonts w:ascii="Times New Roman" w:eastAsia="Times New Roman" w:hAnsi="Times New Roman" w:cs="Times New Roman"/>
          <w:color w:val="000000"/>
          <w:sz w:val="28"/>
          <w:szCs w:val="28"/>
          <w:highlight w:val="white"/>
        </w:rPr>
        <w:t xml:space="preserve"> 309. – №. 18. – P. 1930-1936.</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Wilson D. et al. UR-CHOICE: can we provide mothers-to-be with information about the risk of future pelvic floor dysfunction? //International urogynecology journal. – 2014. – Vol. 25. – С. 1449-1452.</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Mastoroudes H. et al. Prol</w:t>
      </w:r>
      <w:r>
        <w:rPr>
          <w:rFonts w:ascii="Times New Roman" w:eastAsia="Times New Roman" w:hAnsi="Times New Roman" w:cs="Times New Roman"/>
          <w:color w:val="000000"/>
          <w:sz w:val="28"/>
          <w:szCs w:val="28"/>
          <w:highlight w:val="white"/>
        </w:rPr>
        <w:t>apse and sexual function in women with benign joint hypermobility syndrome //BJOG: An International Journal of Obstetrics &amp; Gynaecology. – 2013. – Vol. 120. – №. 2. – P. 187-192.</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Ward R. M. et al. Genetic epidemiology of pelvic organ prolapse: a systematic</w:t>
      </w:r>
      <w:r>
        <w:rPr>
          <w:rFonts w:ascii="Times New Roman" w:eastAsia="Times New Roman" w:hAnsi="Times New Roman" w:cs="Times New Roman"/>
          <w:color w:val="000000"/>
          <w:sz w:val="28"/>
          <w:szCs w:val="28"/>
          <w:highlight w:val="white"/>
        </w:rPr>
        <w:t xml:space="preserve"> review //American journal of obstetrics and gynecology. – 2014. – Vol. 211. – №. 4. – P. 326-335.</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Persson P. et al. Pelvic organ prolapse after subtotal and total hysterectomy: a long‐term follow‐up of an open randomised controlled multicentre study //BJO</w:t>
      </w:r>
      <w:r>
        <w:rPr>
          <w:rFonts w:ascii="Times New Roman" w:eastAsia="Times New Roman" w:hAnsi="Times New Roman" w:cs="Times New Roman"/>
          <w:color w:val="000000"/>
          <w:sz w:val="28"/>
          <w:szCs w:val="28"/>
          <w:highlight w:val="white"/>
        </w:rPr>
        <w:t>G: An International Journal of Obstetrics &amp; Gynaecology. – 2013. – Vol. 120. – №. 12. – P. 1556-1565.</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Cruikshank S. H., Kovac S. R. Randomized comparison of three surgical methods used at the time of vaginal hysterectomy to prevent posterior enterocele //A</w:t>
      </w:r>
      <w:r>
        <w:rPr>
          <w:rFonts w:ascii="Times New Roman" w:eastAsia="Times New Roman" w:hAnsi="Times New Roman" w:cs="Times New Roman"/>
          <w:color w:val="000000"/>
          <w:sz w:val="28"/>
          <w:szCs w:val="28"/>
          <w:highlight w:val="white"/>
        </w:rPr>
        <w:t>merican journal of obstetrics and gynecology. – 1999. – Vol. 180. – №. 4. – P. 859-865.</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Eilber K. S. et al. Outcomes of vaginal prolapse surgery among female Medicare beneficiaries: the role of apical support //Obstetrics and gynecology. – 2013. – Vol. 122</w:t>
      </w:r>
      <w:r>
        <w:rPr>
          <w:rFonts w:ascii="Times New Roman" w:eastAsia="Times New Roman" w:hAnsi="Times New Roman" w:cs="Times New Roman"/>
          <w:color w:val="000000"/>
          <w:sz w:val="28"/>
          <w:szCs w:val="28"/>
          <w:highlight w:val="white"/>
        </w:rPr>
        <w:t>. – №. 5. – P. 1 - 9.</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Glazener C. M. A. et al. Twelve‐year follow‐up of conservative management of postnatal urinary and faecal incontinence and prolapse outcomes: randomised controlled trial //BJOG: An International Journal of Obstetrics &amp; Gynaecology. – </w:t>
      </w:r>
      <w:r>
        <w:rPr>
          <w:rFonts w:ascii="Times New Roman" w:eastAsia="Times New Roman" w:hAnsi="Times New Roman" w:cs="Times New Roman"/>
          <w:color w:val="000000"/>
          <w:sz w:val="28"/>
          <w:szCs w:val="28"/>
          <w:highlight w:val="white"/>
        </w:rPr>
        <w:t>2014. – Vol. 121. – №. 1. – P. 112-120.</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Hagen S. et al. Pelvic floor muscle training for secondary prevention of pelvic organ prolapse (PREVPROL): a multicentre randomised controlled trial //The lancet. – 2017. – Vol. 389. – №. 10067. – P. 393-402.</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Ismail </w:t>
      </w:r>
      <w:r>
        <w:rPr>
          <w:rFonts w:ascii="Times New Roman" w:eastAsia="Times New Roman" w:hAnsi="Times New Roman" w:cs="Times New Roman"/>
          <w:color w:val="000000"/>
          <w:sz w:val="28"/>
          <w:szCs w:val="28"/>
          <w:highlight w:val="white"/>
        </w:rPr>
        <w:t>S. I., Bain C., Hagen S. Oestrogens for treatment or prevention of pelvic organ prolapse in postmenopausal women //Cochrane Database of Systematic Reviews. – 2010. – №. 9.</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Cody J. D. et al. Oestrogen therapy for urinary incontinence in post‐menopausal wome</w:t>
      </w:r>
      <w:r>
        <w:rPr>
          <w:rFonts w:ascii="Times New Roman" w:eastAsia="Times New Roman" w:hAnsi="Times New Roman" w:cs="Times New Roman"/>
          <w:color w:val="000000"/>
          <w:sz w:val="28"/>
          <w:szCs w:val="28"/>
          <w:highlight w:val="white"/>
        </w:rPr>
        <w:t>n //Cochrane Database of Systematic Reviews. – 2012. – №. 10. – P. 1-95.</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Cuicchi D. et al. Clinical and instrumental evaluation of pelvic floor disorders before and after bariatric surgery in obese women //Surgery for Obesity and Related Diseases. – 2013. </w:t>
      </w:r>
      <w:r>
        <w:rPr>
          <w:rFonts w:ascii="Times New Roman" w:eastAsia="Times New Roman" w:hAnsi="Times New Roman" w:cs="Times New Roman"/>
          <w:color w:val="000000"/>
          <w:sz w:val="28"/>
          <w:szCs w:val="28"/>
          <w:highlight w:val="white"/>
        </w:rPr>
        <w:t>– Vol. 9. – №. 1. – P. 69-75.</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Gozukara Y. M. et al. The improvement in pelvic floor symptoms with weight loss in obese women does not correlate with the changes in pelvic anatomy //International urogynecology journal. – 2014. – Vol. 25. – P. 1219-1225.</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Sva</w:t>
      </w:r>
      <w:r>
        <w:rPr>
          <w:rFonts w:ascii="Times New Roman" w:eastAsia="Times New Roman" w:hAnsi="Times New Roman" w:cs="Times New Roman"/>
          <w:color w:val="000000"/>
          <w:sz w:val="28"/>
          <w:szCs w:val="28"/>
          <w:highlight w:val="white"/>
        </w:rPr>
        <w:t>bik K. et al. Comparison of vaginal mesh repair with sacrospinous vaginal colpopexy in the management of vaginal vault prolapse after hysterectomy in patients with levator ani avulsion: a randomized controlled trial. – 2014.</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Srikrishna S. et al. Experience</w:t>
      </w:r>
      <w:r>
        <w:rPr>
          <w:rFonts w:ascii="Times New Roman" w:eastAsia="Times New Roman" w:hAnsi="Times New Roman" w:cs="Times New Roman"/>
          <w:color w:val="000000"/>
          <w:sz w:val="28"/>
          <w:szCs w:val="28"/>
          <w:highlight w:val="white"/>
        </w:rPr>
        <w:t>s and expectations of women with urogenital prolapse: a quantitative and qualitative exploration //BJOG: An International Journal of Obstetrics &amp; Gynaecology. – 2008. – Vol. 115. – №. 11. – P. 1362-1368.</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Nohuz E. et al. Effectiveness of Hyalobarrier and Se</w:t>
      </w:r>
      <w:r>
        <w:rPr>
          <w:rFonts w:ascii="Times New Roman" w:eastAsia="Times New Roman" w:hAnsi="Times New Roman" w:cs="Times New Roman"/>
          <w:color w:val="000000"/>
          <w:sz w:val="28"/>
          <w:szCs w:val="28"/>
          <w:highlight w:val="white"/>
        </w:rPr>
        <w:t>prafilm to prevent polypropylene mesh shrinkage: a macroscopic and histological experimental study //International urogynecology journal. – 2014. – Vol. 25. – P. 1081-1087.</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Roman S. et al. Developing a tissue engineered repair material for treatment of str</w:t>
      </w:r>
      <w:r>
        <w:rPr>
          <w:rFonts w:ascii="Times New Roman" w:eastAsia="Times New Roman" w:hAnsi="Times New Roman" w:cs="Times New Roman"/>
          <w:color w:val="000000"/>
          <w:sz w:val="28"/>
          <w:szCs w:val="28"/>
          <w:highlight w:val="white"/>
        </w:rPr>
        <w:t>ess urinary incontinence and pelvic organ prolapse—which cell source? //Neurourology and urodynamics. – 2014. – Vol. 33. – №. 5. – P. 531-537.</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Mangera A. et al. Comparison of candidate scaffolds for tissue engineering for stress urinary incontinence and pe</w:t>
      </w:r>
      <w:r>
        <w:rPr>
          <w:rFonts w:ascii="Times New Roman" w:eastAsia="Times New Roman" w:hAnsi="Times New Roman" w:cs="Times New Roman"/>
          <w:color w:val="000000"/>
          <w:sz w:val="28"/>
          <w:szCs w:val="28"/>
          <w:highlight w:val="white"/>
        </w:rPr>
        <w:t>lvic organ prolapse repair //BJU international. – 2013. – Vol. 112. – №. 5. – P. 674-685.</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Boennelycke M., Gras S., Lose G. Tissue engineering as a potential alternative or adjunct to surgical reconstruction in treating pelvic organ prolapse //International urogynecology journal. – 2013. – P. 24. – Vol. 741-747.</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Slack M. et al. A standardized de</w:t>
      </w:r>
      <w:r>
        <w:rPr>
          <w:rFonts w:ascii="Times New Roman" w:eastAsia="Times New Roman" w:hAnsi="Times New Roman" w:cs="Times New Roman"/>
          <w:color w:val="000000"/>
          <w:sz w:val="28"/>
          <w:szCs w:val="28"/>
          <w:highlight w:val="white"/>
        </w:rPr>
        <w:t>scription of graft-containing meshes and recommended steps before the introduction of medical devices for prolapse surgery: consensus of the 2nd IUGA grafts roundtable: optimizing safety and appropriateness of graft use in transvaginal pelvic reconstructiv</w:t>
      </w:r>
      <w:r>
        <w:rPr>
          <w:rFonts w:ascii="Times New Roman" w:eastAsia="Times New Roman" w:hAnsi="Times New Roman" w:cs="Times New Roman"/>
          <w:color w:val="000000"/>
          <w:sz w:val="28"/>
          <w:szCs w:val="28"/>
          <w:highlight w:val="white"/>
        </w:rPr>
        <w:t>e surgery //International urogynecology journal. – 2012. – Vol. 23. – P. 15-26.</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rPr>
        <w:t xml:space="preserve">Лактионова М. Кульжанов М.К., Баймуратова М.А., Арингазина А.М. Изучение динамики пролеченных случаев генитального пролапса с 2011-2021гг.// Сборник II Матер.междунар.науч.конф. «Asfen.Forum,новое поколение-2025» (июнь 2024 года, город Алматы, Казахстан), </w:t>
      </w:r>
      <w:r>
        <w:rPr>
          <w:rFonts w:ascii="Times New Roman" w:eastAsia="Times New Roman" w:hAnsi="Times New Roman" w:cs="Times New Roman"/>
          <w:color w:val="000000"/>
          <w:sz w:val="28"/>
          <w:szCs w:val="28"/>
        </w:rPr>
        <w:t>стр.278.</w:t>
      </w:r>
    </w:p>
    <w:p w:rsidR="000A3797" w:rsidRDefault="00A660E7">
      <w:pPr>
        <w:numPr>
          <w:ilvl w:val="0"/>
          <w:numId w:val="11"/>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Лактионова М.В., Арингазина А.М., Кульжанов М.К., Баймуратова М.А., Аскеров А.А., Хамидуллина З.Г., Смагина И.М. Разработка авторского опросника «Мониторинг выявления послеоперационных исходов» для предупреждения рецидивов генитального пролапса //</w:t>
      </w:r>
      <w:r>
        <w:rPr>
          <w:rFonts w:ascii="Times New Roman" w:eastAsia="Times New Roman" w:hAnsi="Times New Roman" w:cs="Times New Roman"/>
          <w:color w:val="000000"/>
          <w:sz w:val="28"/>
          <w:szCs w:val="28"/>
        </w:rPr>
        <w:t xml:space="preserve"> Наука и Здравоохранение. 2023. 4(Т.25). С. 86-91. doi 10.34689/SH.2023.25.4.010</w:t>
      </w:r>
    </w:p>
    <w:p w:rsidR="000A3797" w:rsidRDefault="00A660E7">
      <w:pPr>
        <w:numPr>
          <w:ilvl w:val="0"/>
          <w:numId w:val="11"/>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А.с. 23610. Мониторинг выявления послеоперационных исходов у пациентов с генитальным пролапсом - МВПИ на русском и казахском языках / М.В. Лактионова; опубл. 15.02.2022, Бюл. </w:t>
      </w:r>
      <w:r>
        <w:rPr>
          <w:rFonts w:ascii="Times New Roman" w:eastAsia="Times New Roman" w:hAnsi="Times New Roman" w:cs="Times New Roman"/>
          <w:color w:val="000000"/>
          <w:sz w:val="28"/>
          <w:szCs w:val="28"/>
        </w:rPr>
        <w:t xml:space="preserve"> - 2 с.</w:t>
      </w:r>
    </w:p>
    <w:p w:rsidR="000A3797" w:rsidRDefault="00A660E7">
      <w:pPr>
        <w:numPr>
          <w:ilvl w:val="0"/>
          <w:numId w:val="11"/>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highlight w:val="white"/>
        </w:rPr>
        <w:t>Persu C. et al. Pelvic Organ Prolapse Quantification System (POP–Q)–a new era in pelvic prolapse staging //Journal of medicine and life. – 2011. – Vol. 4. – №. 1. – P. 1-75.</w:t>
      </w:r>
    </w:p>
    <w:p w:rsidR="000A3797" w:rsidRDefault="00A660E7">
      <w:pPr>
        <w:numPr>
          <w:ilvl w:val="0"/>
          <w:numId w:val="11"/>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Laktionova M., Aringazina A., Kulzhanov M., Baimuratova M., Askerov A., Zh</w:t>
      </w:r>
      <w:r>
        <w:rPr>
          <w:rFonts w:ascii="Times New Roman" w:eastAsia="Times New Roman" w:hAnsi="Times New Roman" w:cs="Times New Roman"/>
          <w:color w:val="000000"/>
          <w:sz w:val="28"/>
          <w:szCs w:val="28"/>
        </w:rPr>
        <w:t>aganova S., Smagina I. Cross-cultural adaptation of the specialized questionnaire P-QOL   and Kazakh for women with genital prolapse in Kazakhstan // Nauka i Zdravookhranenie [Science &amp; Healthcare]. 2022, (Vol.24) 6, P. 20-25. doi 10.34689/SH.2022.24.6.003</w:t>
      </w:r>
      <w:r>
        <w:rPr>
          <w:rFonts w:ascii="Times New Roman" w:eastAsia="Times New Roman" w:hAnsi="Times New Roman" w:cs="Times New Roman"/>
          <w:color w:val="000000"/>
          <w:sz w:val="28"/>
          <w:szCs w:val="28"/>
        </w:rPr>
        <w:t xml:space="preserve"> </w:t>
      </w:r>
    </w:p>
    <w:p w:rsidR="000A3797" w:rsidRDefault="00A660E7">
      <w:pPr>
        <w:numPr>
          <w:ilvl w:val="0"/>
          <w:numId w:val="11"/>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А.с. 23609. Адаптированный специализированный опросник P-QOL на русском и казахском языках для женщин с генитальным пролапсом Казахстана / М.В. Лактионова; опубл. 15.02.2022, Бюл.  - 2 с.</w:t>
      </w:r>
    </w:p>
    <w:p w:rsidR="000A3797" w:rsidRDefault="00A660E7">
      <w:pPr>
        <w:numPr>
          <w:ilvl w:val="0"/>
          <w:numId w:val="11"/>
        </w:numPr>
        <w:pBdr>
          <w:top w:val="nil"/>
          <w:left w:val="nil"/>
          <w:bottom w:val="nil"/>
          <w:right w:val="nil"/>
          <w:between w:val="nil"/>
        </w:pBdr>
        <w:spacing w:after="0" w:line="240" w:lineRule="auto"/>
        <w:jc w:val="both"/>
        <w:rPr>
          <w:rFonts w:ascii="Times New Roman" w:eastAsia="Times New Roman" w:hAnsi="Times New Roman" w:cs="Times New Roman"/>
          <w:color w:val="000000"/>
          <w:u w:val="single"/>
        </w:rPr>
      </w:pPr>
      <w:r>
        <w:rPr>
          <w:rFonts w:ascii="Times New Roman" w:eastAsia="Times New Roman" w:hAnsi="Times New Roman" w:cs="Times New Roman"/>
          <w:color w:val="000000"/>
          <w:sz w:val="28"/>
          <w:szCs w:val="28"/>
        </w:rPr>
        <w:t>Laktionova M.,Kulzhanov M., Imasheva B., Serikkyzy L., Barmanashev</w:t>
      </w:r>
      <w:r>
        <w:rPr>
          <w:rFonts w:ascii="Times New Roman" w:eastAsia="Times New Roman" w:hAnsi="Times New Roman" w:cs="Times New Roman"/>
          <w:color w:val="000000"/>
          <w:sz w:val="28"/>
          <w:szCs w:val="28"/>
        </w:rPr>
        <w:t xml:space="preserve">a  Z. Effect of diet, vitamin D3 and other factors on genital prolapse recurrence// International journal of public health»,  Vol. 13, No. 3, pp. 1241 - 1250, 2024.  </w:t>
      </w:r>
      <w:r>
        <w:rPr>
          <w:rFonts w:ascii="Times New Roman" w:eastAsia="Times New Roman" w:hAnsi="Times New Roman" w:cs="Times New Roman"/>
          <w:color w:val="000000"/>
          <w:sz w:val="28"/>
          <w:szCs w:val="28"/>
          <w:highlight w:val="white"/>
        </w:rPr>
        <w:t>DOI: </w:t>
      </w:r>
      <w:hyperlink r:id="rId37">
        <w:r>
          <w:rPr>
            <w:rFonts w:ascii="Times New Roman" w:eastAsia="Times New Roman" w:hAnsi="Times New Roman" w:cs="Times New Roman"/>
            <w:color w:val="000000"/>
            <w:sz w:val="28"/>
            <w:szCs w:val="28"/>
            <w:highlight w:val="white"/>
            <w:u w:val="single"/>
          </w:rPr>
          <w:t>http://doi.org/10.11591/</w:t>
        </w:r>
        <w:r>
          <w:rPr>
            <w:rFonts w:ascii="Times New Roman" w:eastAsia="Times New Roman" w:hAnsi="Times New Roman" w:cs="Times New Roman"/>
            <w:color w:val="000000"/>
            <w:sz w:val="28"/>
            <w:szCs w:val="28"/>
            <w:highlight w:val="white"/>
            <w:u w:val="single"/>
          </w:rPr>
          <w:t>ijphs.v13i3.23790</w:t>
        </w:r>
      </w:hyperlink>
    </w:p>
    <w:p w:rsidR="000A3797" w:rsidRDefault="00A660E7">
      <w:pPr>
        <w:numPr>
          <w:ilvl w:val="0"/>
          <w:numId w:val="11"/>
        </w:numPr>
        <w:pBdr>
          <w:top w:val="nil"/>
          <w:left w:val="nil"/>
          <w:bottom w:val="nil"/>
          <w:right w:val="nil"/>
          <w:between w:val="nil"/>
        </w:pBd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sz w:val="28"/>
          <w:szCs w:val="28"/>
        </w:rPr>
        <w:t>Лактионова М., Кульжанов М.К., Баймуратова М.А., Арингазина А.М. Анализ послеоперационного наблюдения пациентов с генитальным пролапсом// Сборник II Матер.междунар.науч.конф. «Asfen.Forum,новое поколение-2025» (июнь 2024 года, город Алмат</w:t>
      </w:r>
      <w:r>
        <w:rPr>
          <w:rFonts w:ascii="Times New Roman" w:eastAsia="Times New Roman" w:hAnsi="Times New Roman" w:cs="Times New Roman"/>
          <w:color w:val="000000"/>
          <w:sz w:val="28"/>
          <w:szCs w:val="28"/>
        </w:rPr>
        <w:t>ы, Казахстан), стр.277</w:t>
      </w:r>
    </w:p>
    <w:p w:rsidR="000A3797" w:rsidRDefault="00A660E7">
      <w:pPr>
        <w:numPr>
          <w:ilvl w:val="0"/>
          <w:numId w:val="11"/>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Laktionova M., Askerov A., Kulzhanov M., Aringazina A., Baimuratova M., Zhaganova S., Barmanasheva Z., Smagina I. The comparison of life’s quality of patients with concomitant genital prolapse before and after complex and staged surg</w:t>
      </w:r>
      <w:r>
        <w:rPr>
          <w:rFonts w:ascii="Times New Roman" w:eastAsia="Times New Roman" w:hAnsi="Times New Roman" w:cs="Times New Roman"/>
          <w:color w:val="000000"/>
          <w:sz w:val="28"/>
          <w:szCs w:val="28"/>
        </w:rPr>
        <w:t>ical treatment. Non-randomized controlled trial // Nauka i Zdravookhranenie [Science &amp; Healthcare]. 2022, (Vol.24) 3, P. 60-65.doi 10.34689/SH.2022.24.3.009</w:t>
      </w:r>
    </w:p>
    <w:p w:rsidR="000A3797" w:rsidRDefault="00A660E7">
      <w:pPr>
        <w:numPr>
          <w:ilvl w:val="0"/>
          <w:numId w:val="11"/>
        </w:numPr>
        <w:pBdr>
          <w:top w:val="nil"/>
          <w:left w:val="nil"/>
          <w:bottom w:val="nil"/>
          <w:right w:val="nil"/>
          <w:between w:val="nil"/>
        </w:pBdr>
        <w:spacing w:after="0" w:line="256" w:lineRule="auto"/>
        <w:rPr>
          <w:rFonts w:ascii="Times New Roman" w:eastAsia="Times New Roman" w:hAnsi="Times New Roman" w:cs="Times New Roman"/>
          <w:color w:val="000000"/>
        </w:rPr>
      </w:pPr>
      <w:r>
        <w:rPr>
          <w:rFonts w:ascii="Times New Roman" w:eastAsia="Times New Roman" w:hAnsi="Times New Roman" w:cs="Times New Roman"/>
          <w:color w:val="000000"/>
          <w:sz w:val="28"/>
          <w:szCs w:val="28"/>
        </w:rPr>
        <w:t>Laktionova M.,Kulzhanov M., Aringazina A., Baimuratova М., Askerov A., Barmanasheva Z. Relapse Prophylaxis and Early Recognition of Pelvic Organ Prolapse in Primary Medical Care Organizations - Randomized Controlled Trial// Universal Journal of Public Heal</w:t>
      </w:r>
      <w:r>
        <w:rPr>
          <w:rFonts w:ascii="Times New Roman" w:eastAsia="Times New Roman" w:hAnsi="Times New Roman" w:cs="Times New Roman"/>
          <w:color w:val="000000"/>
          <w:sz w:val="28"/>
          <w:szCs w:val="28"/>
        </w:rPr>
        <w:t>th, Vol. 11, No. 4, pp. 386 - 397, 2023.</w:t>
      </w:r>
      <w:r>
        <w:rPr>
          <w:rFonts w:ascii="Times New Roman" w:eastAsia="Times New Roman" w:hAnsi="Times New Roman" w:cs="Times New Roman"/>
          <w:color w:val="000000"/>
          <w:sz w:val="28"/>
          <w:szCs w:val="28"/>
          <w:highlight w:val="white"/>
        </w:rPr>
        <w:t xml:space="preserve"> DOI: 10.13189/ujph.2023.110402</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highlight w:val="white"/>
        </w:rPr>
      </w:pPr>
      <w:r>
        <w:rPr>
          <w:rFonts w:ascii="Times New Roman" w:eastAsia="Times New Roman" w:hAnsi="Times New Roman" w:cs="Times New Roman"/>
          <w:color w:val="000000"/>
          <w:sz w:val="28"/>
          <w:szCs w:val="28"/>
          <w:highlight w:val="white"/>
        </w:rPr>
        <w:t xml:space="preserve"> Adashi E. Y. Annals of Internal Medicine Brief Commentary: Marijuana Use During Gestation and Lactation—Harmful Until Proved Safe. – 2019. – P. 1-22.</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Odijk R. et al. The MOVE-trial: Monocryl® vs. Vicryl Rapide™ for skin repair in mediolateral episiotomies: a randomized controlled trial //BMC Pregnancy and Childbirth. – 2017. – Vol. 17. – P. 1-7.</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rPr>
        <w:t xml:space="preserve">Alyaev Yu.G, </w:t>
      </w:r>
      <w:r>
        <w:rPr>
          <w:rFonts w:ascii="Times New Roman" w:eastAsia="Times New Roman" w:hAnsi="Times New Roman" w:cs="Times New Roman"/>
          <w:color w:val="000000"/>
          <w:sz w:val="28"/>
          <w:szCs w:val="28"/>
          <w:highlight w:val="white"/>
        </w:rPr>
        <w:t>Glybochko P.V, D.Yu. Pushkar.</w:t>
      </w:r>
      <w:r>
        <w:rPr>
          <w:rFonts w:ascii="Times New Roman" w:eastAsia="Times New Roman" w:hAnsi="Times New Roman" w:cs="Times New Roman"/>
          <w:color w:val="000000"/>
          <w:sz w:val="28"/>
          <w:szCs w:val="28"/>
        </w:rPr>
        <w:t xml:space="preserve"> U</w:t>
      </w:r>
      <w:r>
        <w:rPr>
          <w:rFonts w:ascii="Times New Roman" w:eastAsia="Times New Roman" w:hAnsi="Times New Roman" w:cs="Times New Roman"/>
          <w:color w:val="000000"/>
          <w:sz w:val="28"/>
          <w:szCs w:val="28"/>
          <w:highlight w:val="white"/>
        </w:rPr>
        <w:t>rology. Russia</w:t>
      </w:r>
      <w:r>
        <w:rPr>
          <w:rFonts w:ascii="Times New Roman" w:eastAsia="Times New Roman" w:hAnsi="Times New Roman" w:cs="Times New Roman"/>
          <w:color w:val="000000"/>
          <w:sz w:val="28"/>
          <w:szCs w:val="28"/>
          <w:highlight w:val="white"/>
        </w:rPr>
        <w:t>n Guidelines</w:t>
      </w:r>
      <w:r>
        <w:rPr>
          <w:rFonts w:ascii="Times New Roman" w:eastAsia="Times New Roman" w:hAnsi="Times New Roman" w:cs="Times New Roman"/>
          <w:color w:val="000000"/>
          <w:sz w:val="28"/>
          <w:szCs w:val="28"/>
        </w:rPr>
        <w:t xml:space="preserve"> M</w:t>
      </w:r>
      <w:r>
        <w:rPr>
          <w:rFonts w:ascii="Times New Roman" w:eastAsia="Times New Roman" w:hAnsi="Times New Roman" w:cs="Times New Roman"/>
          <w:color w:val="000000"/>
          <w:sz w:val="28"/>
          <w:szCs w:val="28"/>
          <w:highlight w:val="white"/>
        </w:rPr>
        <w:t>oscow: Medforum. 2017; – P. 1-544.  (In Russ.)</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O'Reilly M. “Pelvic Organ Prolapse Quantification System (POP-Q)-A New Era in Pelvic Prolapse Staging”(2011), by Cristian Persu, Christopher Chapple, Victor Cauni, Stefan Gutue, and Petrisor Geav</w:t>
      </w:r>
      <w:r>
        <w:rPr>
          <w:rFonts w:ascii="Times New Roman" w:eastAsia="Times New Roman" w:hAnsi="Times New Roman" w:cs="Times New Roman"/>
          <w:color w:val="000000"/>
          <w:sz w:val="28"/>
          <w:szCs w:val="28"/>
          <w:highlight w:val="white"/>
        </w:rPr>
        <w:t>lete. – Arizona State University. School of Life Sciences. Center for Biology and Society. Embryo Project Encyclopedia.| Arizona Board of Regents, 2020.</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Glazener C. M. A. et al. Twelve‐year follow‐up of conservative management of postnatal urinary and faec</w:t>
      </w:r>
      <w:r>
        <w:rPr>
          <w:rFonts w:ascii="Times New Roman" w:eastAsia="Times New Roman" w:hAnsi="Times New Roman" w:cs="Times New Roman"/>
          <w:color w:val="000000"/>
          <w:sz w:val="28"/>
          <w:szCs w:val="28"/>
          <w:highlight w:val="white"/>
        </w:rPr>
        <w:t>al incontinence and prolapse outcomes: randomised controlled trial //BJOG: An International Journal of Obstetrics &amp; Gynaecology. – 2014. – Vol. 121. – №. 1. – P. 112-120.</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Sacomori C. et al. Strategies to enhance self-efficacy and adherence to home-based pe</w:t>
      </w:r>
      <w:r>
        <w:rPr>
          <w:rFonts w:ascii="Times New Roman" w:eastAsia="Times New Roman" w:hAnsi="Times New Roman" w:cs="Times New Roman"/>
          <w:color w:val="000000"/>
          <w:sz w:val="28"/>
          <w:szCs w:val="28"/>
          <w:highlight w:val="white"/>
        </w:rPr>
        <w:t>lvic floor muscle exercises did not improve adherence in women with urinary incontinence: a randomised trial //Journal of physiotherapy. – 2015. – Vol. 61. – №. 4. – P. 190-198.</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Saghaleini S. H. et al. Pressure ulcer and nutrition //Indian journal of criti</w:t>
      </w:r>
      <w:r>
        <w:rPr>
          <w:rFonts w:ascii="Times New Roman" w:eastAsia="Times New Roman" w:hAnsi="Times New Roman" w:cs="Times New Roman"/>
          <w:color w:val="000000"/>
          <w:sz w:val="28"/>
          <w:szCs w:val="28"/>
          <w:highlight w:val="white"/>
        </w:rPr>
        <w:t>cal care medicine: peer-reviewed, official publication of Indian Society of Critical Care Medicine. – 2018. – Vol. 22. – №. 4. – P. 283.</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b/>
          <w:color w:val="000000"/>
        </w:rPr>
      </w:pPr>
      <w:r>
        <w:rPr>
          <w:rFonts w:ascii="Times New Roman" w:eastAsia="Times New Roman" w:hAnsi="Times New Roman" w:cs="Times New Roman"/>
          <w:color w:val="000000"/>
          <w:sz w:val="28"/>
          <w:szCs w:val="28"/>
        </w:rPr>
        <w:t>А.с. 31497. Руководство по генитальному пролапсу для женщин.Әйелдерге арналған жыныстық пролапс бойынша нұсқаулық. / М.</w:t>
      </w:r>
      <w:r>
        <w:rPr>
          <w:rFonts w:ascii="Times New Roman" w:eastAsia="Times New Roman" w:hAnsi="Times New Roman" w:cs="Times New Roman"/>
          <w:color w:val="000000"/>
          <w:sz w:val="28"/>
          <w:szCs w:val="28"/>
        </w:rPr>
        <w:t>В. Лактионова; опубл. 30.12.2022, Бюл.  - 2 с.</w:t>
      </w:r>
    </w:p>
    <w:p w:rsidR="000A3797" w:rsidRDefault="00A660E7">
      <w:pPr>
        <w:numPr>
          <w:ilvl w:val="0"/>
          <w:numId w:val="11"/>
        </w:numPr>
        <w:pBdr>
          <w:top w:val="nil"/>
          <w:left w:val="nil"/>
          <w:bottom w:val="nil"/>
          <w:right w:val="nil"/>
          <w:between w:val="nil"/>
        </w:pBdr>
        <w:spacing w:after="0" w:line="256" w:lineRule="auto"/>
        <w:rPr>
          <w:rFonts w:ascii="Times New Roman" w:eastAsia="Times New Roman" w:hAnsi="Times New Roman" w:cs="Times New Roman"/>
          <w:color w:val="000000"/>
        </w:rPr>
      </w:pPr>
      <w:r>
        <w:rPr>
          <w:rFonts w:ascii="Times New Roman" w:eastAsia="Times New Roman" w:hAnsi="Times New Roman" w:cs="Times New Roman"/>
          <w:color w:val="000000"/>
          <w:sz w:val="28"/>
          <w:szCs w:val="28"/>
        </w:rPr>
        <w:t xml:space="preserve"> Лактионова М.В., Арингазина А.М., Кульжанов М.К., А. Рыскулова, Баймуратова М.А., Аскеров А.А., Жаганова С.А. Наука и образование, как путь к укреплению здоровья через повышение уровня знаний пациентов о прич</w:t>
      </w:r>
      <w:r>
        <w:rPr>
          <w:rFonts w:ascii="Times New Roman" w:eastAsia="Times New Roman" w:hAnsi="Times New Roman" w:cs="Times New Roman"/>
          <w:color w:val="000000"/>
          <w:sz w:val="28"/>
          <w:szCs w:val="28"/>
        </w:rPr>
        <w:t>инах и профилактике заболеваний (на примере генитального пролапса)//Фармация Казахстана. 2022, (№4). С.184-191.</w:t>
      </w:r>
    </w:p>
    <w:p w:rsidR="000A3797" w:rsidRDefault="00A660E7">
      <w:pPr>
        <w:numPr>
          <w:ilvl w:val="0"/>
          <w:numId w:val="11"/>
        </w:numPr>
        <w:pBdr>
          <w:top w:val="nil"/>
          <w:left w:val="nil"/>
          <w:bottom w:val="nil"/>
          <w:right w:val="nil"/>
          <w:between w:val="nil"/>
        </w:pBdr>
        <w:spacing w:after="0" w:line="25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А.с. 28674. Алгоритм послеоперационного наблюдения женщин с генитальным пролапсом (межсекторальный подход) / М.В. Лактионова, Баймуратова М.А., </w:t>
      </w:r>
      <w:r>
        <w:rPr>
          <w:rFonts w:ascii="Times New Roman" w:eastAsia="Times New Roman" w:hAnsi="Times New Roman" w:cs="Times New Roman"/>
          <w:color w:val="000000"/>
          <w:sz w:val="28"/>
          <w:szCs w:val="28"/>
        </w:rPr>
        <w:t>Жаганова С.А.; опубл. 08.09.2022, Бюл.-2 с</w:t>
      </w:r>
    </w:p>
    <w:p w:rsidR="000A3797" w:rsidRDefault="00A660E7">
      <w:pPr>
        <w:numPr>
          <w:ilvl w:val="0"/>
          <w:numId w:val="11"/>
        </w:numPr>
        <w:pBdr>
          <w:top w:val="nil"/>
          <w:left w:val="nil"/>
          <w:bottom w:val="nil"/>
          <w:right w:val="nil"/>
          <w:between w:val="nil"/>
        </w:pBdr>
        <w:spacing w:after="0" w:line="25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А.с. 30496. Междисциплинарный подход профилактики рецидивов генитального пролапса в организациях, оказывающих ПМСП / М.В. Лактионова, Кульжанов М.К.,Баймуратова М.А., , Степкина Е.Л., Рыскулова А.Р.; опубл. 22.11.</w:t>
      </w:r>
      <w:r>
        <w:rPr>
          <w:rFonts w:ascii="Times New Roman" w:eastAsia="Times New Roman" w:hAnsi="Times New Roman" w:cs="Times New Roman"/>
          <w:color w:val="000000"/>
          <w:sz w:val="28"/>
          <w:szCs w:val="28"/>
        </w:rPr>
        <w:t>2022, Бюл.-2 с</w:t>
      </w:r>
    </w:p>
    <w:p w:rsidR="000A3797" w:rsidRDefault="00A660E7">
      <w:pPr>
        <w:numPr>
          <w:ilvl w:val="0"/>
          <w:numId w:val="11"/>
        </w:numPr>
        <w:pBdr>
          <w:top w:val="nil"/>
          <w:left w:val="nil"/>
          <w:bottom w:val="nil"/>
          <w:right w:val="nil"/>
          <w:between w:val="nil"/>
        </w:pBdr>
        <w:spacing w:after="0" w:line="25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А.с. 30500. Основы профилактических мероприятий рецидивов генитального пролапса в организациях, оказывающих ПМСП / М.В. Лактионова, Кульжанов М.К.,Баймуратова М.А., , Степкина Е.Л., Рыскулова А.Р.; опубл. 22.11.2022, Бюл.-2 с</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rPr>
        <w:t>Aitbaeva B., Is</w:t>
      </w:r>
      <w:r>
        <w:rPr>
          <w:rFonts w:ascii="Times New Roman" w:eastAsia="Times New Roman" w:hAnsi="Times New Roman" w:cs="Times New Roman"/>
          <w:color w:val="000000"/>
          <w:sz w:val="28"/>
          <w:szCs w:val="28"/>
        </w:rPr>
        <w:t>kakov S.,Dochshanova A. Shegenov G. Development  and validation of the Kazakh version of the " Prolapse Quality of Life" (P-QOL) questionnaire. Вестник хирургии Казахстана 2023, 1(74), стр.60-65. DOI:10.35805/BSK2023I010</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Holwerda A. M., van Loon L. J. C. T</w:t>
      </w:r>
      <w:r>
        <w:rPr>
          <w:rFonts w:ascii="Times New Roman" w:eastAsia="Times New Roman" w:hAnsi="Times New Roman" w:cs="Times New Roman"/>
          <w:color w:val="000000"/>
          <w:sz w:val="28"/>
          <w:szCs w:val="28"/>
          <w:highlight w:val="white"/>
        </w:rPr>
        <w:t>he impact of collagen protein ingestion on musculoskeletal connective tissue remodeling: a narrative review //Nutrition reviews. – 2022. – Vol. 80. – №. 6. – P. 1497-1514. </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 McClurg D. et al. Pelvic floor muscle training as an adjunct to prolapse surgery: </w:t>
      </w:r>
      <w:r>
        <w:rPr>
          <w:rFonts w:ascii="Times New Roman" w:eastAsia="Times New Roman" w:hAnsi="Times New Roman" w:cs="Times New Roman"/>
          <w:color w:val="000000"/>
          <w:sz w:val="28"/>
          <w:szCs w:val="28"/>
          <w:highlight w:val="white"/>
        </w:rPr>
        <w:t>a randomised feasibility study //International urogynecology journal. – 2014. – Vol. 25. – P. 883-891.</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 Cinara Sacomori P. T., Bary Berghmans P. T., Rob de Bie P. T. Predictors for adherence to a home-based pelvic floor muscle exercise program for treating</w:t>
      </w:r>
      <w:r>
        <w:rPr>
          <w:rFonts w:ascii="Times New Roman" w:eastAsia="Times New Roman" w:hAnsi="Times New Roman" w:cs="Times New Roman"/>
          <w:color w:val="000000"/>
          <w:sz w:val="28"/>
          <w:szCs w:val="28"/>
          <w:highlight w:val="white"/>
        </w:rPr>
        <w:t xml:space="preserve"> female urinary incontinence in Brazil //Physiotherapy theory and practice. – 2018. – P. 186-195.</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rPr>
        <w:t>Hagen S., Glazener C., McClurg D., Macarthur C, Elders A, Herbison P, Wilson D, Toozs-Hobson P, Hemming C, HaySmith J, Collins M, Dickson S, Logan J. Pelvic floor muscle training for secondary prevention of pelvic organ prolapse (PREVPROL): a multicentre r</w:t>
      </w:r>
      <w:r>
        <w:rPr>
          <w:rFonts w:ascii="Times New Roman" w:eastAsia="Times New Roman" w:hAnsi="Times New Roman" w:cs="Times New Roman"/>
          <w:color w:val="000000"/>
          <w:sz w:val="28"/>
          <w:szCs w:val="28"/>
        </w:rPr>
        <w:t>andomised controlled trial. Lancet. 2017;389(10067) pp. 393-402, DOI:10.1016/S014 0-6736(16)32109-2. Epub 2016 Dec 21. PMID: 28010994</w:t>
      </w:r>
    </w:p>
    <w:p w:rsidR="000A3797" w:rsidRDefault="00A660E7">
      <w:pPr>
        <w:widowControl w:val="0"/>
        <w:numPr>
          <w:ilvl w:val="0"/>
          <w:numId w:val="1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rPr>
        <w:t>Dumoulin C., Cacciari L. P., Hay‐Smith E.J.C. Pelvic floor muscle training versus no treatment, or inactive control treatments, for urinary incontinence in women // Cochrane database Syst. Rev. John Wiley &amp; Sons, Ltd, 2018. No. 10, DOI:10.1002/nau.22700. E</w:t>
      </w:r>
      <w:r>
        <w:rPr>
          <w:rFonts w:ascii="Times New Roman" w:eastAsia="Times New Roman" w:hAnsi="Times New Roman" w:cs="Times New Roman"/>
          <w:color w:val="000000"/>
          <w:sz w:val="28"/>
          <w:szCs w:val="28"/>
        </w:rPr>
        <w:t>pub 2014 Nov 18. PMID: 25408383.</w:t>
      </w:r>
    </w:p>
    <w:p w:rsidR="000A3797" w:rsidRDefault="000A3797">
      <w:pPr>
        <w:widowControl w:val="0"/>
        <w:spacing w:after="0" w:line="240" w:lineRule="auto"/>
        <w:ind w:left="640" w:hanging="640"/>
        <w:jc w:val="center"/>
        <w:rPr>
          <w:rFonts w:ascii="Times New Roman" w:eastAsia="Times New Roman" w:hAnsi="Times New Roman" w:cs="Times New Roman"/>
          <w:b/>
          <w:sz w:val="28"/>
          <w:szCs w:val="28"/>
          <w:highlight w:val="white"/>
        </w:rPr>
      </w:pPr>
    </w:p>
    <w:p w:rsidR="000A3797" w:rsidRDefault="000A3797">
      <w:pPr>
        <w:widowControl w:val="0"/>
        <w:spacing w:after="0" w:line="240" w:lineRule="auto"/>
        <w:ind w:left="640" w:hanging="640"/>
        <w:jc w:val="center"/>
        <w:rPr>
          <w:rFonts w:ascii="Times New Roman" w:eastAsia="Times New Roman" w:hAnsi="Times New Roman" w:cs="Times New Roman"/>
          <w:b/>
          <w:sz w:val="28"/>
          <w:szCs w:val="28"/>
          <w:highlight w:val="white"/>
        </w:rPr>
      </w:pPr>
    </w:p>
    <w:p w:rsidR="000A3797" w:rsidRDefault="000A3797">
      <w:pPr>
        <w:widowControl w:val="0"/>
        <w:spacing w:after="0" w:line="240" w:lineRule="auto"/>
        <w:ind w:left="640" w:hanging="640"/>
        <w:jc w:val="center"/>
        <w:rPr>
          <w:rFonts w:ascii="Times New Roman" w:eastAsia="Times New Roman" w:hAnsi="Times New Roman" w:cs="Times New Roman"/>
          <w:b/>
          <w:sz w:val="28"/>
          <w:szCs w:val="28"/>
          <w:highlight w:val="white"/>
        </w:rPr>
      </w:pPr>
    </w:p>
    <w:p w:rsidR="000A3797" w:rsidRDefault="000A3797">
      <w:pPr>
        <w:widowControl w:val="0"/>
        <w:spacing w:after="0" w:line="240" w:lineRule="auto"/>
        <w:ind w:left="640" w:hanging="640"/>
        <w:jc w:val="center"/>
        <w:rPr>
          <w:rFonts w:ascii="Times New Roman" w:eastAsia="Times New Roman" w:hAnsi="Times New Roman" w:cs="Times New Roman"/>
          <w:b/>
          <w:sz w:val="28"/>
          <w:szCs w:val="28"/>
          <w:highlight w:val="white"/>
        </w:rPr>
      </w:pPr>
    </w:p>
    <w:p w:rsidR="000A3797" w:rsidRDefault="000A3797">
      <w:pPr>
        <w:widowControl w:val="0"/>
        <w:spacing w:after="0" w:line="240" w:lineRule="auto"/>
        <w:ind w:left="640" w:hanging="640"/>
        <w:jc w:val="center"/>
        <w:rPr>
          <w:rFonts w:ascii="Times New Roman" w:eastAsia="Times New Roman" w:hAnsi="Times New Roman" w:cs="Times New Roman"/>
          <w:b/>
          <w:sz w:val="28"/>
          <w:szCs w:val="28"/>
          <w:highlight w:val="white"/>
        </w:rPr>
      </w:pPr>
    </w:p>
    <w:p w:rsidR="000A3797" w:rsidRDefault="000A3797">
      <w:pPr>
        <w:widowControl w:val="0"/>
        <w:spacing w:after="0" w:line="240" w:lineRule="auto"/>
        <w:ind w:left="640" w:hanging="640"/>
        <w:jc w:val="center"/>
        <w:rPr>
          <w:rFonts w:ascii="Times New Roman" w:eastAsia="Times New Roman" w:hAnsi="Times New Roman" w:cs="Times New Roman"/>
          <w:b/>
          <w:sz w:val="28"/>
          <w:szCs w:val="28"/>
          <w:highlight w:val="white"/>
        </w:rPr>
      </w:pPr>
    </w:p>
    <w:p w:rsidR="000A3797" w:rsidRDefault="000A3797">
      <w:pPr>
        <w:widowControl w:val="0"/>
        <w:spacing w:after="0" w:line="240" w:lineRule="auto"/>
        <w:ind w:left="640" w:hanging="640"/>
        <w:jc w:val="center"/>
        <w:rPr>
          <w:rFonts w:ascii="Times New Roman" w:eastAsia="Times New Roman" w:hAnsi="Times New Roman" w:cs="Times New Roman"/>
          <w:b/>
          <w:sz w:val="28"/>
          <w:szCs w:val="28"/>
          <w:highlight w:val="white"/>
        </w:rPr>
      </w:pPr>
    </w:p>
    <w:p w:rsidR="000A3797" w:rsidRDefault="000A3797">
      <w:pPr>
        <w:widowControl w:val="0"/>
        <w:spacing w:after="0" w:line="240" w:lineRule="auto"/>
        <w:ind w:left="640" w:hanging="640"/>
        <w:jc w:val="center"/>
        <w:rPr>
          <w:rFonts w:ascii="Times New Roman" w:eastAsia="Times New Roman" w:hAnsi="Times New Roman" w:cs="Times New Roman"/>
          <w:b/>
          <w:sz w:val="28"/>
          <w:szCs w:val="28"/>
          <w:highlight w:val="white"/>
        </w:rPr>
      </w:pPr>
    </w:p>
    <w:p w:rsidR="000A3797" w:rsidRDefault="000A3797">
      <w:pPr>
        <w:widowControl w:val="0"/>
        <w:spacing w:after="0" w:line="240" w:lineRule="auto"/>
        <w:ind w:left="640" w:hanging="640"/>
        <w:jc w:val="center"/>
        <w:rPr>
          <w:rFonts w:ascii="Times New Roman" w:eastAsia="Times New Roman" w:hAnsi="Times New Roman" w:cs="Times New Roman"/>
          <w:b/>
          <w:sz w:val="28"/>
          <w:szCs w:val="28"/>
          <w:highlight w:val="white"/>
        </w:rPr>
      </w:pPr>
    </w:p>
    <w:p w:rsidR="000A3797" w:rsidRDefault="000A3797">
      <w:pPr>
        <w:widowControl w:val="0"/>
        <w:spacing w:after="0" w:line="240" w:lineRule="auto"/>
        <w:ind w:left="640" w:hanging="640"/>
        <w:jc w:val="center"/>
        <w:rPr>
          <w:rFonts w:ascii="Times New Roman" w:eastAsia="Times New Roman" w:hAnsi="Times New Roman" w:cs="Times New Roman"/>
          <w:b/>
          <w:sz w:val="28"/>
          <w:szCs w:val="28"/>
          <w:highlight w:val="white"/>
        </w:rPr>
      </w:pPr>
    </w:p>
    <w:p w:rsidR="000A3797" w:rsidRDefault="000A3797">
      <w:pPr>
        <w:widowControl w:val="0"/>
        <w:spacing w:after="0" w:line="240" w:lineRule="auto"/>
        <w:ind w:left="640" w:hanging="640"/>
        <w:jc w:val="center"/>
        <w:rPr>
          <w:rFonts w:ascii="Times New Roman" w:eastAsia="Times New Roman" w:hAnsi="Times New Roman" w:cs="Times New Roman"/>
          <w:b/>
          <w:sz w:val="28"/>
          <w:szCs w:val="28"/>
          <w:highlight w:val="white"/>
        </w:rPr>
      </w:pPr>
    </w:p>
    <w:p w:rsidR="000A3797" w:rsidRDefault="000A3797">
      <w:pPr>
        <w:widowControl w:val="0"/>
        <w:spacing w:after="0" w:line="240" w:lineRule="auto"/>
        <w:ind w:left="640" w:hanging="640"/>
        <w:jc w:val="center"/>
        <w:rPr>
          <w:rFonts w:ascii="Times New Roman" w:eastAsia="Times New Roman" w:hAnsi="Times New Roman" w:cs="Times New Roman"/>
          <w:b/>
          <w:sz w:val="28"/>
          <w:szCs w:val="28"/>
          <w:highlight w:val="white"/>
        </w:rPr>
      </w:pPr>
    </w:p>
    <w:p w:rsidR="000A3797" w:rsidRDefault="000A3797">
      <w:pPr>
        <w:widowControl w:val="0"/>
        <w:spacing w:after="0" w:line="240" w:lineRule="auto"/>
        <w:ind w:left="640" w:hanging="640"/>
        <w:jc w:val="center"/>
        <w:rPr>
          <w:rFonts w:ascii="Times New Roman" w:eastAsia="Times New Roman" w:hAnsi="Times New Roman" w:cs="Times New Roman"/>
          <w:b/>
          <w:sz w:val="28"/>
          <w:szCs w:val="28"/>
          <w:highlight w:val="white"/>
        </w:rPr>
      </w:pPr>
    </w:p>
    <w:p w:rsidR="000A3797" w:rsidRDefault="000A3797">
      <w:pPr>
        <w:widowControl w:val="0"/>
        <w:spacing w:after="0" w:line="240" w:lineRule="auto"/>
        <w:ind w:left="640" w:hanging="640"/>
        <w:jc w:val="center"/>
        <w:rPr>
          <w:rFonts w:ascii="Times New Roman" w:eastAsia="Times New Roman" w:hAnsi="Times New Roman" w:cs="Times New Roman"/>
          <w:b/>
          <w:sz w:val="28"/>
          <w:szCs w:val="28"/>
          <w:highlight w:val="white"/>
        </w:rPr>
      </w:pPr>
    </w:p>
    <w:p w:rsidR="000A3797" w:rsidRDefault="000A3797">
      <w:pPr>
        <w:widowControl w:val="0"/>
        <w:spacing w:after="0" w:line="240" w:lineRule="auto"/>
        <w:ind w:left="640" w:hanging="640"/>
        <w:jc w:val="center"/>
        <w:rPr>
          <w:rFonts w:ascii="Times New Roman" w:eastAsia="Times New Roman" w:hAnsi="Times New Roman" w:cs="Times New Roman"/>
          <w:b/>
          <w:sz w:val="28"/>
          <w:szCs w:val="28"/>
          <w:highlight w:val="white"/>
        </w:rPr>
      </w:pPr>
    </w:p>
    <w:p w:rsidR="000A3797" w:rsidRDefault="000A3797">
      <w:pPr>
        <w:widowControl w:val="0"/>
        <w:spacing w:after="0" w:line="240" w:lineRule="auto"/>
        <w:ind w:left="640" w:hanging="640"/>
        <w:jc w:val="center"/>
        <w:rPr>
          <w:rFonts w:ascii="Times New Roman" w:eastAsia="Times New Roman" w:hAnsi="Times New Roman" w:cs="Times New Roman"/>
          <w:b/>
          <w:sz w:val="28"/>
          <w:szCs w:val="28"/>
          <w:highlight w:val="white"/>
        </w:rPr>
      </w:pPr>
    </w:p>
    <w:p w:rsidR="000A3797" w:rsidRDefault="000A3797">
      <w:pPr>
        <w:widowControl w:val="0"/>
        <w:spacing w:after="0" w:line="240" w:lineRule="auto"/>
        <w:ind w:left="640" w:hanging="640"/>
        <w:jc w:val="center"/>
        <w:rPr>
          <w:rFonts w:ascii="Times New Roman" w:eastAsia="Times New Roman" w:hAnsi="Times New Roman" w:cs="Times New Roman"/>
          <w:b/>
          <w:sz w:val="28"/>
          <w:szCs w:val="28"/>
          <w:highlight w:val="white"/>
        </w:rPr>
      </w:pPr>
    </w:p>
    <w:p w:rsidR="000A3797" w:rsidRDefault="000A3797">
      <w:pPr>
        <w:widowControl w:val="0"/>
        <w:spacing w:after="0" w:line="240" w:lineRule="auto"/>
        <w:rPr>
          <w:rFonts w:ascii="Times New Roman" w:eastAsia="Times New Roman" w:hAnsi="Times New Roman" w:cs="Times New Roman"/>
          <w:b/>
          <w:sz w:val="28"/>
          <w:szCs w:val="28"/>
          <w:highlight w:val="white"/>
        </w:rPr>
      </w:pPr>
    </w:p>
    <w:p w:rsidR="000A3797" w:rsidRDefault="000A3797">
      <w:pPr>
        <w:widowControl w:val="0"/>
        <w:spacing w:after="0" w:line="240" w:lineRule="auto"/>
        <w:rPr>
          <w:rFonts w:ascii="Times New Roman" w:eastAsia="Times New Roman" w:hAnsi="Times New Roman" w:cs="Times New Roman"/>
          <w:b/>
          <w:sz w:val="28"/>
          <w:szCs w:val="28"/>
          <w:highlight w:val="white"/>
        </w:rPr>
      </w:pPr>
    </w:p>
    <w:p w:rsidR="000A3797" w:rsidRDefault="00A660E7">
      <w:pPr>
        <w:widowControl w:val="0"/>
        <w:spacing w:after="0" w:line="240" w:lineRule="auto"/>
        <w:ind w:left="640" w:hanging="640"/>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ПРИЛОЖЕНИЕ А</w:t>
      </w:r>
    </w:p>
    <w:p w:rsidR="000A3797" w:rsidRDefault="000A3797">
      <w:pPr>
        <w:widowControl w:val="0"/>
        <w:spacing w:after="0" w:line="240" w:lineRule="auto"/>
        <w:ind w:left="640" w:hanging="640"/>
        <w:jc w:val="center"/>
        <w:rPr>
          <w:rFonts w:ascii="Times New Roman" w:eastAsia="Times New Roman" w:hAnsi="Times New Roman" w:cs="Times New Roman"/>
          <w:b/>
          <w:sz w:val="28"/>
          <w:szCs w:val="28"/>
          <w:highlight w:val="white"/>
        </w:rPr>
      </w:pPr>
    </w:p>
    <w:p w:rsidR="000A3797" w:rsidRDefault="00A660E7">
      <w:pPr>
        <w:widowControl w:val="0"/>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Адаптированный специализированный опросник P-QoL на русском и казахском языках для женщин с генитальным пролапсом Казахстана (домены адаптированы из версии Коршунова М. ПД-КЖ [60, стр. 4])</w:t>
      </w:r>
    </w:p>
    <w:p w:rsidR="000A3797" w:rsidRDefault="00A660E7">
      <w:pPr>
        <w:widowControl w:val="0"/>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Рекомендовано использовать автоматизированную версию для удобства расчетов результатов и их интерпретации:</w:t>
      </w:r>
    </w:p>
    <w:p w:rsidR="000A3797" w:rsidRDefault="000A3797">
      <w:pPr>
        <w:tabs>
          <w:tab w:val="left" w:pos="1134"/>
        </w:tabs>
        <w:spacing w:after="0" w:line="240" w:lineRule="auto"/>
        <w:rPr>
          <w:rFonts w:ascii="Times New Roman" w:eastAsia="Times New Roman" w:hAnsi="Times New Roman" w:cs="Times New Roman"/>
          <w:sz w:val="28"/>
          <w:szCs w:val="28"/>
        </w:rPr>
      </w:pPr>
    </w:p>
    <w:p w:rsidR="000A3797" w:rsidRDefault="00A660E7">
      <w:pPr>
        <w:tabs>
          <w:tab w:val="left" w:pos="1134"/>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182962" cy="6613590"/>
            <wp:effectExtent l="0" t="0" r="0" b="0"/>
            <wp:docPr id="65" name="image55.png" descr="C:\Users\81E4~1\AppData\Local\Temp\7zE0039C844\1.png"/>
            <wp:cNvGraphicFramePr/>
            <a:graphic xmlns:a="http://schemas.openxmlformats.org/drawingml/2006/main">
              <a:graphicData uri="http://schemas.openxmlformats.org/drawingml/2006/picture">
                <pic:pic xmlns:pic="http://schemas.openxmlformats.org/drawingml/2006/picture">
                  <pic:nvPicPr>
                    <pic:cNvPr id="0" name="image55.png" descr="C:\Users\81E4~1\AppData\Local\Temp\7zE0039C844\1.png"/>
                    <pic:cNvPicPr preferRelativeResize="0"/>
                  </pic:nvPicPr>
                  <pic:blipFill>
                    <a:blip r:embed="rId38"/>
                    <a:srcRect/>
                    <a:stretch>
                      <a:fillRect/>
                    </a:stretch>
                  </pic:blipFill>
                  <pic:spPr>
                    <a:xfrm>
                      <a:off x="0" y="0"/>
                      <a:ext cx="5182962" cy="6613590"/>
                    </a:xfrm>
                    <a:prstGeom prst="rect">
                      <a:avLst/>
                    </a:prstGeom>
                    <a:ln/>
                  </pic:spPr>
                </pic:pic>
              </a:graphicData>
            </a:graphic>
          </wp:inline>
        </w:drawing>
      </w:r>
    </w:p>
    <w:p w:rsidR="000A3797" w:rsidRDefault="000A3797">
      <w:pPr>
        <w:tabs>
          <w:tab w:val="left" w:pos="1134"/>
        </w:tabs>
        <w:spacing w:after="0" w:line="240" w:lineRule="auto"/>
        <w:rPr>
          <w:rFonts w:ascii="Times New Roman" w:eastAsia="Times New Roman" w:hAnsi="Times New Roman" w:cs="Times New Roman"/>
          <w:sz w:val="28"/>
          <w:szCs w:val="28"/>
        </w:rPr>
      </w:pPr>
    </w:p>
    <w:p w:rsidR="000A3797" w:rsidRDefault="000A3797">
      <w:pPr>
        <w:tabs>
          <w:tab w:val="left" w:pos="1134"/>
        </w:tabs>
        <w:spacing w:after="0" w:line="240" w:lineRule="auto"/>
        <w:rPr>
          <w:rFonts w:ascii="Times New Roman" w:eastAsia="Times New Roman" w:hAnsi="Times New Roman" w:cs="Times New Roman"/>
          <w:sz w:val="28"/>
          <w:szCs w:val="28"/>
        </w:rPr>
      </w:pPr>
    </w:p>
    <w:p w:rsidR="000A3797" w:rsidRDefault="000A3797">
      <w:pPr>
        <w:tabs>
          <w:tab w:val="left" w:pos="1134"/>
        </w:tabs>
        <w:spacing w:after="0" w:line="240" w:lineRule="auto"/>
        <w:rPr>
          <w:rFonts w:ascii="Times New Roman" w:eastAsia="Times New Roman" w:hAnsi="Times New Roman" w:cs="Times New Roman"/>
          <w:sz w:val="28"/>
          <w:szCs w:val="28"/>
        </w:rPr>
      </w:pPr>
    </w:p>
    <w:p w:rsidR="000A3797" w:rsidRDefault="00A660E7">
      <w:pPr>
        <w:tabs>
          <w:tab w:val="left" w:pos="1134"/>
        </w:tabs>
        <w:spacing w:after="0" w:line="240" w:lineRule="auto"/>
        <w:rPr>
          <w:rFonts w:ascii="Times New Roman" w:eastAsia="Times New Roman" w:hAnsi="Times New Roman" w:cs="Times New Roman"/>
          <w:sz w:val="28"/>
          <w:szCs w:val="28"/>
        </w:rPr>
      </w:pPr>
      <w:r>
        <w:rPr>
          <w:noProof/>
        </w:rPr>
        <w:drawing>
          <wp:anchor distT="0" distB="0" distL="114300" distR="114300" simplePos="0" relativeHeight="251658240" behindDoc="0" locked="0" layoutInCell="1" hidden="0" allowOverlap="1">
            <wp:simplePos x="0" y="0"/>
            <wp:positionH relativeFrom="column">
              <wp:posOffset>-3809</wp:posOffset>
            </wp:positionH>
            <wp:positionV relativeFrom="paragraph">
              <wp:posOffset>3810</wp:posOffset>
            </wp:positionV>
            <wp:extent cx="6048375" cy="8705850"/>
            <wp:effectExtent l="0" t="0" r="0" b="0"/>
            <wp:wrapSquare wrapText="bothSides" distT="0" distB="0" distL="114300" distR="114300"/>
            <wp:docPr id="59" name="image49.png" descr="C:\Users\Мария\Downloads\2.png"/>
            <wp:cNvGraphicFramePr/>
            <a:graphic xmlns:a="http://schemas.openxmlformats.org/drawingml/2006/main">
              <a:graphicData uri="http://schemas.openxmlformats.org/drawingml/2006/picture">
                <pic:pic xmlns:pic="http://schemas.openxmlformats.org/drawingml/2006/picture">
                  <pic:nvPicPr>
                    <pic:cNvPr id="0" name="image49.png" descr="C:\Users\Мария\Downloads\2.png"/>
                    <pic:cNvPicPr preferRelativeResize="0"/>
                  </pic:nvPicPr>
                  <pic:blipFill>
                    <a:blip r:embed="rId39"/>
                    <a:srcRect/>
                    <a:stretch>
                      <a:fillRect/>
                    </a:stretch>
                  </pic:blipFill>
                  <pic:spPr>
                    <a:xfrm>
                      <a:off x="0" y="0"/>
                      <a:ext cx="6048375" cy="8705850"/>
                    </a:xfrm>
                    <a:prstGeom prst="rect">
                      <a:avLst/>
                    </a:prstGeom>
                    <a:ln/>
                  </pic:spPr>
                </pic:pic>
              </a:graphicData>
            </a:graphic>
          </wp:anchor>
        </w:drawing>
      </w:r>
    </w:p>
    <w:p w:rsidR="000A3797" w:rsidRDefault="00A660E7">
      <w:pPr>
        <w:tabs>
          <w:tab w:val="left" w:pos="1134"/>
        </w:tabs>
        <w:spacing w:after="0" w:line="240" w:lineRule="auto"/>
        <w:rPr>
          <w:rFonts w:ascii="Times New Roman" w:eastAsia="Times New Roman" w:hAnsi="Times New Roman" w:cs="Times New Roman"/>
          <w:sz w:val="28"/>
          <w:szCs w:val="28"/>
        </w:rPr>
      </w:pPr>
      <w:r>
        <w:rPr>
          <w:noProof/>
        </w:rPr>
        <w:drawing>
          <wp:anchor distT="0" distB="0" distL="114300" distR="114300" simplePos="0" relativeHeight="251659264" behindDoc="0" locked="0" layoutInCell="1" hidden="0" allowOverlap="1">
            <wp:simplePos x="0" y="0"/>
            <wp:positionH relativeFrom="column">
              <wp:posOffset>-3809</wp:posOffset>
            </wp:positionH>
            <wp:positionV relativeFrom="paragraph">
              <wp:posOffset>3810</wp:posOffset>
            </wp:positionV>
            <wp:extent cx="6120130" cy="6888704"/>
            <wp:effectExtent l="0" t="0" r="0" b="0"/>
            <wp:wrapSquare wrapText="bothSides" distT="0" distB="0" distL="114300" distR="114300"/>
            <wp:docPr id="58" name="image48.png" descr="C:\Users\Мария\Downloads\3.png"/>
            <wp:cNvGraphicFramePr/>
            <a:graphic xmlns:a="http://schemas.openxmlformats.org/drawingml/2006/main">
              <a:graphicData uri="http://schemas.openxmlformats.org/drawingml/2006/picture">
                <pic:pic xmlns:pic="http://schemas.openxmlformats.org/drawingml/2006/picture">
                  <pic:nvPicPr>
                    <pic:cNvPr id="0" name="image48.png" descr="C:\Users\Мария\Downloads\3.png"/>
                    <pic:cNvPicPr preferRelativeResize="0"/>
                  </pic:nvPicPr>
                  <pic:blipFill>
                    <a:blip r:embed="rId40"/>
                    <a:srcRect/>
                    <a:stretch>
                      <a:fillRect/>
                    </a:stretch>
                  </pic:blipFill>
                  <pic:spPr>
                    <a:xfrm>
                      <a:off x="0" y="0"/>
                      <a:ext cx="6120130" cy="6888704"/>
                    </a:xfrm>
                    <a:prstGeom prst="rect">
                      <a:avLst/>
                    </a:prstGeom>
                    <a:ln/>
                  </pic:spPr>
                </pic:pic>
              </a:graphicData>
            </a:graphic>
          </wp:anchor>
        </w:drawing>
      </w:r>
    </w:p>
    <w:p w:rsidR="000A3797" w:rsidRDefault="000A3797">
      <w:pPr>
        <w:tabs>
          <w:tab w:val="left" w:pos="1134"/>
        </w:tabs>
        <w:spacing w:after="0" w:line="240" w:lineRule="auto"/>
        <w:rPr>
          <w:rFonts w:ascii="Times New Roman" w:eastAsia="Times New Roman" w:hAnsi="Times New Roman" w:cs="Times New Roman"/>
          <w:sz w:val="28"/>
          <w:szCs w:val="28"/>
        </w:rPr>
      </w:pPr>
    </w:p>
    <w:p w:rsidR="000A3797" w:rsidRDefault="000A3797">
      <w:pPr>
        <w:tabs>
          <w:tab w:val="left" w:pos="1134"/>
        </w:tabs>
        <w:spacing w:after="0" w:line="240" w:lineRule="auto"/>
        <w:rPr>
          <w:rFonts w:ascii="Times New Roman" w:eastAsia="Times New Roman" w:hAnsi="Times New Roman" w:cs="Times New Roman"/>
          <w:sz w:val="28"/>
          <w:szCs w:val="28"/>
        </w:rPr>
      </w:pPr>
    </w:p>
    <w:p w:rsidR="000A3797" w:rsidRDefault="000A3797">
      <w:pPr>
        <w:tabs>
          <w:tab w:val="left" w:pos="1134"/>
        </w:tabs>
        <w:spacing w:after="0" w:line="240" w:lineRule="auto"/>
        <w:rPr>
          <w:rFonts w:ascii="Times New Roman" w:eastAsia="Times New Roman" w:hAnsi="Times New Roman" w:cs="Times New Roman"/>
          <w:sz w:val="28"/>
          <w:szCs w:val="28"/>
        </w:rPr>
      </w:pPr>
    </w:p>
    <w:p w:rsidR="000A3797" w:rsidRDefault="000A3797">
      <w:pPr>
        <w:tabs>
          <w:tab w:val="left" w:pos="1134"/>
        </w:tabs>
        <w:spacing w:after="0" w:line="240" w:lineRule="auto"/>
        <w:rPr>
          <w:rFonts w:ascii="Times New Roman" w:eastAsia="Times New Roman" w:hAnsi="Times New Roman" w:cs="Times New Roman"/>
          <w:sz w:val="28"/>
          <w:szCs w:val="28"/>
        </w:rPr>
      </w:pPr>
    </w:p>
    <w:p w:rsidR="000A3797" w:rsidRDefault="000A3797">
      <w:pPr>
        <w:tabs>
          <w:tab w:val="left" w:pos="1134"/>
        </w:tabs>
        <w:spacing w:after="0" w:line="240" w:lineRule="auto"/>
        <w:rPr>
          <w:rFonts w:ascii="Times New Roman" w:eastAsia="Times New Roman" w:hAnsi="Times New Roman" w:cs="Times New Roman"/>
          <w:sz w:val="28"/>
          <w:szCs w:val="28"/>
        </w:rPr>
      </w:pPr>
    </w:p>
    <w:p w:rsidR="000A3797" w:rsidRDefault="000A3797">
      <w:pPr>
        <w:tabs>
          <w:tab w:val="left" w:pos="1134"/>
        </w:tabs>
        <w:spacing w:after="0" w:line="240" w:lineRule="auto"/>
        <w:rPr>
          <w:rFonts w:ascii="Times New Roman" w:eastAsia="Times New Roman" w:hAnsi="Times New Roman" w:cs="Times New Roman"/>
          <w:sz w:val="28"/>
          <w:szCs w:val="28"/>
        </w:rPr>
      </w:pPr>
    </w:p>
    <w:p w:rsidR="000A3797" w:rsidRDefault="000A3797">
      <w:pPr>
        <w:tabs>
          <w:tab w:val="left" w:pos="1134"/>
        </w:tabs>
        <w:spacing w:after="0" w:line="240" w:lineRule="auto"/>
        <w:rPr>
          <w:rFonts w:ascii="Times New Roman" w:eastAsia="Times New Roman" w:hAnsi="Times New Roman" w:cs="Times New Roman"/>
          <w:sz w:val="28"/>
          <w:szCs w:val="28"/>
        </w:rPr>
      </w:pPr>
    </w:p>
    <w:p w:rsidR="000A3797" w:rsidRDefault="000A3797">
      <w:pPr>
        <w:tabs>
          <w:tab w:val="left" w:pos="1134"/>
        </w:tabs>
        <w:spacing w:after="0" w:line="240" w:lineRule="auto"/>
        <w:rPr>
          <w:rFonts w:ascii="Times New Roman" w:eastAsia="Times New Roman" w:hAnsi="Times New Roman" w:cs="Times New Roman"/>
          <w:sz w:val="28"/>
          <w:szCs w:val="28"/>
        </w:rPr>
      </w:pPr>
    </w:p>
    <w:p w:rsidR="000A3797" w:rsidRDefault="000A3797">
      <w:pPr>
        <w:tabs>
          <w:tab w:val="left" w:pos="1134"/>
        </w:tabs>
        <w:spacing w:after="0" w:line="240" w:lineRule="auto"/>
        <w:rPr>
          <w:rFonts w:ascii="Times New Roman" w:eastAsia="Times New Roman" w:hAnsi="Times New Roman" w:cs="Times New Roman"/>
          <w:sz w:val="28"/>
          <w:szCs w:val="28"/>
        </w:rPr>
      </w:pPr>
    </w:p>
    <w:p w:rsidR="000A3797" w:rsidRDefault="00A660E7">
      <w:pPr>
        <w:tabs>
          <w:tab w:val="left" w:pos="1134"/>
        </w:tabs>
        <w:spacing w:after="0" w:line="240" w:lineRule="auto"/>
        <w:rPr>
          <w:rFonts w:ascii="Times New Roman" w:eastAsia="Times New Roman" w:hAnsi="Times New Roman" w:cs="Times New Roman"/>
          <w:sz w:val="28"/>
          <w:szCs w:val="28"/>
        </w:rPr>
      </w:pPr>
      <w:r>
        <w:rPr>
          <w:noProof/>
        </w:rPr>
        <w:drawing>
          <wp:anchor distT="0" distB="0" distL="114300" distR="114300" simplePos="0" relativeHeight="251660288" behindDoc="0" locked="0" layoutInCell="1" hidden="0" allowOverlap="1">
            <wp:simplePos x="0" y="0"/>
            <wp:positionH relativeFrom="column">
              <wp:posOffset>-3809</wp:posOffset>
            </wp:positionH>
            <wp:positionV relativeFrom="paragraph">
              <wp:posOffset>3810</wp:posOffset>
            </wp:positionV>
            <wp:extent cx="6057900" cy="8629650"/>
            <wp:effectExtent l="0" t="0" r="0" b="0"/>
            <wp:wrapSquare wrapText="bothSides" distT="0" distB="0" distL="114300" distR="114300"/>
            <wp:docPr id="26" name="image16.png" descr="C:\Users\Мария\Downloads\4.png"/>
            <wp:cNvGraphicFramePr/>
            <a:graphic xmlns:a="http://schemas.openxmlformats.org/drawingml/2006/main">
              <a:graphicData uri="http://schemas.openxmlformats.org/drawingml/2006/picture">
                <pic:pic xmlns:pic="http://schemas.openxmlformats.org/drawingml/2006/picture">
                  <pic:nvPicPr>
                    <pic:cNvPr id="0" name="image16.png" descr="C:\Users\Мария\Downloads\4.png"/>
                    <pic:cNvPicPr preferRelativeResize="0"/>
                  </pic:nvPicPr>
                  <pic:blipFill>
                    <a:blip r:embed="rId41"/>
                    <a:srcRect/>
                    <a:stretch>
                      <a:fillRect/>
                    </a:stretch>
                  </pic:blipFill>
                  <pic:spPr>
                    <a:xfrm>
                      <a:off x="0" y="0"/>
                      <a:ext cx="6057900" cy="8629650"/>
                    </a:xfrm>
                    <a:prstGeom prst="rect">
                      <a:avLst/>
                    </a:prstGeom>
                    <a:ln/>
                  </pic:spPr>
                </pic:pic>
              </a:graphicData>
            </a:graphic>
          </wp:anchor>
        </w:drawing>
      </w:r>
    </w:p>
    <w:p w:rsidR="000A3797" w:rsidRDefault="000A3797">
      <w:pPr>
        <w:tabs>
          <w:tab w:val="left" w:pos="1134"/>
        </w:tabs>
        <w:spacing w:after="0" w:line="240" w:lineRule="auto"/>
        <w:rPr>
          <w:rFonts w:ascii="Times New Roman" w:eastAsia="Times New Roman" w:hAnsi="Times New Roman" w:cs="Times New Roman"/>
          <w:sz w:val="28"/>
          <w:szCs w:val="28"/>
        </w:rPr>
      </w:pPr>
    </w:p>
    <w:p w:rsidR="000A3797" w:rsidRDefault="000A3797">
      <w:pPr>
        <w:tabs>
          <w:tab w:val="left" w:pos="1134"/>
        </w:tabs>
        <w:spacing w:after="0" w:line="240" w:lineRule="auto"/>
        <w:rPr>
          <w:rFonts w:ascii="Times New Roman" w:eastAsia="Times New Roman" w:hAnsi="Times New Roman" w:cs="Times New Roman"/>
          <w:sz w:val="28"/>
          <w:szCs w:val="28"/>
        </w:rPr>
      </w:pPr>
    </w:p>
    <w:p w:rsidR="000A3797" w:rsidRDefault="00A660E7">
      <w:pPr>
        <w:tabs>
          <w:tab w:val="left" w:pos="1134"/>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6038850" cy="8639175"/>
            <wp:effectExtent l="0" t="0" r="0" b="0"/>
            <wp:docPr id="66" name="image56.png" descr="C:\Users\Мария\Downloads\5.png"/>
            <wp:cNvGraphicFramePr/>
            <a:graphic xmlns:a="http://schemas.openxmlformats.org/drawingml/2006/main">
              <a:graphicData uri="http://schemas.openxmlformats.org/drawingml/2006/picture">
                <pic:pic xmlns:pic="http://schemas.openxmlformats.org/drawingml/2006/picture">
                  <pic:nvPicPr>
                    <pic:cNvPr id="0" name="image56.png" descr="C:\Users\Мария\Downloads\5.png"/>
                    <pic:cNvPicPr preferRelativeResize="0"/>
                  </pic:nvPicPr>
                  <pic:blipFill>
                    <a:blip r:embed="rId42"/>
                    <a:srcRect/>
                    <a:stretch>
                      <a:fillRect/>
                    </a:stretch>
                  </pic:blipFill>
                  <pic:spPr>
                    <a:xfrm>
                      <a:off x="0" y="0"/>
                      <a:ext cx="6038850" cy="8639175"/>
                    </a:xfrm>
                    <a:prstGeom prst="rect">
                      <a:avLst/>
                    </a:prstGeom>
                    <a:ln/>
                  </pic:spPr>
                </pic:pic>
              </a:graphicData>
            </a:graphic>
          </wp:inline>
        </w:drawing>
      </w:r>
    </w:p>
    <w:p w:rsidR="000A3797" w:rsidRDefault="000A3797">
      <w:pPr>
        <w:tabs>
          <w:tab w:val="left" w:pos="1134"/>
        </w:tabs>
        <w:spacing w:after="0" w:line="240" w:lineRule="auto"/>
        <w:rPr>
          <w:rFonts w:ascii="Times New Roman" w:eastAsia="Times New Roman" w:hAnsi="Times New Roman" w:cs="Times New Roman"/>
          <w:sz w:val="28"/>
          <w:szCs w:val="28"/>
        </w:rPr>
      </w:pPr>
    </w:p>
    <w:p w:rsidR="000A3797" w:rsidRDefault="000A3797">
      <w:pPr>
        <w:tabs>
          <w:tab w:val="left" w:pos="1134"/>
        </w:tabs>
        <w:spacing w:after="0" w:line="240" w:lineRule="auto"/>
        <w:rPr>
          <w:rFonts w:ascii="Times New Roman" w:eastAsia="Times New Roman" w:hAnsi="Times New Roman" w:cs="Times New Roman"/>
          <w:sz w:val="28"/>
          <w:szCs w:val="28"/>
        </w:rPr>
      </w:pPr>
    </w:p>
    <w:p w:rsidR="000A3797" w:rsidRDefault="00A660E7">
      <w:pPr>
        <w:tabs>
          <w:tab w:val="left" w:pos="1134"/>
        </w:tabs>
        <w:spacing w:after="0" w:line="240" w:lineRule="auto"/>
        <w:rPr>
          <w:rFonts w:ascii="Times New Roman" w:eastAsia="Times New Roman" w:hAnsi="Times New Roman" w:cs="Times New Roman"/>
          <w:sz w:val="28"/>
          <w:szCs w:val="28"/>
        </w:rPr>
      </w:pPr>
      <w:r>
        <w:rPr>
          <w:noProof/>
        </w:rPr>
        <w:drawing>
          <wp:anchor distT="0" distB="0" distL="114300" distR="114300" simplePos="0" relativeHeight="251661312" behindDoc="0" locked="0" layoutInCell="1" hidden="0" allowOverlap="1">
            <wp:simplePos x="0" y="0"/>
            <wp:positionH relativeFrom="column">
              <wp:posOffset>1</wp:posOffset>
            </wp:positionH>
            <wp:positionV relativeFrom="paragraph">
              <wp:posOffset>62230</wp:posOffset>
            </wp:positionV>
            <wp:extent cx="5781675" cy="5327650"/>
            <wp:effectExtent l="0" t="0" r="0" b="0"/>
            <wp:wrapSquare wrapText="bothSides" distT="0" distB="0" distL="114300" distR="114300"/>
            <wp:docPr id="33" name="image23.png" descr="C:\Users\Мария\Downloads\6.png"/>
            <wp:cNvGraphicFramePr/>
            <a:graphic xmlns:a="http://schemas.openxmlformats.org/drawingml/2006/main">
              <a:graphicData uri="http://schemas.openxmlformats.org/drawingml/2006/picture">
                <pic:pic xmlns:pic="http://schemas.openxmlformats.org/drawingml/2006/picture">
                  <pic:nvPicPr>
                    <pic:cNvPr id="0" name="image23.png" descr="C:\Users\Мария\Downloads\6.png"/>
                    <pic:cNvPicPr preferRelativeResize="0"/>
                  </pic:nvPicPr>
                  <pic:blipFill>
                    <a:blip r:embed="rId43"/>
                    <a:srcRect/>
                    <a:stretch>
                      <a:fillRect/>
                    </a:stretch>
                  </pic:blipFill>
                  <pic:spPr>
                    <a:xfrm>
                      <a:off x="0" y="0"/>
                      <a:ext cx="5781675" cy="5327650"/>
                    </a:xfrm>
                    <a:prstGeom prst="rect">
                      <a:avLst/>
                    </a:prstGeom>
                    <a:ln/>
                  </pic:spPr>
                </pic:pic>
              </a:graphicData>
            </a:graphic>
          </wp:anchor>
        </w:drawing>
      </w:r>
    </w:p>
    <w:p w:rsidR="000A3797" w:rsidRDefault="00A660E7">
      <w:pPr>
        <w:tabs>
          <w:tab w:val="left" w:pos="1134"/>
        </w:tabs>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Алгоритм оценки уровня качества жизни с учетом весовой адаптации ответов для конструктора сайтов Wix.com</w:t>
      </w:r>
    </w:p>
    <w:p w:rsidR="000A3797" w:rsidRDefault="00A660E7">
      <w:pPr>
        <w:tabs>
          <w:tab w:val="left" w:pos="1134"/>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function calculateQualityOfLife() {</w:t>
      </w:r>
    </w:p>
    <w:p w:rsidR="000A3797" w:rsidRDefault="00A660E7">
      <w:pPr>
        <w:tabs>
          <w:tab w:val="left" w:pos="1134"/>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Получаем ответы на вопросы</w:t>
      </w:r>
    </w:p>
    <w:p w:rsidR="000A3797" w:rsidRDefault="00A660E7">
      <w:pPr>
        <w:tabs>
          <w:tab w:val="left" w:pos="1134"/>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const scores = [</w:t>
      </w:r>
    </w:p>
    <w:p w:rsidR="000A3797" w:rsidRDefault="00A660E7">
      <w:pPr>
        <w:tabs>
          <w:tab w:val="left" w:pos="1134"/>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$w("#q1").value,</w:t>
      </w:r>
    </w:p>
    <w:p w:rsidR="000A3797" w:rsidRDefault="00A660E7">
      <w:pPr>
        <w:tabs>
          <w:tab w:val="left" w:pos="1134"/>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$w("#q2").value,</w:t>
      </w:r>
    </w:p>
    <w:p w:rsidR="000A3797" w:rsidRDefault="00A660E7">
      <w:pPr>
        <w:tabs>
          <w:tab w:val="left" w:pos="1134"/>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$w("#q3").value,</w:t>
      </w:r>
    </w:p>
    <w:p w:rsidR="000A3797" w:rsidRDefault="00A660E7">
      <w:pPr>
        <w:tabs>
          <w:tab w:val="left" w:pos="1134"/>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$w("#q4").value  // Добавьте нужное количество вопросов</w:t>
      </w:r>
    </w:p>
    <w:p w:rsidR="000A3797" w:rsidRDefault="00A660E7">
      <w:pPr>
        <w:tabs>
          <w:tab w:val="left" w:pos="1134"/>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0A3797" w:rsidRDefault="00A660E7">
      <w:pPr>
        <w:tabs>
          <w:tab w:val="left" w:pos="1134"/>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const n = scores.length;</w:t>
      </w:r>
    </w:p>
    <w:p w:rsidR="000A3797" w:rsidRDefault="00A660E7">
      <w:pPr>
        <w:tabs>
          <w:tab w:val="left" w:pos="1134"/>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const questionWeight = 100 / n;</w:t>
      </w:r>
    </w:p>
    <w:p w:rsidR="000A3797" w:rsidRDefault="00A660E7">
      <w:pPr>
        <w:tabs>
          <w:tab w:val="left" w:pos="1134"/>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const totalScore = scores.reduce((sum, score) =&gt; sum + (score * questionWeight / 4), 0);</w:t>
      </w:r>
    </w:p>
    <w:p w:rsidR="000A3797" w:rsidRDefault="00A660E7">
      <w:pPr>
        <w:tabs>
          <w:tab w:val="left" w:pos="1134"/>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let qualityLevel;</w:t>
      </w:r>
    </w:p>
    <w:p w:rsidR="000A3797" w:rsidRDefault="00A660E7">
      <w:pPr>
        <w:tabs>
          <w:tab w:val="left" w:pos="1134"/>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if (totalScore &lt;= 25) {</w:t>
      </w:r>
    </w:p>
    <w:p w:rsidR="000A3797" w:rsidRDefault="00A660E7">
      <w:pPr>
        <w:tabs>
          <w:tab w:val="left" w:pos="1134"/>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qualityLevel = "Очень низкое качество жи</w:t>
      </w:r>
      <w:r>
        <w:rPr>
          <w:rFonts w:ascii="Times New Roman" w:eastAsia="Times New Roman" w:hAnsi="Times New Roman" w:cs="Times New Roman"/>
          <w:sz w:val="28"/>
          <w:szCs w:val="28"/>
        </w:rPr>
        <w:t>зни";</w:t>
      </w:r>
    </w:p>
    <w:p w:rsidR="000A3797" w:rsidRDefault="00A660E7">
      <w:pPr>
        <w:tabs>
          <w:tab w:val="left" w:pos="1134"/>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else if (totalScore &lt;= 50) {</w:t>
      </w:r>
    </w:p>
    <w:p w:rsidR="000A3797" w:rsidRDefault="00A660E7">
      <w:pPr>
        <w:tabs>
          <w:tab w:val="left" w:pos="1134"/>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qualityLevel = "Низкое качество жизни";</w:t>
      </w:r>
    </w:p>
    <w:p w:rsidR="000A3797" w:rsidRDefault="00A660E7">
      <w:pPr>
        <w:tabs>
          <w:tab w:val="left" w:pos="1134"/>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else if (totalScore &lt;= 75) {</w:t>
      </w:r>
    </w:p>
    <w:p w:rsidR="000A3797" w:rsidRDefault="00A660E7">
      <w:pPr>
        <w:tabs>
          <w:tab w:val="left" w:pos="1134"/>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qualityLevel = "Среднее качество жизни";</w:t>
      </w:r>
    </w:p>
    <w:p w:rsidR="000A3797" w:rsidRDefault="00A660E7">
      <w:pPr>
        <w:tabs>
          <w:tab w:val="left" w:pos="1134"/>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else {</w:t>
      </w:r>
    </w:p>
    <w:p w:rsidR="000A3797" w:rsidRDefault="00A660E7">
      <w:pPr>
        <w:tabs>
          <w:tab w:val="left" w:pos="1134"/>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qualityLevel = "Высокое качество жизни";</w:t>
      </w:r>
    </w:p>
    <w:p w:rsidR="000A3797" w:rsidRDefault="00A660E7">
      <w:pPr>
        <w:tabs>
          <w:tab w:val="left" w:pos="1134"/>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0A3797" w:rsidRDefault="00A660E7">
      <w:pPr>
        <w:tabs>
          <w:tab w:val="left" w:pos="1134"/>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$w("#totalS</w:t>
      </w:r>
      <w:r>
        <w:rPr>
          <w:rFonts w:ascii="Times New Roman" w:eastAsia="Times New Roman" w:hAnsi="Times New Roman" w:cs="Times New Roman"/>
          <w:sz w:val="28"/>
          <w:szCs w:val="28"/>
        </w:rPr>
        <w:t>coreText").text = Общий процент: ${totalScore.toFixed(2)}%;</w:t>
      </w:r>
    </w:p>
    <w:p w:rsidR="000A3797" w:rsidRDefault="00A660E7">
      <w:pPr>
        <w:tabs>
          <w:tab w:val="left" w:pos="1134"/>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$w("#qualityLevelText").text = Уровень качества жизни: ${qualityLevel};</w:t>
      </w:r>
    </w:p>
    <w:p w:rsidR="000A3797" w:rsidRDefault="00A660E7">
      <w:pPr>
        <w:tabs>
          <w:tab w:val="left" w:pos="1134"/>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p w:rsidR="000A3797" w:rsidRDefault="00A660E7">
      <w:pPr>
        <w:tabs>
          <w:tab w:val="left" w:pos="1134"/>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highlight w:val="white"/>
        </w:rPr>
        <w:drawing>
          <wp:inline distT="0" distB="0" distL="0" distR="0">
            <wp:extent cx="4694033" cy="6678562"/>
            <wp:effectExtent l="0" t="0" r="0" b="0"/>
            <wp:docPr id="55"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44"/>
                    <a:srcRect/>
                    <a:stretch>
                      <a:fillRect/>
                    </a:stretch>
                  </pic:blipFill>
                  <pic:spPr>
                    <a:xfrm>
                      <a:off x="0" y="0"/>
                      <a:ext cx="4694033" cy="6678562"/>
                    </a:xfrm>
                    <a:prstGeom prst="rect">
                      <a:avLst/>
                    </a:prstGeom>
                    <a:ln/>
                  </pic:spPr>
                </pic:pic>
              </a:graphicData>
            </a:graphic>
          </wp:inline>
        </w:drawing>
      </w:r>
    </w:p>
    <w:p w:rsidR="000A3797" w:rsidRDefault="000A3797">
      <w:pPr>
        <w:widowControl w:val="0"/>
        <w:spacing w:after="0" w:line="240" w:lineRule="auto"/>
        <w:ind w:left="640" w:hanging="640"/>
        <w:jc w:val="center"/>
        <w:rPr>
          <w:rFonts w:ascii="Times New Roman" w:eastAsia="Times New Roman" w:hAnsi="Times New Roman" w:cs="Times New Roman"/>
          <w:b/>
          <w:sz w:val="28"/>
          <w:szCs w:val="28"/>
          <w:highlight w:val="white"/>
        </w:rPr>
      </w:pPr>
    </w:p>
    <w:p w:rsidR="000A3797" w:rsidRDefault="00A660E7">
      <w:pPr>
        <w:widowControl w:val="0"/>
        <w:spacing w:after="0" w:line="240" w:lineRule="auto"/>
        <w:ind w:left="640" w:hanging="640"/>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ПРИЛОЖЕНИЕ Б</w:t>
      </w:r>
    </w:p>
    <w:p w:rsidR="000A3797" w:rsidRDefault="000A3797">
      <w:pPr>
        <w:widowControl w:val="0"/>
        <w:spacing w:after="0" w:line="240" w:lineRule="auto"/>
        <w:jc w:val="both"/>
        <w:rPr>
          <w:rFonts w:ascii="Times New Roman" w:eastAsia="Times New Roman" w:hAnsi="Times New Roman" w:cs="Times New Roman"/>
          <w:sz w:val="28"/>
          <w:szCs w:val="28"/>
        </w:rPr>
      </w:pPr>
    </w:p>
    <w:p w:rsidR="000A3797" w:rsidRDefault="00A660E7">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Мониторинг выявления послеоперационных исходов у пациентов с генитальным пролапсом – МВПИ на русском и казахском языках (домен симптомы адаптирован из версии Коршунова М. ПД-КЖ [60, стр. 4])</w:t>
      </w:r>
    </w:p>
    <w:p w:rsidR="000A3797" w:rsidRDefault="00A660E7">
      <w:pPr>
        <w:widowControl w:val="0"/>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Рекомендовано использовать электронную версию:</w:t>
      </w:r>
    </w:p>
    <w:p w:rsidR="000A3797" w:rsidRDefault="00A660E7">
      <w:pPr>
        <w:tabs>
          <w:tab w:val="left" w:pos="1134"/>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6120130" cy="7415495"/>
            <wp:effectExtent l="0" t="0" r="0" b="0"/>
            <wp:docPr id="56" name="image46.png" descr="C:\Users\Мария\Downloads\7.png"/>
            <wp:cNvGraphicFramePr/>
            <a:graphic xmlns:a="http://schemas.openxmlformats.org/drawingml/2006/main">
              <a:graphicData uri="http://schemas.openxmlformats.org/drawingml/2006/picture">
                <pic:pic xmlns:pic="http://schemas.openxmlformats.org/drawingml/2006/picture">
                  <pic:nvPicPr>
                    <pic:cNvPr id="0" name="image46.png" descr="C:\Users\Мария\Downloads\7.png"/>
                    <pic:cNvPicPr preferRelativeResize="0"/>
                  </pic:nvPicPr>
                  <pic:blipFill>
                    <a:blip r:embed="rId45"/>
                    <a:srcRect/>
                    <a:stretch>
                      <a:fillRect/>
                    </a:stretch>
                  </pic:blipFill>
                  <pic:spPr>
                    <a:xfrm>
                      <a:off x="0" y="0"/>
                      <a:ext cx="6120130" cy="7415495"/>
                    </a:xfrm>
                    <a:prstGeom prst="rect">
                      <a:avLst/>
                    </a:prstGeom>
                    <a:ln/>
                  </pic:spPr>
                </pic:pic>
              </a:graphicData>
            </a:graphic>
          </wp:inline>
        </w:drawing>
      </w:r>
    </w:p>
    <w:p w:rsidR="000A3797" w:rsidRDefault="00A660E7">
      <w:pPr>
        <w:tabs>
          <w:tab w:val="left" w:pos="1134"/>
        </w:tabs>
        <w:spacing w:after="0" w:line="240" w:lineRule="auto"/>
        <w:rPr>
          <w:rFonts w:ascii="Times New Roman" w:eastAsia="Times New Roman" w:hAnsi="Times New Roman" w:cs="Times New Roman"/>
          <w:sz w:val="28"/>
          <w:szCs w:val="28"/>
        </w:rPr>
      </w:pPr>
      <w:r>
        <w:rPr>
          <w:noProof/>
        </w:rPr>
        <w:drawing>
          <wp:anchor distT="0" distB="0" distL="114300" distR="114300" simplePos="0" relativeHeight="251662336" behindDoc="0" locked="0" layoutInCell="1" hidden="0" allowOverlap="1">
            <wp:simplePos x="0" y="0"/>
            <wp:positionH relativeFrom="column">
              <wp:posOffset>-3809</wp:posOffset>
            </wp:positionH>
            <wp:positionV relativeFrom="paragraph">
              <wp:posOffset>3810</wp:posOffset>
            </wp:positionV>
            <wp:extent cx="6076950" cy="8791575"/>
            <wp:effectExtent l="0" t="0" r="0" b="0"/>
            <wp:wrapSquare wrapText="bothSides" distT="0" distB="0" distL="114300" distR="114300"/>
            <wp:docPr id="34" name="image24.png" descr="C:\Users\Мария\Downloads\8.png"/>
            <wp:cNvGraphicFramePr/>
            <a:graphic xmlns:a="http://schemas.openxmlformats.org/drawingml/2006/main">
              <a:graphicData uri="http://schemas.openxmlformats.org/drawingml/2006/picture">
                <pic:pic xmlns:pic="http://schemas.openxmlformats.org/drawingml/2006/picture">
                  <pic:nvPicPr>
                    <pic:cNvPr id="0" name="image24.png" descr="C:\Users\Мария\Downloads\8.png"/>
                    <pic:cNvPicPr preferRelativeResize="0"/>
                  </pic:nvPicPr>
                  <pic:blipFill>
                    <a:blip r:embed="rId46"/>
                    <a:srcRect/>
                    <a:stretch>
                      <a:fillRect/>
                    </a:stretch>
                  </pic:blipFill>
                  <pic:spPr>
                    <a:xfrm>
                      <a:off x="0" y="0"/>
                      <a:ext cx="6076950" cy="8791575"/>
                    </a:xfrm>
                    <a:prstGeom prst="rect">
                      <a:avLst/>
                    </a:prstGeom>
                    <a:ln/>
                  </pic:spPr>
                </pic:pic>
              </a:graphicData>
            </a:graphic>
          </wp:anchor>
        </w:drawing>
      </w:r>
    </w:p>
    <w:p w:rsidR="000A3797" w:rsidRDefault="00A660E7">
      <w:pPr>
        <w:tabs>
          <w:tab w:val="left" w:pos="1134"/>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6038850" cy="8801100"/>
            <wp:effectExtent l="0" t="0" r="0" b="0"/>
            <wp:docPr id="57" name="image47.png" descr="C:\Users\Мария\Downloads\9.png"/>
            <wp:cNvGraphicFramePr/>
            <a:graphic xmlns:a="http://schemas.openxmlformats.org/drawingml/2006/main">
              <a:graphicData uri="http://schemas.openxmlformats.org/drawingml/2006/picture">
                <pic:pic xmlns:pic="http://schemas.openxmlformats.org/drawingml/2006/picture">
                  <pic:nvPicPr>
                    <pic:cNvPr id="0" name="image47.png" descr="C:\Users\Мария\Downloads\9.png"/>
                    <pic:cNvPicPr preferRelativeResize="0"/>
                  </pic:nvPicPr>
                  <pic:blipFill>
                    <a:blip r:embed="rId47"/>
                    <a:srcRect/>
                    <a:stretch>
                      <a:fillRect/>
                    </a:stretch>
                  </pic:blipFill>
                  <pic:spPr>
                    <a:xfrm>
                      <a:off x="0" y="0"/>
                      <a:ext cx="6038850" cy="8801100"/>
                    </a:xfrm>
                    <a:prstGeom prst="rect">
                      <a:avLst/>
                    </a:prstGeom>
                    <a:ln/>
                  </pic:spPr>
                </pic:pic>
              </a:graphicData>
            </a:graphic>
          </wp:inline>
        </w:drawing>
      </w:r>
    </w:p>
    <w:p w:rsidR="000A3797" w:rsidRDefault="000A3797">
      <w:pPr>
        <w:tabs>
          <w:tab w:val="left" w:pos="1134"/>
        </w:tabs>
        <w:spacing w:after="0" w:line="240" w:lineRule="auto"/>
        <w:rPr>
          <w:rFonts w:ascii="Times New Roman" w:eastAsia="Times New Roman" w:hAnsi="Times New Roman" w:cs="Times New Roman"/>
          <w:sz w:val="28"/>
          <w:szCs w:val="28"/>
        </w:rPr>
      </w:pPr>
    </w:p>
    <w:p w:rsidR="000A3797" w:rsidRDefault="00A660E7">
      <w:pPr>
        <w:tabs>
          <w:tab w:val="left" w:pos="1134"/>
        </w:tabs>
        <w:spacing w:after="0" w:line="240" w:lineRule="auto"/>
        <w:rPr>
          <w:rFonts w:ascii="Times New Roman" w:eastAsia="Times New Roman" w:hAnsi="Times New Roman" w:cs="Times New Roman"/>
          <w:sz w:val="28"/>
          <w:szCs w:val="28"/>
        </w:rPr>
      </w:pPr>
      <w:r>
        <w:rPr>
          <w:noProof/>
        </w:rPr>
        <w:drawing>
          <wp:anchor distT="0" distB="0" distL="114300" distR="114300" simplePos="0" relativeHeight="251663360" behindDoc="0" locked="0" layoutInCell="1" hidden="0" allowOverlap="1">
            <wp:simplePos x="0" y="0"/>
            <wp:positionH relativeFrom="column">
              <wp:posOffset>-3809</wp:posOffset>
            </wp:positionH>
            <wp:positionV relativeFrom="paragraph">
              <wp:posOffset>3810</wp:posOffset>
            </wp:positionV>
            <wp:extent cx="6105525" cy="8791575"/>
            <wp:effectExtent l="0" t="0" r="0" b="0"/>
            <wp:wrapSquare wrapText="bothSides" distT="0" distB="0" distL="114300" distR="114300"/>
            <wp:docPr id="27" name="image17.png" descr="C:\Users\Мария\Downloads\10.png"/>
            <wp:cNvGraphicFramePr/>
            <a:graphic xmlns:a="http://schemas.openxmlformats.org/drawingml/2006/main">
              <a:graphicData uri="http://schemas.openxmlformats.org/drawingml/2006/picture">
                <pic:pic xmlns:pic="http://schemas.openxmlformats.org/drawingml/2006/picture">
                  <pic:nvPicPr>
                    <pic:cNvPr id="0" name="image17.png" descr="C:\Users\Мария\Downloads\10.png"/>
                    <pic:cNvPicPr preferRelativeResize="0"/>
                  </pic:nvPicPr>
                  <pic:blipFill>
                    <a:blip r:embed="rId48"/>
                    <a:srcRect/>
                    <a:stretch>
                      <a:fillRect/>
                    </a:stretch>
                  </pic:blipFill>
                  <pic:spPr>
                    <a:xfrm>
                      <a:off x="0" y="0"/>
                      <a:ext cx="6105525" cy="8791575"/>
                    </a:xfrm>
                    <a:prstGeom prst="rect">
                      <a:avLst/>
                    </a:prstGeom>
                    <a:ln/>
                  </pic:spPr>
                </pic:pic>
              </a:graphicData>
            </a:graphic>
          </wp:anchor>
        </w:drawing>
      </w:r>
    </w:p>
    <w:p w:rsidR="000A3797" w:rsidRDefault="00A660E7">
      <w:pPr>
        <w:tabs>
          <w:tab w:val="left" w:pos="1134"/>
        </w:tabs>
        <w:spacing w:after="0" w:line="240" w:lineRule="auto"/>
        <w:rPr>
          <w:rFonts w:ascii="Times New Roman" w:eastAsia="Times New Roman" w:hAnsi="Times New Roman" w:cs="Times New Roman"/>
          <w:sz w:val="28"/>
          <w:szCs w:val="28"/>
        </w:rPr>
      </w:pPr>
      <w:r>
        <w:rPr>
          <w:noProof/>
        </w:rPr>
        <w:drawing>
          <wp:anchor distT="0" distB="0" distL="114300" distR="114300" simplePos="0" relativeHeight="251664384" behindDoc="0" locked="0" layoutInCell="1" hidden="0" allowOverlap="1">
            <wp:simplePos x="0" y="0"/>
            <wp:positionH relativeFrom="column">
              <wp:posOffset>-3809</wp:posOffset>
            </wp:positionH>
            <wp:positionV relativeFrom="paragraph">
              <wp:posOffset>3810</wp:posOffset>
            </wp:positionV>
            <wp:extent cx="6029325" cy="8820150"/>
            <wp:effectExtent l="0" t="0" r="0" b="0"/>
            <wp:wrapSquare wrapText="bothSides" distT="0" distB="0" distL="114300" distR="114300"/>
            <wp:docPr id="50" name="image40.png" descr="C:\Users\Мария\Downloads\11.png"/>
            <wp:cNvGraphicFramePr/>
            <a:graphic xmlns:a="http://schemas.openxmlformats.org/drawingml/2006/main">
              <a:graphicData uri="http://schemas.openxmlformats.org/drawingml/2006/picture">
                <pic:pic xmlns:pic="http://schemas.openxmlformats.org/drawingml/2006/picture">
                  <pic:nvPicPr>
                    <pic:cNvPr id="0" name="image40.png" descr="C:\Users\Мария\Downloads\11.png"/>
                    <pic:cNvPicPr preferRelativeResize="0"/>
                  </pic:nvPicPr>
                  <pic:blipFill>
                    <a:blip r:embed="rId49"/>
                    <a:srcRect/>
                    <a:stretch>
                      <a:fillRect/>
                    </a:stretch>
                  </pic:blipFill>
                  <pic:spPr>
                    <a:xfrm>
                      <a:off x="0" y="0"/>
                      <a:ext cx="6029325" cy="8820150"/>
                    </a:xfrm>
                    <a:prstGeom prst="rect">
                      <a:avLst/>
                    </a:prstGeom>
                    <a:ln/>
                  </pic:spPr>
                </pic:pic>
              </a:graphicData>
            </a:graphic>
          </wp:anchor>
        </w:drawing>
      </w:r>
    </w:p>
    <w:p w:rsidR="000A3797" w:rsidRDefault="00A660E7">
      <w:pPr>
        <w:tabs>
          <w:tab w:val="left" w:pos="1134"/>
        </w:tabs>
        <w:spacing w:after="0" w:line="240" w:lineRule="auto"/>
        <w:rPr>
          <w:rFonts w:ascii="Times New Roman" w:eastAsia="Times New Roman" w:hAnsi="Times New Roman" w:cs="Times New Roman"/>
          <w:sz w:val="28"/>
          <w:szCs w:val="28"/>
        </w:rPr>
      </w:pPr>
      <w:r>
        <w:rPr>
          <w:noProof/>
        </w:rPr>
        <w:drawing>
          <wp:anchor distT="0" distB="0" distL="114300" distR="114300" simplePos="0" relativeHeight="251665408" behindDoc="0" locked="0" layoutInCell="1" hidden="0" allowOverlap="1">
            <wp:simplePos x="0" y="0"/>
            <wp:positionH relativeFrom="column">
              <wp:posOffset>-3809</wp:posOffset>
            </wp:positionH>
            <wp:positionV relativeFrom="paragraph">
              <wp:posOffset>3810</wp:posOffset>
            </wp:positionV>
            <wp:extent cx="6067425" cy="8791575"/>
            <wp:effectExtent l="0" t="0" r="0" b="0"/>
            <wp:wrapSquare wrapText="bothSides" distT="0" distB="0" distL="114300" distR="114300"/>
            <wp:docPr id="54" name="image44.png" descr="C:\Users\Мария\Downloads\12.png"/>
            <wp:cNvGraphicFramePr/>
            <a:graphic xmlns:a="http://schemas.openxmlformats.org/drawingml/2006/main">
              <a:graphicData uri="http://schemas.openxmlformats.org/drawingml/2006/picture">
                <pic:pic xmlns:pic="http://schemas.openxmlformats.org/drawingml/2006/picture">
                  <pic:nvPicPr>
                    <pic:cNvPr id="0" name="image44.png" descr="C:\Users\Мария\Downloads\12.png"/>
                    <pic:cNvPicPr preferRelativeResize="0"/>
                  </pic:nvPicPr>
                  <pic:blipFill>
                    <a:blip r:embed="rId50"/>
                    <a:srcRect/>
                    <a:stretch>
                      <a:fillRect/>
                    </a:stretch>
                  </pic:blipFill>
                  <pic:spPr>
                    <a:xfrm>
                      <a:off x="0" y="0"/>
                      <a:ext cx="6067425" cy="8791575"/>
                    </a:xfrm>
                    <a:prstGeom prst="rect">
                      <a:avLst/>
                    </a:prstGeom>
                    <a:ln/>
                  </pic:spPr>
                </pic:pic>
              </a:graphicData>
            </a:graphic>
          </wp:anchor>
        </w:drawing>
      </w:r>
    </w:p>
    <w:p w:rsidR="000A3797" w:rsidRDefault="00A660E7">
      <w:pPr>
        <w:tabs>
          <w:tab w:val="left" w:pos="1134"/>
        </w:tabs>
        <w:spacing w:after="0" w:line="240" w:lineRule="auto"/>
        <w:rPr>
          <w:rFonts w:ascii="Times New Roman" w:eastAsia="Times New Roman" w:hAnsi="Times New Roman" w:cs="Times New Roman"/>
          <w:sz w:val="28"/>
          <w:szCs w:val="28"/>
        </w:rPr>
      </w:pPr>
      <w:r>
        <w:rPr>
          <w:noProof/>
        </w:rPr>
        <w:drawing>
          <wp:anchor distT="0" distB="0" distL="114300" distR="114300" simplePos="0" relativeHeight="251666432" behindDoc="0" locked="0" layoutInCell="1" hidden="0" allowOverlap="1">
            <wp:simplePos x="0" y="0"/>
            <wp:positionH relativeFrom="column">
              <wp:posOffset>-3809</wp:posOffset>
            </wp:positionH>
            <wp:positionV relativeFrom="paragraph">
              <wp:posOffset>3810</wp:posOffset>
            </wp:positionV>
            <wp:extent cx="5953125" cy="8772525"/>
            <wp:effectExtent l="0" t="0" r="0" b="0"/>
            <wp:wrapSquare wrapText="bothSides" distT="0" distB="0" distL="114300" distR="114300"/>
            <wp:docPr id="51" name="image41.png" descr="C:\Users\Мария\Downloads\13.png"/>
            <wp:cNvGraphicFramePr/>
            <a:graphic xmlns:a="http://schemas.openxmlformats.org/drawingml/2006/main">
              <a:graphicData uri="http://schemas.openxmlformats.org/drawingml/2006/picture">
                <pic:pic xmlns:pic="http://schemas.openxmlformats.org/drawingml/2006/picture">
                  <pic:nvPicPr>
                    <pic:cNvPr id="0" name="image41.png" descr="C:\Users\Мария\Downloads\13.png"/>
                    <pic:cNvPicPr preferRelativeResize="0"/>
                  </pic:nvPicPr>
                  <pic:blipFill>
                    <a:blip r:embed="rId51"/>
                    <a:srcRect/>
                    <a:stretch>
                      <a:fillRect/>
                    </a:stretch>
                  </pic:blipFill>
                  <pic:spPr>
                    <a:xfrm>
                      <a:off x="0" y="0"/>
                      <a:ext cx="5953125" cy="8772525"/>
                    </a:xfrm>
                    <a:prstGeom prst="rect">
                      <a:avLst/>
                    </a:prstGeom>
                    <a:ln/>
                  </pic:spPr>
                </pic:pic>
              </a:graphicData>
            </a:graphic>
          </wp:anchor>
        </w:drawing>
      </w:r>
    </w:p>
    <w:p w:rsidR="000A3797" w:rsidRDefault="00A660E7">
      <w:pPr>
        <w:tabs>
          <w:tab w:val="left" w:pos="1134"/>
        </w:tabs>
        <w:spacing w:after="0" w:line="240" w:lineRule="auto"/>
        <w:rPr>
          <w:rFonts w:ascii="Times New Roman" w:eastAsia="Times New Roman" w:hAnsi="Times New Roman" w:cs="Times New Roman"/>
          <w:sz w:val="28"/>
          <w:szCs w:val="28"/>
        </w:rPr>
      </w:pPr>
      <w:r>
        <w:rPr>
          <w:noProof/>
        </w:rPr>
        <w:drawing>
          <wp:anchor distT="0" distB="0" distL="114300" distR="114300" simplePos="0" relativeHeight="251667456" behindDoc="0" locked="0" layoutInCell="1" hidden="0" allowOverlap="1">
            <wp:simplePos x="0" y="0"/>
            <wp:positionH relativeFrom="column">
              <wp:posOffset>-3809</wp:posOffset>
            </wp:positionH>
            <wp:positionV relativeFrom="paragraph">
              <wp:posOffset>3810</wp:posOffset>
            </wp:positionV>
            <wp:extent cx="6019800" cy="8753475"/>
            <wp:effectExtent l="0" t="0" r="0" b="0"/>
            <wp:wrapSquare wrapText="bothSides" distT="0" distB="0" distL="114300" distR="114300"/>
            <wp:docPr id="64" name="image54.png" descr="C:\Users\Мария\Downloads\14.png"/>
            <wp:cNvGraphicFramePr/>
            <a:graphic xmlns:a="http://schemas.openxmlformats.org/drawingml/2006/main">
              <a:graphicData uri="http://schemas.openxmlformats.org/drawingml/2006/picture">
                <pic:pic xmlns:pic="http://schemas.openxmlformats.org/drawingml/2006/picture">
                  <pic:nvPicPr>
                    <pic:cNvPr id="0" name="image54.png" descr="C:\Users\Мария\Downloads\14.png"/>
                    <pic:cNvPicPr preferRelativeResize="0"/>
                  </pic:nvPicPr>
                  <pic:blipFill>
                    <a:blip r:embed="rId52"/>
                    <a:srcRect/>
                    <a:stretch>
                      <a:fillRect/>
                    </a:stretch>
                  </pic:blipFill>
                  <pic:spPr>
                    <a:xfrm>
                      <a:off x="0" y="0"/>
                      <a:ext cx="6019800" cy="8753475"/>
                    </a:xfrm>
                    <a:prstGeom prst="rect">
                      <a:avLst/>
                    </a:prstGeom>
                    <a:ln/>
                  </pic:spPr>
                </pic:pic>
              </a:graphicData>
            </a:graphic>
          </wp:anchor>
        </w:drawing>
      </w:r>
    </w:p>
    <w:p w:rsidR="000A3797" w:rsidRDefault="00A660E7">
      <w:pPr>
        <w:tabs>
          <w:tab w:val="left" w:pos="1134"/>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6096000" cy="3276600"/>
            <wp:effectExtent l="0" t="0" r="0" b="0"/>
            <wp:docPr id="19" name="image9.png" descr="C:\Users\Мария\Downloads\15.png"/>
            <wp:cNvGraphicFramePr/>
            <a:graphic xmlns:a="http://schemas.openxmlformats.org/drawingml/2006/main">
              <a:graphicData uri="http://schemas.openxmlformats.org/drawingml/2006/picture">
                <pic:pic xmlns:pic="http://schemas.openxmlformats.org/drawingml/2006/picture">
                  <pic:nvPicPr>
                    <pic:cNvPr id="0" name="image9.png" descr="C:\Users\Мария\Downloads\15.png"/>
                    <pic:cNvPicPr preferRelativeResize="0"/>
                  </pic:nvPicPr>
                  <pic:blipFill>
                    <a:blip r:embed="rId53"/>
                    <a:srcRect/>
                    <a:stretch>
                      <a:fillRect/>
                    </a:stretch>
                  </pic:blipFill>
                  <pic:spPr>
                    <a:xfrm>
                      <a:off x="0" y="0"/>
                      <a:ext cx="6096000" cy="3276600"/>
                    </a:xfrm>
                    <a:prstGeom prst="rect">
                      <a:avLst/>
                    </a:prstGeom>
                    <a:ln/>
                  </pic:spPr>
                </pic:pic>
              </a:graphicData>
            </a:graphic>
          </wp:inline>
        </w:drawing>
      </w:r>
    </w:p>
    <w:p w:rsidR="000A3797" w:rsidRDefault="000A3797">
      <w:pPr>
        <w:pBdr>
          <w:top w:val="nil"/>
          <w:left w:val="nil"/>
          <w:bottom w:val="nil"/>
          <w:right w:val="nil"/>
          <w:between w:val="nil"/>
        </w:pBdr>
        <w:tabs>
          <w:tab w:val="left" w:pos="1134"/>
        </w:tabs>
        <w:spacing w:after="0" w:line="240" w:lineRule="auto"/>
        <w:ind w:left="720"/>
        <w:rPr>
          <w:rFonts w:ascii="Times New Roman" w:eastAsia="Times New Roman" w:hAnsi="Times New Roman" w:cs="Times New Roman"/>
          <w:color w:val="000000"/>
          <w:sz w:val="28"/>
          <w:szCs w:val="28"/>
        </w:rPr>
      </w:pPr>
    </w:p>
    <w:p w:rsidR="000A3797" w:rsidRDefault="000A3797">
      <w:pPr>
        <w:pBdr>
          <w:top w:val="nil"/>
          <w:left w:val="nil"/>
          <w:bottom w:val="nil"/>
          <w:right w:val="nil"/>
          <w:between w:val="nil"/>
        </w:pBdr>
        <w:tabs>
          <w:tab w:val="left" w:pos="1134"/>
        </w:tabs>
        <w:spacing w:after="0" w:line="240" w:lineRule="auto"/>
        <w:ind w:left="720"/>
        <w:rPr>
          <w:rFonts w:ascii="Times New Roman" w:eastAsia="Times New Roman" w:hAnsi="Times New Roman" w:cs="Times New Roman"/>
          <w:color w:val="000000"/>
          <w:sz w:val="28"/>
          <w:szCs w:val="28"/>
        </w:rPr>
      </w:pPr>
    </w:p>
    <w:p w:rsidR="000A3797" w:rsidRDefault="000A3797">
      <w:pPr>
        <w:pBdr>
          <w:top w:val="nil"/>
          <w:left w:val="nil"/>
          <w:bottom w:val="nil"/>
          <w:right w:val="nil"/>
          <w:between w:val="nil"/>
        </w:pBdr>
        <w:tabs>
          <w:tab w:val="left" w:pos="1134"/>
        </w:tabs>
        <w:spacing w:after="0" w:line="240" w:lineRule="auto"/>
        <w:ind w:left="720"/>
        <w:rPr>
          <w:rFonts w:ascii="Times New Roman" w:eastAsia="Times New Roman" w:hAnsi="Times New Roman" w:cs="Times New Roman"/>
          <w:color w:val="000000"/>
          <w:sz w:val="28"/>
          <w:szCs w:val="28"/>
        </w:rPr>
      </w:pPr>
    </w:p>
    <w:p w:rsidR="000A3797" w:rsidRDefault="000A3797">
      <w:pPr>
        <w:pBdr>
          <w:top w:val="nil"/>
          <w:left w:val="nil"/>
          <w:bottom w:val="nil"/>
          <w:right w:val="nil"/>
          <w:between w:val="nil"/>
        </w:pBdr>
        <w:tabs>
          <w:tab w:val="left" w:pos="1134"/>
        </w:tabs>
        <w:spacing w:after="0" w:line="240" w:lineRule="auto"/>
        <w:ind w:left="720"/>
        <w:rPr>
          <w:rFonts w:ascii="Times New Roman" w:eastAsia="Times New Roman" w:hAnsi="Times New Roman" w:cs="Times New Roman"/>
          <w:color w:val="000000"/>
          <w:sz w:val="28"/>
          <w:szCs w:val="28"/>
        </w:rPr>
      </w:pPr>
    </w:p>
    <w:p w:rsidR="000A3797" w:rsidRDefault="000A3797">
      <w:pPr>
        <w:pBdr>
          <w:top w:val="nil"/>
          <w:left w:val="nil"/>
          <w:bottom w:val="nil"/>
          <w:right w:val="nil"/>
          <w:between w:val="nil"/>
        </w:pBdr>
        <w:tabs>
          <w:tab w:val="left" w:pos="1134"/>
        </w:tabs>
        <w:spacing w:after="0" w:line="240" w:lineRule="auto"/>
        <w:ind w:left="720"/>
        <w:rPr>
          <w:rFonts w:ascii="Times New Roman" w:eastAsia="Times New Roman" w:hAnsi="Times New Roman" w:cs="Times New Roman"/>
          <w:color w:val="000000"/>
          <w:sz w:val="28"/>
          <w:szCs w:val="28"/>
        </w:rPr>
      </w:pPr>
    </w:p>
    <w:p w:rsidR="000A3797" w:rsidRDefault="000A3797">
      <w:pPr>
        <w:pBdr>
          <w:top w:val="nil"/>
          <w:left w:val="nil"/>
          <w:bottom w:val="nil"/>
          <w:right w:val="nil"/>
          <w:between w:val="nil"/>
        </w:pBdr>
        <w:tabs>
          <w:tab w:val="left" w:pos="1134"/>
        </w:tabs>
        <w:spacing w:after="0" w:line="240" w:lineRule="auto"/>
        <w:ind w:left="720"/>
        <w:rPr>
          <w:rFonts w:ascii="Times New Roman" w:eastAsia="Times New Roman" w:hAnsi="Times New Roman" w:cs="Times New Roman"/>
          <w:color w:val="000000"/>
          <w:sz w:val="28"/>
          <w:szCs w:val="28"/>
        </w:rPr>
      </w:pPr>
    </w:p>
    <w:p w:rsidR="000A3797" w:rsidRDefault="000A3797">
      <w:pPr>
        <w:pBdr>
          <w:top w:val="nil"/>
          <w:left w:val="nil"/>
          <w:bottom w:val="nil"/>
          <w:right w:val="nil"/>
          <w:between w:val="nil"/>
        </w:pBdr>
        <w:tabs>
          <w:tab w:val="left" w:pos="1134"/>
        </w:tabs>
        <w:spacing w:after="0" w:line="240" w:lineRule="auto"/>
        <w:ind w:left="720"/>
        <w:rPr>
          <w:rFonts w:ascii="Times New Roman" w:eastAsia="Times New Roman" w:hAnsi="Times New Roman" w:cs="Times New Roman"/>
          <w:color w:val="000000"/>
          <w:sz w:val="28"/>
          <w:szCs w:val="28"/>
        </w:rPr>
      </w:pPr>
    </w:p>
    <w:p w:rsidR="000A3797" w:rsidRDefault="000A3797">
      <w:pPr>
        <w:pBdr>
          <w:top w:val="nil"/>
          <w:left w:val="nil"/>
          <w:bottom w:val="nil"/>
          <w:right w:val="nil"/>
          <w:between w:val="nil"/>
        </w:pBdr>
        <w:tabs>
          <w:tab w:val="left" w:pos="1134"/>
        </w:tabs>
        <w:spacing w:after="0" w:line="240" w:lineRule="auto"/>
        <w:ind w:left="720"/>
        <w:rPr>
          <w:rFonts w:ascii="Times New Roman" w:eastAsia="Times New Roman" w:hAnsi="Times New Roman" w:cs="Times New Roman"/>
          <w:color w:val="000000"/>
          <w:sz w:val="28"/>
          <w:szCs w:val="28"/>
        </w:rPr>
      </w:pPr>
    </w:p>
    <w:p w:rsidR="000A3797" w:rsidRDefault="000A3797">
      <w:pPr>
        <w:pBdr>
          <w:top w:val="nil"/>
          <w:left w:val="nil"/>
          <w:bottom w:val="nil"/>
          <w:right w:val="nil"/>
          <w:between w:val="nil"/>
        </w:pBdr>
        <w:tabs>
          <w:tab w:val="left" w:pos="1134"/>
        </w:tabs>
        <w:spacing w:after="0" w:line="240" w:lineRule="auto"/>
        <w:ind w:left="720"/>
        <w:rPr>
          <w:rFonts w:ascii="Times New Roman" w:eastAsia="Times New Roman" w:hAnsi="Times New Roman" w:cs="Times New Roman"/>
          <w:color w:val="000000"/>
          <w:sz w:val="28"/>
          <w:szCs w:val="28"/>
        </w:rPr>
      </w:pPr>
    </w:p>
    <w:p w:rsidR="000A3797" w:rsidRDefault="000A3797">
      <w:pPr>
        <w:pBdr>
          <w:top w:val="nil"/>
          <w:left w:val="nil"/>
          <w:bottom w:val="nil"/>
          <w:right w:val="nil"/>
          <w:between w:val="nil"/>
        </w:pBdr>
        <w:tabs>
          <w:tab w:val="left" w:pos="1134"/>
        </w:tabs>
        <w:spacing w:after="0" w:line="240" w:lineRule="auto"/>
        <w:ind w:left="720"/>
        <w:rPr>
          <w:rFonts w:ascii="Times New Roman" w:eastAsia="Times New Roman" w:hAnsi="Times New Roman" w:cs="Times New Roman"/>
          <w:color w:val="000000"/>
          <w:sz w:val="28"/>
          <w:szCs w:val="28"/>
        </w:rPr>
      </w:pPr>
    </w:p>
    <w:p w:rsidR="000A3797" w:rsidRDefault="000A3797">
      <w:pPr>
        <w:pBdr>
          <w:top w:val="nil"/>
          <w:left w:val="nil"/>
          <w:bottom w:val="nil"/>
          <w:right w:val="nil"/>
          <w:between w:val="nil"/>
        </w:pBdr>
        <w:tabs>
          <w:tab w:val="left" w:pos="1134"/>
        </w:tabs>
        <w:spacing w:after="0" w:line="240" w:lineRule="auto"/>
        <w:ind w:left="720"/>
        <w:rPr>
          <w:rFonts w:ascii="Times New Roman" w:eastAsia="Times New Roman" w:hAnsi="Times New Roman" w:cs="Times New Roman"/>
          <w:color w:val="000000"/>
          <w:sz w:val="28"/>
          <w:szCs w:val="28"/>
        </w:rPr>
      </w:pPr>
    </w:p>
    <w:p w:rsidR="000A3797" w:rsidRDefault="000A3797">
      <w:pPr>
        <w:pBdr>
          <w:top w:val="nil"/>
          <w:left w:val="nil"/>
          <w:bottom w:val="nil"/>
          <w:right w:val="nil"/>
          <w:between w:val="nil"/>
        </w:pBdr>
        <w:tabs>
          <w:tab w:val="left" w:pos="1134"/>
        </w:tabs>
        <w:spacing w:after="0" w:line="240" w:lineRule="auto"/>
        <w:ind w:left="720"/>
        <w:rPr>
          <w:rFonts w:ascii="Times New Roman" w:eastAsia="Times New Roman" w:hAnsi="Times New Roman" w:cs="Times New Roman"/>
          <w:color w:val="000000"/>
          <w:sz w:val="28"/>
          <w:szCs w:val="28"/>
        </w:rPr>
      </w:pPr>
    </w:p>
    <w:p w:rsidR="000A3797" w:rsidRDefault="000A3797">
      <w:pPr>
        <w:pBdr>
          <w:top w:val="nil"/>
          <w:left w:val="nil"/>
          <w:bottom w:val="nil"/>
          <w:right w:val="nil"/>
          <w:between w:val="nil"/>
        </w:pBdr>
        <w:tabs>
          <w:tab w:val="left" w:pos="1134"/>
        </w:tabs>
        <w:spacing w:after="0" w:line="240" w:lineRule="auto"/>
        <w:ind w:left="720"/>
        <w:rPr>
          <w:rFonts w:ascii="Times New Roman" w:eastAsia="Times New Roman" w:hAnsi="Times New Roman" w:cs="Times New Roman"/>
          <w:color w:val="000000"/>
          <w:sz w:val="28"/>
          <w:szCs w:val="28"/>
        </w:rPr>
      </w:pPr>
    </w:p>
    <w:p w:rsidR="000A3797" w:rsidRDefault="000A3797">
      <w:pPr>
        <w:pBdr>
          <w:top w:val="nil"/>
          <w:left w:val="nil"/>
          <w:bottom w:val="nil"/>
          <w:right w:val="nil"/>
          <w:between w:val="nil"/>
        </w:pBdr>
        <w:tabs>
          <w:tab w:val="left" w:pos="1134"/>
        </w:tabs>
        <w:spacing w:after="0" w:line="240" w:lineRule="auto"/>
        <w:ind w:left="720"/>
        <w:rPr>
          <w:rFonts w:ascii="Times New Roman" w:eastAsia="Times New Roman" w:hAnsi="Times New Roman" w:cs="Times New Roman"/>
          <w:color w:val="000000"/>
          <w:sz w:val="28"/>
          <w:szCs w:val="28"/>
        </w:rPr>
      </w:pPr>
    </w:p>
    <w:p w:rsidR="000A3797" w:rsidRDefault="000A3797">
      <w:pPr>
        <w:pBdr>
          <w:top w:val="nil"/>
          <w:left w:val="nil"/>
          <w:bottom w:val="nil"/>
          <w:right w:val="nil"/>
          <w:between w:val="nil"/>
        </w:pBdr>
        <w:tabs>
          <w:tab w:val="left" w:pos="1134"/>
        </w:tabs>
        <w:spacing w:after="0" w:line="240" w:lineRule="auto"/>
        <w:ind w:left="720"/>
        <w:rPr>
          <w:rFonts w:ascii="Times New Roman" w:eastAsia="Times New Roman" w:hAnsi="Times New Roman" w:cs="Times New Roman"/>
          <w:color w:val="000000"/>
          <w:sz w:val="28"/>
          <w:szCs w:val="28"/>
        </w:rPr>
      </w:pPr>
    </w:p>
    <w:p w:rsidR="000A3797" w:rsidRDefault="000A3797">
      <w:pPr>
        <w:pBdr>
          <w:top w:val="nil"/>
          <w:left w:val="nil"/>
          <w:bottom w:val="nil"/>
          <w:right w:val="nil"/>
          <w:between w:val="nil"/>
        </w:pBdr>
        <w:tabs>
          <w:tab w:val="left" w:pos="1134"/>
        </w:tabs>
        <w:spacing w:after="0" w:line="240" w:lineRule="auto"/>
        <w:ind w:left="720"/>
        <w:rPr>
          <w:rFonts w:ascii="Times New Roman" w:eastAsia="Times New Roman" w:hAnsi="Times New Roman" w:cs="Times New Roman"/>
          <w:color w:val="000000"/>
          <w:sz w:val="28"/>
          <w:szCs w:val="28"/>
        </w:rPr>
      </w:pPr>
    </w:p>
    <w:p w:rsidR="000A3797" w:rsidRDefault="000A3797">
      <w:pPr>
        <w:pBdr>
          <w:top w:val="nil"/>
          <w:left w:val="nil"/>
          <w:bottom w:val="nil"/>
          <w:right w:val="nil"/>
          <w:between w:val="nil"/>
        </w:pBdr>
        <w:tabs>
          <w:tab w:val="left" w:pos="1134"/>
        </w:tabs>
        <w:spacing w:after="0" w:line="240" w:lineRule="auto"/>
        <w:ind w:left="720"/>
        <w:rPr>
          <w:rFonts w:ascii="Times New Roman" w:eastAsia="Times New Roman" w:hAnsi="Times New Roman" w:cs="Times New Roman"/>
          <w:color w:val="000000"/>
          <w:sz w:val="28"/>
          <w:szCs w:val="28"/>
        </w:rPr>
      </w:pPr>
    </w:p>
    <w:p w:rsidR="000A3797" w:rsidRDefault="000A3797">
      <w:pPr>
        <w:pBdr>
          <w:top w:val="nil"/>
          <w:left w:val="nil"/>
          <w:bottom w:val="nil"/>
          <w:right w:val="nil"/>
          <w:between w:val="nil"/>
        </w:pBdr>
        <w:tabs>
          <w:tab w:val="left" w:pos="1134"/>
        </w:tabs>
        <w:spacing w:after="0" w:line="240" w:lineRule="auto"/>
        <w:ind w:left="720"/>
        <w:rPr>
          <w:rFonts w:ascii="Times New Roman" w:eastAsia="Times New Roman" w:hAnsi="Times New Roman" w:cs="Times New Roman"/>
          <w:color w:val="000000"/>
          <w:sz w:val="28"/>
          <w:szCs w:val="28"/>
        </w:rPr>
      </w:pPr>
    </w:p>
    <w:p w:rsidR="000A3797" w:rsidRDefault="000A3797">
      <w:pPr>
        <w:pBdr>
          <w:top w:val="nil"/>
          <w:left w:val="nil"/>
          <w:bottom w:val="nil"/>
          <w:right w:val="nil"/>
          <w:between w:val="nil"/>
        </w:pBdr>
        <w:tabs>
          <w:tab w:val="left" w:pos="1134"/>
        </w:tabs>
        <w:spacing w:after="0" w:line="240" w:lineRule="auto"/>
        <w:ind w:left="720"/>
        <w:rPr>
          <w:rFonts w:ascii="Times New Roman" w:eastAsia="Times New Roman" w:hAnsi="Times New Roman" w:cs="Times New Roman"/>
          <w:color w:val="000000"/>
          <w:sz w:val="28"/>
          <w:szCs w:val="28"/>
        </w:rPr>
      </w:pPr>
    </w:p>
    <w:p w:rsidR="000A3797" w:rsidRDefault="000A3797">
      <w:pPr>
        <w:pBdr>
          <w:top w:val="nil"/>
          <w:left w:val="nil"/>
          <w:bottom w:val="nil"/>
          <w:right w:val="nil"/>
          <w:between w:val="nil"/>
        </w:pBdr>
        <w:tabs>
          <w:tab w:val="left" w:pos="1134"/>
        </w:tabs>
        <w:spacing w:after="0" w:line="240" w:lineRule="auto"/>
        <w:ind w:left="720"/>
        <w:rPr>
          <w:rFonts w:ascii="Times New Roman" w:eastAsia="Times New Roman" w:hAnsi="Times New Roman" w:cs="Times New Roman"/>
          <w:color w:val="000000"/>
          <w:sz w:val="28"/>
          <w:szCs w:val="28"/>
        </w:rPr>
      </w:pPr>
    </w:p>
    <w:p w:rsidR="000A3797" w:rsidRDefault="000A3797">
      <w:pPr>
        <w:pBdr>
          <w:top w:val="nil"/>
          <w:left w:val="nil"/>
          <w:bottom w:val="nil"/>
          <w:right w:val="nil"/>
          <w:between w:val="nil"/>
        </w:pBdr>
        <w:tabs>
          <w:tab w:val="left" w:pos="1134"/>
        </w:tabs>
        <w:spacing w:after="0" w:line="240" w:lineRule="auto"/>
        <w:ind w:left="720"/>
        <w:rPr>
          <w:rFonts w:ascii="Times New Roman" w:eastAsia="Times New Roman" w:hAnsi="Times New Roman" w:cs="Times New Roman"/>
          <w:color w:val="000000"/>
          <w:sz w:val="28"/>
          <w:szCs w:val="28"/>
        </w:rPr>
      </w:pPr>
    </w:p>
    <w:p w:rsidR="000A3797" w:rsidRDefault="000A3797">
      <w:pPr>
        <w:pBdr>
          <w:top w:val="nil"/>
          <w:left w:val="nil"/>
          <w:bottom w:val="nil"/>
          <w:right w:val="nil"/>
          <w:between w:val="nil"/>
        </w:pBdr>
        <w:tabs>
          <w:tab w:val="left" w:pos="1134"/>
        </w:tabs>
        <w:spacing w:after="0" w:line="240" w:lineRule="auto"/>
        <w:ind w:left="720"/>
        <w:rPr>
          <w:rFonts w:ascii="Times New Roman" w:eastAsia="Times New Roman" w:hAnsi="Times New Roman" w:cs="Times New Roman"/>
          <w:color w:val="000000"/>
          <w:sz w:val="28"/>
          <w:szCs w:val="28"/>
        </w:rPr>
      </w:pPr>
    </w:p>
    <w:p w:rsidR="000A3797" w:rsidRDefault="000A3797">
      <w:pPr>
        <w:pBdr>
          <w:top w:val="nil"/>
          <w:left w:val="nil"/>
          <w:bottom w:val="nil"/>
          <w:right w:val="nil"/>
          <w:between w:val="nil"/>
        </w:pBdr>
        <w:tabs>
          <w:tab w:val="left" w:pos="1134"/>
        </w:tabs>
        <w:spacing w:after="0" w:line="240" w:lineRule="auto"/>
        <w:ind w:left="720"/>
        <w:rPr>
          <w:rFonts w:ascii="Times New Roman" w:eastAsia="Times New Roman" w:hAnsi="Times New Roman" w:cs="Times New Roman"/>
          <w:color w:val="000000"/>
          <w:sz w:val="28"/>
          <w:szCs w:val="28"/>
        </w:rPr>
      </w:pPr>
    </w:p>
    <w:p w:rsidR="000A3797" w:rsidRDefault="000A3797">
      <w:pPr>
        <w:pBdr>
          <w:top w:val="nil"/>
          <w:left w:val="nil"/>
          <w:bottom w:val="nil"/>
          <w:right w:val="nil"/>
          <w:between w:val="nil"/>
        </w:pBdr>
        <w:tabs>
          <w:tab w:val="left" w:pos="1134"/>
        </w:tabs>
        <w:spacing w:after="0" w:line="240" w:lineRule="auto"/>
        <w:ind w:left="720"/>
        <w:rPr>
          <w:rFonts w:ascii="Times New Roman" w:eastAsia="Times New Roman" w:hAnsi="Times New Roman" w:cs="Times New Roman"/>
          <w:color w:val="000000"/>
          <w:sz w:val="28"/>
          <w:szCs w:val="28"/>
        </w:rPr>
      </w:pPr>
    </w:p>
    <w:p w:rsidR="000A3797" w:rsidRDefault="000A3797">
      <w:pPr>
        <w:pBdr>
          <w:top w:val="nil"/>
          <w:left w:val="nil"/>
          <w:bottom w:val="nil"/>
          <w:right w:val="nil"/>
          <w:between w:val="nil"/>
        </w:pBdr>
        <w:tabs>
          <w:tab w:val="left" w:pos="1134"/>
        </w:tabs>
        <w:spacing w:after="0" w:line="240" w:lineRule="auto"/>
        <w:ind w:left="720"/>
        <w:rPr>
          <w:rFonts w:ascii="Times New Roman" w:eastAsia="Times New Roman" w:hAnsi="Times New Roman" w:cs="Times New Roman"/>
          <w:color w:val="000000"/>
          <w:sz w:val="28"/>
          <w:szCs w:val="28"/>
        </w:rPr>
      </w:pPr>
    </w:p>
    <w:p w:rsidR="000A3797" w:rsidRDefault="000A3797">
      <w:pPr>
        <w:pBdr>
          <w:top w:val="nil"/>
          <w:left w:val="nil"/>
          <w:bottom w:val="nil"/>
          <w:right w:val="nil"/>
          <w:between w:val="nil"/>
        </w:pBdr>
        <w:tabs>
          <w:tab w:val="left" w:pos="1134"/>
        </w:tabs>
        <w:spacing w:after="0" w:line="240" w:lineRule="auto"/>
        <w:ind w:left="720"/>
        <w:rPr>
          <w:rFonts w:ascii="Times New Roman" w:eastAsia="Times New Roman" w:hAnsi="Times New Roman" w:cs="Times New Roman"/>
          <w:color w:val="000000"/>
          <w:sz w:val="28"/>
          <w:szCs w:val="28"/>
        </w:rPr>
      </w:pPr>
    </w:p>
    <w:p w:rsidR="000A3797" w:rsidRDefault="000A3797">
      <w:pPr>
        <w:pBdr>
          <w:top w:val="nil"/>
          <w:left w:val="nil"/>
          <w:bottom w:val="nil"/>
          <w:right w:val="nil"/>
          <w:between w:val="nil"/>
        </w:pBdr>
        <w:tabs>
          <w:tab w:val="left" w:pos="1134"/>
        </w:tabs>
        <w:spacing w:after="0" w:line="240" w:lineRule="auto"/>
        <w:ind w:left="720"/>
        <w:rPr>
          <w:rFonts w:ascii="Times New Roman" w:eastAsia="Times New Roman" w:hAnsi="Times New Roman" w:cs="Times New Roman"/>
          <w:color w:val="000000"/>
          <w:sz w:val="28"/>
          <w:szCs w:val="28"/>
        </w:rPr>
      </w:pPr>
    </w:p>
    <w:p w:rsidR="000A3797" w:rsidRDefault="000A3797">
      <w:pPr>
        <w:pBdr>
          <w:top w:val="nil"/>
          <w:left w:val="nil"/>
          <w:bottom w:val="nil"/>
          <w:right w:val="nil"/>
          <w:between w:val="nil"/>
        </w:pBdr>
        <w:tabs>
          <w:tab w:val="left" w:pos="1134"/>
        </w:tabs>
        <w:spacing w:after="0" w:line="240" w:lineRule="auto"/>
        <w:ind w:left="720"/>
        <w:rPr>
          <w:rFonts w:ascii="Times New Roman" w:eastAsia="Times New Roman" w:hAnsi="Times New Roman" w:cs="Times New Roman"/>
          <w:color w:val="000000"/>
          <w:sz w:val="28"/>
          <w:szCs w:val="28"/>
        </w:rPr>
      </w:pPr>
    </w:p>
    <w:p w:rsidR="000A3797" w:rsidRDefault="00A660E7">
      <w:pPr>
        <w:pBdr>
          <w:top w:val="nil"/>
          <w:left w:val="nil"/>
          <w:bottom w:val="nil"/>
          <w:right w:val="nil"/>
          <w:between w:val="nil"/>
        </w:pBdr>
        <w:tabs>
          <w:tab w:val="left" w:pos="1134"/>
        </w:tabs>
        <w:spacing w:after="0" w:line="240" w:lineRule="auto"/>
        <w:ind w:left="720"/>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5238750" cy="7448550"/>
            <wp:effectExtent l="0" t="0" r="0" b="0"/>
            <wp:docPr id="2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4"/>
                    <a:srcRect/>
                    <a:stretch>
                      <a:fillRect/>
                    </a:stretch>
                  </pic:blipFill>
                  <pic:spPr>
                    <a:xfrm>
                      <a:off x="0" y="0"/>
                      <a:ext cx="5238750" cy="7448550"/>
                    </a:xfrm>
                    <a:prstGeom prst="rect">
                      <a:avLst/>
                    </a:prstGeom>
                    <a:ln/>
                  </pic:spPr>
                </pic:pic>
              </a:graphicData>
            </a:graphic>
          </wp:inline>
        </w:drawing>
      </w:r>
    </w:p>
    <w:p w:rsidR="000A3797" w:rsidRDefault="000A3797">
      <w:pPr>
        <w:pBdr>
          <w:top w:val="nil"/>
          <w:left w:val="nil"/>
          <w:bottom w:val="nil"/>
          <w:right w:val="nil"/>
          <w:between w:val="nil"/>
        </w:pBdr>
        <w:tabs>
          <w:tab w:val="left" w:pos="1134"/>
        </w:tabs>
        <w:spacing w:after="0" w:line="240" w:lineRule="auto"/>
        <w:ind w:left="720"/>
        <w:rPr>
          <w:rFonts w:ascii="Times New Roman" w:eastAsia="Times New Roman" w:hAnsi="Times New Roman" w:cs="Times New Roman"/>
          <w:color w:val="000000"/>
          <w:sz w:val="28"/>
          <w:szCs w:val="28"/>
        </w:rPr>
      </w:pPr>
    </w:p>
    <w:p w:rsidR="000A3797" w:rsidRDefault="000A3797">
      <w:pPr>
        <w:pBdr>
          <w:top w:val="nil"/>
          <w:left w:val="nil"/>
          <w:bottom w:val="nil"/>
          <w:right w:val="nil"/>
          <w:between w:val="nil"/>
        </w:pBdr>
        <w:tabs>
          <w:tab w:val="left" w:pos="1134"/>
        </w:tabs>
        <w:spacing w:after="0" w:line="240" w:lineRule="auto"/>
        <w:ind w:left="720"/>
        <w:rPr>
          <w:rFonts w:ascii="Times New Roman" w:eastAsia="Times New Roman" w:hAnsi="Times New Roman" w:cs="Times New Roman"/>
          <w:color w:val="000000"/>
          <w:sz w:val="28"/>
          <w:szCs w:val="28"/>
        </w:rPr>
      </w:pPr>
    </w:p>
    <w:p w:rsidR="000A3797" w:rsidRDefault="000A3797">
      <w:pPr>
        <w:pBdr>
          <w:top w:val="nil"/>
          <w:left w:val="nil"/>
          <w:bottom w:val="nil"/>
          <w:right w:val="nil"/>
          <w:between w:val="nil"/>
        </w:pBdr>
        <w:tabs>
          <w:tab w:val="left" w:pos="1134"/>
        </w:tabs>
        <w:spacing w:after="0" w:line="240" w:lineRule="auto"/>
        <w:ind w:left="720"/>
        <w:rPr>
          <w:rFonts w:ascii="Times New Roman" w:eastAsia="Times New Roman" w:hAnsi="Times New Roman" w:cs="Times New Roman"/>
          <w:color w:val="000000"/>
          <w:sz w:val="28"/>
          <w:szCs w:val="28"/>
        </w:rPr>
      </w:pPr>
    </w:p>
    <w:p w:rsidR="000A3797" w:rsidRDefault="000A3797">
      <w:pPr>
        <w:pBdr>
          <w:top w:val="nil"/>
          <w:left w:val="nil"/>
          <w:bottom w:val="nil"/>
          <w:right w:val="nil"/>
          <w:between w:val="nil"/>
        </w:pBdr>
        <w:tabs>
          <w:tab w:val="left" w:pos="1134"/>
        </w:tabs>
        <w:spacing w:after="0" w:line="240" w:lineRule="auto"/>
        <w:ind w:left="720"/>
        <w:rPr>
          <w:rFonts w:ascii="Times New Roman" w:eastAsia="Times New Roman" w:hAnsi="Times New Roman" w:cs="Times New Roman"/>
          <w:color w:val="000000"/>
          <w:sz w:val="28"/>
          <w:szCs w:val="28"/>
        </w:rPr>
      </w:pPr>
    </w:p>
    <w:p w:rsidR="000A3797" w:rsidRDefault="000A3797">
      <w:pPr>
        <w:pBdr>
          <w:top w:val="nil"/>
          <w:left w:val="nil"/>
          <w:bottom w:val="nil"/>
          <w:right w:val="nil"/>
          <w:between w:val="nil"/>
        </w:pBdr>
        <w:tabs>
          <w:tab w:val="left" w:pos="1134"/>
        </w:tabs>
        <w:spacing w:after="0" w:line="240" w:lineRule="auto"/>
        <w:ind w:left="720"/>
        <w:rPr>
          <w:rFonts w:ascii="Times New Roman" w:eastAsia="Times New Roman" w:hAnsi="Times New Roman" w:cs="Times New Roman"/>
          <w:color w:val="000000"/>
          <w:sz w:val="28"/>
          <w:szCs w:val="28"/>
        </w:rPr>
      </w:pPr>
    </w:p>
    <w:p w:rsidR="000A3797" w:rsidRDefault="000A3797">
      <w:pPr>
        <w:pBdr>
          <w:top w:val="nil"/>
          <w:left w:val="nil"/>
          <w:bottom w:val="nil"/>
          <w:right w:val="nil"/>
          <w:between w:val="nil"/>
        </w:pBdr>
        <w:tabs>
          <w:tab w:val="left" w:pos="1134"/>
        </w:tabs>
        <w:spacing w:after="0" w:line="240" w:lineRule="auto"/>
        <w:ind w:left="720"/>
        <w:rPr>
          <w:rFonts w:ascii="Times New Roman" w:eastAsia="Times New Roman" w:hAnsi="Times New Roman" w:cs="Times New Roman"/>
          <w:color w:val="000000"/>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A660E7">
      <w:pPr>
        <w:tabs>
          <w:tab w:val="left" w:pos="8145"/>
        </w:tabs>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ПРИЛОЖЕНИЕ В.</w:t>
      </w:r>
    </w:p>
    <w:p w:rsidR="000A3797" w:rsidRDefault="00A660E7">
      <w:pPr>
        <w:tabs>
          <w:tab w:val="left" w:pos="8145"/>
        </w:tabs>
        <w:spacing w:after="0" w:line="240" w:lineRule="auto"/>
        <w:rPr>
          <w:rFonts w:ascii="Times New Roman" w:eastAsia="Times New Roman" w:hAnsi="Times New Roman" w:cs="Times New Roman"/>
          <w:sz w:val="28"/>
          <w:szCs w:val="28"/>
        </w:rPr>
      </w:pPr>
      <w:r>
        <w:rPr>
          <w:noProof/>
        </w:rPr>
        <w:drawing>
          <wp:anchor distT="0" distB="0" distL="114300" distR="114300" simplePos="0" relativeHeight="251668480" behindDoc="0" locked="0" layoutInCell="1" hidden="0" allowOverlap="1">
            <wp:simplePos x="0" y="0"/>
            <wp:positionH relativeFrom="column">
              <wp:posOffset>-777556</wp:posOffset>
            </wp:positionH>
            <wp:positionV relativeFrom="paragraph">
              <wp:posOffset>180975</wp:posOffset>
            </wp:positionV>
            <wp:extent cx="5514975" cy="8191500"/>
            <wp:effectExtent l="0" t="0" r="0" b="0"/>
            <wp:wrapSquare wrapText="bothSides" distT="0" distB="0" distL="114300" distR="114300"/>
            <wp:docPr id="52" name="image42.png" descr="C:\Users\Мария\Downloads\16.png"/>
            <wp:cNvGraphicFramePr/>
            <a:graphic xmlns:a="http://schemas.openxmlformats.org/drawingml/2006/main">
              <a:graphicData uri="http://schemas.openxmlformats.org/drawingml/2006/picture">
                <pic:pic xmlns:pic="http://schemas.openxmlformats.org/drawingml/2006/picture">
                  <pic:nvPicPr>
                    <pic:cNvPr id="0" name="image42.png" descr="C:\Users\Мария\Downloads\16.png"/>
                    <pic:cNvPicPr preferRelativeResize="0"/>
                  </pic:nvPicPr>
                  <pic:blipFill>
                    <a:blip r:embed="rId55"/>
                    <a:srcRect/>
                    <a:stretch>
                      <a:fillRect/>
                    </a:stretch>
                  </pic:blipFill>
                  <pic:spPr>
                    <a:xfrm>
                      <a:off x="0" y="0"/>
                      <a:ext cx="5514975" cy="8191500"/>
                    </a:xfrm>
                    <a:prstGeom prst="rect">
                      <a:avLst/>
                    </a:prstGeom>
                    <a:ln/>
                  </pic:spPr>
                </pic:pic>
              </a:graphicData>
            </a:graphic>
          </wp:anchor>
        </w:drawing>
      </w: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spacing w:after="0" w:line="240" w:lineRule="auto"/>
        <w:rPr>
          <w:rFonts w:ascii="Times New Roman" w:eastAsia="Times New Roman" w:hAnsi="Times New Roman" w:cs="Times New Roman"/>
          <w:sz w:val="28"/>
          <w:szCs w:val="28"/>
        </w:rPr>
      </w:pPr>
    </w:p>
    <w:p w:rsidR="000A3797" w:rsidRDefault="000A3797">
      <w:pPr>
        <w:spacing w:after="0" w:line="240" w:lineRule="auto"/>
        <w:rPr>
          <w:rFonts w:ascii="Times New Roman" w:eastAsia="Times New Roman" w:hAnsi="Times New Roman" w:cs="Times New Roman"/>
          <w:sz w:val="28"/>
          <w:szCs w:val="28"/>
        </w:rPr>
      </w:pPr>
    </w:p>
    <w:p w:rsidR="000A3797" w:rsidRDefault="000A3797">
      <w:pPr>
        <w:spacing w:after="0" w:line="240" w:lineRule="auto"/>
        <w:rPr>
          <w:rFonts w:ascii="Times New Roman" w:eastAsia="Times New Roman" w:hAnsi="Times New Roman" w:cs="Times New Roman"/>
          <w:sz w:val="28"/>
          <w:szCs w:val="28"/>
        </w:rPr>
      </w:pPr>
    </w:p>
    <w:p w:rsidR="000A3797" w:rsidRDefault="000A3797">
      <w:pPr>
        <w:spacing w:after="0" w:line="240" w:lineRule="auto"/>
        <w:rPr>
          <w:rFonts w:ascii="Times New Roman" w:eastAsia="Times New Roman" w:hAnsi="Times New Roman" w:cs="Times New Roman"/>
          <w:sz w:val="28"/>
          <w:szCs w:val="28"/>
        </w:rPr>
      </w:pPr>
    </w:p>
    <w:p w:rsidR="000A3797" w:rsidRDefault="000A3797">
      <w:pPr>
        <w:spacing w:after="0" w:line="240" w:lineRule="auto"/>
        <w:rPr>
          <w:rFonts w:ascii="Times New Roman" w:eastAsia="Times New Roman" w:hAnsi="Times New Roman" w:cs="Times New Roman"/>
          <w:sz w:val="28"/>
          <w:szCs w:val="28"/>
        </w:rPr>
      </w:pPr>
    </w:p>
    <w:p w:rsidR="000A3797" w:rsidRDefault="000A3797">
      <w:pPr>
        <w:spacing w:after="0" w:line="240" w:lineRule="auto"/>
        <w:rPr>
          <w:rFonts w:ascii="Times New Roman" w:eastAsia="Times New Roman" w:hAnsi="Times New Roman" w:cs="Times New Roman"/>
          <w:sz w:val="28"/>
          <w:szCs w:val="28"/>
        </w:rPr>
      </w:pPr>
    </w:p>
    <w:p w:rsidR="000A3797" w:rsidRDefault="000A3797">
      <w:pPr>
        <w:spacing w:after="0" w:line="240" w:lineRule="auto"/>
        <w:rPr>
          <w:rFonts w:ascii="Times New Roman" w:eastAsia="Times New Roman" w:hAnsi="Times New Roman" w:cs="Times New Roman"/>
          <w:sz w:val="28"/>
          <w:szCs w:val="28"/>
        </w:rPr>
      </w:pPr>
    </w:p>
    <w:p w:rsidR="000A3797" w:rsidRDefault="000A3797">
      <w:pPr>
        <w:spacing w:after="0" w:line="240" w:lineRule="auto"/>
        <w:rPr>
          <w:rFonts w:ascii="Times New Roman" w:eastAsia="Times New Roman" w:hAnsi="Times New Roman" w:cs="Times New Roman"/>
          <w:sz w:val="28"/>
          <w:szCs w:val="28"/>
        </w:rPr>
      </w:pPr>
    </w:p>
    <w:p w:rsidR="000A3797" w:rsidRDefault="000A3797">
      <w:pPr>
        <w:spacing w:after="0" w:line="240" w:lineRule="auto"/>
        <w:rPr>
          <w:rFonts w:ascii="Times New Roman" w:eastAsia="Times New Roman" w:hAnsi="Times New Roman" w:cs="Times New Roman"/>
          <w:sz w:val="28"/>
          <w:szCs w:val="28"/>
        </w:rPr>
      </w:pPr>
    </w:p>
    <w:p w:rsidR="000A3797" w:rsidRDefault="000A3797">
      <w:pPr>
        <w:spacing w:after="0" w:line="240" w:lineRule="auto"/>
        <w:rPr>
          <w:rFonts w:ascii="Times New Roman" w:eastAsia="Times New Roman" w:hAnsi="Times New Roman" w:cs="Times New Roman"/>
          <w:sz w:val="28"/>
          <w:szCs w:val="28"/>
        </w:rPr>
      </w:pPr>
    </w:p>
    <w:p w:rsidR="000A3797" w:rsidRDefault="000A3797">
      <w:pPr>
        <w:spacing w:after="0" w:line="240" w:lineRule="auto"/>
        <w:rPr>
          <w:rFonts w:ascii="Times New Roman" w:eastAsia="Times New Roman" w:hAnsi="Times New Roman" w:cs="Times New Roman"/>
          <w:sz w:val="28"/>
          <w:szCs w:val="28"/>
        </w:rPr>
      </w:pPr>
    </w:p>
    <w:p w:rsidR="000A3797" w:rsidRDefault="000A3797">
      <w:pPr>
        <w:spacing w:after="0" w:line="240" w:lineRule="auto"/>
        <w:rPr>
          <w:rFonts w:ascii="Times New Roman" w:eastAsia="Times New Roman" w:hAnsi="Times New Roman" w:cs="Times New Roman"/>
          <w:sz w:val="28"/>
          <w:szCs w:val="28"/>
        </w:rPr>
      </w:pPr>
    </w:p>
    <w:p w:rsidR="000A3797" w:rsidRDefault="000A3797">
      <w:pPr>
        <w:spacing w:after="0" w:line="240" w:lineRule="auto"/>
        <w:rPr>
          <w:rFonts w:ascii="Times New Roman" w:eastAsia="Times New Roman" w:hAnsi="Times New Roman" w:cs="Times New Roman"/>
          <w:sz w:val="28"/>
          <w:szCs w:val="28"/>
        </w:rPr>
      </w:pPr>
    </w:p>
    <w:p w:rsidR="000A3797" w:rsidRDefault="000A3797">
      <w:pPr>
        <w:spacing w:after="0" w:line="240" w:lineRule="auto"/>
        <w:rPr>
          <w:rFonts w:ascii="Times New Roman" w:eastAsia="Times New Roman" w:hAnsi="Times New Roman" w:cs="Times New Roman"/>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A660E7">
      <w:pPr>
        <w:spacing w:after="0" w:line="240" w:lineRule="auto"/>
        <w:jc w:val="center"/>
        <w:rPr>
          <w:rFonts w:ascii="Times New Roman" w:eastAsia="Times New Roman" w:hAnsi="Times New Roman" w:cs="Times New Roman"/>
          <w:b/>
          <w:sz w:val="28"/>
          <w:szCs w:val="28"/>
        </w:rPr>
      </w:pPr>
      <w:r>
        <w:rPr>
          <w:noProof/>
        </w:rPr>
        <w:drawing>
          <wp:anchor distT="0" distB="0" distL="114300" distR="114300" simplePos="0" relativeHeight="251669504" behindDoc="0" locked="0" layoutInCell="1" hidden="0" allowOverlap="1">
            <wp:simplePos x="0" y="0"/>
            <wp:positionH relativeFrom="column">
              <wp:posOffset>62866</wp:posOffset>
            </wp:positionH>
            <wp:positionV relativeFrom="paragraph">
              <wp:posOffset>3810</wp:posOffset>
            </wp:positionV>
            <wp:extent cx="6000750" cy="8782050"/>
            <wp:effectExtent l="0" t="0" r="0" b="0"/>
            <wp:wrapSquare wrapText="bothSides" distT="0" distB="0" distL="114300" distR="114300"/>
            <wp:docPr id="22" name="image12.png" descr="C:\Users\Мария\Downloads\17.png"/>
            <wp:cNvGraphicFramePr/>
            <a:graphic xmlns:a="http://schemas.openxmlformats.org/drawingml/2006/main">
              <a:graphicData uri="http://schemas.openxmlformats.org/drawingml/2006/picture">
                <pic:pic xmlns:pic="http://schemas.openxmlformats.org/drawingml/2006/picture">
                  <pic:nvPicPr>
                    <pic:cNvPr id="0" name="image12.png" descr="C:\Users\Мария\Downloads\17.png"/>
                    <pic:cNvPicPr preferRelativeResize="0"/>
                  </pic:nvPicPr>
                  <pic:blipFill>
                    <a:blip r:embed="rId56"/>
                    <a:srcRect/>
                    <a:stretch>
                      <a:fillRect/>
                    </a:stretch>
                  </pic:blipFill>
                  <pic:spPr>
                    <a:xfrm>
                      <a:off x="0" y="0"/>
                      <a:ext cx="6000750" cy="8782050"/>
                    </a:xfrm>
                    <a:prstGeom prst="rect">
                      <a:avLst/>
                    </a:prstGeom>
                    <a:ln/>
                  </pic:spPr>
                </pic:pic>
              </a:graphicData>
            </a:graphic>
          </wp:anchor>
        </w:drawing>
      </w:r>
    </w:p>
    <w:p w:rsidR="000A3797" w:rsidRDefault="00A660E7">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inline distT="0" distB="0" distL="0" distR="0">
            <wp:extent cx="5886450" cy="8705850"/>
            <wp:effectExtent l="0" t="0" r="0" b="0"/>
            <wp:docPr id="21" name="image11.png" descr="C:\Users\Мария\Downloads\18.png"/>
            <wp:cNvGraphicFramePr/>
            <a:graphic xmlns:a="http://schemas.openxmlformats.org/drawingml/2006/main">
              <a:graphicData uri="http://schemas.openxmlformats.org/drawingml/2006/picture">
                <pic:pic xmlns:pic="http://schemas.openxmlformats.org/drawingml/2006/picture">
                  <pic:nvPicPr>
                    <pic:cNvPr id="0" name="image11.png" descr="C:\Users\Мария\Downloads\18.png"/>
                    <pic:cNvPicPr preferRelativeResize="0"/>
                  </pic:nvPicPr>
                  <pic:blipFill>
                    <a:blip r:embed="rId57"/>
                    <a:srcRect/>
                    <a:stretch>
                      <a:fillRect/>
                    </a:stretch>
                  </pic:blipFill>
                  <pic:spPr>
                    <a:xfrm>
                      <a:off x="0" y="0"/>
                      <a:ext cx="5886450" cy="8705850"/>
                    </a:xfrm>
                    <a:prstGeom prst="rect">
                      <a:avLst/>
                    </a:prstGeom>
                    <a:ln/>
                  </pic:spPr>
                </pic:pic>
              </a:graphicData>
            </a:graphic>
          </wp:inline>
        </w:drawing>
      </w:r>
    </w:p>
    <w:p w:rsidR="000A3797" w:rsidRDefault="000A3797">
      <w:pPr>
        <w:spacing w:after="0" w:line="240" w:lineRule="auto"/>
        <w:rPr>
          <w:rFonts w:ascii="Times New Roman" w:eastAsia="Times New Roman" w:hAnsi="Times New Roman" w:cs="Times New Roman"/>
          <w:b/>
          <w:sz w:val="28"/>
          <w:szCs w:val="28"/>
        </w:rPr>
      </w:pPr>
    </w:p>
    <w:p w:rsidR="000A3797" w:rsidRDefault="000A3797">
      <w:pPr>
        <w:spacing w:after="0" w:line="240" w:lineRule="auto"/>
        <w:rPr>
          <w:rFonts w:ascii="Times New Roman" w:eastAsia="Times New Roman" w:hAnsi="Times New Roman" w:cs="Times New Roman"/>
          <w:b/>
          <w:sz w:val="28"/>
          <w:szCs w:val="28"/>
        </w:rPr>
      </w:pPr>
    </w:p>
    <w:p w:rsidR="000A3797" w:rsidRDefault="00A660E7">
      <w:pPr>
        <w:spacing w:after="0" w:line="240" w:lineRule="auto"/>
        <w:rPr>
          <w:rFonts w:ascii="Times New Roman" w:eastAsia="Times New Roman" w:hAnsi="Times New Roman" w:cs="Times New Roman"/>
          <w:b/>
          <w:sz w:val="28"/>
          <w:szCs w:val="28"/>
        </w:rPr>
      </w:pPr>
      <w:r>
        <w:rPr>
          <w:noProof/>
        </w:rPr>
        <w:drawing>
          <wp:anchor distT="0" distB="0" distL="114300" distR="114300" simplePos="0" relativeHeight="251670528" behindDoc="0" locked="0" layoutInCell="1" hidden="0" allowOverlap="1">
            <wp:simplePos x="0" y="0"/>
            <wp:positionH relativeFrom="column">
              <wp:posOffset>-3809</wp:posOffset>
            </wp:positionH>
            <wp:positionV relativeFrom="paragraph">
              <wp:posOffset>3810</wp:posOffset>
            </wp:positionV>
            <wp:extent cx="6057900" cy="8677275"/>
            <wp:effectExtent l="0" t="0" r="0" b="0"/>
            <wp:wrapTopAndBottom distT="0" distB="0"/>
            <wp:docPr id="49" name="image39.png" descr="C:\Users\Мария\Downloads\19.png"/>
            <wp:cNvGraphicFramePr/>
            <a:graphic xmlns:a="http://schemas.openxmlformats.org/drawingml/2006/main">
              <a:graphicData uri="http://schemas.openxmlformats.org/drawingml/2006/picture">
                <pic:pic xmlns:pic="http://schemas.openxmlformats.org/drawingml/2006/picture">
                  <pic:nvPicPr>
                    <pic:cNvPr id="0" name="image39.png" descr="C:\Users\Мария\Downloads\19.png"/>
                    <pic:cNvPicPr preferRelativeResize="0"/>
                  </pic:nvPicPr>
                  <pic:blipFill>
                    <a:blip r:embed="rId58"/>
                    <a:srcRect/>
                    <a:stretch>
                      <a:fillRect/>
                    </a:stretch>
                  </pic:blipFill>
                  <pic:spPr>
                    <a:xfrm>
                      <a:off x="0" y="0"/>
                      <a:ext cx="6057900" cy="8677275"/>
                    </a:xfrm>
                    <a:prstGeom prst="rect">
                      <a:avLst/>
                    </a:prstGeom>
                    <a:ln/>
                  </pic:spPr>
                </pic:pic>
              </a:graphicData>
            </a:graphic>
          </wp:anchor>
        </w:drawing>
      </w:r>
    </w:p>
    <w:p w:rsidR="000A3797" w:rsidRDefault="000A3797">
      <w:pPr>
        <w:spacing w:after="0" w:line="240" w:lineRule="auto"/>
        <w:jc w:val="center"/>
        <w:rPr>
          <w:rFonts w:ascii="Times New Roman" w:eastAsia="Times New Roman" w:hAnsi="Times New Roman" w:cs="Times New Roman"/>
          <w:b/>
          <w:sz w:val="28"/>
          <w:szCs w:val="28"/>
        </w:rPr>
      </w:pPr>
    </w:p>
    <w:p w:rsidR="000A3797" w:rsidRDefault="00A660E7">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inline distT="0" distB="0" distL="0" distR="0">
            <wp:extent cx="6120130" cy="5700304"/>
            <wp:effectExtent l="0" t="0" r="0" b="0"/>
            <wp:docPr id="23" name="image13.png" descr="C:\Users\Мария\Downloads\20.png"/>
            <wp:cNvGraphicFramePr/>
            <a:graphic xmlns:a="http://schemas.openxmlformats.org/drawingml/2006/main">
              <a:graphicData uri="http://schemas.openxmlformats.org/drawingml/2006/picture">
                <pic:pic xmlns:pic="http://schemas.openxmlformats.org/drawingml/2006/picture">
                  <pic:nvPicPr>
                    <pic:cNvPr id="0" name="image13.png" descr="C:\Users\Мария\Downloads\20.png"/>
                    <pic:cNvPicPr preferRelativeResize="0"/>
                  </pic:nvPicPr>
                  <pic:blipFill>
                    <a:blip r:embed="rId59"/>
                    <a:srcRect/>
                    <a:stretch>
                      <a:fillRect/>
                    </a:stretch>
                  </pic:blipFill>
                  <pic:spPr>
                    <a:xfrm>
                      <a:off x="0" y="0"/>
                      <a:ext cx="6120130" cy="5700304"/>
                    </a:xfrm>
                    <a:prstGeom prst="rect">
                      <a:avLst/>
                    </a:prstGeom>
                    <a:ln/>
                  </pic:spPr>
                </pic:pic>
              </a:graphicData>
            </a:graphic>
          </wp:inline>
        </w:drawing>
      </w: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A660E7">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ПРИЛОЖЕНИЕ Г.</w:t>
      </w: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spacing w:after="0" w:line="240" w:lineRule="auto"/>
        <w:rPr>
          <w:rFonts w:ascii="Times New Roman" w:eastAsia="Times New Roman" w:hAnsi="Times New Roman" w:cs="Times New Roman"/>
          <w:sz w:val="20"/>
          <w:szCs w:val="20"/>
        </w:rPr>
      </w:pPr>
    </w:p>
    <w:p w:rsidR="000A3797" w:rsidRDefault="00A660E7">
      <w:pPr>
        <w:spacing w:after="0" w:line="240" w:lineRule="auto"/>
        <w:rPr>
          <w:rFonts w:ascii="Times New Roman" w:eastAsia="Times New Roman" w:hAnsi="Times New Roman" w:cs="Times New Roman"/>
          <w:sz w:val="20"/>
          <w:szCs w:val="20"/>
        </w:rPr>
      </w:pPr>
      <w:r>
        <w:rPr>
          <w:noProof/>
        </w:rPr>
        <w:drawing>
          <wp:anchor distT="0" distB="0" distL="114300" distR="114300" simplePos="0" relativeHeight="251671552" behindDoc="0" locked="0" layoutInCell="1" hidden="0" allowOverlap="1">
            <wp:simplePos x="0" y="0"/>
            <wp:positionH relativeFrom="column">
              <wp:posOffset>-3809</wp:posOffset>
            </wp:positionH>
            <wp:positionV relativeFrom="paragraph">
              <wp:posOffset>1270</wp:posOffset>
            </wp:positionV>
            <wp:extent cx="5743575" cy="8410575"/>
            <wp:effectExtent l="0" t="0" r="0" b="0"/>
            <wp:wrapSquare wrapText="bothSides" distT="0" distB="0" distL="114300" distR="114300"/>
            <wp:docPr id="48" name="image38.png" descr="C:\Users\Мария\Downloads\21.png"/>
            <wp:cNvGraphicFramePr/>
            <a:graphic xmlns:a="http://schemas.openxmlformats.org/drawingml/2006/main">
              <a:graphicData uri="http://schemas.openxmlformats.org/drawingml/2006/picture">
                <pic:pic xmlns:pic="http://schemas.openxmlformats.org/drawingml/2006/picture">
                  <pic:nvPicPr>
                    <pic:cNvPr id="0" name="image38.png" descr="C:\Users\Мария\Downloads\21.png"/>
                    <pic:cNvPicPr preferRelativeResize="0"/>
                  </pic:nvPicPr>
                  <pic:blipFill>
                    <a:blip r:embed="rId60"/>
                    <a:srcRect/>
                    <a:stretch>
                      <a:fillRect/>
                    </a:stretch>
                  </pic:blipFill>
                  <pic:spPr>
                    <a:xfrm>
                      <a:off x="0" y="0"/>
                      <a:ext cx="5743575" cy="8410575"/>
                    </a:xfrm>
                    <a:prstGeom prst="rect">
                      <a:avLst/>
                    </a:prstGeom>
                    <a:ln/>
                  </pic:spPr>
                </pic:pic>
              </a:graphicData>
            </a:graphic>
          </wp:anchor>
        </w:drawing>
      </w:r>
    </w:p>
    <w:p w:rsidR="000A3797" w:rsidRDefault="000A3797">
      <w:pPr>
        <w:spacing w:after="0" w:line="240" w:lineRule="auto"/>
        <w:rPr>
          <w:rFonts w:ascii="Times New Roman" w:eastAsia="Times New Roman" w:hAnsi="Times New Roman" w:cs="Times New Roman"/>
          <w:sz w:val="20"/>
          <w:szCs w:val="20"/>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A660E7">
      <w:pPr>
        <w:tabs>
          <w:tab w:val="left" w:pos="8145"/>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448300" cy="8686800"/>
            <wp:effectExtent l="0" t="0" r="0" b="0"/>
            <wp:docPr id="24" name="image14.png" descr="C:\Users\Мария\Downloads\22.png"/>
            <wp:cNvGraphicFramePr/>
            <a:graphic xmlns:a="http://schemas.openxmlformats.org/drawingml/2006/main">
              <a:graphicData uri="http://schemas.openxmlformats.org/drawingml/2006/picture">
                <pic:pic xmlns:pic="http://schemas.openxmlformats.org/drawingml/2006/picture">
                  <pic:nvPicPr>
                    <pic:cNvPr id="0" name="image14.png" descr="C:\Users\Мария\Downloads\22.png"/>
                    <pic:cNvPicPr preferRelativeResize="0"/>
                  </pic:nvPicPr>
                  <pic:blipFill>
                    <a:blip r:embed="rId61"/>
                    <a:srcRect/>
                    <a:stretch>
                      <a:fillRect/>
                    </a:stretch>
                  </pic:blipFill>
                  <pic:spPr>
                    <a:xfrm>
                      <a:off x="0" y="0"/>
                      <a:ext cx="5448300" cy="8686800"/>
                    </a:xfrm>
                    <a:prstGeom prst="rect">
                      <a:avLst/>
                    </a:prstGeom>
                    <a:ln/>
                  </pic:spPr>
                </pic:pic>
              </a:graphicData>
            </a:graphic>
          </wp:inline>
        </w:drawing>
      </w: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A660E7">
      <w:pPr>
        <w:tabs>
          <w:tab w:val="left" w:pos="8145"/>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924550" cy="8667750"/>
            <wp:effectExtent l="0" t="0" r="0" b="0"/>
            <wp:docPr id="25" name="image15.png" descr="C:\Users\Мария\Downloads\23.png"/>
            <wp:cNvGraphicFramePr/>
            <a:graphic xmlns:a="http://schemas.openxmlformats.org/drawingml/2006/main">
              <a:graphicData uri="http://schemas.openxmlformats.org/drawingml/2006/picture">
                <pic:pic xmlns:pic="http://schemas.openxmlformats.org/drawingml/2006/picture">
                  <pic:nvPicPr>
                    <pic:cNvPr id="0" name="image15.png" descr="C:\Users\Мария\Downloads\23.png"/>
                    <pic:cNvPicPr preferRelativeResize="0"/>
                  </pic:nvPicPr>
                  <pic:blipFill>
                    <a:blip r:embed="rId62"/>
                    <a:srcRect/>
                    <a:stretch>
                      <a:fillRect/>
                    </a:stretch>
                  </pic:blipFill>
                  <pic:spPr>
                    <a:xfrm>
                      <a:off x="0" y="0"/>
                      <a:ext cx="5924550" cy="8667750"/>
                    </a:xfrm>
                    <a:prstGeom prst="rect">
                      <a:avLst/>
                    </a:prstGeom>
                    <a:ln/>
                  </pic:spPr>
                </pic:pic>
              </a:graphicData>
            </a:graphic>
          </wp:inline>
        </w:drawing>
      </w: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A660E7">
      <w:pPr>
        <w:tabs>
          <w:tab w:val="left" w:pos="8145"/>
        </w:tabs>
        <w:spacing w:after="0" w:line="240" w:lineRule="auto"/>
        <w:rPr>
          <w:rFonts w:ascii="Times New Roman" w:eastAsia="Times New Roman" w:hAnsi="Times New Roman" w:cs="Times New Roman"/>
          <w:sz w:val="28"/>
          <w:szCs w:val="28"/>
        </w:rPr>
      </w:pPr>
      <w:r>
        <w:rPr>
          <w:noProof/>
        </w:rPr>
        <w:drawing>
          <wp:anchor distT="0" distB="0" distL="114300" distR="114300" simplePos="0" relativeHeight="251672576" behindDoc="0" locked="0" layoutInCell="1" hidden="0" allowOverlap="1">
            <wp:simplePos x="0" y="0"/>
            <wp:positionH relativeFrom="column">
              <wp:posOffset>-3809</wp:posOffset>
            </wp:positionH>
            <wp:positionV relativeFrom="paragraph">
              <wp:posOffset>3810</wp:posOffset>
            </wp:positionV>
            <wp:extent cx="5905500" cy="2162175"/>
            <wp:effectExtent l="0" t="0" r="0" b="0"/>
            <wp:wrapSquare wrapText="bothSides" distT="0" distB="0" distL="114300" distR="114300"/>
            <wp:docPr id="53" name="image43.png" descr="C:\Users\Мария\Downloads\24.png"/>
            <wp:cNvGraphicFramePr/>
            <a:graphic xmlns:a="http://schemas.openxmlformats.org/drawingml/2006/main">
              <a:graphicData uri="http://schemas.openxmlformats.org/drawingml/2006/picture">
                <pic:pic xmlns:pic="http://schemas.openxmlformats.org/drawingml/2006/picture">
                  <pic:nvPicPr>
                    <pic:cNvPr id="0" name="image43.png" descr="C:\Users\Мария\Downloads\24.png"/>
                    <pic:cNvPicPr preferRelativeResize="0"/>
                  </pic:nvPicPr>
                  <pic:blipFill>
                    <a:blip r:embed="rId63"/>
                    <a:srcRect/>
                    <a:stretch>
                      <a:fillRect/>
                    </a:stretch>
                  </pic:blipFill>
                  <pic:spPr>
                    <a:xfrm>
                      <a:off x="0" y="0"/>
                      <a:ext cx="5905500" cy="2162175"/>
                    </a:xfrm>
                    <a:prstGeom prst="rect">
                      <a:avLst/>
                    </a:prstGeom>
                    <a:ln/>
                  </pic:spPr>
                </pic:pic>
              </a:graphicData>
            </a:graphic>
          </wp:anchor>
        </w:drawing>
      </w: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A660E7">
      <w:pPr>
        <w:tabs>
          <w:tab w:val="left" w:pos="8145"/>
        </w:tabs>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ПРИЛОЖЕНИЕ Д.</w:t>
      </w:r>
    </w:p>
    <w:p w:rsidR="000A3797" w:rsidRDefault="00A660E7">
      <w:pPr>
        <w:tabs>
          <w:tab w:val="left" w:pos="8145"/>
        </w:tabs>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ДНЕВНИК МОЧЕИСПУСКАНИЯ.</w:t>
      </w:r>
    </w:p>
    <w:p w:rsidR="000A3797" w:rsidRDefault="00A660E7">
      <w:pPr>
        <w:tabs>
          <w:tab w:val="left" w:pos="8145"/>
        </w:tabs>
        <w:spacing w:after="0" w:line="240" w:lineRule="auto"/>
        <w:rPr>
          <w:rFonts w:ascii="Times New Roman" w:eastAsia="Times New Roman" w:hAnsi="Times New Roman" w:cs="Times New Roman"/>
          <w:b/>
          <w:sz w:val="28"/>
          <w:szCs w:val="28"/>
        </w:rPr>
      </w:pPr>
      <w:r>
        <w:rPr>
          <w:noProof/>
        </w:rPr>
        <w:drawing>
          <wp:anchor distT="0" distB="0" distL="114300" distR="114300" simplePos="0" relativeHeight="251673600" behindDoc="0" locked="0" layoutInCell="1" hidden="0" allowOverlap="1">
            <wp:simplePos x="0" y="0"/>
            <wp:positionH relativeFrom="column">
              <wp:posOffset>469264</wp:posOffset>
            </wp:positionH>
            <wp:positionV relativeFrom="paragraph">
              <wp:posOffset>194945</wp:posOffset>
            </wp:positionV>
            <wp:extent cx="5181600" cy="3545205"/>
            <wp:effectExtent l="0" t="0" r="0" b="0"/>
            <wp:wrapSquare wrapText="bothSides" distT="0" distB="0" distL="114300" distR="114300"/>
            <wp:docPr id="37"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64"/>
                    <a:srcRect/>
                    <a:stretch>
                      <a:fillRect/>
                    </a:stretch>
                  </pic:blipFill>
                  <pic:spPr>
                    <a:xfrm>
                      <a:off x="0" y="0"/>
                      <a:ext cx="5181600" cy="3545205"/>
                    </a:xfrm>
                    <a:prstGeom prst="rect">
                      <a:avLst/>
                    </a:prstGeom>
                    <a:ln/>
                  </pic:spPr>
                </pic:pic>
              </a:graphicData>
            </a:graphic>
          </wp:anchor>
        </w:drawing>
      </w: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rPr>
          <w:rFonts w:ascii="Times New Roman" w:eastAsia="Times New Roman" w:hAnsi="Times New Roman" w:cs="Times New Roman"/>
          <w:b/>
          <w:sz w:val="28"/>
          <w:szCs w:val="28"/>
        </w:rPr>
      </w:pPr>
    </w:p>
    <w:p w:rsidR="000A3797" w:rsidRDefault="00A660E7">
      <w:pPr>
        <w:tabs>
          <w:tab w:val="left" w:pos="8145"/>
        </w:tabs>
        <w:spacing w:after="0" w:line="240" w:lineRule="auto"/>
        <w:rPr>
          <w:rFonts w:ascii="Times New Roman" w:eastAsia="Times New Roman" w:hAnsi="Times New Roman" w:cs="Times New Roman"/>
          <w:b/>
          <w:sz w:val="28"/>
          <w:szCs w:val="28"/>
        </w:rPr>
      </w:pPr>
      <w:r>
        <w:rPr>
          <w:noProof/>
        </w:rPr>
        <w:drawing>
          <wp:anchor distT="0" distB="0" distL="114300" distR="114300" simplePos="0" relativeHeight="251674624" behindDoc="0" locked="0" layoutInCell="1" hidden="0" allowOverlap="1">
            <wp:simplePos x="0" y="0"/>
            <wp:positionH relativeFrom="column">
              <wp:posOffset>529590</wp:posOffset>
            </wp:positionH>
            <wp:positionV relativeFrom="paragraph">
              <wp:posOffset>-3174</wp:posOffset>
            </wp:positionV>
            <wp:extent cx="5066466" cy="3445510"/>
            <wp:effectExtent l="0" t="0" r="0" b="0"/>
            <wp:wrapSquare wrapText="bothSides" distT="0" distB="0" distL="114300" distR="114300"/>
            <wp:docPr id="47"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65"/>
                    <a:srcRect/>
                    <a:stretch>
                      <a:fillRect/>
                    </a:stretch>
                  </pic:blipFill>
                  <pic:spPr>
                    <a:xfrm>
                      <a:off x="0" y="0"/>
                      <a:ext cx="5066466" cy="3445510"/>
                    </a:xfrm>
                    <a:prstGeom prst="rect">
                      <a:avLst/>
                    </a:prstGeom>
                    <a:ln/>
                  </pic:spPr>
                </pic:pic>
              </a:graphicData>
            </a:graphic>
          </wp:anchor>
        </w:drawing>
      </w: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A660E7">
      <w:pPr>
        <w:tabs>
          <w:tab w:val="left" w:pos="8145"/>
        </w:tabs>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ПРИЛОЖЕНИЕ Е.</w:t>
      </w:r>
    </w:p>
    <w:p w:rsidR="000A3797" w:rsidRDefault="00A660E7">
      <w:pPr>
        <w:tabs>
          <w:tab w:val="left" w:pos="8145"/>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Руководство по генитальному пролапсу для женщин. Электронная версия доступна по QR-коду: </w:t>
      </w: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A660E7">
      <w:pPr>
        <w:tabs>
          <w:tab w:val="left" w:pos="8145"/>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2038350" cy="2038350"/>
            <wp:effectExtent l="0" t="0" r="0" b="0"/>
            <wp:docPr id="12" name="image1.png" descr="Руководство RU"/>
            <wp:cNvGraphicFramePr/>
            <a:graphic xmlns:a="http://schemas.openxmlformats.org/drawingml/2006/main">
              <a:graphicData uri="http://schemas.openxmlformats.org/drawingml/2006/picture">
                <pic:pic xmlns:pic="http://schemas.openxmlformats.org/drawingml/2006/picture">
                  <pic:nvPicPr>
                    <pic:cNvPr id="0" name="image1.png" descr="Руководство RU"/>
                    <pic:cNvPicPr preferRelativeResize="0"/>
                  </pic:nvPicPr>
                  <pic:blipFill>
                    <a:blip r:embed="rId66"/>
                    <a:srcRect/>
                    <a:stretch>
                      <a:fillRect/>
                    </a:stretch>
                  </pic:blipFill>
                  <pic:spPr>
                    <a:xfrm>
                      <a:off x="0" y="0"/>
                      <a:ext cx="2038350" cy="2038350"/>
                    </a:xfrm>
                    <a:prstGeom prst="rect">
                      <a:avLst/>
                    </a:prstGeom>
                    <a:ln/>
                  </pic:spPr>
                </pic:pic>
              </a:graphicData>
            </a:graphic>
          </wp:inline>
        </w:drawing>
      </w: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A660E7">
      <w:pPr>
        <w:tabs>
          <w:tab w:val="left" w:pos="8145"/>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Әйелдерге арналған жыныстық пролапс бойынша нұсқаулық. </w:t>
      </w: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A660E7">
      <w:pPr>
        <w:tabs>
          <w:tab w:val="left" w:pos="8145"/>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1971675" cy="1971675"/>
            <wp:effectExtent l="0" t="0" r="0" b="0"/>
            <wp:docPr id="13" name="image2.png" descr="Руководство KZ"/>
            <wp:cNvGraphicFramePr/>
            <a:graphic xmlns:a="http://schemas.openxmlformats.org/drawingml/2006/main">
              <a:graphicData uri="http://schemas.openxmlformats.org/drawingml/2006/picture">
                <pic:pic xmlns:pic="http://schemas.openxmlformats.org/drawingml/2006/picture">
                  <pic:nvPicPr>
                    <pic:cNvPr id="0" name="image2.png" descr="Руководство KZ"/>
                    <pic:cNvPicPr preferRelativeResize="0"/>
                  </pic:nvPicPr>
                  <pic:blipFill>
                    <a:blip r:embed="rId67"/>
                    <a:srcRect/>
                    <a:stretch>
                      <a:fillRect/>
                    </a:stretch>
                  </pic:blipFill>
                  <pic:spPr>
                    <a:xfrm>
                      <a:off x="0" y="0"/>
                      <a:ext cx="1971675" cy="1971675"/>
                    </a:xfrm>
                    <a:prstGeom prst="rect">
                      <a:avLst/>
                    </a:prstGeom>
                    <a:ln/>
                  </pic:spPr>
                </pic:pic>
              </a:graphicData>
            </a:graphic>
          </wp:inline>
        </w:drawing>
      </w: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A660E7">
      <w:pPr>
        <w:tabs>
          <w:tab w:val="left" w:pos="8145"/>
        </w:tabs>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inline distT="0" distB="0" distL="0" distR="0">
            <wp:extent cx="5581650" cy="7610475"/>
            <wp:effectExtent l="0" t="0" r="0" b="0"/>
            <wp:docPr id="1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8"/>
                    <a:srcRect/>
                    <a:stretch>
                      <a:fillRect/>
                    </a:stretch>
                  </pic:blipFill>
                  <pic:spPr>
                    <a:xfrm>
                      <a:off x="0" y="0"/>
                      <a:ext cx="5581650" cy="7610475"/>
                    </a:xfrm>
                    <a:prstGeom prst="rect">
                      <a:avLst/>
                    </a:prstGeom>
                    <a:ln/>
                  </pic:spPr>
                </pic:pic>
              </a:graphicData>
            </a:graphic>
          </wp:inline>
        </w:drawing>
      </w: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0A3797">
      <w:pPr>
        <w:tabs>
          <w:tab w:val="left" w:pos="8145"/>
        </w:tabs>
        <w:spacing w:after="0" w:line="240" w:lineRule="auto"/>
        <w:jc w:val="center"/>
        <w:rPr>
          <w:rFonts w:ascii="Times New Roman" w:eastAsia="Times New Roman" w:hAnsi="Times New Roman" w:cs="Times New Roman"/>
          <w:b/>
          <w:sz w:val="28"/>
          <w:szCs w:val="28"/>
        </w:rPr>
      </w:pPr>
    </w:p>
    <w:p w:rsidR="000A3797" w:rsidRDefault="00A660E7">
      <w:pPr>
        <w:tabs>
          <w:tab w:val="left" w:pos="8145"/>
        </w:tabs>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ПРИЛОЖЕНИЕ Ж.</w:t>
      </w: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A660E7">
      <w:pPr>
        <w:tabs>
          <w:tab w:val="left" w:pos="8145"/>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Алгоритм послеоперационного наблюдения женщин с генитальным пролапсом (межсекторальный подход).</w:t>
      </w:r>
    </w:p>
    <w:p w:rsidR="000A3797" w:rsidRDefault="00A660E7">
      <w:pPr>
        <w:tabs>
          <w:tab w:val="left" w:pos="8145"/>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Электронная версия доступна по QR-коду:</w:t>
      </w:r>
    </w:p>
    <w:p w:rsidR="000A3797" w:rsidRDefault="000A3797">
      <w:pPr>
        <w:tabs>
          <w:tab w:val="left" w:pos="8145"/>
        </w:tabs>
        <w:spacing w:after="0" w:line="240" w:lineRule="auto"/>
        <w:jc w:val="center"/>
        <w:rPr>
          <w:rFonts w:ascii="Times New Roman" w:eastAsia="Times New Roman" w:hAnsi="Times New Roman" w:cs="Times New Roman"/>
          <w:sz w:val="28"/>
          <w:szCs w:val="28"/>
        </w:rPr>
      </w:pPr>
    </w:p>
    <w:p w:rsidR="000A3797" w:rsidRDefault="000A3797">
      <w:pPr>
        <w:tabs>
          <w:tab w:val="left" w:pos="8145"/>
        </w:tabs>
        <w:spacing w:after="0" w:line="240" w:lineRule="auto"/>
        <w:jc w:val="center"/>
        <w:rPr>
          <w:rFonts w:ascii="Times New Roman" w:eastAsia="Times New Roman" w:hAnsi="Times New Roman" w:cs="Times New Roman"/>
          <w:sz w:val="28"/>
          <w:szCs w:val="28"/>
        </w:rPr>
      </w:pPr>
    </w:p>
    <w:p w:rsidR="000A3797" w:rsidRDefault="00A660E7">
      <w:pPr>
        <w:tabs>
          <w:tab w:val="left" w:pos="8145"/>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1790700" cy="1790700"/>
            <wp:effectExtent l="0" t="0" r="0" b="0"/>
            <wp:docPr id="15" name="image5.png" descr="Медработникам RU"/>
            <wp:cNvGraphicFramePr/>
            <a:graphic xmlns:a="http://schemas.openxmlformats.org/drawingml/2006/main">
              <a:graphicData uri="http://schemas.openxmlformats.org/drawingml/2006/picture">
                <pic:pic xmlns:pic="http://schemas.openxmlformats.org/drawingml/2006/picture">
                  <pic:nvPicPr>
                    <pic:cNvPr id="0" name="image5.png" descr="Медработникам RU"/>
                    <pic:cNvPicPr preferRelativeResize="0"/>
                  </pic:nvPicPr>
                  <pic:blipFill>
                    <a:blip r:embed="rId69"/>
                    <a:srcRect/>
                    <a:stretch>
                      <a:fillRect/>
                    </a:stretch>
                  </pic:blipFill>
                  <pic:spPr>
                    <a:xfrm>
                      <a:off x="0" y="0"/>
                      <a:ext cx="1790700" cy="1790700"/>
                    </a:xfrm>
                    <a:prstGeom prst="rect">
                      <a:avLst/>
                    </a:prstGeom>
                    <a:ln/>
                  </pic:spPr>
                </pic:pic>
              </a:graphicData>
            </a:graphic>
          </wp:inline>
        </w:drawing>
      </w:r>
    </w:p>
    <w:p w:rsidR="000A3797" w:rsidRDefault="000A3797">
      <w:pPr>
        <w:tabs>
          <w:tab w:val="left" w:pos="8145"/>
        </w:tabs>
        <w:spacing w:after="0" w:line="240" w:lineRule="auto"/>
        <w:jc w:val="center"/>
        <w:rPr>
          <w:rFonts w:ascii="Times New Roman" w:eastAsia="Times New Roman" w:hAnsi="Times New Roman" w:cs="Times New Roman"/>
          <w:sz w:val="28"/>
          <w:szCs w:val="28"/>
        </w:rPr>
      </w:pPr>
    </w:p>
    <w:p w:rsidR="000A3797" w:rsidRDefault="000A3797">
      <w:pPr>
        <w:tabs>
          <w:tab w:val="left" w:pos="8145"/>
        </w:tabs>
        <w:spacing w:after="0" w:line="240" w:lineRule="auto"/>
        <w:jc w:val="center"/>
        <w:rPr>
          <w:rFonts w:ascii="Times New Roman" w:eastAsia="Times New Roman" w:hAnsi="Times New Roman" w:cs="Times New Roman"/>
          <w:sz w:val="28"/>
          <w:szCs w:val="28"/>
        </w:rPr>
      </w:pPr>
    </w:p>
    <w:p w:rsidR="000A3797" w:rsidRDefault="00A660E7">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Жыныс пролапсы бар әйелдерді операциядан кейінгі бақылау алгоритмі </w:t>
      </w:r>
      <w:r>
        <w:rPr>
          <w:rFonts w:ascii="Times New Roman" w:eastAsia="Times New Roman" w:hAnsi="Times New Roman" w:cs="Times New Roman"/>
          <w:b/>
          <w:sz w:val="28"/>
          <w:szCs w:val="28"/>
        </w:rPr>
        <w:t>(сектораралық тәсіл):</w:t>
      </w:r>
    </w:p>
    <w:p w:rsidR="000A3797" w:rsidRDefault="000A3797">
      <w:pPr>
        <w:tabs>
          <w:tab w:val="left" w:pos="8145"/>
        </w:tabs>
        <w:spacing w:after="0" w:line="240" w:lineRule="auto"/>
        <w:jc w:val="center"/>
        <w:rPr>
          <w:rFonts w:ascii="Times New Roman" w:eastAsia="Times New Roman" w:hAnsi="Times New Roman" w:cs="Times New Roman"/>
          <w:sz w:val="28"/>
          <w:szCs w:val="28"/>
        </w:rPr>
      </w:pPr>
    </w:p>
    <w:p w:rsidR="000A3797" w:rsidRDefault="000A3797">
      <w:pPr>
        <w:tabs>
          <w:tab w:val="left" w:pos="8145"/>
        </w:tabs>
        <w:spacing w:after="0" w:line="240" w:lineRule="auto"/>
        <w:jc w:val="center"/>
        <w:rPr>
          <w:rFonts w:ascii="Times New Roman" w:eastAsia="Times New Roman" w:hAnsi="Times New Roman" w:cs="Times New Roman"/>
          <w:sz w:val="28"/>
          <w:szCs w:val="28"/>
        </w:rPr>
      </w:pPr>
    </w:p>
    <w:p w:rsidR="000A3797" w:rsidRDefault="000A3797">
      <w:pPr>
        <w:tabs>
          <w:tab w:val="left" w:pos="8145"/>
        </w:tabs>
        <w:spacing w:after="0" w:line="240" w:lineRule="auto"/>
        <w:jc w:val="center"/>
        <w:rPr>
          <w:rFonts w:ascii="Times New Roman" w:eastAsia="Times New Roman" w:hAnsi="Times New Roman" w:cs="Times New Roman"/>
          <w:sz w:val="28"/>
          <w:szCs w:val="28"/>
        </w:rPr>
      </w:pPr>
    </w:p>
    <w:p w:rsidR="000A3797" w:rsidRDefault="00A660E7">
      <w:pPr>
        <w:tabs>
          <w:tab w:val="left" w:pos="8145"/>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1838325" cy="1838325"/>
            <wp:effectExtent l="0" t="0" r="0" b="0"/>
            <wp:docPr id="16" name="image6.png" descr="Медработникам KZ"/>
            <wp:cNvGraphicFramePr/>
            <a:graphic xmlns:a="http://schemas.openxmlformats.org/drawingml/2006/main">
              <a:graphicData uri="http://schemas.openxmlformats.org/drawingml/2006/picture">
                <pic:pic xmlns:pic="http://schemas.openxmlformats.org/drawingml/2006/picture">
                  <pic:nvPicPr>
                    <pic:cNvPr id="0" name="image6.png" descr="Медработникам KZ"/>
                    <pic:cNvPicPr preferRelativeResize="0"/>
                  </pic:nvPicPr>
                  <pic:blipFill>
                    <a:blip r:embed="rId70"/>
                    <a:srcRect/>
                    <a:stretch>
                      <a:fillRect/>
                    </a:stretch>
                  </pic:blipFill>
                  <pic:spPr>
                    <a:xfrm>
                      <a:off x="0" y="0"/>
                      <a:ext cx="1838325" cy="1838325"/>
                    </a:xfrm>
                    <a:prstGeom prst="rect">
                      <a:avLst/>
                    </a:prstGeom>
                    <a:ln/>
                  </pic:spPr>
                </pic:pic>
              </a:graphicData>
            </a:graphic>
          </wp:inline>
        </w:drawing>
      </w:r>
    </w:p>
    <w:p w:rsidR="000A3797" w:rsidRDefault="00A660E7">
      <w:pPr>
        <w:tabs>
          <w:tab w:val="left" w:pos="8145"/>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076825" cy="7153275"/>
            <wp:effectExtent l="0" t="0" r="0" b="0"/>
            <wp:docPr id="17" name="image7.png" descr="Алгоритм"/>
            <wp:cNvGraphicFramePr/>
            <a:graphic xmlns:a="http://schemas.openxmlformats.org/drawingml/2006/main">
              <a:graphicData uri="http://schemas.openxmlformats.org/drawingml/2006/picture">
                <pic:pic xmlns:pic="http://schemas.openxmlformats.org/drawingml/2006/picture">
                  <pic:nvPicPr>
                    <pic:cNvPr id="0" name="image7.png" descr="Алгоритм"/>
                    <pic:cNvPicPr preferRelativeResize="0"/>
                  </pic:nvPicPr>
                  <pic:blipFill>
                    <a:blip r:embed="rId71"/>
                    <a:srcRect/>
                    <a:stretch>
                      <a:fillRect/>
                    </a:stretch>
                  </pic:blipFill>
                  <pic:spPr>
                    <a:xfrm>
                      <a:off x="0" y="0"/>
                      <a:ext cx="5076825" cy="7153275"/>
                    </a:xfrm>
                    <a:prstGeom prst="rect">
                      <a:avLst/>
                    </a:prstGeom>
                    <a:ln/>
                  </pic:spPr>
                </pic:pic>
              </a:graphicData>
            </a:graphic>
          </wp:inline>
        </w:drawing>
      </w: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tabs>
          <w:tab w:val="left" w:pos="8145"/>
        </w:tabs>
        <w:spacing w:after="0" w:line="240" w:lineRule="auto"/>
        <w:rPr>
          <w:rFonts w:ascii="Times New Roman" w:eastAsia="Times New Roman" w:hAnsi="Times New Roman" w:cs="Times New Roman"/>
          <w:sz w:val="28"/>
          <w:szCs w:val="28"/>
        </w:rPr>
      </w:pPr>
    </w:p>
    <w:p w:rsidR="000A3797" w:rsidRDefault="000A3797">
      <w:pPr>
        <w:spacing w:after="0" w:line="240" w:lineRule="auto"/>
        <w:rPr>
          <w:rFonts w:ascii="Times New Roman" w:eastAsia="Times New Roman" w:hAnsi="Times New Roman" w:cs="Times New Roman"/>
          <w:sz w:val="28"/>
          <w:szCs w:val="28"/>
        </w:rPr>
      </w:pPr>
    </w:p>
    <w:p w:rsidR="000A3797" w:rsidRDefault="000A3797">
      <w:pPr>
        <w:tabs>
          <w:tab w:val="left" w:pos="1134"/>
        </w:tabs>
        <w:spacing w:after="0" w:line="240" w:lineRule="auto"/>
        <w:rPr>
          <w:rFonts w:ascii="Times New Roman" w:eastAsia="Times New Roman" w:hAnsi="Times New Roman" w:cs="Times New Roman"/>
          <w:sz w:val="28"/>
          <w:szCs w:val="28"/>
        </w:rPr>
      </w:pPr>
    </w:p>
    <w:p w:rsidR="000A3797" w:rsidRDefault="00A660E7">
      <w:pPr>
        <w:tabs>
          <w:tab w:val="left" w:pos="8145"/>
        </w:tabs>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ПРИЛОЖЕНИЕ И.</w:t>
      </w:r>
    </w:p>
    <w:p w:rsidR="000A3797" w:rsidRDefault="000A3797">
      <w:pPr>
        <w:pBdr>
          <w:top w:val="nil"/>
          <w:left w:val="nil"/>
          <w:bottom w:val="nil"/>
          <w:right w:val="nil"/>
          <w:between w:val="nil"/>
        </w:pBdr>
        <w:tabs>
          <w:tab w:val="left" w:pos="1134"/>
        </w:tabs>
        <w:spacing w:after="0" w:line="240" w:lineRule="auto"/>
        <w:ind w:left="720"/>
        <w:rPr>
          <w:rFonts w:ascii="Times New Roman" w:eastAsia="Times New Roman" w:hAnsi="Times New Roman" w:cs="Times New Roman"/>
          <w:color w:val="000000"/>
          <w:sz w:val="28"/>
          <w:szCs w:val="28"/>
        </w:rPr>
      </w:pPr>
    </w:p>
    <w:p w:rsidR="000A3797" w:rsidRDefault="00A660E7">
      <w:pPr>
        <w:pBdr>
          <w:top w:val="nil"/>
          <w:left w:val="nil"/>
          <w:bottom w:val="nil"/>
          <w:right w:val="nil"/>
          <w:between w:val="nil"/>
        </w:pBdr>
        <w:tabs>
          <w:tab w:val="left" w:pos="1134"/>
        </w:tabs>
        <w:spacing w:after="0" w:line="240" w:lineRule="auto"/>
        <w:ind w:left="72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Междисциплинарный подход профилактики рецидивов генитального пролапса в организациях, оказывающих ПМСП (образовательная программа для врачей)</w:t>
      </w:r>
    </w:p>
    <w:p w:rsidR="000A3797" w:rsidRDefault="000A3797">
      <w:pPr>
        <w:tabs>
          <w:tab w:val="left" w:pos="1134"/>
        </w:tabs>
        <w:spacing w:after="0" w:line="240" w:lineRule="auto"/>
        <w:rPr>
          <w:rFonts w:ascii="Times New Roman" w:eastAsia="Times New Roman" w:hAnsi="Times New Roman" w:cs="Times New Roman"/>
          <w:sz w:val="28"/>
          <w:szCs w:val="28"/>
        </w:rPr>
      </w:pPr>
    </w:p>
    <w:p w:rsidR="000A3797" w:rsidRDefault="000A3797">
      <w:pPr>
        <w:pBdr>
          <w:top w:val="nil"/>
          <w:left w:val="nil"/>
          <w:bottom w:val="nil"/>
          <w:right w:val="nil"/>
          <w:between w:val="nil"/>
        </w:pBdr>
        <w:tabs>
          <w:tab w:val="left" w:pos="1134"/>
        </w:tabs>
        <w:spacing w:after="0" w:line="240" w:lineRule="auto"/>
        <w:ind w:left="720"/>
        <w:rPr>
          <w:rFonts w:ascii="Times New Roman" w:eastAsia="Times New Roman" w:hAnsi="Times New Roman" w:cs="Times New Roman"/>
          <w:color w:val="000000"/>
          <w:sz w:val="28"/>
          <w:szCs w:val="28"/>
        </w:rPr>
      </w:pPr>
    </w:p>
    <w:p w:rsidR="000A3797" w:rsidRDefault="000A3797">
      <w:pPr>
        <w:pBdr>
          <w:top w:val="nil"/>
          <w:left w:val="nil"/>
          <w:bottom w:val="nil"/>
          <w:right w:val="nil"/>
          <w:between w:val="nil"/>
        </w:pBdr>
        <w:tabs>
          <w:tab w:val="left" w:pos="1134"/>
        </w:tabs>
        <w:spacing w:after="0" w:line="240" w:lineRule="auto"/>
        <w:ind w:left="720"/>
        <w:rPr>
          <w:rFonts w:ascii="Times New Roman" w:eastAsia="Times New Roman" w:hAnsi="Times New Roman" w:cs="Times New Roman"/>
          <w:color w:val="000000"/>
          <w:sz w:val="28"/>
          <w:szCs w:val="28"/>
        </w:rPr>
      </w:pPr>
    </w:p>
    <w:p w:rsidR="000A3797" w:rsidRDefault="000A3797">
      <w:pPr>
        <w:pBdr>
          <w:top w:val="nil"/>
          <w:left w:val="nil"/>
          <w:bottom w:val="nil"/>
          <w:right w:val="nil"/>
          <w:between w:val="nil"/>
        </w:pBdr>
        <w:tabs>
          <w:tab w:val="left" w:pos="1134"/>
        </w:tabs>
        <w:spacing w:after="0" w:line="240" w:lineRule="auto"/>
        <w:ind w:left="720"/>
        <w:rPr>
          <w:rFonts w:ascii="Times New Roman" w:eastAsia="Times New Roman" w:hAnsi="Times New Roman" w:cs="Times New Roman"/>
          <w:color w:val="000000"/>
          <w:sz w:val="28"/>
          <w:szCs w:val="28"/>
        </w:rPr>
      </w:pPr>
    </w:p>
    <w:p w:rsidR="000A3797" w:rsidRDefault="000A3797">
      <w:pPr>
        <w:pBdr>
          <w:top w:val="nil"/>
          <w:left w:val="nil"/>
          <w:bottom w:val="nil"/>
          <w:right w:val="nil"/>
          <w:between w:val="nil"/>
        </w:pBdr>
        <w:tabs>
          <w:tab w:val="left" w:pos="1134"/>
        </w:tabs>
        <w:spacing w:after="0" w:line="240" w:lineRule="auto"/>
        <w:ind w:left="720"/>
        <w:rPr>
          <w:rFonts w:ascii="Times New Roman" w:eastAsia="Times New Roman" w:hAnsi="Times New Roman" w:cs="Times New Roman"/>
          <w:color w:val="000000"/>
          <w:sz w:val="28"/>
          <w:szCs w:val="28"/>
        </w:rPr>
      </w:pPr>
    </w:p>
    <w:p w:rsidR="000A3797" w:rsidRDefault="000A3797">
      <w:pPr>
        <w:pBdr>
          <w:top w:val="nil"/>
          <w:left w:val="nil"/>
          <w:bottom w:val="nil"/>
          <w:right w:val="nil"/>
          <w:between w:val="nil"/>
        </w:pBdr>
        <w:tabs>
          <w:tab w:val="left" w:pos="1134"/>
        </w:tabs>
        <w:spacing w:after="0" w:line="240" w:lineRule="auto"/>
        <w:ind w:left="720"/>
        <w:rPr>
          <w:rFonts w:ascii="Times New Roman" w:eastAsia="Times New Roman" w:hAnsi="Times New Roman" w:cs="Times New Roman"/>
          <w:color w:val="000000"/>
          <w:sz w:val="28"/>
          <w:szCs w:val="28"/>
        </w:rPr>
      </w:pPr>
    </w:p>
    <w:p w:rsidR="000A3797" w:rsidRDefault="00A660E7">
      <w:pPr>
        <w:pBdr>
          <w:top w:val="nil"/>
          <w:left w:val="nil"/>
          <w:bottom w:val="nil"/>
          <w:right w:val="nil"/>
          <w:between w:val="nil"/>
        </w:pBdr>
        <w:tabs>
          <w:tab w:val="left" w:pos="1134"/>
        </w:tabs>
        <w:spacing w:after="0" w:line="240" w:lineRule="auto"/>
        <w:ind w:left="720"/>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2390775" cy="3457575"/>
            <wp:effectExtent l="0" t="0" r="0" b="0"/>
            <wp:docPr id="1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2"/>
                    <a:srcRect/>
                    <a:stretch>
                      <a:fillRect/>
                    </a:stretch>
                  </pic:blipFill>
                  <pic:spPr>
                    <a:xfrm>
                      <a:off x="0" y="0"/>
                      <a:ext cx="2390775" cy="3457575"/>
                    </a:xfrm>
                    <a:prstGeom prst="rect">
                      <a:avLst/>
                    </a:prstGeom>
                    <a:ln/>
                  </pic:spPr>
                </pic:pic>
              </a:graphicData>
            </a:graphic>
          </wp:inline>
        </w:drawing>
      </w:r>
      <w:r>
        <w:rPr>
          <w:rFonts w:ascii="Times New Roman" w:eastAsia="Times New Roman" w:hAnsi="Times New Roman" w:cs="Times New Roman"/>
          <w:noProof/>
          <w:color w:val="000000"/>
          <w:sz w:val="28"/>
          <w:szCs w:val="28"/>
        </w:rPr>
        <w:drawing>
          <wp:inline distT="0" distB="0" distL="0" distR="0">
            <wp:extent cx="2390775" cy="3457575"/>
            <wp:effectExtent l="0" t="0" r="0" b="0"/>
            <wp:docPr id="36"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73"/>
                    <a:srcRect/>
                    <a:stretch>
                      <a:fillRect/>
                    </a:stretch>
                  </pic:blipFill>
                  <pic:spPr>
                    <a:xfrm>
                      <a:off x="0" y="0"/>
                      <a:ext cx="2390775" cy="3457575"/>
                    </a:xfrm>
                    <a:prstGeom prst="rect">
                      <a:avLst/>
                    </a:prstGeom>
                    <a:ln/>
                  </pic:spPr>
                </pic:pic>
              </a:graphicData>
            </a:graphic>
          </wp:inline>
        </w:drawing>
      </w:r>
    </w:p>
    <w:p w:rsidR="000A3797" w:rsidRDefault="000A3797">
      <w:pPr>
        <w:pBdr>
          <w:top w:val="nil"/>
          <w:left w:val="nil"/>
          <w:bottom w:val="nil"/>
          <w:right w:val="nil"/>
          <w:between w:val="nil"/>
        </w:pBdr>
        <w:tabs>
          <w:tab w:val="left" w:pos="1134"/>
        </w:tabs>
        <w:spacing w:after="0" w:line="240" w:lineRule="auto"/>
        <w:ind w:left="720"/>
        <w:rPr>
          <w:rFonts w:ascii="Times New Roman" w:eastAsia="Times New Roman" w:hAnsi="Times New Roman" w:cs="Times New Roman"/>
          <w:color w:val="000000"/>
          <w:sz w:val="28"/>
          <w:szCs w:val="28"/>
        </w:rPr>
      </w:pPr>
    </w:p>
    <w:p w:rsidR="000A3797" w:rsidRDefault="00A660E7">
      <w:pPr>
        <w:pBdr>
          <w:top w:val="nil"/>
          <w:left w:val="nil"/>
          <w:bottom w:val="nil"/>
          <w:right w:val="nil"/>
          <w:between w:val="nil"/>
        </w:pBdr>
        <w:tabs>
          <w:tab w:val="left" w:pos="1134"/>
        </w:tabs>
        <w:spacing w:after="0" w:line="240" w:lineRule="auto"/>
        <w:ind w:left="720"/>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5133975" cy="6886575"/>
            <wp:effectExtent l="0" t="0" r="0" b="0"/>
            <wp:docPr id="38"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74"/>
                    <a:srcRect/>
                    <a:stretch>
                      <a:fillRect/>
                    </a:stretch>
                  </pic:blipFill>
                  <pic:spPr>
                    <a:xfrm>
                      <a:off x="0" y="0"/>
                      <a:ext cx="5133975" cy="6886575"/>
                    </a:xfrm>
                    <a:prstGeom prst="rect">
                      <a:avLst/>
                    </a:prstGeom>
                    <a:ln/>
                  </pic:spPr>
                </pic:pic>
              </a:graphicData>
            </a:graphic>
          </wp:inline>
        </w:drawing>
      </w:r>
    </w:p>
    <w:p w:rsidR="000A3797" w:rsidRDefault="000A3797">
      <w:pPr>
        <w:pBdr>
          <w:top w:val="nil"/>
          <w:left w:val="nil"/>
          <w:bottom w:val="nil"/>
          <w:right w:val="nil"/>
          <w:between w:val="nil"/>
        </w:pBdr>
        <w:tabs>
          <w:tab w:val="left" w:pos="1134"/>
        </w:tabs>
        <w:spacing w:after="0" w:line="240" w:lineRule="auto"/>
        <w:ind w:left="720"/>
        <w:rPr>
          <w:rFonts w:ascii="Times New Roman" w:eastAsia="Times New Roman" w:hAnsi="Times New Roman" w:cs="Times New Roman"/>
          <w:color w:val="000000"/>
          <w:sz w:val="28"/>
          <w:szCs w:val="28"/>
        </w:rPr>
      </w:pPr>
    </w:p>
    <w:p w:rsidR="000A3797" w:rsidRDefault="000A3797">
      <w:pPr>
        <w:pBdr>
          <w:top w:val="nil"/>
          <w:left w:val="nil"/>
          <w:bottom w:val="nil"/>
          <w:right w:val="nil"/>
          <w:between w:val="nil"/>
        </w:pBdr>
        <w:tabs>
          <w:tab w:val="left" w:pos="1134"/>
        </w:tabs>
        <w:spacing w:after="0" w:line="240" w:lineRule="auto"/>
        <w:ind w:left="720"/>
        <w:rPr>
          <w:rFonts w:ascii="Times New Roman" w:eastAsia="Times New Roman" w:hAnsi="Times New Roman" w:cs="Times New Roman"/>
          <w:color w:val="000000"/>
          <w:sz w:val="28"/>
          <w:szCs w:val="28"/>
        </w:rPr>
      </w:pPr>
    </w:p>
    <w:p w:rsidR="000A3797" w:rsidRDefault="000A3797">
      <w:pPr>
        <w:pBdr>
          <w:top w:val="nil"/>
          <w:left w:val="nil"/>
          <w:bottom w:val="nil"/>
          <w:right w:val="nil"/>
          <w:between w:val="nil"/>
        </w:pBdr>
        <w:tabs>
          <w:tab w:val="left" w:pos="1134"/>
        </w:tabs>
        <w:spacing w:after="0" w:line="240" w:lineRule="auto"/>
        <w:ind w:left="720"/>
        <w:rPr>
          <w:rFonts w:ascii="Times New Roman" w:eastAsia="Times New Roman" w:hAnsi="Times New Roman" w:cs="Times New Roman"/>
          <w:color w:val="000000"/>
          <w:sz w:val="28"/>
          <w:szCs w:val="28"/>
        </w:rPr>
      </w:pPr>
    </w:p>
    <w:p w:rsidR="000A3797" w:rsidRDefault="000A3797">
      <w:pPr>
        <w:pBdr>
          <w:top w:val="nil"/>
          <w:left w:val="nil"/>
          <w:bottom w:val="nil"/>
          <w:right w:val="nil"/>
          <w:between w:val="nil"/>
        </w:pBdr>
        <w:tabs>
          <w:tab w:val="left" w:pos="1134"/>
        </w:tabs>
        <w:spacing w:after="0" w:line="240" w:lineRule="auto"/>
        <w:ind w:left="720"/>
        <w:rPr>
          <w:rFonts w:ascii="Times New Roman" w:eastAsia="Times New Roman" w:hAnsi="Times New Roman" w:cs="Times New Roman"/>
          <w:color w:val="000000"/>
          <w:sz w:val="28"/>
          <w:szCs w:val="28"/>
        </w:rPr>
      </w:pPr>
    </w:p>
    <w:p w:rsidR="000A3797" w:rsidRDefault="000A3797">
      <w:pPr>
        <w:pBdr>
          <w:top w:val="nil"/>
          <w:left w:val="nil"/>
          <w:bottom w:val="nil"/>
          <w:right w:val="nil"/>
          <w:between w:val="nil"/>
        </w:pBdr>
        <w:tabs>
          <w:tab w:val="left" w:pos="1134"/>
        </w:tabs>
        <w:spacing w:after="0" w:line="240" w:lineRule="auto"/>
        <w:ind w:left="720"/>
        <w:rPr>
          <w:rFonts w:ascii="Times New Roman" w:eastAsia="Times New Roman" w:hAnsi="Times New Roman" w:cs="Times New Roman"/>
          <w:color w:val="000000"/>
          <w:sz w:val="28"/>
          <w:szCs w:val="28"/>
        </w:rPr>
      </w:pPr>
    </w:p>
    <w:p w:rsidR="000A3797" w:rsidRDefault="000A3797">
      <w:pPr>
        <w:pBdr>
          <w:top w:val="nil"/>
          <w:left w:val="nil"/>
          <w:bottom w:val="nil"/>
          <w:right w:val="nil"/>
          <w:between w:val="nil"/>
        </w:pBdr>
        <w:tabs>
          <w:tab w:val="left" w:pos="1134"/>
        </w:tabs>
        <w:spacing w:after="0" w:line="240" w:lineRule="auto"/>
        <w:ind w:left="720"/>
        <w:rPr>
          <w:rFonts w:ascii="Times New Roman" w:eastAsia="Times New Roman" w:hAnsi="Times New Roman" w:cs="Times New Roman"/>
          <w:color w:val="000000"/>
          <w:sz w:val="28"/>
          <w:szCs w:val="28"/>
        </w:rPr>
      </w:pPr>
    </w:p>
    <w:p w:rsidR="000A3797" w:rsidRDefault="000A3797">
      <w:pPr>
        <w:pBdr>
          <w:top w:val="nil"/>
          <w:left w:val="nil"/>
          <w:bottom w:val="nil"/>
          <w:right w:val="nil"/>
          <w:between w:val="nil"/>
        </w:pBdr>
        <w:tabs>
          <w:tab w:val="left" w:pos="1134"/>
        </w:tabs>
        <w:spacing w:after="0" w:line="240" w:lineRule="auto"/>
        <w:ind w:left="720"/>
        <w:rPr>
          <w:rFonts w:ascii="Times New Roman" w:eastAsia="Times New Roman" w:hAnsi="Times New Roman" w:cs="Times New Roman"/>
          <w:color w:val="000000"/>
          <w:sz w:val="28"/>
          <w:szCs w:val="28"/>
        </w:rPr>
      </w:pPr>
    </w:p>
    <w:p w:rsidR="000A3797" w:rsidRDefault="000A3797">
      <w:pPr>
        <w:pBdr>
          <w:top w:val="nil"/>
          <w:left w:val="nil"/>
          <w:bottom w:val="nil"/>
          <w:right w:val="nil"/>
          <w:between w:val="nil"/>
        </w:pBdr>
        <w:tabs>
          <w:tab w:val="left" w:pos="1134"/>
        </w:tabs>
        <w:spacing w:after="0" w:line="240" w:lineRule="auto"/>
        <w:ind w:left="720"/>
        <w:rPr>
          <w:rFonts w:ascii="Times New Roman" w:eastAsia="Times New Roman" w:hAnsi="Times New Roman" w:cs="Times New Roman"/>
          <w:color w:val="000000"/>
          <w:sz w:val="28"/>
          <w:szCs w:val="28"/>
        </w:rPr>
      </w:pPr>
    </w:p>
    <w:p w:rsidR="000A3797" w:rsidRDefault="000A3797">
      <w:pPr>
        <w:pBdr>
          <w:top w:val="nil"/>
          <w:left w:val="nil"/>
          <w:bottom w:val="nil"/>
          <w:right w:val="nil"/>
          <w:between w:val="nil"/>
        </w:pBdr>
        <w:tabs>
          <w:tab w:val="left" w:pos="1134"/>
        </w:tabs>
        <w:spacing w:after="0" w:line="240" w:lineRule="auto"/>
        <w:ind w:left="720"/>
        <w:rPr>
          <w:rFonts w:ascii="Times New Roman" w:eastAsia="Times New Roman" w:hAnsi="Times New Roman" w:cs="Times New Roman"/>
          <w:color w:val="000000"/>
          <w:sz w:val="28"/>
          <w:szCs w:val="28"/>
        </w:rPr>
      </w:pPr>
    </w:p>
    <w:p w:rsidR="000A3797" w:rsidRDefault="000A3797">
      <w:pPr>
        <w:spacing w:after="0" w:line="240" w:lineRule="auto"/>
        <w:rPr>
          <w:rFonts w:ascii="Times New Roman" w:eastAsia="Times New Roman" w:hAnsi="Times New Roman" w:cs="Times New Roman"/>
          <w:sz w:val="28"/>
          <w:szCs w:val="28"/>
        </w:rPr>
      </w:pPr>
    </w:p>
    <w:p w:rsidR="000A3797" w:rsidRDefault="000A3797">
      <w:pPr>
        <w:spacing w:after="0" w:line="240" w:lineRule="auto"/>
        <w:rPr>
          <w:rFonts w:ascii="Times New Roman" w:eastAsia="Times New Roman" w:hAnsi="Times New Roman" w:cs="Times New Roman"/>
          <w:sz w:val="28"/>
          <w:szCs w:val="28"/>
          <w:highlight w:val="white"/>
        </w:rPr>
      </w:pPr>
    </w:p>
    <w:p w:rsidR="000A3797" w:rsidRDefault="00A660E7">
      <w:pPr>
        <w:tabs>
          <w:tab w:val="left" w:pos="8145"/>
        </w:tabs>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ПРИЛОЖЕНИЕ К.</w:t>
      </w:r>
    </w:p>
    <w:p w:rsidR="000A3797" w:rsidRDefault="000A3797">
      <w:pPr>
        <w:spacing w:after="0" w:line="240" w:lineRule="auto"/>
        <w:jc w:val="both"/>
        <w:rPr>
          <w:rFonts w:ascii="Times New Roman" w:eastAsia="Times New Roman" w:hAnsi="Times New Roman" w:cs="Times New Roman"/>
          <w:sz w:val="28"/>
          <w:szCs w:val="28"/>
        </w:rPr>
      </w:pPr>
    </w:p>
    <w:p w:rsidR="000A3797" w:rsidRDefault="00A660E7">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Основы профилактических мероприятий рецидивов генитального пролапса в организациях, оказывающих ПМСП (образовательная программа для среднего медицинского персонала).</w:t>
      </w:r>
    </w:p>
    <w:p w:rsidR="000A3797" w:rsidRDefault="000A3797">
      <w:pPr>
        <w:widowControl w:val="0"/>
        <w:spacing w:after="0" w:line="240" w:lineRule="auto"/>
        <w:ind w:left="640" w:hanging="640"/>
        <w:rPr>
          <w:rFonts w:ascii="Times New Roman" w:eastAsia="Times New Roman" w:hAnsi="Times New Roman" w:cs="Times New Roman"/>
          <w:sz w:val="28"/>
          <w:szCs w:val="28"/>
          <w:highlight w:val="white"/>
        </w:rPr>
      </w:pPr>
    </w:p>
    <w:p w:rsidR="000A3797" w:rsidRDefault="000A3797">
      <w:pPr>
        <w:widowControl w:val="0"/>
        <w:spacing w:after="0" w:line="240" w:lineRule="auto"/>
        <w:ind w:left="640" w:hanging="640"/>
        <w:rPr>
          <w:rFonts w:ascii="Times New Roman" w:eastAsia="Times New Roman" w:hAnsi="Times New Roman" w:cs="Times New Roman"/>
          <w:sz w:val="28"/>
          <w:szCs w:val="28"/>
          <w:highlight w:val="white"/>
        </w:rPr>
      </w:pPr>
    </w:p>
    <w:p w:rsidR="000A3797" w:rsidRDefault="000A3797">
      <w:pPr>
        <w:widowControl w:val="0"/>
        <w:spacing w:after="0" w:line="240" w:lineRule="auto"/>
        <w:ind w:left="640" w:hanging="640"/>
        <w:rPr>
          <w:rFonts w:ascii="Times New Roman" w:eastAsia="Times New Roman" w:hAnsi="Times New Roman" w:cs="Times New Roman"/>
          <w:sz w:val="28"/>
          <w:szCs w:val="28"/>
          <w:highlight w:val="white"/>
        </w:rPr>
      </w:pPr>
    </w:p>
    <w:p w:rsidR="000A3797" w:rsidRDefault="000A3797">
      <w:pPr>
        <w:widowControl w:val="0"/>
        <w:spacing w:after="0" w:line="240" w:lineRule="auto"/>
        <w:ind w:left="640" w:hanging="640"/>
        <w:rPr>
          <w:rFonts w:ascii="Times New Roman" w:eastAsia="Times New Roman" w:hAnsi="Times New Roman" w:cs="Times New Roman"/>
          <w:sz w:val="28"/>
          <w:szCs w:val="28"/>
        </w:rPr>
      </w:pPr>
    </w:p>
    <w:p w:rsidR="000A3797" w:rsidRDefault="00A660E7">
      <w:pPr>
        <w:widowControl w:val="0"/>
        <w:spacing w:after="0" w:line="240" w:lineRule="auto"/>
        <w:ind w:left="640" w:hanging="640"/>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2466975" cy="3562350"/>
            <wp:effectExtent l="0" t="0" r="0" b="0"/>
            <wp:docPr id="39"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75"/>
                    <a:srcRect/>
                    <a:stretch>
                      <a:fillRect/>
                    </a:stretch>
                  </pic:blipFill>
                  <pic:spPr>
                    <a:xfrm>
                      <a:off x="0" y="0"/>
                      <a:ext cx="2466975" cy="3562350"/>
                    </a:xfrm>
                    <a:prstGeom prst="rect">
                      <a:avLst/>
                    </a:prstGeom>
                    <a:ln/>
                  </pic:spPr>
                </pic:pic>
              </a:graphicData>
            </a:graphic>
          </wp:inline>
        </w:drawing>
      </w:r>
      <w:r>
        <w:rPr>
          <w:rFonts w:ascii="Times New Roman" w:eastAsia="Times New Roman" w:hAnsi="Times New Roman" w:cs="Times New Roman"/>
          <w:sz w:val="28"/>
          <w:szCs w:val="28"/>
        </w:rPr>
        <w:t xml:space="preserve"> </w:t>
      </w:r>
      <w:r>
        <w:rPr>
          <w:rFonts w:ascii="Times New Roman" w:eastAsia="Times New Roman" w:hAnsi="Times New Roman" w:cs="Times New Roman"/>
          <w:noProof/>
          <w:sz w:val="28"/>
          <w:szCs w:val="28"/>
        </w:rPr>
        <w:drawing>
          <wp:inline distT="0" distB="0" distL="0" distR="0">
            <wp:extent cx="2457450" cy="3629025"/>
            <wp:effectExtent l="0" t="0" r="0" b="0"/>
            <wp:docPr id="40"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76"/>
                    <a:srcRect/>
                    <a:stretch>
                      <a:fillRect/>
                    </a:stretch>
                  </pic:blipFill>
                  <pic:spPr>
                    <a:xfrm>
                      <a:off x="0" y="0"/>
                      <a:ext cx="2457450" cy="3629025"/>
                    </a:xfrm>
                    <a:prstGeom prst="rect">
                      <a:avLst/>
                    </a:prstGeom>
                    <a:ln/>
                  </pic:spPr>
                </pic:pic>
              </a:graphicData>
            </a:graphic>
          </wp:inline>
        </w:drawing>
      </w:r>
    </w:p>
    <w:p w:rsidR="000A3797" w:rsidRDefault="000A3797">
      <w:pPr>
        <w:spacing w:after="0" w:line="240" w:lineRule="auto"/>
        <w:jc w:val="both"/>
        <w:rPr>
          <w:rFonts w:ascii="Times New Roman" w:eastAsia="Times New Roman" w:hAnsi="Times New Roman" w:cs="Times New Roman"/>
          <w:sz w:val="28"/>
          <w:szCs w:val="28"/>
        </w:rPr>
      </w:pPr>
    </w:p>
    <w:p w:rsidR="000A3797" w:rsidRDefault="000A3797">
      <w:pPr>
        <w:spacing w:after="0" w:line="240" w:lineRule="auto"/>
        <w:jc w:val="both"/>
        <w:rPr>
          <w:rFonts w:ascii="Times New Roman" w:eastAsia="Times New Roman" w:hAnsi="Times New Roman" w:cs="Times New Roman"/>
          <w:sz w:val="28"/>
          <w:szCs w:val="28"/>
        </w:rPr>
      </w:pPr>
    </w:p>
    <w:p w:rsidR="000A3797" w:rsidRDefault="000A3797">
      <w:pPr>
        <w:spacing w:after="0" w:line="240" w:lineRule="auto"/>
        <w:jc w:val="both"/>
        <w:rPr>
          <w:rFonts w:ascii="Times New Roman" w:eastAsia="Times New Roman" w:hAnsi="Times New Roman" w:cs="Times New Roman"/>
          <w:sz w:val="28"/>
          <w:szCs w:val="28"/>
        </w:rPr>
      </w:pPr>
    </w:p>
    <w:p w:rsidR="000A3797" w:rsidRDefault="000A3797">
      <w:pPr>
        <w:spacing w:after="0" w:line="240" w:lineRule="auto"/>
        <w:jc w:val="both"/>
        <w:rPr>
          <w:rFonts w:ascii="Times New Roman" w:eastAsia="Times New Roman" w:hAnsi="Times New Roman" w:cs="Times New Roman"/>
          <w:sz w:val="28"/>
          <w:szCs w:val="28"/>
        </w:rPr>
      </w:pPr>
    </w:p>
    <w:p w:rsidR="000A3797" w:rsidRDefault="000A3797">
      <w:pPr>
        <w:spacing w:after="0" w:line="240" w:lineRule="auto"/>
        <w:jc w:val="both"/>
        <w:rPr>
          <w:rFonts w:ascii="Times New Roman" w:eastAsia="Times New Roman" w:hAnsi="Times New Roman" w:cs="Times New Roman"/>
          <w:sz w:val="28"/>
          <w:szCs w:val="28"/>
        </w:rPr>
      </w:pPr>
    </w:p>
    <w:p w:rsidR="000A3797" w:rsidRDefault="000A3797">
      <w:pPr>
        <w:spacing w:after="0" w:line="240" w:lineRule="auto"/>
        <w:jc w:val="both"/>
        <w:rPr>
          <w:rFonts w:ascii="Times New Roman" w:eastAsia="Times New Roman" w:hAnsi="Times New Roman" w:cs="Times New Roman"/>
          <w:sz w:val="28"/>
          <w:szCs w:val="28"/>
        </w:rPr>
      </w:pPr>
    </w:p>
    <w:p w:rsidR="000A3797" w:rsidRDefault="000A3797">
      <w:pPr>
        <w:spacing w:after="0" w:line="240" w:lineRule="auto"/>
        <w:jc w:val="both"/>
        <w:rPr>
          <w:rFonts w:ascii="Times New Roman" w:eastAsia="Times New Roman" w:hAnsi="Times New Roman" w:cs="Times New Roman"/>
          <w:sz w:val="28"/>
          <w:szCs w:val="28"/>
        </w:rPr>
      </w:pPr>
    </w:p>
    <w:p w:rsidR="000A3797" w:rsidRDefault="000A3797">
      <w:pPr>
        <w:spacing w:after="0" w:line="240" w:lineRule="auto"/>
        <w:jc w:val="both"/>
        <w:rPr>
          <w:rFonts w:ascii="Times New Roman" w:eastAsia="Times New Roman" w:hAnsi="Times New Roman" w:cs="Times New Roman"/>
          <w:sz w:val="28"/>
          <w:szCs w:val="28"/>
        </w:rPr>
      </w:pPr>
    </w:p>
    <w:p w:rsidR="000A3797" w:rsidRDefault="000A3797">
      <w:pPr>
        <w:spacing w:after="0" w:line="240" w:lineRule="auto"/>
        <w:jc w:val="both"/>
        <w:rPr>
          <w:rFonts w:ascii="Times New Roman" w:eastAsia="Times New Roman" w:hAnsi="Times New Roman" w:cs="Times New Roman"/>
          <w:sz w:val="28"/>
          <w:szCs w:val="28"/>
        </w:rPr>
      </w:pPr>
    </w:p>
    <w:p w:rsidR="000A3797" w:rsidRDefault="000A3797">
      <w:pPr>
        <w:spacing w:after="0" w:line="240" w:lineRule="auto"/>
        <w:jc w:val="both"/>
        <w:rPr>
          <w:rFonts w:ascii="Times New Roman" w:eastAsia="Times New Roman" w:hAnsi="Times New Roman" w:cs="Times New Roman"/>
          <w:sz w:val="28"/>
          <w:szCs w:val="28"/>
        </w:rPr>
      </w:pPr>
    </w:p>
    <w:p w:rsidR="000A3797" w:rsidRDefault="000A3797">
      <w:pPr>
        <w:spacing w:after="0" w:line="240" w:lineRule="auto"/>
        <w:jc w:val="both"/>
        <w:rPr>
          <w:rFonts w:ascii="Times New Roman" w:eastAsia="Times New Roman" w:hAnsi="Times New Roman" w:cs="Times New Roman"/>
          <w:sz w:val="28"/>
          <w:szCs w:val="28"/>
        </w:rPr>
      </w:pPr>
    </w:p>
    <w:p w:rsidR="000A3797" w:rsidRDefault="000A3797">
      <w:pPr>
        <w:spacing w:after="0" w:line="240" w:lineRule="auto"/>
        <w:jc w:val="both"/>
        <w:rPr>
          <w:rFonts w:ascii="Times New Roman" w:eastAsia="Times New Roman" w:hAnsi="Times New Roman" w:cs="Times New Roman"/>
          <w:sz w:val="28"/>
          <w:szCs w:val="28"/>
        </w:rPr>
      </w:pPr>
    </w:p>
    <w:p w:rsidR="000A3797" w:rsidRDefault="000A3797">
      <w:pPr>
        <w:spacing w:after="0" w:line="240" w:lineRule="auto"/>
        <w:jc w:val="both"/>
        <w:rPr>
          <w:rFonts w:ascii="Times New Roman" w:eastAsia="Times New Roman" w:hAnsi="Times New Roman" w:cs="Times New Roman"/>
          <w:sz w:val="28"/>
          <w:szCs w:val="28"/>
        </w:rPr>
      </w:pPr>
    </w:p>
    <w:p w:rsidR="000A3797" w:rsidRDefault="000A3797">
      <w:pPr>
        <w:spacing w:after="0" w:line="240" w:lineRule="auto"/>
        <w:jc w:val="both"/>
        <w:rPr>
          <w:rFonts w:ascii="Times New Roman" w:eastAsia="Times New Roman" w:hAnsi="Times New Roman" w:cs="Times New Roman"/>
          <w:sz w:val="28"/>
          <w:szCs w:val="28"/>
        </w:rPr>
      </w:pPr>
    </w:p>
    <w:p w:rsidR="000A3797" w:rsidRDefault="000A3797">
      <w:pPr>
        <w:spacing w:after="0" w:line="240" w:lineRule="auto"/>
        <w:jc w:val="both"/>
        <w:rPr>
          <w:rFonts w:ascii="Times New Roman" w:eastAsia="Times New Roman" w:hAnsi="Times New Roman" w:cs="Times New Roman"/>
          <w:sz w:val="28"/>
          <w:szCs w:val="28"/>
        </w:rPr>
      </w:pPr>
    </w:p>
    <w:p w:rsidR="000A3797" w:rsidRDefault="000A3797">
      <w:pPr>
        <w:spacing w:after="0" w:line="240" w:lineRule="auto"/>
        <w:jc w:val="both"/>
        <w:rPr>
          <w:rFonts w:ascii="Times New Roman" w:eastAsia="Times New Roman" w:hAnsi="Times New Roman" w:cs="Times New Roman"/>
          <w:sz w:val="28"/>
          <w:szCs w:val="28"/>
        </w:rPr>
      </w:pPr>
    </w:p>
    <w:p w:rsidR="000A3797" w:rsidRDefault="000A3797">
      <w:pPr>
        <w:spacing w:after="0" w:line="240" w:lineRule="auto"/>
        <w:jc w:val="both"/>
        <w:rPr>
          <w:rFonts w:ascii="Times New Roman" w:eastAsia="Times New Roman" w:hAnsi="Times New Roman" w:cs="Times New Roman"/>
          <w:sz w:val="28"/>
          <w:szCs w:val="28"/>
        </w:rPr>
      </w:pPr>
    </w:p>
    <w:p w:rsidR="000A3797" w:rsidRDefault="000A3797">
      <w:pPr>
        <w:spacing w:after="0" w:line="240" w:lineRule="auto"/>
        <w:jc w:val="both"/>
        <w:rPr>
          <w:rFonts w:ascii="Times New Roman" w:eastAsia="Times New Roman" w:hAnsi="Times New Roman" w:cs="Times New Roman"/>
          <w:sz w:val="28"/>
          <w:szCs w:val="28"/>
        </w:rPr>
      </w:pPr>
    </w:p>
    <w:p w:rsidR="000A3797" w:rsidRDefault="000A3797">
      <w:pPr>
        <w:spacing w:after="0" w:line="240" w:lineRule="auto"/>
        <w:jc w:val="both"/>
        <w:rPr>
          <w:rFonts w:ascii="Times New Roman" w:eastAsia="Times New Roman" w:hAnsi="Times New Roman" w:cs="Times New Roman"/>
          <w:sz w:val="28"/>
          <w:szCs w:val="28"/>
        </w:rPr>
      </w:pPr>
    </w:p>
    <w:p w:rsidR="000A3797" w:rsidRDefault="000A3797">
      <w:pPr>
        <w:spacing w:after="0" w:line="240" w:lineRule="auto"/>
        <w:jc w:val="both"/>
        <w:rPr>
          <w:rFonts w:ascii="Times New Roman" w:eastAsia="Times New Roman" w:hAnsi="Times New Roman" w:cs="Times New Roman"/>
          <w:sz w:val="28"/>
          <w:szCs w:val="28"/>
        </w:rPr>
      </w:pPr>
    </w:p>
    <w:p w:rsidR="000A3797" w:rsidRDefault="000A3797">
      <w:pPr>
        <w:spacing w:after="0" w:line="240" w:lineRule="auto"/>
        <w:jc w:val="both"/>
        <w:rPr>
          <w:rFonts w:ascii="Times New Roman" w:eastAsia="Times New Roman" w:hAnsi="Times New Roman" w:cs="Times New Roman"/>
          <w:sz w:val="28"/>
          <w:szCs w:val="28"/>
        </w:rPr>
      </w:pPr>
    </w:p>
    <w:p w:rsidR="000A3797" w:rsidRDefault="000A3797">
      <w:pPr>
        <w:spacing w:after="0" w:line="240" w:lineRule="auto"/>
        <w:jc w:val="both"/>
        <w:rPr>
          <w:rFonts w:ascii="Times New Roman" w:eastAsia="Times New Roman" w:hAnsi="Times New Roman" w:cs="Times New Roman"/>
          <w:sz w:val="28"/>
          <w:szCs w:val="28"/>
        </w:rPr>
      </w:pPr>
    </w:p>
    <w:p w:rsidR="000A3797" w:rsidRDefault="000A3797">
      <w:pPr>
        <w:spacing w:after="0" w:line="240" w:lineRule="auto"/>
        <w:jc w:val="both"/>
        <w:rPr>
          <w:rFonts w:ascii="Times New Roman" w:eastAsia="Times New Roman" w:hAnsi="Times New Roman" w:cs="Times New Roman"/>
          <w:sz w:val="28"/>
          <w:szCs w:val="28"/>
        </w:rPr>
      </w:pPr>
    </w:p>
    <w:p w:rsidR="000A3797" w:rsidRDefault="000A3797">
      <w:pPr>
        <w:spacing w:after="0" w:line="240" w:lineRule="auto"/>
        <w:jc w:val="both"/>
        <w:rPr>
          <w:rFonts w:ascii="Times New Roman" w:eastAsia="Times New Roman" w:hAnsi="Times New Roman" w:cs="Times New Roman"/>
          <w:sz w:val="28"/>
          <w:szCs w:val="28"/>
        </w:rPr>
      </w:pPr>
    </w:p>
    <w:p w:rsidR="000A3797" w:rsidRDefault="000A3797">
      <w:pPr>
        <w:spacing w:after="0" w:line="240" w:lineRule="auto"/>
        <w:jc w:val="both"/>
        <w:rPr>
          <w:rFonts w:ascii="Times New Roman" w:eastAsia="Times New Roman" w:hAnsi="Times New Roman" w:cs="Times New Roman"/>
          <w:sz w:val="28"/>
          <w:szCs w:val="28"/>
        </w:rPr>
      </w:pPr>
    </w:p>
    <w:p w:rsidR="000A3797" w:rsidRDefault="00A660E7">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inline distT="0" distB="0" distL="0" distR="0">
            <wp:extent cx="5188688" cy="6975904"/>
            <wp:effectExtent l="0" t="0" r="0" b="0"/>
            <wp:docPr id="41"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77"/>
                    <a:srcRect/>
                    <a:stretch>
                      <a:fillRect/>
                    </a:stretch>
                  </pic:blipFill>
                  <pic:spPr>
                    <a:xfrm>
                      <a:off x="0" y="0"/>
                      <a:ext cx="5188688" cy="6975904"/>
                    </a:xfrm>
                    <a:prstGeom prst="rect">
                      <a:avLst/>
                    </a:prstGeom>
                    <a:ln/>
                  </pic:spPr>
                </pic:pic>
              </a:graphicData>
            </a:graphic>
          </wp:inline>
        </w:drawing>
      </w:r>
    </w:p>
    <w:p w:rsidR="000A3797" w:rsidRDefault="000A3797">
      <w:pPr>
        <w:spacing w:after="0" w:line="240" w:lineRule="auto"/>
        <w:jc w:val="both"/>
        <w:rPr>
          <w:rFonts w:ascii="Times New Roman" w:eastAsia="Times New Roman" w:hAnsi="Times New Roman" w:cs="Times New Roman"/>
          <w:b/>
          <w:sz w:val="28"/>
          <w:szCs w:val="28"/>
        </w:rPr>
      </w:pPr>
    </w:p>
    <w:p w:rsidR="000A3797" w:rsidRDefault="000A3797">
      <w:pPr>
        <w:spacing w:after="0" w:line="240" w:lineRule="auto"/>
        <w:jc w:val="both"/>
        <w:rPr>
          <w:rFonts w:ascii="Times New Roman" w:eastAsia="Times New Roman" w:hAnsi="Times New Roman" w:cs="Times New Roman"/>
          <w:b/>
          <w:sz w:val="28"/>
          <w:szCs w:val="28"/>
        </w:rPr>
      </w:pPr>
    </w:p>
    <w:p w:rsidR="000A3797" w:rsidRDefault="000A3797">
      <w:pPr>
        <w:spacing w:after="0" w:line="240" w:lineRule="auto"/>
        <w:jc w:val="both"/>
        <w:rPr>
          <w:rFonts w:ascii="Times New Roman" w:eastAsia="Times New Roman" w:hAnsi="Times New Roman" w:cs="Times New Roman"/>
          <w:b/>
          <w:sz w:val="28"/>
          <w:szCs w:val="28"/>
        </w:rPr>
      </w:pPr>
    </w:p>
    <w:p w:rsidR="000A3797" w:rsidRDefault="000A3797">
      <w:pPr>
        <w:spacing w:after="0" w:line="240" w:lineRule="auto"/>
        <w:jc w:val="both"/>
        <w:rPr>
          <w:rFonts w:ascii="Times New Roman" w:eastAsia="Times New Roman" w:hAnsi="Times New Roman" w:cs="Times New Roman"/>
          <w:b/>
          <w:sz w:val="28"/>
          <w:szCs w:val="28"/>
        </w:rPr>
      </w:pPr>
    </w:p>
    <w:p w:rsidR="000A3797" w:rsidRDefault="00A660E7">
      <w:pPr>
        <w:tabs>
          <w:tab w:val="left" w:pos="8145"/>
        </w:tabs>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ПРИЛОЖЕНИЕ Л.</w:t>
      </w:r>
    </w:p>
    <w:p w:rsidR="000A3797" w:rsidRDefault="00A660E7">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Акты внедрения</w:t>
      </w:r>
    </w:p>
    <w:p w:rsidR="000A3797" w:rsidRDefault="000A3797">
      <w:pPr>
        <w:spacing w:after="0" w:line="240" w:lineRule="auto"/>
        <w:jc w:val="center"/>
        <w:rPr>
          <w:rFonts w:ascii="Times New Roman" w:eastAsia="Times New Roman" w:hAnsi="Times New Roman" w:cs="Times New Roman"/>
          <w:b/>
          <w:sz w:val="28"/>
          <w:szCs w:val="28"/>
        </w:rPr>
      </w:pPr>
    </w:p>
    <w:p w:rsidR="000A3797" w:rsidRDefault="00A660E7">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inline distT="0" distB="0" distL="0" distR="0">
            <wp:extent cx="4115521" cy="6264132"/>
            <wp:effectExtent l="0" t="0" r="0" b="0"/>
            <wp:docPr id="42"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78"/>
                    <a:srcRect/>
                    <a:stretch>
                      <a:fillRect/>
                    </a:stretch>
                  </pic:blipFill>
                  <pic:spPr>
                    <a:xfrm>
                      <a:off x="0" y="0"/>
                      <a:ext cx="4115521" cy="6264132"/>
                    </a:xfrm>
                    <a:prstGeom prst="rect">
                      <a:avLst/>
                    </a:prstGeom>
                    <a:ln/>
                  </pic:spPr>
                </pic:pic>
              </a:graphicData>
            </a:graphic>
          </wp:inline>
        </w:drawing>
      </w: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A660E7">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inline distT="0" distB="0" distL="0" distR="0">
            <wp:extent cx="4784725" cy="5156835"/>
            <wp:effectExtent l="0" t="0" r="0" b="0"/>
            <wp:docPr id="43" name="image33.png" descr="C:\Users\1\Desktop\для ДР\Туркестан.PNG"/>
            <wp:cNvGraphicFramePr/>
            <a:graphic xmlns:a="http://schemas.openxmlformats.org/drawingml/2006/main">
              <a:graphicData uri="http://schemas.openxmlformats.org/drawingml/2006/picture">
                <pic:pic xmlns:pic="http://schemas.openxmlformats.org/drawingml/2006/picture">
                  <pic:nvPicPr>
                    <pic:cNvPr id="0" name="image33.png" descr="C:\Users\1\Desktop\для ДР\Туркестан.PNG"/>
                    <pic:cNvPicPr preferRelativeResize="0"/>
                  </pic:nvPicPr>
                  <pic:blipFill>
                    <a:blip r:embed="rId79"/>
                    <a:srcRect/>
                    <a:stretch>
                      <a:fillRect/>
                    </a:stretch>
                  </pic:blipFill>
                  <pic:spPr>
                    <a:xfrm>
                      <a:off x="0" y="0"/>
                      <a:ext cx="4784725" cy="5156835"/>
                    </a:xfrm>
                    <a:prstGeom prst="rect">
                      <a:avLst/>
                    </a:prstGeom>
                    <a:ln/>
                  </pic:spPr>
                </pic:pic>
              </a:graphicData>
            </a:graphic>
          </wp:inline>
        </w:drawing>
      </w: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A660E7">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inline distT="0" distB="0" distL="0" distR="0">
            <wp:extent cx="5410200" cy="7643382"/>
            <wp:effectExtent l="0" t="0" r="0" b="0"/>
            <wp:docPr id="44" name="image34.png" descr="C:\Users\1\AppData\Local\Temp\7zE0CCA0CE0\Акт3.png"/>
            <wp:cNvGraphicFramePr/>
            <a:graphic xmlns:a="http://schemas.openxmlformats.org/drawingml/2006/main">
              <a:graphicData uri="http://schemas.openxmlformats.org/drawingml/2006/picture">
                <pic:pic xmlns:pic="http://schemas.openxmlformats.org/drawingml/2006/picture">
                  <pic:nvPicPr>
                    <pic:cNvPr id="0" name="image34.png" descr="C:\Users\1\AppData\Local\Temp\7zE0CCA0CE0\Акт3.png"/>
                    <pic:cNvPicPr preferRelativeResize="0"/>
                  </pic:nvPicPr>
                  <pic:blipFill>
                    <a:blip r:embed="rId80"/>
                    <a:srcRect/>
                    <a:stretch>
                      <a:fillRect/>
                    </a:stretch>
                  </pic:blipFill>
                  <pic:spPr>
                    <a:xfrm>
                      <a:off x="0" y="0"/>
                      <a:ext cx="5410200" cy="7643382"/>
                    </a:xfrm>
                    <a:prstGeom prst="rect">
                      <a:avLst/>
                    </a:prstGeom>
                    <a:ln/>
                  </pic:spPr>
                </pic:pic>
              </a:graphicData>
            </a:graphic>
          </wp:inline>
        </w:drawing>
      </w: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A660E7">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inline distT="0" distB="0" distL="0" distR="0">
            <wp:extent cx="4786864" cy="6762750"/>
            <wp:effectExtent l="0" t="0" r="0" b="0"/>
            <wp:docPr id="45" name="image35.png" descr="C:\Users\1\AppData\Local\Temp\7zE0CC0B2DE\Акт1.png"/>
            <wp:cNvGraphicFramePr/>
            <a:graphic xmlns:a="http://schemas.openxmlformats.org/drawingml/2006/main">
              <a:graphicData uri="http://schemas.openxmlformats.org/drawingml/2006/picture">
                <pic:pic xmlns:pic="http://schemas.openxmlformats.org/drawingml/2006/picture">
                  <pic:nvPicPr>
                    <pic:cNvPr id="0" name="image35.png" descr="C:\Users\1\AppData\Local\Temp\7zE0CC0B2DE\Акт1.png"/>
                    <pic:cNvPicPr preferRelativeResize="0"/>
                  </pic:nvPicPr>
                  <pic:blipFill>
                    <a:blip r:embed="rId81"/>
                    <a:srcRect/>
                    <a:stretch>
                      <a:fillRect/>
                    </a:stretch>
                  </pic:blipFill>
                  <pic:spPr>
                    <a:xfrm>
                      <a:off x="0" y="0"/>
                      <a:ext cx="4786864" cy="6762750"/>
                    </a:xfrm>
                    <a:prstGeom prst="rect">
                      <a:avLst/>
                    </a:prstGeom>
                    <a:ln/>
                  </pic:spPr>
                </pic:pic>
              </a:graphicData>
            </a:graphic>
          </wp:inline>
        </w:drawing>
      </w:r>
    </w:p>
    <w:p w:rsidR="000A3797" w:rsidRDefault="000A3797">
      <w:pPr>
        <w:spacing w:after="0" w:line="240" w:lineRule="auto"/>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A660E7">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inline distT="0" distB="0" distL="0" distR="0">
            <wp:extent cx="6115050" cy="8658225"/>
            <wp:effectExtent l="0" t="0" r="0" b="0"/>
            <wp:docPr id="46" name="image36.png" descr="C:\Users\1\AppData\Local\Temp\7zE0CCA3B7F\Акт2.png"/>
            <wp:cNvGraphicFramePr/>
            <a:graphic xmlns:a="http://schemas.openxmlformats.org/drawingml/2006/main">
              <a:graphicData uri="http://schemas.openxmlformats.org/drawingml/2006/picture">
                <pic:pic xmlns:pic="http://schemas.openxmlformats.org/drawingml/2006/picture">
                  <pic:nvPicPr>
                    <pic:cNvPr id="0" name="image36.png" descr="C:\Users\1\AppData\Local\Temp\7zE0CCA3B7F\Акт2.png"/>
                    <pic:cNvPicPr preferRelativeResize="0"/>
                  </pic:nvPicPr>
                  <pic:blipFill>
                    <a:blip r:embed="rId82"/>
                    <a:srcRect/>
                    <a:stretch>
                      <a:fillRect/>
                    </a:stretch>
                  </pic:blipFill>
                  <pic:spPr>
                    <a:xfrm>
                      <a:off x="0" y="0"/>
                      <a:ext cx="6115050" cy="8658225"/>
                    </a:xfrm>
                    <a:prstGeom prst="rect">
                      <a:avLst/>
                    </a:prstGeom>
                    <a:ln/>
                  </pic:spPr>
                </pic:pic>
              </a:graphicData>
            </a:graphic>
          </wp:inline>
        </w:drawing>
      </w: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A660E7">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inline distT="0" distB="0" distL="0" distR="0">
            <wp:extent cx="6115050" cy="8658225"/>
            <wp:effectExtent l="0" t="0" r="0" b="0"/>
            <wp:docPr id="35" name="image25.png" descr="C:\Users\1\AppData\Local\Temp\7zE0CCA6820\Акт4.png"/>
            <wp:cNvGraphicFramePr/>
            <a:graphic xmlns:a="http://schemas.openxmlformats.org/drawingml/2006/main">
              <a:graphicData uri="http://schemas.openxmlformats.org/drawingml/2006/picture">
                <pic:pic xmlns:pic="http://schemas.openxmlformats.org/drawingml/2006/picture">
                  <pic:nvPicPr>
                    <pic:cNvPr id="0" name="image25.png" descr="C:\Users\1\AppData\Local\Temp\7zE0CCA6820\Акт4.png"/>
                    <pic:cNvPicPr preferRelativeResize="0"/>
                  </pic:nvPicPr>
                  <pic:blipFill>
                    <a:blip r:embed="rId83"/>
                    <a:srcRect/>
                    <a:stretch>
                      <a:fillRect/>
                    </a:stretch>
                  </pic:blipFill>
                  <pic:spPr>
                    <a:xfrm>
                      <a:off x="0" y="0"/>
                      <a:ext cx="6115050" cy="8658225"/>
                    </a:xfrm>
                    <a:prstGeom prst="rect">
                      <a:avLst/>
                    </a:prstGeom>
                    <a:ln/>
                  </pic:spPr>
                </pic:pic>
              </a:graphicData>
            </a:graphic>
          </wp:inline>
        </w:drawing>
      </w:r>
    </w:p>
    <w:p w:rsidR="000A3797" w:rsidRDefault="000A3797">
      <w:pPr>
        <w:spacing w:after="0" w:line="240" w:lineRule="auto"/>
        <w:jc w:val="center"/>
        <w:rPr>
          <w:rFonts w:ascii="Times New Roman" w:eastAsia="Times New Roman" w:hAnsi="Times New Roman" w:cs="Times New Roman"/>
          <w:b/>
          <w:sz w:val="28"/>
          <w:szCs w:val="28"/>
        </w:rPr>
      </w:pPr>
    </w:p>
    <w:p w:rsidR="000A3797" w:rsidRDefault="00A660E7">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inline distT="0" distB="0" distL="0" distR="0">
            <wp:extent cx="6120130" cy="6904990"/>
            <wp:effectExtent l="0" t="0" r="0" b="0"/>
            <wp:docPr id="28" name="image18.png" descr="C:\Users\1\Downloads\WhatsApp Image 2024-02-04 at 22.36.47.jpeg"/>
            <wp:cNvGraphicFramePr/>
            <a:graphic xmlns:a="http://schemas.openxmlformats.org/drawingml/2006/main">
              <a:graphicData uri="http://schemas.openxmlformats.org/drawingml/2006/picture">
                <pic:pic xmlns:pic="http://schemas.openxmlformats.org/drawingml/2006/picture">
                  <pic:nvPicPr>
                    <pic:cNvPr id="0" name="image18.png" descr="C:\Users\1\Downloads\WhatsApp Image 2024-02-04 at 22.36.47.jpeg"/>
                    <pic:cNvPicPr preferRelativeResize="0"/>
                  </pic:nvPicPr>
                  <pic:blipFill>
                    <a:blip r:embed="rId84"/>
                    <a:srcRect/>
                    <a:stretch>
                      <a:fillRect/>
                    </a:stretch>
                  </pic:blipFill>
                  <pic:spPr>
                    <a:xfrm>
                      <a:off x="0" y="0"/>
                      <a:ext cx="6120130" cy="6904990"/>
                    </a:xfrm>
                    <a:prstGeom prst="rect">
                      <a:avLst/>
                    </a:prstGeom>
                    <a:ln/>
                  </pic:spPr>
                </pic:pic>
              </a:graphicData>
            </a:graphic>
          </wp:inline>
        </w:drawing>
      </w: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A660E7">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ПРИЛОЖЕНИЕ М</w:t>
      </w:r>
    </w:p>
    <w:p w:rsidR="000A3797" w:rsidRDefault="000A3797">
      <w:pPr>
        <w:spacing w:after="0" w:line="240" w:lineRule="auto"/>
        <w:jc w:val="center"/>
        <w:rPr>
          <w:rFonts w:ascii="Times New Roman" w:eastAsia="Times New Roman" w:hAnsi="Times New Roman" w:cs="Times New Roman"/>
          <w:b/>
          <w:sz w:val="28"/>
          <w:szCs w:val="28"/>
        </w:rPr>
      </w:pPr>
    </w:p>
    <w:p w:rsidR="000A3797" w:rsidRDefault="00A660E7">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Справки об апробации образовательных программ.</w:t>
      </w:r>
    </w:p>
    <w:p w:rsidR="000A3797" w:rsidRDefault="000A3797">
      <w:pPr>
        <w:spacing w:after="0" w:line="240" w:lineRule="auto"/>
        <w:jc w:val="center"/>
        <w:rPr>
          <w:rFonts w:ascii="Times New Roman" w:eastAsia="Times New Roman" w:hAnsi="Times New Roman" w:cs="Times New Roman"/>
          <w:b/>
          <w:sz w:val="28"/>
          <w:szCs w:val="28"/>
        </w:rPr>
      </w:pPr>
    </w:p>
    <w:p w:rsidR="000A3797" w:rsidRDefault="00A660E7">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inline distT="0" distB="0" distL="0" distR="0">
            <wp:extent cx="6120130" cy="7998460"/>
            <wp:effectExtent l="0" t="0" r="0" b="0"/>
            <wp:docPr id="29" name="image19.png" descr="C:\Users\1\Downloads\WhatsApp Image 2024-02-04 at 22.46.42.jpeg"/>
            <wp:cNvGraphicFramePr/>
            <a:graphic xmlns:a="http://schemas.openxmlformats.org/drawingml/2006/main">
              <a:graphicData uri="http://schemas.openxmlformats.org/drawingml/2006/picture">
                <pic:pic xmlns:pic="http://schemas.openxmlformats.org/drawingml/2006/picture">
                  <pic:nvPicPr>
                    <pic:cNvPr id="0" name="image19.png" descr="C:\Users\1\Downloads\WhatsApp Image 2024-02-04 at 22.46.42.jpeg"/>
                    <pic:cNvPicPr preferRelativeResize="0"/>
                  </pic:nvPicPr>
                  <pic:blipFill>
                    <a:blip r:embed="rId85"/>
                    <a:srcRect/>
                    <a:stretch>
                      <a:fillRect/>
                    </a:stretch>
                  </pic:blipFill>
                  <pic:spPr>
                    <a:xfrm>
                      <a:off x="0" y="0"/>
                      <a:ext cx="6120130" cy="7998460"/>
                    </a:xfrm>
                    <a:prstGeom prst="rect">
                      <a:avLst/>
                    </a:prstGeom>
                    <a:ln/>
                  </pic:spPr>
                </pic:pic>
              </a:graphicData>
            </a:graphic>
          </wp:inline>
        </w:drawing>
      </w: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A660E7">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inline distT="0" distB="0" distL="0" distR="0">
            <wp:extent cx="6120130" cy="8709470"/>
            <wp:effectExtent l="0" t="0" r="0" b="0"/>
            <wp:docPr id="30" name="image20.png" descr="C:\Users\1\Downloads\WhatsApp Image 2024-02-13 at 19.11.12.jpeg"/>
            <wp:cNvGraphicFramePr/>
            <a:graphic xmlns:a="http://schemas.openxmlformats.org/drawingml/2006/main">
              <a:graphicData uri="http://schemas.openxmlformats.org/drawingml/2006/picture">
                <pic:pic xmlns:pic="http://schemas.openxmlformats.org/drawingml/2006/picture">
                  <pic:nvPicPr>
                    <pic:cNvPr id="0" name="image20.png" descr="C:\Users\1\Downloads\WhatsApp Image 2024-02-13 at 19.11.12.jpeg"/>
                    <pic:cNvPicPr preferRelativeResize="0"/>
                  </pic:nvPicPr>
                  <pic:blipFill>
                    <a:blip r:embed="rId86"/>
                    <a:srcRect/>
                    <a:stretch>
                      <a:fillRect/>
                    </a:stretch>
                  </pic:blipFill>
                  <pic:spPr>
                    <a:xfrm>
                      <a:off x="0" y="0"/>
                      <a:ext cx="6120130" cy="8709470"/>
                    </a:xfrm>
                    <a:prstGeom prst="rect">
                      <a:avLst/>
                    </a:prstGeom>
                    <a:ln/>
                  </pic:spPr>
                </pic:pic>
              </a:graphicData>
            </a:graphic>
          </wp:inline>
        </w:drawing>
      </w:r>
    </w:p>
    <w:p w:rsidR="000A3797" w:rsidRDefault="00A660E7">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inline distT="0" distB="0" distL="0" distR="0">
            <wp:extent cx="6120130" cy="8487410"/>
            <wp:effectExtent l="0" t="0" r="0" b="0"/>
            <wp:docPr id="3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87"/>
                    <a:srcRect/>
                    <a:stretch>
                      <a:fillRect/>
                    </a:stretch>
                  </pic:blipFill>
                  <pic:spPr>
                    <a:xfrm>
                      <a:off x="0" y="0"/>
                      <a:ext cx="6120130" cy="8487410"/>
                    </a:xfrm>
                    <a:prstGeom prst="rect">
                      <a:avLst/>
                    </a:prstGeom>
                    <a:ln/>
                  </pic:spPr>
                </pic:pic>
              </a:graphicData>
            </a:graphic>
          </wp:inline>
        </w:drawing>
      </w: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jc w:val="center"/>
        <w:rPr>
          <w:rFonts w:ascii="Times New Roman" w:eastAsia="Times New Roman" w:hAnsi="Times New Roman" w:cs="Times New Roman"/>
          <w:b/>
          <w:sz w:val="28"/>
          <w:szCs w:val="28"/>
        </w:rPr>
      </w:pPr>
    </w:p>
    <w:p w:rsidR="000A3797" w:rsidRDefault="000A3797">
      <w:pPr>
        <w:spacing w:after="0" w:line="240" w:lineRule="auto"/>
        <w:rPr>
          <w:rFonts w:ascii="Times New Roman" w:eastAsia="Times New Roman" w:hAnsi="Times New Roman" w:cs="Times New Roman"/>
          <w:b/>
          <w:sz w:val="28"/>
          <w:szCs w:val="28"/>
        </w:rPr>
      </w:pPr>
    </w:p>
    <w:p w:rsidR="000A3797" w:rsidRDefault="00A660E7">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ПРИЛОЖЕНИЕ Н.</w:t>
      </w:r>
    </w:p>
    <w:p w:rsidR="000A3797" w:rsidRDefault="00A660E7">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Электронный ресурс </w:t>
      </w:r>
      <w:hyperlink r:id="rId88">
        <w:r>
          <w:rPr>
            <w:rFonts w:ascii="Times New Roman" w:eastAsia="Times New Roman" w:hAnsi="Times New Roman" w:cs="Times New Roman"/>
            <w:color w:val="000000"/>
            <w:sz w:val="28"/>
            <w:szCs w:val="28"/>
            <w:u w:val="single"/>
          </w:rPr>
          <w:t>https://www.prolaps-monitoring.com</w:t>
        </w:r>
      </w:hyperlink>
    </w:p>
    <w:p w:rsidR="000A3797" w:rsidRDefault="000A3797">
      <w:pPr>
        <w:spacing w:after="0" w:line="240" w:lineRule="auto"/>
        <w:jc w:val="center"/>
        <w:rPr>
          <w:rFonts w:ascii="Times New Roman" w:eastAsia="Times New Roman" w:hAnsi="Times New Roman" w:cs="Times New Roman"/>
          <w:sz w:val="28"/>
          <w:szCs w:val="28"/>
        </w:rPr>
      </w:pPr>
    </w:p>
    <w:p w:rsidR="000A3797" w:rsidRDefault="000A3797">
      <w:pPr>
        <w:spacing w:after="0" w:line="240" w:lineRule="auto"/>
        <w:jc w:val="center"/>
        <w:rPr>
          <w:rFonts w:ascii="Times New Roman" w:eastAsia="Times New Roman" w:hAnsi="Times New Roman" w:cs="Times New Roman"/>
          <w:sz w:val="28"/>
          <w:szCs w:val="28"/>
        </w:rPr>
      </w:pPr>
    </w:p>
    <w:p w:rsidR="000A3797" w:rsidRDefault="000A3797">
      <w:pPr>
        <w:spacing w:after="0" w:line="240" w:lineRule="auto"/>
        <w:jc w:val="center"/>
        <w:rPr>
          <w:rFonts w:ascii="Times New Roman" w:eastAsia="Times New Roman" w:hAnsi="Times New Roman" w:cs="Times New Roman"/>
          <w:sz w:val="28"/>
          <w:szCs w:val="28"/>
        </w:rPr>
      </w:pPr>
    </w:p>
    <w:p w:rsidR="000A3797" w:rsidRDefault="00A660E7">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inline distT="0" distB="0" distL="0" distR="0">
            <wp:extent cx="4848225" cy="4848225"/>
            <wp:effectExtent l="0" t="0" r="0" b="0"/>
            <wp:docPr id="32" name="image22.png" descr="C:\Users\1\Downloads\WhatsApp Image 2024-02-03 at 14.58.43.jpeg"/>
            <wp:cNvGraphicFramePr/>
            <a:graphic xmlns:a="http://schemas.openxmlformats.org/drawingml/2006/main">
              <a:graphicData uri="http://schemas.openxmlformats.org/drawingml/2006/picture">
                <pic:pic xmlns:pic="http://schemas.openxmlformats.org/drawingml/2006/picture">
                  <pic:nvPicPr>
                    <pic:cNvPr id="0" name="image22.png" descr="C:\Users\1\Downloads\WhatsApp Image 2024-02-03 at 14.58.43.jpeg"/>
                    <pic:cNvPicPr preferRelativeResize="0"/>
                  </pic:nvPicPr>
                  <pic:blipFill>
                    <a:blip r:embed="rId89"/>
                    <a:srcRect/>
                    <a:stretch>
                      <a:fillRect/>
                    </a:stretch>
                  </pic:blipFill>
                  <pic:spPr>
                    <a:xfrm>
                      <a:off x="0" y="0"/>
                      <a:ext cx="4848225" cy="4848225"/>
                    </a:xfrm>
                    <a:prstGeom prst="rect">
                      <a:avLst/>
                    </a:prstGeom>
                    <a:ln/>
                  </pic:spPr>
                </pic:pic>
              </a:graphicData>
            </a:graphic>
          </wp:inline>
        </w:drawing>
      </w:r>
    </w:p>
    <w:p w:rsidR="000A3797" w:rsidRDefault="000A3797">
      <w:pPr>
        <w:spacing w:after="0" w:line="240" w:lineRule="auto"/>
        <w:jc w:val="center"/>
        <w:rPr>
          <w:rFonts w:ascii="Times New Roman" w:eastAsia="Times New Roman" w:hAnsi="Times New Roman" w:cs="Times New Roman"/>
          <w:b/>
          <w:sz w:val="28"/>
          <w:szCs w:val="28"/>
        </w:rPr>
      </w:pPr>
    </w:p>
    <w:sectPr w:rsidR="000A3797">
      <w:footerReference w:type="default" r:id="rId90"/>
      <w:pgSz w:w="11906" w:h="16838"/>
      <w:pgMar w:top="1134" w:right="567" w:bottom="1134" w:left="1701" w:header="709" w:footer="709"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660E7" w:rsidRDefault="00A660E7">
      <w:pPr>
        <w:spacing w:after="0" w:line="240" w:lineRule="auto"/>
      </w:pPr>
      <w:r>
        <w:separator/>
      </w:r>
    </w:p>
  </w:endnote>
  <w:endnote w:type="continuationSeparator" w:id="0">
    <w:p w:rsidR="00A660E7" w:rsidRDefault="00A660E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CC"/>
    <w:family w:val="swiss"/>
    <w:pitch w:val="variable"/>
    <w:sig w:usb0="E0002EFF" w:usb1="C000785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Georgia">
    <w:panose1 w:val="02040502050405020303"/>
    <w:charset w:val="00"/>
    <w:family w:val="auto"/>
    <w:pitch w:val="default"/>
  </w:font>
  <w:font w:name="Cambria Math">
    <w:panose1 w:val="02040503050406030204"/>
    <w:charset w:val="CC"/>
    <w:family w:val="roman"/>
    <w:pitch w:val="variable"/>
    <w:sig w:usb0="E00006FF" w:usb1="420024FF" w:usb2="02000000"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A3797" w:rsidRDefault="00A660E7">
    <w:pPr>
      <w:pBdr>
        <w:top w:val="nil"/>
        <w:left w:val="nil"/>
        <w:bottom w:val="nil"/>
        <w:right w:val="nil"/>
        <w:between w:val="nil"/>
      </w:pBdr>
      <w:tabs>
        <w:tab w:val="center" w:pos="4677"/>
        <w:tab w:val="right" w:pos="9355"/>
      </w:tabs>
      <w:spacing w:after="0" w:line="240" w:lineRule="auto"/>
      <w:jc w:val="center"/>
      <w:rPr>
        <w:color w:val="000000"/>
      </w:rPr>
    </w:pPr>
    <w:r>
      <w:rPr>
        <w:color w:val="000000"/>
      </w:rPr>
      <w:fldChar w:fldCharType="begin"/>
    </w:r>
    <w:r>
      <w:rPr>
        <w:color w:val="000000"/>
      </w:rPr>
      <w:instrText>PAGE</w:instrText>
    </w:r>
    <w:r w:rsidR="00DE33E4">
      <w:rPr>
        <w:color w:val="000000"/>
      </w:rPr>
      <w:fldChar w:fldCharType="separate"/>
    </w:r>
    <w:r w:rsidR="00DE33E4">
      <w:rPr>
        <w:noProof/>
        <w:color w:val="000000"/>
      </w:rPr>
      <w:t>2</w:t>
    </w:r>
    <w:r>
      <w:rPr>
        <w:color w:val="000000"/>
      </w:rPr>
      <w:fldChar w:fldCharType="end"/>
    </w:r>
  </w:p>
  <w:p w:rsidR="000A3797" w:rsidRDefault="000A3797">
    <w:pPr>
      <w:pBdr>
        <w:top w:val="nil"/>
        <w:left w:val="nil"/>
        <w:bottom w:val="nil"/>
        <w:right w:val="nil"/>
        <w:between w:val="nil"/>
      </w:pBdr>
      <w:tabs>
        <w:tab w:val="center" w:pos="4677"/>
        <w:tab w:val="right" w:pos="9355"/>
      </w:tabs>
      <w:spacing w:after="0" w:line="240" w:lineRule="auto"/>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660E7" w:rsidRDefault="00A660E7">
      <w:pPr>
        <w:spacing w:after="0" w:line="240" w:lineRule="auto"/>
      </w:pPr>
      <w:r>
        <w:separator/>
      </w:r>
    </w:p>
  </w:footnote>
  <w:footnote w:type="continuationSeparator" w:id="0">
    <w:p w:rsidR="00A660E7" w:rsidRDefault="00A660E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82433C"/>
    <w:multiLevelType w:val="multilevel"/>
    <w:tmpl w:val="0C6E241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5BF1AC7"/>
    <w:multiLevelType w:val="multilevel"/>
    <w:tmpl w:val="F2E4BA88"/>
    <w:lvl w:ilvl="0">
      <w:start w:val="1"/>
      <w:numFmt w:val="decimal"/>
      <w:lvlText w:val="%1."/>
      <w:lvlJc w:val="left"/>
      <w:pPr>
        <w:ind w:left="720" w:hanging="360"/>
      </w:p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2" w15:restartNumberingAfterBreak="0">
    <w:nsid w:val="146B0B98"/>
    <w:multiLevelType w:val="multilevel"/>
    <w:tmpl w:val="0E6CB438"/>
    <w:lvl w:ilvl="0">
      <w:start w:val="1"/>
      <w:numFmt w:val="decimal"/>
      <w:lvlText w:val="%1."/>
      <w:lvlJc w:val="left"/>
      <w:pPr>
        <w:ind w:left="785" w:hanging="360"/>
      </w:pPr>
      <w:rPr>
        <w:i w:val="0"/>
      </w:rPr>
    </w:lvl>
    <w:lvl w:ilvl="1">
      <w:start w:val="1"/>
      <w:numFmt w:val="lowerLetter"/>
      <w:lvlText w:val="%2."/>
      <w:lvlJc w:val="left"/>
      <w:pPr>
        <w:ind w:left="1505" w:hanging="360"/>
      </w:pPr>
    </w:lvl>
    <w:lvl w:ilvl="2">
      <w:start w:val="1"/>
      <w:numFmt w:val="lowerRoman"/>
      <w:lvlText w:val="%3."/>
      <w:lvlJc w:val="right"/>
      <w:pPr>
        <w:ind w:left="2225" w:hanging="180"/>
      </w:pPr>
    </w:lvl>
    <w:lvl w:ilvl="3">
      <w:start w:val="1"/>
      <w:numFmt w:val="decimal"/>
      <w:lvlText w:val="%4."/>
      <w:lvlJc w:val="left"/>
      <w:pPr>
        <w:ind w:left="2945" w:hanging="360"/>
      </w:pPr>
    </w:lvl>
    <w:lvl w:ilvl="4">
      <w:start w:val="1"/>
      <w:numFmt w:val="lowerLetter"/>
      <w:lvlText w:val="%5."/>
      <w:lvlJc w:val="left"/>
      <w:pPr>
        <w:ind w:left="3665" w:hanging="360"/>
      </w:pPr>
    </w:lvl>
    <w:lvl w:ilvl="5">
      <w:start w:val="1"/>
      <w:numFmt w:val="lowerRoman"/>
      <w:lvlText w:val="%6."/>
      <w:lvlJc w:val="right"/>
      <w:pPr>
        <w:ind w:left="4385" w:hanging="180"/>
      </w:pPr>
    </w:lvl>
    <w:lvl w:ilvl="6">
      <w:start w:val="1"/>
      <w:numFmt w:val="decimal"/>
      <w:lvlText w:val="%7."/>
      <w:lvlJc w:val="left"/>
      <w:pPr>
        <w:ind w:left="5105" w:hanging="360"/>
      </w:pPr>
    </w:lvl>
    <w:lvl w:ilvl="7">
      <w:start w:val="1"/>
      <w:numFmt w:val="lowerLetter"/>
      <w:lvlText w:val="%8."/>
      <w:lvlJc w:val="left"/>
      <w:pPr>
        <w:ind w:left="5825" w:hanging="360"/>
      </w:pPr>
    </w:lvl>
    <w:lvl w:ilvl="8">
      <w:start w:val="1"/>
      <w:numFmt w:val="lowerRoman"/>
      <w:lvlText w:val="%9."/>
      <w:lvlJc w:val="right"/>
      <w:pPr>
        <w:ind w:left="6545" w:hanging="180"/>
      </w:pPr>
    </w:lvl>
  </w:abstractNum>
  <w:abstractNum w:abstractNumId="3" w15:restartNumberingAfterBreak="0">
    <w:nsid w:val="1A293A89"/>
    <w:multiLevelType w:val="multilevel"/>
    <w:tmpl w:val="A014AF78"/>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1EC93958"/>
    <w:multiLevelType w:val="multilevel"/>
    <w:tmpl w:val="2660AEC2"/>
    <w:lvl w:ilvl="0">
      <w:start w:val="1"/>
      <w:numFmt w:val="decimal"/>
      <w:lvlText w:val="%1."/>
      <w:lvlJc w:val="left"/>
      <w:pPr>
        <w:ind w:left="720" w:hanging="360"/>
      </w:pPr>
      <w:rPr>
        <w:b/>
        <w:sz w:val="28"/>
        <w:szCs w:val="28"/>
      </w:rPr>
    </w:lvl>
    <w:lvl w:ilvl="1">
      <w:start w:val="4"/>
      <w:numFmt w:val="decimal"/>
      <w:lvlText w:val="%1.%2"/>
      <w:lvlJc w:val="left"/>
      <w:pPr>
        <w:ind w:left="960" w:hanging="600"/>
      </w:p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1800" w:hanging="1440"/>
      </w:pPr>
    </w:lvl>
    <w:lvl w:ilvl="7">
      <w:start w:val="1"/>
      <w:numFmt w:val="decimal"/>
      <w:lvlText w:val="%1.%2.%3.%4.%5.%6.%7.%8"/>
      <w:lvlJc w:val="left"/>
      <w:pPr>
        <w:ind w:left="2160" w:hanging="1800"/>
      </w:pPr>
    </w:lvl>
    <w:lvl w:ilvl="8">
      <w:start w:val="1"/>
      <w:numFmt w:val="decimal"/>
      <w:lvlText w:val="%1.%2.%3.%4.%5.%6.%7.%8.%9"/>
      <w:lvlJc w:val="left"/>
      <w:pPr>
        <w:ind w:left="2520" w:hanging="2160"/>
      </w:pPr>
    </w:lvl>
  </w:abstractNum>
  <w:abstractNum w:abstractNumId="5" w15:restartNumberingAfterBreak="0">
    <w:nsid w:val="30FD0DCA"/>
    <w:multiLevelType w:val="multilevel"/>
    <w:tmpl w:val="3D7626C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38677379"/>
    <w:multiLevelType w:val="multilevel"/>
    <w:tmpl w:val="663EF6F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3A11697C"/>
    <w:multiLevelType w:val="multilevel"/>
    <w:tmpl w:val="08668792"/>
    <w:lvl w:ilvl="0">
      <w:start w:val="1"/>
      <w:numFmt w:val="decimal"/>
      <w:lvlText w:val="%1"/>
      <w:lvlJc w:val="left"/>
      <w:pPr>
        <w:ind w:left="720" w:hanging="360"/>
      </w:pPr>
    </w:lvl>
    <w:lvl w:ilvl="1">
      <w:start w:val="7"/>
      <w:numFmt w:val="decimal"/>
      <w:lvlText w:val="%1.%2"/>
      <w:lvlJc w:val="left"/>
      <w:pPr>
        <w:ind w:left="780" w:hanging="420"/>
      </w:p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1800" w:hanging="1440"/>
      </w:pPr>
    </w:lvl>
    <w:lvl w:ilvl="7">
      <w:start w:val="1"/>
      <w:numFmt w:val="decimal"/>
      <w:lvlText w:val="%1.%2.%3.%4.%5.%6.%7.%8"/>
      <w:lvlJc w:val="left"/>
      <w:pPr>
        <w:ind w:left="2160" w:hanging="1800"/>
      </w:pPr>
    </w:lvl>
    <w:lvl w:ilvl="8">
      <w:start w:val="1"/>
      <w:numFmt w:val="decimal"/>
      <w:lvlText w:val="%1.%2.%3.%4.%5.%6.%7.%8.%9"/>
      <w:lvlJc w:val="left"/>
      <w:pPr>
        <w:ind w:left="2520" w:hanging="2160"/>
      </w:pPr>
    </w:lvl>
  </w:abstractNum>
  <w:abstractNum w:abstractNumId="8" w15:restartNumberingAfterBreak="0">
    <w:nsid w:val="532568D7"/>
    <w:multiLevelType w:val="multilevel"/>
    <w:tmpl w:val="85BAB402"/>
    <w:lvl w:ilvl="0">
      <w:start w:val="1"/>
      <w:numFmt w:val="decimal"/>
      <w:lvlText w:val="%1."/>
      <w:lvlJc w:val="left"/>
      <w:pPr>
        <w:ind w:left="502" w:hanging="360"/>
      </w:pPr>
    </w:lvl>
    <w:lvl w:ilvl="1">
      <w:start w:val="2"/>
      <w:numFmt w:val="decimal"/>
      <w:lvlText w:val="%1.%2"/>
      <w:lvlJc w:val="left"/>
      <w:pPr>
        <w:ind w:left="986" w:hanging="735"/>
      </w:pPr>
    </w:lvl>
    <w:lvl w:ilvl="2">
      <w:start w:val="1"/>
      <w:numFmt w:val="decimal"/>
      <w:lvlText w:val="%1.%2.%3"/>
      <w:lvlJc w:val="left"/>
      <w:pPr>
        <w:ind w:left="1095" w:hanging="735"/>
      </w:pPr>
    </w:lvl>
    <w:lvl w:ilvl="3">
      <w:start w:val="1"/>
      <w:numFmt w:val="decimal"/>
      <w:lvlText w:val="%1.%2.%3.%4"/>
      <w:lvlJc w:val="left"/>
      <w:pPr>
        <w:ind w:left="1549" w:hanging="1080"/>
      </w:pPr>
    </w:lvl>
    <w:lvl w:ilvl="4">
      <w:start w:val="1"/>
      <w:numFmt w:val="decimal"/>
      <w:lvlText w:val="%1.%2.%3.%4.%5"/>
      <w:lvlJc w:val="left"/>
      <w:pPr>
        <w:ind w:left="1658" w:hanging="1080"/>
      </w:pPr>
    </w:lvl>
    <w:lvl w:ilvl="5">
      <w:start w:val="1"/>
      <w:numFmt w:val="decimal"/>
      <w:lvlText w:val="%1.%2.%3.%4.%5.%6"/>
      <w:lvlJc w:val="left"/>
      <w:pPr>
        <w:ind w:left="2127" w:hanging="1440"/>
      </w:pPr>
    </w:lvl>
    <w:lvl w:ilvl="6">
      <w:start w:val="1"/>
      <w:numFmt w:val="decimal"/>
      <w:lvlText w:val="%1.%2.%3.%4.%5.%6.%7"/>
      <w:lvlJc w:val="left"/>
      <w:pPr>
        <w:ind w:left="2236" w:hanging="1440"/>
      </w:pPr>
    </w:lvl>
    <w:lvl w:ilvl="7">
      <w:start w:val="1"/>
      <w:numFmt w:val="decimal"/>
      <w:lvlText w:val="%1.%2.%3.%4.%5.%6.%7.%8"/>
      <w:lvlJc w:val="left"/>
      <w:pPr>
        <w:ind w:left="2705" w:hanging="1800"/>
      </w:pPr>
    </w:lvl>
    <w:lvl w:ilvl="8">
      <w:start w:val="1"/>
      <w:numFmt w:val="decimal"/>
      <w:lvlText w:val="%1.%2.%3.%4.%5.%6.%7.%8.%9"/>
      <w:lvlJc w:val="left"/>
      <w:pPr>
        <w:ind w:left="3174" w:hanging="2160"/>
      </w:pPr>
    </w:lvl>
  </w:abstractNum>
  <w:abstractNum w:abstractNumId="9" w15:restartNumberingAfterBreak="0">
    <w:nsid w:val="54A51315"/>
    <w:multiLevelType w:val="multilevel"/>
    <w:tmpl w:val="8EC48DE4"/>
    <w:lvl w:ilvl="0">
      <w:start w:val="1"/>
      <w:numFmt w:val="decimal"/>
      <w:lvlText w:val="%1"/>
      <w:lvlJc w:val="left"/>
      <w:pPr>
        <w:ind w:left="420" w:hanging="420"/>
      </w:pPr>
      <w:rPr>
        <w:rFonts w:ascii="Times New Roman" w:eastAsia="Times New Roman" w:hAnsi="Times New Roman" w:cs="Times New Roman"/>
      </w:rPr>
    </w:lvl>
    <w:lvl w:ilvl="1">
      <w:start w:val="1"/>
      <w:numFmt w:val="decimal"/>
      <w:lvlText w:val="%1.%2"/>
      <w:lvlJc w:val="left"/>
      <w:pPr>
        <w:ind w:left="765" w:hanging="420"/>
      </w:pPr>
    </w:lvl>
    <w:lvl w:ilvl="2">
      <w:start w:val="1"/>
      <w:numFmt w:val="decimal"/>
      <w:lvlText w:val="%1.%2.%3"/>
      <w:lvlJc w:val="left"/>
      <w:pPr>
        <w:ind w:left="1410" w:hanging="720"/>
      </w:pPr>
    </w:lvl>
    <w:lvl w:ilvl="3">
      <w:start w:val="1"/>
      <w:numFmt w:val="decimal"/>
      <w:lvlText w:val="%1.%2.%3.%4"/>
      <w:lvlJc w:val="left"/>
      <w:pPr>
        <w:ind w:left="2115" w:hanging="1080"/>
      </w:pPr>
    </w:lvl>
    <w:lvl w:ilvl="4">
      <w:start w:val="1"/>
      <w:numFmt w:val="decimal"/>
      <w:lvlText w:val="%1.%2.%3.%4.%5"/>
      <w:lvlJc w:val="left"/>
      <w:pPr>
        <w:ind w:left="2460" w:hanging="1080"/>
      </w:pPr>
    </w:lvl>
    <w:lvl w:ilvl="5">
      <w:start w:val="1"/>
      <w:numFmt w:val="decimal"/>
      <w:lvlText w:val="%1.%2.%3.%4.%5.%6"/>
      <w:lvlJc w:val="left"/>
      <w:pPr>
        <w:ind w:left="3165" w:hanging="1440"/>
      </w:pPr>
    </w:lvl>
    <w:lvl w:ilvl="6">
      <w:start w:val="1"/>
      <w:numFmt w:val="decimal"/>
      <w:lvlText w:val="%1.%2.%3.%4.%5.%6.%7"/>
      <w:lvlJc w:val="left"/>
      <w:pPr>
        <w:ind w:left="3510" w:hanging="1440"/>
      </w:pPr>
    </w:lvl>
    <w:lvl w:ilvl="7">
      <w:start w:val="1"/>
      <w:numFmt w:val="decimal"/>
      <w:lvlText w:val="%1.%2.%3.%4.%5.%6.%7.%8"/>
      <w:lvlJc w:val="left"/>
      <w:pPr>
        <w:ind w:left="4215" w:hanging="1800"/>
      </w:pPr>
    </w:lvl>
    <w:lvl w:ilvl="8">
      <w:start w:val="1"/>
      <w:numFmt w:val="decimal"/>
      <w:lvlText w:val="%1.%2.%3.%4.%5.%6.%7.%8.%9"/>
      <w:lvlJc w:val="left"/>
      <w:pPr>
        <w:ind w:left="4920" w:hanging="2160"/>
      </w:pPr>
    </w:lvl>
  </w:abstractNum>
  <w:abstractNum w:abstractNumId="10" w15:restartNumberingAfterBreak="0">
    <w:nsid w:val="5C0C0DC3"/>
    <w:multiLevelType w:val="multilevel"/>
    <w:tmpl w:val="674AF75C"/>
    <w:lvl w:ilvl="0">
      <w:start w:val="1"/>
      <w:numFmt w:val="decimal"/>
      <w:lvlText w:val="%1."/>
      <w:lvlJc w:val="left"/>
      <w:pPr>
        <w:ind w:left="720" w:hanging="360"/>
      </w:pPr>
      <w:rPr>
        <w:b/>
        <w:sz w:val="28"/>
        <w:szCs w:val="28"/>
      </w:rPr>
    </w:lvl>
    <w:lvl w:ilvl="1">
      <w:start w:val="2"/>
      <w:numFmt w:val="decimal"/>
      <w:lvlText w:val="%1.%2"/>
      <w:lvlJc w:val="left"/>
      <w:pPr>
        <w:ind w:left="375" w:hanging="375"/>
      </w:p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1800" w:hanging="1440"/>
      </w:pPr>
    </w:lvl>
    <w:lvl w:ilvl="7">
      <w:start w:val="1"/>
      <w:numFmt w:val="decimal"/>
      <w:lvlText w:val="%1.%2.%3.%4.%5.%6.%7.%8"/>
      <w:lvlJc w:val="left"/>
      <w:pPr>
        <w:ind w:left="2160" w:hanging="1800"/>
      </w:pPr>
    </w:lvl>
    <w:lvl w:ilvl="8">
      <w:start w:val="1"/>
      <w:numFmt w:val="decimal"/>
      <w:lvlText w:val="%1.%2.%3.%4.%5.%6.%7.%8.%9"/>
      <w:lvlJc w:val="left"/>
      <w:pPr>
        <w:ind w:left="2520" w:hanging="2160"/>
      </w:pPr>
    </w:lvl>
  </w:abstractNum>
  <w:abstractNum w:abstractNumId="11" w15:restartNumberingAfterBreak="0">
    <w:nsid w:val="606B45A7"/>
    <w:multiLevelType w:val="multilevel"/>
    <w:tmpl w:val="C362FA2A"/>
    <w:lvl w:ilvl="0">
      <w:start w:val="1"/>
      <w:numFmt w:val="decimal"/>
      <w:lvlText w:val="%1."/>
      <w:lvlJc w:val="left"/>
      <w:pPr>
        <w:ind w:left="1069" w:hanging="360"/>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12" w15:restartNumberingAfterBreak="0">
    <w:nsid w:val="672424A9"/>
    <w:multiLevelType w:val="multilevel"/>
    <w:tmpl w:val="384E8158"/>
    <w:lvl w:ilvl="0">
      <w:start w:val="1"/>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68780B5A"/>
    <w:multiLevelType w:val="multilevel"/>
    <w:tmpl w:val="3694165A"/>
    <w:lvl w:ilvl="0">
      <w:start w:val="28"/>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6A947449"/>
    <w:multiLevelType w:val="multilevel"/>
    <w:tmpl w:val="DD0247B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77D44B8D"/>
    <w:multiLevelType w:val="multilevel"/>
    <w:tmpl w:val="35B24B2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7E2D5747"/>
    <w:multiLevelType w:val="multilevel"/>
    <w:tmpl w:val="EBEC77F0"/>
    <w:lvl w:ilvl="0">
      <w:start w:val="1"/>
      <w:numFmt w:val="decimal"/>
      <w:lvlText w:val="%1."/>
      <w:lvlJc w:val="left"/>
      <w:pPr>
        <w:ind w:left="1069" w:hanging="360"/>
      </w:pPr>
      <w:rPr>
        <w:rFonts w:ascii="Times New Roman" w:eastAsia="Times New Roman" w:hAnsi="Times New Roman" w:cs="Times New Roman"/>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num w:numId="1">
    <w:abstractNumId w:val="14"/>
  </w:num>
  <w:num w:numId="2">
    <w:abstractNumId w:val="2"/>
  </w:num>
  <w:num w:numId="3">
    <w:abstractNumId w:val="6"/>
  </w:num>
  <w:num w:numId="4">
    <w:abstractNumId w:val="0"/>
  </w:num>
  <w:num w:numId="5">
    <w:abstractNumId w:val="1"/>
  </w:num>
  <w:num w:numId="6">
    <w:abstractNumId w:val="8"/>
  </w:num>
  <w:num w:numId="7">
    <w:abstractNumId w:val="4"/>
  </w:num>
  <w:num w:numId="8">
    <w:abstractNumId w:val="12"/>
  </w:num>
  <w:num w:numId="9">
    <w:abstractNumId w:val="9"/>
  </w:num>
  <w:num w:numId="10">
    <w:abstractNumId w:val="13"/>
  </w:num>
  <w:num w:numId="11">
    <w:abstractNumId w:val="15"/>
  </w:num>
  <w:num w:numId="12">
    <w:abstractNumId w:val="7"/>
  </w:num>
  <w:num w:numId="13">
    <w:abstractNumId w:val="5"/>
  </w:num>
  <w:num w:numId="14">
    <w:abstractNumId w:val="10"/>
  </w:num>
  <w:num w:numId="15">
    <w:abstractNumId w:val="3"/>
  </w:num>
  <w:num w:numId="16">
    <w:abstractNumId w:val="16"/>
  </w:num>
  <w:num w:numId="1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A3797"/>
    <w:rsid w:val="000A3797"/>
    <w:rsid w:val="00A660E7"/>
    <w:rsid w:val="00DE33E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0EE02DB-E310-4541-8A3D-F3269821F9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style>
  <w:style w:type="paragraph" w:styleId="1">
    <w:name w:val="heading 1"/>
    <w:basedOn w:val="a"/>
    <w:next w:val="a"/>
    <w:pPr>
      <w:keepNext/>
      <w:keepLines/>
      <w:spacing w:before="240" w:after="0"/>
      <w:outlineLvl w:val="0"/>
    </w:pPr>
    <w:rPr>
      <w:color w:val="2E75B5"/>
      <w:sz w:val="32"/>
      <w:szCs w:val="32"/>
    </w:rPr>
  </w:style>
  <w:style w:type="paragraph" w:styleId="2">
    <w:name w:val="heading 2"/>
    <w:basedOn w:val="a"/>
    <w:next w:val="a"/>
    <w:pPr>
      <w:keepNext/>
      <w:keepLines/>
      <w:spacing w:before="40" w:after="0" w:line="276" w:lineRule="auto"/>
      <w:outlineLvl w:val="1"/>
    </w:pPr>
    <w:rPr>
      <w:color w:val="2E75B5"/>
      <w:sz w:val="26"/>
      <w:szCs w:val="26"/>
    </w:rPr>
  </w:style>
  <w:style w:type="paragraph" w:styleId="3">
    <w:name w:val="heading 3"/>
    <w:basedOn w:val="a"/>
    <w:next w:val="a"/>
    <w:pPr>
      <w:keepNext/>
      <w:keepLines/>
      <w:spacing w:before="280" w:after="80"/>
      <w:outlineLvl w:val="2"/>
    </w:pPr>
    <w:rPr>
      <w:b/>
      <w:sz w:val="28"/>
      <w:szCs w:val="28"/>
    </w:rPr>
  </w:style>
  <w:style w:type="paragraph" w:styleId="4">
    <w:name w:val="heading 4"/>
    <w:basedOn w:val="a"/>
    <w:next w:val="a"/>
    <w:pPr>
      <w:keepNext/>
      <w:keepLines/>
      <w:spacing w:before="240" w:after="40"/>
      <w:outlineLvl w:val="3"/>
    </w:pPr>
    <w:rPr>
      <w:b/>
      <w:sz w:val="24"/>
      <w:szCs w:val="24"/>
    </w:rPr>
  </w:style>
  <w:style w:type="paragraph" w:styleId="5">
    <w:name w:val="heading 5"/>
    <w:basedOn w:val="a"/>
    <w:next w:val="a"/>
    <w:pPr>
      <w:keepNext/>
      <w:keepLines/>
      <w:spacing w:before="220" w:after="40"/>
      <w:outlineLvl w:val="4"/>
    </w:pPr>
    <w:rPr>
      <w:b/>
    </w:rPr>
  </w:style>
  <w:style w:type="paragraph" w:styleId="6">
    <w:name w:val="heading 6"/>
    <w:basedOn w:val="a"/>
    <w:next w:val="a"/>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before="480" w:after="120"/>
    </w:pPr>
    <w:rPr>
      <w:b/>
      <w:sz w:val="72"/>
      <w:szCs w:val="72"/>
    </w:rPr>
  </w:style>
  <w:style w:type="paragraph" w:styleId="a4">
    <w:name w:val="Subtitle"/>
    <w:basedOn w:val="a"/>
    <w:next w:val="a"/>
    <w:pPr>
      <w:keepNext/>
      <w:keepLines/>
      <w:spacing w:before="360" w:after="80"/>
    </w:pPr>
    <w:rPr>
      <w:rFonts w:ascii="Georgia" w:eastAsia="Georgia" w:hAnsi="Georgia" w:cs="Georgia"/>
      <w:i/>
      <w:color w:val="666666"/>
      <w:sz w:val="48"/>
      <w:szCs w:val="48"/>
    </w:rPr>
  </w:style>
  <w:style w:type="table" w:customStyle="1" w:styleId="a5">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6">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7">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8">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9">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a">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b">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c">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d">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e">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0">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1">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2">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3">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4">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5">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6">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7">
    <w:basedOn w:val="TableNormal"/>
    <w:tblPr>
      <w:tblStyleRowBandSize w:val="1"/>
      <w:tblStyleColBandSize w:val="1"/>
      <w:tblCellMar>
        <w:top w:w="0" w:type="dxa"/>
        <w:left w:w="0" w:type="dxa"/>
        <w:bottom w:w="0" w:type="dxa"/>
        <w:right w:w="0" w:type="dxa"/>
      </w:tblCellMar>
    </w:tblPr>
  </w:style>
  <w:style w:type="table" w:customStyle="1" w:styleId="af8">
    <w:basedOn w:val="TableNormal"/>
    <w:tblPr>
      <w:tblStyleRowBandSize w:val="1"/>
      <w:tblStyleColBandSize w:val="1"/>
      <w:tblCellMar>
        <w:top w:w="0" w:type="dxa"/>
        <w:left w:w="0" w:type="dxa"/>
        <w:bottom w:w="0" w:type="dxa"/>
        <w:right w:w="0" w:type="dxa"/>
      </w:tblCellMar>
    </w:tblPr>
  </w:style>
  <w:style w:type="table" w:customStyle="1" w:styleId="af9">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a">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b">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c">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d">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e">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0">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1">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2">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3">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4">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5">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6">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7">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8">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9">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a">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b">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c">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d">
    <w:basedOn w:val="TableNormal"/>
    <w:tblPr>
      <w:tblStyleRowBandSize w:val="1"/>
      <w:tblStyleColBandSize w:val="1"/>
      <w:tblCellMar>
        <w:top w:w="0" w:type="dxa"/>
        <w:left w:w="10" w:type="dxa"/>
        <w:bottom w:w="0" w:type="dxa"/>
        <w:right w:w="10" w:type="dxa"/>
      </w:tblCellMar>
    </w:tblPr>
  </w:style>
  <w:style w:type="table" w:customStyle="1" w:styleId="affe">
    <w:basedOn w:val="TableNormal"/>
    <w:tblPr>
      <w:tblStyleRowBandSize w:val="1"/>
      <w:tblStyleColBandSize w:val="1"/>
      <w:tblCellMar>
        <w:top w:w="0" w:type="dxa"/>
        <w:left w:w="10" w:type="dxa"/>
        <w:bottom w:w="0" w:type="dxa"/>
        <w:right w:w="10" w:type="dxa"/>
      </w:tblCellMar>
    </w:tblPr>
  </w:style>
  <w:style w:type="table" w:customStyle="1" w:styleId="afff">
    <w:basedOn w:val="TableNormal"/>
    <w:tblPr>
      <w:tblStyleRowBandSize w:val="1"/>
      <w:tblStyleColBandSize w:val="1"/>
      <w:tblCellMar>
        <w:top w:w="0" w:type="dxa"/>
        <w:left w:w="10" w:type="dxa"/>
        <w:bottom w:w="0" w:type="dxa"/>
        <w:right w:w="10" w:type="dxa"/>
      </w:tblCellMar>
    </w:tblPr>
  </w:style>
  <w:style w:type="table" w:customStyle="1" w:styleId="afff0">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f1">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f2">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f3">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f4">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f5">
    <w:basedOn w:val="TableNormal"/>
    <w:pPr>
      <w:spacing w:after="0" w:line="240" w:lineRule="auto"/>
    </w:pPr>
    <w:tblPr>
      <w:tblStyleRowBandSize w:val="1"/>
      <w:tblStyleColBandSize w:val="1"/>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chart" Target="charts/chart8.xml"/><Relationship Id="rId21" Type="http://schemas.openxmlformats.org/officeDocument/2006/relationships/chart" Target="charts/chart6.xml"/><Relationship Id="rId42" Type="http://schemas.openxmlformats.org/officeDocument/2006/relationships/image" Target="media/image10.png"/><Relationship Id="rId47" Type="http://schemas.openxmlformats.org/officeDocument/2006/relationships/image" Target="media/image15.png"/><Relationship Id="rId63" Type="http://schemas.openxmlformats.org/officeDocument/2006/relationships/image" Target="media/image31.png"/><Relationship Id="rId68" Type="http://schemas.openxmlformats.org/officeDocument/2006/relationships/image" Target="media/image36.png"/><Relationship Id="rId84" Type="http://schemas.openxmlformats.org/officeDocument/2006/relationships/image" Target="media/image52.png"/><Relationship Id="rId89" Type="http://schemas.openxmlformats.org/officeDocument/2006/relationships/image" Target="media/image56.png"/><Relationship Id="rId16" Type="http://schemas.openxmlformats.org/officeDocument/2006/relationships/image" Target="media/image3.png"/><Relationship Id="rId11" Type="http://schemas.openxmlformats.org/officeDocument/2006/relationships/hyperlink" Target="https://www.prolaps-monitoring.com/" TargetMode="External"/><Relationship Id="rId32" Type="http://schemas.openxmlformats.org/officeDocument/2006/relationships/hyperlink" Target="https://www.prolaps-monitoring.com" TargetMode="External"/><Relationship Id="rId37" Type="http://schemas.openxmlformats.org/officeDocument/2006/relationships/hyperlink" Target="http://doi.org/10.11591/ijphs.v13i3.23790" TargetMode="External"/><Relationship Id="rId53" Type="http://schemas.openxmlformats.org/officeDocument/2006/relationships/image" Target="media/image21.png"/><Relationship Id="rId58" Type="http://schemas.openxmlformats.org/officeDocument/2006/relationships/image" Target="media/image26.png"/><Relationship Id="rId74" Type="http://schemas.openxmlformats.org/officeDocument/2006/relationships/image" Target="media/image42.png"/><Relationship Id="rId79" Type="http://schemas.openxmlformats.org/officeDocument/2006/relationships/image" Target="media/image47.png"/><Relationship Id="rId5" Type="http://schemas.openxmlformats.org/officeDocument/2006/relationships/footnotes" Target="footnotes.xml"/><Relationship Id="rId90" Type="http://schemas.openxmlformats.org/officeDocument/2006/relationships/footer" Target="footer1.xml"/><Relationship Id="rId14" Type="http://schemas.openxmlformats.org/officeDocument/2006/relationships/image" Target="media/image1.png"/><Relationship Id="rId22" Type="http://schemas.openxmlformats.org/officeDocument/2006/relationships/chart" Target="charts/chart7.xml"/><Relationship Id="rId27" Type="http://schemas.openxmlformats.org/officeDocument/2006/relationships/chart" Target="charts/chart9.xml"/><Relationship Id="rId30" Type="http://schemas.openxmlformats.org/officeDocument/2006/relationships/hyperlink" Target="https://www.prolaps-monitoring.com" TargetMode="External"/><Relationship Id="rId35" Type="http://schemas.openxmlformats.org/officeDocument/2006/relationships/hyperlink" Target="https://www.prolaps-monitoring.com" TargetMode="External"/><Relationship Id="rId43" Type="http://schemas.openxmlformats.org/officeDocument/2006/relationships/image" Target="media/image11.png"/><Relationship Id="rId48" Type="http://schemas.openxmlformats.org/officeDocument/2006/relationships/image" Target="media/image16.png"/><Relationship Id="rId56" Type="http://schemas.openxmlformats.org/officeDocument/2006/relationships/image" Target="media/image24.png"/><Relationship Id="rId64" Type="http://schemas.openxmlformats.org/officeDocument/2006/relationships/image" Target="media/image32.png"/><Relationship Id="rId69" Type="http://schemas.openxmlformats.org/officeDocument/2006/relationships/image" Target="media/image37.png"/><Relationship Id="rId77" Type="http://schemas.openxmlformats.org/officeDocument/2006/relationships/image" Target="media/image45.png"/><Relationship Id="rId8" Type="http://schemas.openxmlformats.org/officeDocument/2006/relationships/hyperlink" Target="https://www.prolaps-monitoring.com" TargetMode="External"/><Relationship Id="rId51" Type="http://schemas.openxmlformats.org/officeDocument/2006/relationships/image" Target="media/image19.png"/><Relationship Id="rId72" Type="http://schemas.openxmlformats.org/officeDocument/2006/relationships/image" Target="media/image40.png"/><Relationship Id="rId80" Type="http://schemas.openxmlformats.org/officeDocument/2006/relationships/image" Target="media/image48.png"/><Relationship Id="rId85" Type="http://schemas.openxmlformats.org/officeDocument/2006/relationships/image" Target="media/image53.png"/><Relationship Id="rId3" Type="http://schemas.openxmlformats.org/officeDocument/2006/relationships/settings" Target="settings.xml"/><Relationship Id="rId12" Type="http://schemas.openxmlformats.org/officeDocument/2006/relationships/hyperlink" Target="https://www.prolaps-monitoring.com" TargetMode="External"/><Relationship Id="rId17" Type="http://schemas.openxmlformats.org/officeDocument/2006/relationships/chart" Target="charts/chart2.xml"/><Relationship Id="rId25" Type="http://schemas.openxmlformats.org/officeDocument/2006/relationships/image" Target="media/image5.png"/><Relationship Id="rId33" Type="http://schemas.openxmlformats.org/officeDocument/2006/relationships/hyperlink" Target="https://www.prolaps-monitoring.com/" TargetMode="External"/><Relationship Id="rId38" Type="http://schemas.openxmlformats.org/officeDocument/2006/relationships/image" Target="media/image6.png"/><Relationship Id="rId46" Type="http://schemas.openxmlformats.org/officeDocument/2006/relationships/image" Target="media/image14.png"/><Relationship Id="rId59" Type="http://schemas.openxmlformats.org/officeDocument/2006/relationships/image" Target="media/image27.png"/><Relationship Id="rId67" Type="http://schemas.openxmlformats.org/officeDocument/2006/relationships/image" Target="media/image35.png"/><Relationship Id="rId20" Type="http://schemas.openxmlformats.org/officeDocument/2006/relationships/chart" Target="charts/chart5.xml"/><Relationship Id="rId41" Type="http://schemas.openxmlformats.org/officeDocument/2006/relationships/image" Target="media/image9.png"/><Relationship Id="rId54" Type="http://schemas.openxmlformats.org/officeDocument/2006/relationships/image" Target="media/image22.png"/><Relationship Id="rId62" Type="http://schemas.openxmlformats.org/officeDocument/2006/relationships/image" Target="media/image30.png"/><Relationship Id="rId70" Type="http://schemas.openxmlformats.org/officeDocument/2006/relationships/image" Target="media/image38.png"/><Relationship Id="rId75" Type="http://schemas.openxmlformats.org/officeDocument/2006/relationships/image" Target="media/image43.png"/><Relationship Id="rId83" Type="http://schemas.openxmlformats.org/officeDocument/2006/relationships/image" Target="media/image51.png"/><Relationship Id="rId88" Type="http://schemas.openxmlformats.org/officeDocument/2006/relationships/hyperlink" Target="https://www.prolaps-monitoring.com" TargetMode="External"/><Relationship Id="rId9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2.tiff"/><Relationship Id="rId23" Type="http://schemas.openxmlformats.org/officeDocument/2006/relationships/image" Target="media/image4.png"/><Relationship Id="rId28" Type="http://schemas.openxmlformats.org/officeDocument/2006/relationships/chart" Target="charts/chart10.xml"/><Relationship Id="rId36" Type="http://schemas.openxmlformats.org/officeDocument/2006/relationships/hyperlink" Target="https://www.prolaps-monitoring.com" TargetMode="External"/><Relationship Id="rId49" Type="http://schemas.openxmlformats.org/officeDocument/2006/relationships/image" Target="media/image17.png"/><Relationship Id="rId57" Type="http://schemas.openxmlformats.org/officeDocument/2006/relationships/image" Target="media/image25.png"/><Relationship Id="rId10" Type="http://schemas.openxmlformats.org/officeDocument/2006/relationships/hyperlink" Target="https://www.prolaps-monitoring.com" TargetMode="External"/><Relationship Id="rId31" Type="http://schemas.openxmlformats.org/officeDocument/2006/relationships/hyperlink" Target="https://www.prolaps-monitoring.com" TargetMode="External"/><Relationship Id="rId44" Type="http://schemas.openxmlformats.org/officeDocument/2006/relationships/image" Target="media/image12.png"/><Relationship Id="rId52" Type="http://schemas.openxmlformats.org/officeDocument/2006/relationships/image" Target="media/image20.png"/><Relationship Id="rId60" Type="http://schemas.openxmlformats.org/officeDocument/2006/relationships/image" Target="media/image28.png"/><Relationship Id="rId65" Type="http://schemas.openxmlformats.org/officeDocument/2006/relationships/image" Target="media/image33.png"/><Relationship Id="rId73" Type="http://schemas.openxmlformats.org/officeDocument/2006/relationships/image" Target="media/image41.png"/><Relationship Id="rId78" Type="http://schemas.openxmlformats.org/officeDocument/2006/relationships/image" Target="media/image46.png"/><Relationship Id="rId81" Type="http://schemas.openxmlformats.org/officeDocument/2006/relationships/image" Target="media/image49.png"/><Relationship Id="rId86" Type="http://schemas.openxmlformats.org/officeDocument/2006/relationships/image" Target="media/image54.png"/><Relationship Id="rId4" Type="http://schemas.openxmlformats.org/officeDocument/2006/relationships/webSettings" Target="webSettings.xml"/><Relationship Id="rId9" Type="http://schemas.openxmlformats.org/officeDocument/2006/relationships/hyperlink" Target="https://sample-size.net/sample-size-survival-analysis/" TargetMode="External"/><Relationship Id="rId13" Type="http://schemas.openxmlformats.org/officeDocument/2006/relationships/chart" Target="charts/chart1.xml"/><Relationship Id="rId18" Type="http://schemas.openxmlformats.org/officeDocument/2006/relationships/chart" Target="charts/chart3.xml"/><Relationship Id="rId39" Type="http://schemas.openxmlformats.org/officeDocument/2006/relationships/image" Target="media/image7.png"/><Relationship Id="rId34" Type="http://schemas.openxmlformats.org/officeDocument/2006/relationships/hyperlink" Target="https://www.prolaps-monitoring.com/" TargetMode="External"/><Relationship Id="rId50" Type="http://schemas.openxmlformats.org/officeDocument/2006/relationships/image" Target="media/image18.png"/><Relationship Id="rId55" Type="http://schemas.openxmlformats.org/officeDocument/2006/relationships/image" Target="media/image23.png"/><Relationship Id="rId76" Type="http://schemas.openxmlformats.org/officeDocument/2006/relationships/image" Target="media/image44.png"/><Relationship Id="rId7" Type="http://schemas.openxmlformats.org/officeDocument/2006/relationships/hyperlink" Target="https://sample-size.net/sample-size-survival-analysis/" TargetMode="External"/><Relationship Id="rId71" Type="http://schemas.openxmlformats.org/officeDocument/2006/relationships/image" Target="media/image39.png"/><Relationship Id="rId92" Type="http://schemas.openxmlformats.org/officeDocument/2006/relationships/theme" Target="theme/theme1.xml"/><Relationship Id="rId2" Type="http://schemas.openxmlformats.org/officeDocument/2006/relationships/styles" Target="styles.xml"/><Relationship Id="rId29" Type="http://schemas.openxmlformats.org/officeDocument/2006/relationships/hyperlink" Target="https://www.prolaps-monitoring.com" TargetMode="External"/><Relationship Id="rId24" Type="http://schemas.openxmlformats.org/officeDocument/2006/relationships/hyperlink" Target="https://www.prolaps-monitoring.com" TargetMode="External"/><Relationship Id="rId40" Type="http://schemas.openxmlformats.org/officeDocument/2006/relationships/image" Target="media/image8.png"/><Relationship Id="rId45" Type="http://schemas.openxmlformats.org/officeDocument/2006/relationships/image" Target="media/image13.png"/><Relationship Id="rId66" Type="http://schemas.openxmlformats.org/officeDocument/2006/relationships/image" Target="media/image34.png"/><Relationship Id="rId87" Type="http://schemas.openxmlformats.org/officeDocument/2006/relationships/image" Target="media/image55.png"/><Relationship Id="rId61" Type="http://schemas.openxmlformats.org/officeDocument/2006/relationships/image" Target="media/image29.png"/><Relationship Id="rId82" Type="http://schemas.openxmlformats.org/officeDocument/2006/relationships/image" Target="media/image50.png"/><Relationship Id="rId19" Type="http://schemas.openxmlformats.org/officeDocument/2006/relationships/chart" Target="charts/chart4.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7.xml"/><Relationship Id="rId1" Type="http://schemas.microsoft.com/office/2011/relationships/chartStyle" Target="style7.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1.xml"/><Relationship Id="rId1" Type="http://schemas.microsoft.com/office/2011/relationships/chartStyle" Target="style1.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4.xml"/><Relationship Id="rId1" Type="http://schemas.microsoft.com/office/2011/relationships/chartStyle" Target="style4.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5.xml"/><Relationship Id="rId1" Type="http://schemas.microsoft.com/office/2011/relationships/chartStyle" Target="style5.xml"/></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4415038397978037E-2"/>
          <c:y val="4.4861391929187228E-2"/>
          <c:w val="0.8750833576358511"/>
          <c:h val="0.85720342830906926"/>
        </c:manualLayout>
      </c:layout>
      <c:lineChart>
        <c:grouping val="standard"/>
        <c:varyColors val="0"/>
        <c:ser>
          <c:idx val="0"/>
          <c:order val="0"/>
          <c:tx>
            <c:strRef>
              <c:f>Лист1!$B$1</c:f>
              <c:strCache>
                <c:ptCount val="1"/>
                <c:pt idx="0">
                  <c:v>Республика Казахстан</c:v>
                </c:pt>
              </c:strCache>
            </c:strRef>
          </c:tx>
          <c:cat>
            <c:numRef>
              <c:f>Лист1!$A$2:$A$11</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Лист1!$B$2:$B$11</c:f>
              <c:numCache>
                <c:formatCode>General</c:formatCode>
                <c:ptCount val="10"/>
                <c:pt idx="0">
                  <c:v>1516</c:v>
                </c:pt>
                <c:pt idx="1">
                  <c:v>1856</c:v>
                </c:pt>
                <c:pt idx="2">
                  <c:v>2079</c:v>
                </c:pt>
                <c:pt idx="3">
                  <c:v>2352</c:v>
                </c:pt>
                <c:pt idx="4">
                  <c:v>3109</c:v>
                </c:pt>
                <c:pt idx="5">
                  <c:v>3414</c:v>
                </c:pt>
                <c:pt idx="6">
                  <c:v>3221</c:v>
                </c:pt>
                <c:pt idx="7">
                  <c:v>3274</c:v>
                </c:pt>
                <c:pt idx="8">
                  <c:v>2616</c:v>
                </c:pt>
                <c:pt idx="9">
                  <c:v>3215</c:v>
                </c:pt>
              </c:numCache>
            </c:numRef>
          </c:val>
          <c:smooth val="0"/>
          <c:extLst xmlns:c16r2="http://schemas.microsoft.com/office/drawing/2015/06/chart">
            <c:ext xmlns:c16="http://schemas.microsoft.com/office/drawing/2014/chart" uri="{C3380CC4-5D6E-409C-BE32-E72D297353CC}">
              <c16:uniqueId val="{00000000-BF4A-4BE1-86FD-2B63E51B4D3C}"/>
            </c:ext>
          </c:extLst>
        </c:ser>
        <c:ser>
          <c:idx val="1"/>
          <c:order val="1"/>
          <c:tx>
            <c:strRef>
              <c:f>Лист1!$C$1</c:f>
              <c:strCache>
                <c:ptCount val="1"/>
                <c:pt idx="0">
                  <c:v>Алматинская область </c:v>
                </c:pt>
              </c:strCache>
            </c:strRef>
          </c:tx>
          <c:cat>
            <c:numRef>
              <c:f>Лист1!$A$2:$A$11</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Лист1!$C$2:$C$11</c:f>
              <c:numCache>
                <c:formatCode>General</c:formatCode>
                <c:ptCount val="10"/>
                <c:pt idx="0">
                  <c:v>75</c:v>
                </c:pt>
                <c:pt idx="1">
                  <c:v>79</c:v>
                </c:pt>
                <c:pt idx="2">
                  <c:v>90</c:v>
                </c:pt>
                <c:pt idx="3">
                  <c:v>83</c:v>
                </c:pt>
                <c:pt idx="4">
                  <c:v>77</c:v>
                </c:pt>
                <c:pt idx="5">
                  <c:v>69</c:v>
                </c:pt>
                <c:pt idx="6">
                  <c:v>74</c:v>
                </c:pt>
                <c:pt idx="7">
                  <c:v>65</c:v>
                </c:pt>
                <c:pt idx="8">
                  <c:v>69</c:v>
                </c:pt>
                <c:pt idx="9">
                  <c:v>79</c:v>
                </c:pt>
              </c:numCache>
            </c:numRef>
          </c:val>
          <c:smooth val="0"/>
          <c:extLst xmlns:c16r2="http://schemas.microsoft.com/office/drawing/2015/06/chart">
            <c:ext xmlns:c16="http://schemas.microsoft.com/office/drawing/2014/chart" uri="{C3380CC4-5D6E-409C-BE32-E72D297353CC}">
              <c16:uniqueId val="{00000001-BF4A-4BE1-86FD-2B63E51B4D3C}"/>
            </c:ext>
          </c:extLst>
        </c:ser>
        <c:ser>
          <c:idx val="2"/>
          <c:order val="2"/>
          <c:tx>
            <c:strRef>
              <c:f>Лист1!$D$1</c:f>
              <c:strCache>
                <c:ptCount val="1"/>
                <c:pt idx="0">
                  <c:v>г. Алматы</c:v>
                </c:pt>
              </c:strCache>
            </c:strRef>
          </c:tx>
          <c:cat>
            <c:numRef>
              <c:f>Лист1!$A$2:$A$11</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Лист1!$D$2:$D$11</c:f>
              <c:numCache>
                <c:formatCode>General</c:formatCode>
                <c:ptCount val="10"/>
                <c:pt idx="0">
                  <c:v>157</c:v>
                </c:pt>
                <c:pt idx="1">
                  <c:v>231</c:v>
                </c:pt>
                <c:pt idx="2">
                  <c:v>203</c:v>
                </c:pt>
                <c:pt idx="3">
                  <c:v>264</c:v>
                </c:pt>
                <c:pt idx="4">
                  <c:v>568</c:v>
                </c:pt>
                <c:pt idx="5">
                  <c:v>648</c:v>
                </c:pt>
                <c:pt idx="6">
                  <c:v>558</c:v>
                </c:pt>
                <c:pt idx="7">
                  <c:v>576</c:v>
                </c:pt>
                <c:pt idx="8">
                  <c:v>593</c:v>
                </c:pt>
                <c:pt idx="9">
                  <c:v>587</c:v>
                </c:pt>
              </c:numCache>
            </c:numRef>
          </c:val>
          <c:smooth val="0"/>
          <c:extLst xmlns:c16r2="http://schemas.microsoft.com/office/drawing/2015/06/chart">
            <c:ext xmlns:c16="http://schemas.microsoft.com/office/drawing/2014/chart" uri="{C3380CC4-5D6E-409C-BE32-E72D297353CC}">
              <c16:uniqueId val="{00000002-BF4A-4BE1-86FD-2B63E51B4D3C}"/>
            </c:ext>
          </c:extLst>
        </c:ser>
        <c:ser>
          <c:idx val="3"/>
          <c:order val="3"/>
          <c:tx>
            <c:strRef>
              <c:f>Лист1!$E$1</c:f>
              <c:strCache>
                <c:ptCount val="1"/>
                <c:pt idx="0">
                  <c:v>г. Нурсултан</c:v>
                </c:pt>
              </c:strCache>
            </c:strRef>
          </c:tx>
          <c:cat>
            <c:numRef>
              <c:f>Лист1!$A$2:$A$11</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Лист1!$E$2:$E$11</c:f>
              <c:numCache>
                <c:formatCode>General</c:formatCode>
                <c:ptCount val="10"/>
                <c:pt idx="0">
                  <c:v>241</c:v>
                </c:pt>
                <c:pt idx="1">
                  <c:v>292</c:v>
                </c:pt>
                <c:pt idx="2">
                  <c:v>313</c:v>
                </c:pt>
                <c:pt idx="3">
                  <c:v>349</c:v>
                </c:pt>
                <c:pt idx="4">
                  <c:v>476</c:v>
                </c:pt>
                <c:pt idx="5">
                  <c:v>467</c:v>
                </c:pt>
                <c:pt idx="6">
                  <c:v>457</c:v>
                </c:pt>
                <c:pt idx="7">
                  <c:v>465</c:v>
                </c:pt>
                <c:pt idx="8">
                  <c:v>389</c:v>
                </c:pt>
                <c:pt idx="9">
                  <c:v>524</c:v>
                </c:pt>
              </c:numCache>
            </c:numRef>
          </c:val>
          <c:smooth val="0"/>
          <c:extLst xmlns:c16r2="http://schemas.microsoft.com/office/drawing/2015/06/chart">
            <c:ext xmlns:c16="http://schemas.microsoft.com/office/drawing/2014/chart" uri="{C3380CC4-5D6E-409C-BE32-E72D297353CC}">
              <c16:uniqueId val="{00000003-BF4A-4BE1-86FD-2B63E51B4D3C}"/>
            </c:ext>
          </c:extLst>
        </c:ser>
        <c:ser>
          <c:idx val="4"/>
          <c:order val="4"/>
          <c:tx>
            <c:strRef>
              <c:f>Лист1!$F$1</c:f>
              <c:strCache>
                <c:ptCount val="1"/>
                <c:pt idx="0">
                  <c:v>г. Шымкент</c:v>
                </c:pt>
              </c:strCache>
            </c:strRef>
          </c:tx>
          <c:cat>
            <c:numRef>
              <c:f>Лист1!$A$2:$A$11</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Лист1!$F$2:$F$11</c:f>
              <c:numCache>
                <c:formatCode>General</c:formatCode>
                <c:ptCount val="10"/>
                <c:pt idx="0">
                  <c:v>22</c:v>
                </c:pt>
                <c:pt idx="1">
                  <c:v>23</c:v>
                </c:pt>
                <c:pt idx="2">
                  <c:v>16</c:v>
                </c:pt>
                <c:pt idx="3">
                  <c:v>29</c:v>
                </c:pt>
                <c:pt idx="4">
                  <c:v>34</c:v>
                </c:pt>
                <c:pt idx="5">
                  <c:v>64</c:v>
                </c:pt>
                <c:pt idx="6">
                  <c:v>65</c:v>
                </c:pt>
                <c:pt idx="7">
                  <c:v>80</c:v>
                </c:pt>
                <c:pt idx="8">
                  <c:v>111</c:v>
                </c:pt>
                <c:pt idx="9">
                  <c:v>119</c:v>
                </c:pt>
              </c:numCache>
            </c:numRef>
          </c:val>
          <c:smooth val="0"/>
          <c:extLst xmlns:c16r2="http://schemas.microsoft.com/office/drawing/2015/06/chart">
            <c:ext xmlns:c16="http://schemas.microsoft.com/office/drawing/2014/chart" uri="{C3380CC4-5D6E-409C-BE32-E72D297353CC}">
              <c16:uniqueId val="{00000004-BF4A-4BE1-86FD-2B63E51B4D3C}"/>
            </c:ext>
          </c:extLst>
        </c:ser>
        <c:dLbls>
          <c:showLegendKey val="0"/>
          <c:showVal val="0"/>
          <c:showCatName val="0"/>
          <c:showSerName val="0"/>
          <c:showPercent val="0"/>
          <c:showBubbleSize val="0"/>
        </c:dLbls>
        <c:marker val="1"/>
        <c:smooth val="0"/>
        <c:axId val="-461823088"/>
        <c:axId val="-461831248"/>
      </c:lineChart>
      <c:catAx>
        <c:axId val="-461823088"/>
        <c:scaling>
          <c:orientation val="minMax"/>
        </c:scaling>
        <c:delete val="0"/>
        <c:axPos val="b"/>
        <c:numFmt formatCode="General" sourceLinked="1"/>
        <c:majorTickMark val="out"/>
        <c:minorTickMark val="none"/>
        <c:tickLblPos val="nextTo"/>
        <c:crossAx val="-461831248"/>
        <c:crosses val="autoZero"/>
        <c:auto val="1"/>
        <c:lblAlgn val="ctr"/>
        <c:lblOffset val="100"/>
        <c:noMultiLvlLbl val="0"/>
      </c:catAx>
      <c:valAx>
        <c:axId val="-461831248"/>
        <c:scaling>
          <c:orientation val="minMax"/>
        </c:scaling>
        <c:delete val="0"/>
        <c:axPos val="l"/>
        <c:majorGridlines/>
        <c:numFmt formatCode="General" sourceLinked="1"/>
        <c:majorTickMark val="out"/>
        <c:minorTickMark val="none"/>
        <c:tickLblPos val="nextTo"/>
        <c:crossAx val="-461823088"/>
        <c:crosses val="autoZero"/>
        <c:crossBetween val="between"/>
      </c:valAx>
    </c:plotArea>
    <c:legend>
      <c:legendPos val="r"/>
      <c:layout>
        <c:manualLayout>
          <c:xMode val="edge"/>
          <c:yMode val="edge"/>
          <c:x val="0.1389574178581785"/>
          <c:y val="2.0002018978396936E-2"/>
          <c:w val="0.26473437279263606"/>
          <c:h val="0.8041068904848433"/>
        </c:manualLayout>
      </c:layout>
      <c:overlay val="0"/>
    </c:legend>
    <c:plotVisOnly val="1"/>
    <c:dispBlanksAs val="gap"/>
    <c:showDLblsOverMax val="0"/>
  </c:chart>
  <c:txPr>
    <a:bodyPr/>
    <a:lstStyle/>
    <a:p>
      <a:pPr>
        <a:defRPr sz="1800"/>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нет</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Категория 1</c:v>
                </c:pt>
              </c:strCache>
            </c:strRef>
          </c:cat>
          <c:val>
            <c:numRef>
              <c:f>Лист1!$B$2</c:f>
              <c:numCache>
                <c:formatCode>General</c:formatCode>
                <c:ptCount val="1"/>
                <c:pt idx="0">
                  <c:v>0</c:v>
                </c:pt>
              </c:numCache>
            </c:numRef>
          </c:val>
          <c:extLst xmlns:c16r2="http://schemas.microsoft.com/office/drawing/2015/06/chart">
            <c:ext xmlns:c16="http://schemas.microsoft.com/office/drawing/2014/chart" uri="{C3380CC4-5D6E-409C-BE32-E72D297353CC}">
              <c16:uniqueId val="{00000000-BA71-4A79-8D67-6AE2F05B609D}"/>
            </c:ext>
          </c:extLst>
        </c:ser>
        <c:ser>
          <c:idx val="1"/>
          <c:order val="1"/>
          <c:tx>
            <c:strRef>
              <c:f>Лист1!$C$1</c:f>
              <c:strCache>
                <c:ptCount val="1"/>
                <c:pt idx="0">
                  <c:v>основное общее</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Категория 1</c:v>
                </c:pt>
              </c:strCache>
            </c:strRef>
          </c:cat>
          <c:val>
            <c:numRef>
              <c:f>Лист1!$C$2</c:f>
              <c:numCache>
                <c:formatCode>General</c:formatCode>
                <c:ptCount val="1"/>
                <c:pt idx="0">
                  <c:v>0</c:v>
                </c:pt>
              </c:numCache>
            </c:numRef>
          </c:val>
          <c:extLst xmlns:c16r2="http://schemas.microsoft.com/office/drawing/2015/06/chart">
            <c:ext xmlns:c16="http://schemas.microsoft.com/office/drawing/2014/chart" uri="{C3380CC4-5D6E-409C-BE32-E72D297353CC}">
              <c16:uniqueId val="{00000001-BA71-4A79-8D67-6AE2F05B609D}"/>
            </c:ext>
          </c:extLst>
        </c:ser>
        <c:ser>
          <c:idx val="2"/>
          <c:order val="2"/>
          <c:tx>
            <c:strRef>
              <c:f>Лист1!$D$1</c:f>
              <c:strCache>
                <c:ptCount val="1"/>
                <c:pt idx="0">
                  <c:v>среднее</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Категория 1</c:v>
                </c:pt>
              </c:strCache>
            </c:strRef>
          </c:cat>
          <c:val>
            <c:numRef>
              <c:f>Лист1!$D$2</c:f>
              <c:numCache>
                <c:formatCode>0.00%</c:formatCode>
                <c:ptCount val="1"/>
                <c:pt idx="0">
                  <c:v>0.14199999999999999</c:v>
                </c:pt>
              </c:numCache>
            </c:numRef>
          </c:val>
          <c:extLst xmlns:c16r2="http://schemas.microsoft.com/office/drawing/2015/06/chart">
            <c:ext xmlns:c16="http://schemas.microsoft.com/office/drawing/2014/chart" uri="{C3380CC4-5D6E-409C-BE32-E72D297353CC}">
              <c16:uniqueId val="{00000002-BA71-4A79-8D67-6AE2F05B609D}"/>
            </c:ext>
          </c:extLst>
        </c:ser>
        <c:ser>
          <c:idx val="3"/>
          <c:order val="3"/>
          <c:tx>
            <c:strRef>
              <c:f>Лист1!$E$1</c:f>
              <c:strCache>
                <c:ptCount val="1"/>
                <c:pt idx="0">
                  <c:v>среднее профессиональное</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Категория 1</c:v>
                </c:pt>
              </c:strCache>
            </c:strRef>
          </c:cat>
          <c:val>
            <c:numRef>
              <c:f>Лист1!$E$2</c:f>
              <c:numCache>
                <c:formatCode>0.00%</c:formatCode>
                <c:ptCount val="1"/>
                <c:pt idx="0">
                  <c:v>0.751</c:v>
                </c:pt>
              </c:numCache>
            </c:numRef>
          </c:val>
          <c:extLst xmlns:c16r2="http://schemas.microsoft.com/office/drawing/2015/06/chart">
            <c:ext xmlns:c16="http://schemas.microsoft.com/office/drawing/2014/chart" uri="{C3380CC4-5D6E-409C-BE32-E72D297353CC}">
              <c16:uniqueId val="{00000003-BA71-4A79-8D67-6AE2F05B609D}"/>
            </c:ext>
          </c:extLst>
        </c:ser>
        <c:ser>
          <c:idx val="4"/>
          <c:order val="4"/>
          <c:tx>
            <c:strRef>
              <c:f>Лист1!$F$1</c:f>
              <c:strCache>
                <c:ptCount val="1"/>
                <c:pt idx="0">
                  <c:v>высшее</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Категория 1</c:v>
                </c:pt>
              </c:strCache>
            </c:strRef>
          </c:cat>
          <c:val>
            <c:numRef>
              <c:f>Лист1!$F$2</c:f>
              <c:numCache>
                <c:formatCode>0.00%</c:formatCode>
                <c:ptCount val="1"/>
                <c:pt idx="0">
                  <c:v>0.13400000000000001</c:v>
                </c:pt>
              </c:numCache>
            </c:numRef>
          </c:val>
          <c:extLst xmlns:c16r2="http://schemas.microsoft.com/office/drawing/2015/06/chart">
            <c:ext xmlns:c16="http://schemas.microsoft.com/office/drawing/2014/chart" uri="{C3380CC4-5D6E-409C-BE32-E72D297353CC}">
              <c16:uniqueId val="{00000004-BA71-4A79-8D67-6AE2F05B609D}"/>
            </c:ext>
          </c:extLst>
        </c:ser>
        <c:dLbls>
          <c:dLblPos val="outEnd"/>
          <c:showLegendKey val="0"/>
          <c:showVal val="1"/>
          <c:showCatName val="0"/>
          <c:showSerName val="0"/>
          <c:showPercent val="0"/>
          <c:showBubbleSize val="0"/>
        </c:dLbls>
        <c:gapWidth val="219"/>
        <c:overlap val="-27"/>
        <c:axId val="-545197616"/>
        <c:axId val="-547291088"/>
      </c:barChart>
      <c:catAx>
        <c:axId val="-545197616"/>
        <c:scaling>
          <c:orientation val="minMax"/>
        </c:scaling>
        <c:delete val="1"/>
        <c:axPos val="b"/>
        <c:numFmt formatCode="General" sourceLinked="1"/>
        <c:majorTickMark val="none"/>
        <c:minorTickMark val="none"/>
        <c:tickLblPos val="nextTo"/>
        <c:crossAx val="-547291088"/>
        <c:crosses val="autoZero"/>
        <c:auto val="1"/>
        <c:lblAlgn val="ctr"/>
        <c:lblOffset val="100"/>
        <c:noMultiLvlLbl val="0"/>
      </c:catAx>
      <c:valAx>
        <c:axId val="-5472910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451976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287329053865476"/>
          <c:y val="3.61536318242133E-2"/>
          <c:w val="0.8498160171570428"/>
          <c:h val="0.72420147260196255"/>
        </c:manualLayout>
      </c:layout>
      <c:barChart>
        <c:barDir val="col"/>
        <c:grouping val="clustered"/>
        <c:varyColors val="0"/>
        <c:ser>
          <c:idx val="0"/>
          <c:order val="0"/>
          <c:tx>
            <c:strRef>
              <c:f>Лист1!$B$1</c:f>
              <c:strCache>
                <c:ptCount val="1"/>
                <c:pt idx="0">
                  <c:v>дают рекомендации</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акушеры -гинекологи ПМСП</c:v>
                </c:pt>
                <c:pt idx="1">
                  <c:v>акушеры -гинекологи хиругической службы</c:v>
                </c:pt>
              </c:strCache>
            </c:strRef>
          </c:cat>
          <c:val>
            <c:numRef>
              <c:f>Лист1!$B$2:$B$3</c:f>
              <c:numCache>
                <c:formatCode>0.0%</c:formatCode>
                <c:ptCount val="2"/>
                <c:pt idx="0">
                  <c:v>0.47099999999999997</c:v>
                </c:pt>
                <c:pt idx="1">
                  <c:v>1</c:v>
                </c:pt>
              </c:numCache>
            </c:numRef>
          </c:val>
          <c:extLst xmlns:c16r2="http://schemas.microsoft.com/office/drawing/2015/06/chart">
            <c:ext xmlns:c16="http://schemas.microsoft.com/office/drawing/2014/chart" uri="{C3380CC4-5D6E-409C-BE32-E72D297353CC}">
              <c16:uniqueId val="{00000000-B3B4-4C7D-A353-198E75142E66}"/>
            </c:ext>
          </c:extLst>
        </c:ser>
        <c:ser>
          <c:idx val="1"/>
          <c:order val="1"/>
          <c:tx>
            <c:strRef>
              <c:f>Лист1!$C$1</c:f>
              <c:strCache>
                <c:ptCount val="1"/>
                <c:pt idx="0">
                  <c:v>не дают рекомендации</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акушеры -гинекологи ПМСП</c:v>
                </c:pt>
                <c:pt idx="1">
                  <c:v>акушеры -гинекологи хиругической службы</c:v>
                </c:pt>
              </c:strCache>
            </c:strRef>
          </c:cat>
          <c:val>
            <c:numRef>
              <c:f>Лист1!$C$2:$C$3</c:f>
              <c:numCache>
                <c:formatCode>0.0%</c:formatCode>
                <c:ptCount val="2"/>
                <c:pt idx="0">
                  <c:v>0.52900000000000003</c:v>
                </c:pt>
                <c:pt idx="1">
                  <c:v>0</c:v>
                </c:pt>
              </c:numCache>
            </c:numRef>
          </c:val>
          <c:extLst xmlns:c16r2="http://schemas.microsoft.com/office/drawing/2015/06/chart">
            <c:ext xmlns:c16="http://schemas.microsoft.com/office/drawing/2014/chart" uri="{C3380CC4-5D6E-409C-BE32-E72D297353CC}">
              <c16:uniqueId val="{00000001-B3B4-4C7D-A353-198E75142E66}"/>
            </c:ext>
          </c:extLst>
        </c:ser>
        <c:dLbls>
          <c:showLegendKey val="0"/>
          <c:showVal val="0"/>
          <c:showCatName val="0"/>
          <c:showSerName val="0"/>
          <c:showPercent val="0"/>
          <c:showBubbleSize val="0"/>
        </c:dLbls>
        <c:gapWidth val="219"/>
        <c:overlap val="-27"/>
        <c:axId val="-545185104"/>
        <c:axId val="-545195440"/>
      </c:barChart>
      <c:catAx>
        <c:axId val="-545185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crossAx val="-545195440"/>
        <c:crosses val="autoZero"/>
        <c:auto val="1"/>
        <c:lblAlgn val="ctr"/>
        <c:lblOffset val="100"/>
        <c:noMultiLvlLbl val="0"/>
      </c:catAx>
      <c:valAx>
        <c:axId val="-54519544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crossAx val="-545185104"/>
        <c:crosses val="autoZero"/>
        <c:crossBetween val="between"/>
      </c:valAx>
      <c:spPr>
        <a:noFill/>
        <a:ln>
          <a:noFill/>
        </a:ln>
        <a:effectLst/>
      </c:spPr>
    </c:plotArea>
    <c:legend>
      <c:legendPos val="b"/>
      <c:layout>
        <c:manualLayout>
          <c:xMode val="edge"/>
          <c:yMode val="edge"/>
          <c:x val="9.5227095788592314E-2"/>
          <c:y val="4.4840406120601882E-2"/>
          <c:w val="0.9"/>
          <c:h val="5.9934493973113956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129572026637167"/>
          <c:y val="8.4889266011745262E-2"/>
          <c:w val="0.78870427973362833"/>
          <c:h val="0.46538330268493705"/>
        </c:manualLayout>
      </c:layout>
      <c:barChart>
        <c:barDir val="col"/>
        <c:grouping val="clustered"/>
        <c:varyColors val="0"/>
        <c:ser>
          <c:idx val="0"/>
          <c:order val="0"/>
          <c:tx>
            <c:strRef>
              <c:f>Лист1!$B$1</c:f>
              <c:strCache>
                <c:ptCount val="1"/>
                <c:pt idx="0">
                  <c:v>акушеры-гинекологи ПМСП</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Лист1!$A$2:$A$10</c:f>
              <c:strCache>
                <c:ptCount val="9"/>
                <c:pt idx="0">
                  <c:v>Рекомендации по питания (р&lt;0,001)</c:v>
                </c:pt>
                <c:pt idx="1">
                  <c:v>Профилатика запоров (р&lt;0,001)</c:v>
                </c:pt>
                <c:pt idx="2">
                  <c:v>Контроль и нормализация уровня витамина Д3 (р&lt;0,001)</c:v>
                </c:pt>
                <c:pt idx="3">
                  <c:v>Контроль и нормализация уровня гемоглобина и ферритина (р&lt;0,001)</c:v>
                </c:pt>
                <c:pt idx="4">
                  <c:v>Нормализация массы тела (р&lt;0,001)</c:v>
                </c:pt>
                <c:pt idx="5">
                  <c:v>Посещение врача 1 раз в 6 месяцев (р&lt;0,001)</c:v>
                </c:pt>
                <c:pt idx="6">
                  <c:v>Реабилитация тазового дна (р&lt;0,001)</c:v>
                </c:pt>
                <c:pt idx="7">
                  <c:v>Общеукрепляющие упражнения (р&lt;0,001)</c:v>
                </c:pt>
                <c:pt idx="8">
                  <c:v>Профилатика кашля (р&lt;0,001)</c:v>
                </c:pt>
              </c:strCache>
            </c:strRef>
          </c:cat>
          <c:val>
            <c:numRef>
              <c:f>Лист1!$B$2:$B$10</c:f>
              <c:numCache>
                <c:formatCode>0%</c:formatCode>
                <c:ptCount val="9"/>
                <c:pt idx="0">
                  <c:v>0.47</c:v>
                </c:pt>
                <c:pt idx="1">
                  <c:v>0.38</c:v>
                </c:pt>
                <c:pt idx="2">
                  <c:v>0.42</c:v>
                </c:pt>
                <c:pt idx="3">
                  <c:v>0.31</c:v>
                </c:pt>
                <c:pt idx="4">
                  <c:v>0.11</c:v>
                </c:pt>
                <c:pt idx="5" formatCode="0.00%">
                  <c:v>0.06</c:v>
                </c:pt>
                <c:pt idx="6">
                  <c:v>0.06</c:v>
                </c:pt>
                <c:pt idx="7">
                  <c:v>0.31</c:v>
                </c:pt>
                <c:pt idx="8" formatCode="General">
                  <c:v>0</c:v>
                </c:pt>
              </c:numCache>
            </c:numRef>
          </c:val>
          <c:extLst xmlns:c16r2="http://schemas.microsoft.com/office/drawing/2015/06/chart">
            <c:ext xmlns:c16="http://schemas.microsoft.com/office/drawing/2014/chart" uri="{C3380CC4-5D6E-409C-BE32-E72D297353CC}">
              <c16:uniqueId val="{00000000-5A0E-454E-BF78-9505802A5EB6}"/>
            </c:ext>
          </c:extLst>
        </c:ser>
        <c:ser>
          <c:idx val="1"/>
          <c:order val="1"/>
          <c:tx>
            <c:strRef>
              <c:f>Лист1!$C$1</c:f>
              <c:strCache>
                <c:ptCount val="1"/>
                <c:pt idx="0">
                  <c:v>акушеры-гинекологи хирургической службы</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Лист1!$A$2:$A$10</c:f>
              <c:strCache>
                <c:ptCount val="9"/>
                <c:pt idx="0">
                  <c:v>Рекомендации по питания (р&lt;0,001)</c:v>
                </c:pt>
                <c:pt idx="1">
                  <c:v>Профилатика запоров (р&lt;0,001)</c:v>
                </c:pt>
                <c:pt idx="2">
                  <c:v>Контроль и нормализация уровня витамина Д3 (р&lt;0,001)</c:v>
                </c:pt>
                <c:pt idx="3">
                  <c:v>Контроль и нормализация уровня гемоглобина и ферритина (р&lt;0,001)</c:v>
                </c:pt>
                <c:pt idx="4">
                  <c:v>Нормализация массы тела (р&lt;0,001)</c:v>
                </c:pt>
                <c:pt idx="5">
                  <c:v>Посещение врача 1 раз в 6 месяцев (р&lt;0,001)</c:v>
                </c:pt>
                <c:pt idx="6">
                  <c:v>Реабилитация тазового дна (р&lt;0,001)</c:v>
                </c:pt>
                <c:pt idx="7">
                  <c:v>Общеукрепляющие упражнения (р&lt;0,001)</c:v>
                </c:pt>
                <c:pt idx="8">
                  <c:v>Профилатика кашля (р&lt;0,001)</c:v>
                </c:pt>
              </c:strCache>
            </c:strRef>
          </c:cat>
          <c:val>
            <c:numRef>
              <c:f>Лист1!$C$2:$C$10</c:f>
              <c:numCache>
                <c:formatCode>0%</c:formatCode>
                <c:ptCount val="9"/>
                <c:pt idx="0">
                  <c:v>1</c:v>
                </c:pt>
                <c:pt idx="1">
                  <c:v>0.9</c:v>
                </c:pt>
                <c:pt idx="2">
                  <c:v>0.95</c:v>
                </c:pt>
                <c:pt idx="3">
                  <c:v>0.9</c:v>
                </c:pt>
                <c:pt idx="4">
                  <c:v>0.9</c:v>
                </c:pt>
                <c:pt idx="5">
                  <c:v>0.4</c:v>
                </c:pt>
                <c:pt idx="6">
                  <c:v>0.23</c:v>
                </c:pt>
                <c:pt idx="7">
                  <c:v>0.48</c:v>
                </c:pt>
                <c:pt idx="8">
                  <c:v>0.65</c:v>
                </c:pt>
              </c:numCache>
            </c:numRef>
          </c:val>
          <c:extLst xmlns:c16r2="http://schemas.microsoft.com/office/drawing/2015/06/chart">
            <c:ext xmlns:c16="http://schemas.microsoft.com/office/drawing/2014/chart" uri="{C3380CC4-5D6E-409C-BE32-E72D297353CC}">
              <c16:uniqueId val="{00000001-5A0E-454E-BF78-9505802A5EB6}"/>
            </c:ext>
          </c:extLst>
        </c:ser>
        <c:dLbls>
          <c:dLblPos val="outEnd"/>
          <c:showLegendKey val="0"/>
          <c:showVal val="1"/>
          <c:showCatName val="0"/>
          <c:showSerName val="0"/>
          <c:showPercent val="0"/>
          <c:showBubbleSize val="0"/>
        </c:dLbls>
        <c:gapWidth val="219"/>
        <c:axId val="-545193808"/>
        <c:axId val="-545194896"/>
      </c:barChart>
      <c:catAx>
        <c:axId val="-545193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45194896"/>
        <c:crosses val="autoZero"/>
        <c:auto val="1"/>
        <c:lblAlgn val="ctr"/>
        <c:lblOffset val="100"/>
        <c:noMultiLvlLbl val="0"/>
      </c:catAx>
      <c:valAx>
        <c:axId val="-5451948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451938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да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акушеры-гинекологи ПМСП</c:v>
                </c:pt>
                <c:pt idx="1">
                  <c:v>оперирующие акушеры-гинекологи</c:v>
                </c:pt>
              </c:strCache>
            </c:strRef>
          </c:cat>
          <c:val>
            <c:numRef>
              <c:f>Лист1!$B$2:$B$3</c:f>
              <c:numCache>
                <c:formatCode>0.00%</c:formatCode>
                <c:ptCount val="2"/>
                <c:pt idx="0" formatCode="0%">
                  <c:v>0.06</c:v>
                </c:pt>
                <c:pt idx="1">
                  <c:v>0.26700000000000002</c:v>
                </c:pt>
              </c:numCache>
            </c:numRef>
          </c:val>
          <c:extLst xmlns:c16r2="http://schemas.microsoft.com/office/drawing/2015/06/chart">
            <c:ext xmlns:c16="http://schemas.microsoft.com/office/drawing/2014/chart" uri="{C3380CC4-5D6E-409C-BE32-E72D297353CC}">
              <c16:uniqueId val="{00000000-A93F-472B-9FB1-F6122A1331EC}"/>
            </c:ext>
          </c:extLst>
        </c:ser>
        <c:ser>
          <c:idx val="1"/>
          <c:order val="1"/>
          <c:tx>
            <c:strRef>
              <c:f>Лист1!$C$1</c:f>
              <c:strCache>
                <c:ptCount val="1"/>
                <c:pt idx="0">
                  <c:v>нет</c:v>
                </c:pt>
              </c:strCache>
            </c:strRef>
          </c:tx>
          <c:spPr>
            <a:solidFill>
              <a:schemeClr val="accent2"/>
            </a:solidFill>
            <a:ln>
              <a:noFill/>
            </a:ln>
            <a:effectLst/>
          </c:spPr>
          <c:invertIfNegative val="0"/>
          <c:dLbls>
            <c:dLbl>
              <c:idx val="0"/>
              <c:tx>
                <c:rich>
                  <a:bodyPr/>
                  <a:lstStyle/>
                  <a:p>
                    <a:r>
                      <a:rPr lang="en-US"/>
                      <a:t>94%</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4B54-4F7C-A378-B2166032E9F8}"/>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акушеры-гинекологи ПМСП</c:v>
                </c:pt>
                <c:pt idx="1">
                  <c:v>оперирующие акушеры-гинекологи</c:v>
                </c:pt>
              </c:strCache>
            </c:strRef>
          </c:cat>
          <c:val>
            <c:numRef>
              <c:f>Лист1!$C$2:$C$3</c:f>
              <c:numCache>
                <c:formatCode>0.00%</c:formatCode>
                <c:ptCount val="2"/>
                <c:pt idx="0">
                  <c:v>0.99399999999999999</c:v>
                </c:pt>
                <c:pt idx="1">
                  <c:v>0.73299999999999998</c:v>
                </c:pt>
              </c:numCache>
            </c:numRef>
          </c:val>
          <c:extLst xmlns:c16r2="http://schemas.microsoft.com/office/drawing/2015/06/chart">
            <c:ext xmlns:c16="http://schemas.microsoft.com/office/drawing/2014/chart" uri="{C3380CC4-5D6E-409C-BE32-E72D297353CC}">
              <c16:uniqueId val="{00000001-A93F-472B-9FB1-F6122A1331EC}"/>
            </c:ext>
          </c:extLst>
        </c:ser>
        <c:dLbls>
          <c:dLblPos val="outEnd"/>
          <c:showLegendKey val="0"/>
          <c:showVal val="1"/>
          <c:showCatName val="0"/>
          <c:showSerName val="0"/>
          <c:showPercent val="0"/>
          <c:showBubbleSize val="0"/>
        </c:dLbls>
        <c:gapWidth val="219"/>
        <c:overlap val="-27"/>
        <c:axId val="-545192720"/>
        <c:axId val="-545192176"/>
      </c:barChart>
      <c:catAx>
        <c:axId val="-545192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45192176"/>
        <c:crosses val="autoZero"/>
        <c:auto val="1"/>
        <c:lblAlgn val="ctr"/>
        <c:lblOffset val="100"/>
        <c:noMultiLvlLbl val="0"/>
      </c:catAx>
      <c:valAx>
        <c:axId val="-5451921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45192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врачи ПМСП</c:v>
                </c:pt>
              </c:strCache>
            </c:strRef>
          </c:tx>
          <c:spPr>
            <a:solidFill>
              <a:schemeClr val="accent1"/>
            </a:solidFill>
            <a:ln>
              <a:noFill/>
            </a:ln>
            <a:effectLst/>
          </c:spPr>
          <c:invertIfNegative val="0"/>
          <c:dLbls>
            <c:dLbl>
              <c:idx val="0"/>
              <c:layout>
                <c:manualLayout>
                  <c:x val="2.691131498470942E-2"/>
                  <c:y val="-1.4367816091954026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8D5E06F5-1532-4953-91D7-C659ECBA92FB}" type="VALUE">
                      <a:rPr lang="en-US"/>
                      <a:pPr>
                        <a:defRPr sz="900" b="0" i="0" u="none" strike="noStrike" kern="1200" baseline="0">
                          <a:solidFill>
                            <a:schemeClr val="tx1">
                              <a:lumMod val="75000"/>
                              <a:lumOff val="25000"/>
                            </a:schemeClr>
                          </a:solidFill>
                          <a:latin typeface="+mn-lt"/>
                          <a:ea typeface="+mn-ea"/>
                          <a:cs typeface="+mn-cs"/>
                        </a:defRPr>
                      </a:pPr>
                      <a:t>[ЗНАЧЕНИЕ]</a:t>
                    </a:fld>
                    <a:r>
                      <a:rPr lang="en-US"/>
                      <a:t> (23,5%)</a:t>
                    </a:r>
                  </a:p>
                </c:rich>
              </c:tx>
              <c:spPr>
                <a:noFill/>
                <a:ln>
                  <a:noFill/>
                </a:ln>
                <a:effectLst/>
              </c:sp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F6D1-41C3-A24D-A0B8D7090C65}"/>
                </c:ext>
                <c:ext xmlns:c15="http://schemas.microsoft.com/office/drawing/2012/chart" uri="{CE6537A1-D6FC-4f65-9D91-7224C49458BB}">
                  <c15:layout>
                    <c:manualLayout>
                      <c:w val="0.14326605504587153"/>
                      <c:h val="0.10910942166711919"/>
                    </c:manualLayout>
                  </c15:layout>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реже 1 раза в год</c:v>
                </c:pt>
                <c:pt idx="1">
                  <c:v>1 раз в 6 месяцев</c:v>
                </c:pt>
              </c:strCache>
            </c:strRef>
          </c:cat>
          <c:val>
            <c:numRef>
              <c:f>Лист1!$B$2:$B$3</c:f>
              <c:numCache>
                <c:formatCode>General</c:formatCode>
                <c:ptCount val="2"/>
                <c:pt idx="0">
                  <c:v>8</c:v>
                </c:pt>
                <c:pt idx="1">
                  <c:v>0</c:v>
                </c:pt>
              </c:numCache>
            </c:numRef>
          </c:val>
          <c:extLst xmlns:c16r2="http://schemas.microsoft.com/office/drawing/2015/06/chart">
            <c:ext xmlns:c16="http://schemas.microsoft.com/office/drawing/2014/chart" uri="{C3380CC4-5D6E-409C-BE32-E72D297353CC}">
              <c16:uniqueId val="{00000002-F6D1-41C3-A24D-A0B8D7090C65}"/>
            </c:ext>
          </c:extLst>
        </c:ser>
        <c:ser>
          <c:idx val="1"/>
          <c:order val="1"/>
          <c:tx>
            <c:strRef>
              <c:f>Лист1!$C$1</c:f>
              <c:strCache>
                <c:ptCount val="1"/>
                <c:pt idx="0">
                  <c:v>хирурги</c:v>
                </c:pt>
              </c:strCache>
            </c:strRef>
          </c:tx>
          <c:spPr>
            <a:solidFill>
              <a:schemeClr val="accent2"/>
            </a:solidFill>
            <a:ln>
              <a:noFill/>
            </a:ln>
            <a:effectLst/>
          </c:spPr>
          <c:invertIfNegative val="0"/>
          <c:dLbls>
            <c:dLbl>
              <c:idx val="1"/>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27C2CEC4-C025-416B-A07B-30C76371726E}" type="VALUE">
                      <a:rPr lang="en-US"/>
                      <a:pPr>
                        <a:defRPr sz="900" b="0" i="0" u="none" strike="noStrike" kern="1200" baseline="0">
                          <a:solidFill>
                            <a:schemeClr val="tx1">
                              <a:lumMod val="75000"/>
                              <a:lumOff val="25000"/>
                            </a:schemeClr>
                          </a:solidFill>
                          <a:latin typeface="+mn-lt"/>
                          <a:ea typeface="+mn-ea"/>
                          <a:cs typeface="+mn-cs"/>
                        </a:defRPr>
                      </a:pPr>
                      <a:t>[ЗНАЧЕНИЕ]</a:t>
                    </a:fld>
                    <a:r>
                      <a:rPr lang="en-US"/>
                      <a:t> (26,7%)</a:t>
                    </a:r>
                  </a:p>
                </c:rich>
              </c:tx>
              <c:spPr>
                <a:noFill/>
                <a:ln>
                  <a:noFill/>
                </a:ln>
                <a:effectLst/>
              </c:sp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280B-4A51-9A9A-A81F19CAF735}"/>
                </c:ext>
                <c:ext xmlns:c15="http://schemas.microsoft.com/office/drawing/2012/chart" uri="{CE6537A1-D6FC-4f65-9D91-7224C49458BB}">
                  <c15:spPr xmlns:c15="http://schemas.microsoft.com/office/drawing/2012/chart">
                    <a:prstGeom prst="rect">
                      <a:avLst/>
                    </a:prstGeom>
                  </c15:spPr>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реже 1 раза в год</c:v>
                </c:pt>
                <c:pt idx="1">
                  <c:v>1 раз в 6 месяцев</c:v>
                </c:pt>
              </c:strCache>
            </c:strRef>
          </c:cat>
          <c:val>
            <c:numRef>
              <c:f>Лист1!$C$2:$C$3</c:f>
              <c:numCache>
                <c:formatCode>General</c:formatCode>
                <c:ptCount val="2"/>
                <c:pt idx="0">
                  <c:v>0</c:v>
                </c:pt>
                <c:pt idx="1">
                  <c:v>8</c:v>
                </c:pt>
              </c:numCache>
            </c:numRef>
          </c:val>
          <c:extLst xmlns:c16r2="http://schemas.microsoft.com/office/drawing/2015/06/chart">
            <c:ext xmlns:c16="http://schemas.microsoft.com/office/drawing/2014/chart" uri="{C3380CC4-5D6E-409C-BE32-E72D297353CC}">
              <c16:uniqueId val="{00000005-F6D1-41C3-A24D-A0B8D7090C65}"/>
            </c:ext>
          </c:extLst>
        </c:ser>
        <c:dLbls>
          <c:dLblPos val="outEnd"/>
          <c:showLegendKey val="0"/>
          <c:showVal val="1"/>
          <c:showCatName val="0"/>
          <c:showSerName val="0"/>
          <c:showPercent val="0"/>
          <c:showBubbleSize val="0"/>
        </c:dLbls>
        <c:gapWidth val="219"/>
        <c:overlap val="-27"/>
        <c:axId val="-545194352"/>
        <c:axId val="-545187280"/>
      </c:barChart>
      <c:catAx>
        <c:axId val="-545194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45187280"/>
        <c:crosses val="autoZero"/>
        <c:auto val="1"/>
        <c:lblAlgn val="ctr"/>
        <c:lblOffset val="100"/>
        <c:noMultiLvlLbl val="0"/>
      </c:catAx>
      <c:valAx>
        <c:axId val="-5451872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45194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8642541198766647E-2"/>
          <c:y val="3.3220160760023099E-2"/>
          <c:w val="0.91205089492532854"/>
          <c:h val="0.86783352646266987"/>
        </c:manualLayout>
      </c:layout>
      <c:barChart>
        <c:barDir val="col"/>
        <c:grouping val="percentStacked"/>
        <c:varyColors val="0"/>
        <c:ser>
          <c:idx val="0"/>
          <c:order val="0"/>
          <c:tx>
            <c:strRef>
              <c:f>Лист1!$B$1</c:f>
              <c:strCache>
                <c:ptCount val="1"/>
                <c:pt idx="0">
                  <c:v>1 степень</c:v>
                </c:pt>
              </c:strCache>
            </c:strRef>
          </c:tx>
          <c:spPr>
            <a:solidFill>
              <a:schemeClr val="accent1"/>
            </a:solidFill>
            <a:ln>
              <a:noFill/>
            </a:ln>
            <a:effectLst/>
          </c:spPr>
          <c:invertIfNegative val="0"/>
          <c:dLbls>
            <c:dLbl>
              <c:idx val="1"/>
              <c:layout>
                <c:manualLayout>
                  <c:x val="-0.16270563278282071"/>
                  <c:y val="4.7490225707580991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BE0D-46B9-9272-96A71612B50F}"/>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Основная группа</c:v>
                </c:pt>
                <c:pt idx="1">
                  <c:v>Контрольная группа</c:v>
                </c:pt>
              </c:strCache>
            </c:strRef>
          </c:cat>
          <c:val>
            <c:numRef>
              <c:f>Лист1!$B$2:$B$3</c:f>
              <c:numCache>
                <c:formatCode>0.0%</c:formatCode>
                <c:ptCount val="2"/>
                <c:pt idx="0">
                  <c:v>0</c:v>
                </c:pt>
                <c:pt idx="1">
                  <c:v>0.23300000000000001</c:v>
                </c:pt>
              </c:numCache>
            </c:numRef>
          </c:val>
          <c:extLst xmlns:c16r2="http://schemas.microsoft.com/office/drawing/2015/06/chart">
            <c:ext xmlns:c16="http://schemas.microsoft.com/office/drawing/2014/chart" uri="{C3380CC4-5D6E-409C-BE32-E72D297353CC}">
              <c16:uniqueId val="{00000001-BE0D-46B9-9272-96A71612B50F}"/>
            </c:ext>
          </c:extLst>
        </c:ser>
        <c:ser>
          <c:idx val="1"/>
          <c:order val="1"/>
          <c:tx>
            <c:strRef>
              <c:f>Лист1!$C$1</c:f>
              <c:strCache>
                <c:ptCount val="1"/>
                <c:pt idx="0">
                  <c:v>2 степень</c:v>
                </c:pt>
              </c:strCache>
            </c:strRef>
          </c:tx>
          <c:spPr>
            <a:solidFill>
              <a:schemeClr val="accent2"/>
            </a:solidFill>
            <a:ln>
              <a:noFill/>
            </a:ln>
            <a:effectLst/>
          </c:spPr>
          <c:invertIfNegative val="0"/>
          <c:dLbls>
            <c:dLbl>
              <c:idx val="0"/>
              <c:delete val="1"/>
              <c:extLst xmlns:c16r2="http://schemas.microsoft.com/office/drawing/2015/06/chart">
                <c:ext xmlns:c16="http://schemas.microsoft.com/office/drawing/2014/chart" uri="{C3380CC4-5D6E-409C-BE32-E72D297353CC}">
                  <c16:uniqueId val="{00000002-BE0D-46B9-9272-96A71612B50F}"/>
                </c:ext>
                <c:ext xmlns:c15="http://schemas.microsoft.com/office/drawing/2012/chart" uri="{CE6537A1-D6FC-4f65-9D91-7224C49458BB}"/>
              </c:extLst>
            </c:dLbl>
            <c:dLbl>
              <c:idx val="1"/>
              <c:layout>
                <c:manualLayout>
                  <c:x val="-0.15383078008557594"/>
                  <c:y val="7.1235338561371486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BE0D-46B9-9272-96A71612B50F}"/>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Основная группа</c:v>
                </c:pt>
                <c:pt idx="1">
                  <c:v>Контрольная группа</c:v>
                </c:pt>
              </c:strCache>
            </c:strRef>
          </c:cat>
          <c:val>
            <c:numRef>
              <c:f>Лист1!$C$2:$C$3</c:f>
              <c:numCache>
                <c:formatCode>0.0%</c:formatCode>
                <c:ptCount val="2"/>
                <c:pt idx="0">
                  <c:v>0</c:v>
                </c:pt>
                <c:pt idx="1">
                  <c:v>3.3000000000000002E-2</c:v>
                </c:pt>
              </c:numCache>
            </c:numRef>
          </c:val>
          <c:extLst xmlns:c16r2="http://schemas.microsoft.com/office/drawing/2015/06/chart">
            <c:ext xmlns:c16="http://schemas.microsoft.com/office/drawing/2014/chart" uri="{C3380CC4-5D6E-409C-BE32-E72D297353CC}">
              <c16:uniqueId val="{00000004-BE0D-46B9-9272-96A71612B50F}"/>
            </c:ext>
          </c:extLst>
        </c:ser>
        <c:dLbls>
          <c:showLegendKey val="0"/>
          <c:showVal val="1"/>
          <c:showCatName val="0"/>
          <c:showSerName val="0"/>
          <c:showPercent val="0"/>
          <c:showBubbleSize val="0"/>
        </c:dLbls>
        <c:gapWidth val="219"/>
        <c:overlap val="100"/>
        <c:axId val="-545193264"/>
        <c:axId val="-545184560"/>
      </c:barChart>
      <c:catAx>
        <c:axId val="-545193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ru-RU"/>
          </a:p>
        </c:txPr>
        <c:crossAx val="-545184560"/>
        <c:crosses val="autoZero"/>
        <c:auto val="1"/>
        <c:lblAlgn val="ctr"/>
        <c:lblOffset val="100"/>
        <c:noMultiLvlLbl val="0"/>
      </c:catAx>
      <c:valAx>
        <c:axId val="-5451845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45193264"/>
        <c:crosses val="autoZero"/>
        <c:crossBetween val="between"/>
      </c:valAx>
      <c:spPr>
        <a:noFill/>
        <a:ln>
          <a:noFill/>
        </a:ln>
        <a:effectLst/>
      </c:spPr>
    </c:plotArea>
    <c:legend>
      <c:legendPos val="b"/>
      <c:layout>
        <c:manualLayout>
          <c:xMode val="edge"/>
          <c:yMode val="edge"/>
          <c:x val="8.9126559714795009E-2"/>
          <c:y val="0.22430139414391384"/>
          <c:w val="0.6138492848821705"/>
          <c:h val="0.25496267512015541"/>
        </c:manualLayout>
      </c:layout>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2020081945014043E-2"/>
          <c:y val="5.4590802204735792E-2"/>
          <c:w val="0.91205089492532854"/>
          <c:h val="0.86783352646266987"/>
        </c:manualLayout>
      </c:layout>
      <c:barChart>
        <c:barDir val="col"/>
        <c:grouping val="percentStacked"/>
        <c:varyColors val="0"/>
        <c:ser>
          <c:idx val="0"/>
          <c:order val="0"/>
          <c:tx>
            <c:strRef>
              <c:f>Лист1!$B$1</c:f>
              <c:strCache>
                <c:ptCount val="1"/>
                <c:pt idx="0">
                  <c:v>1 степень</c:v>
                </c:pt>
              </c:strCache>
            </c:strRef>
          </c:tx>
          <c:spPr>
            <a:solidFill>
              <a:schemeClr val="accent1"/>
            </a:solidFill>
            <a:ln>
              <a:noFill/>
            </a:ln>
            <a:effectLst/>
          </c:spPr>
          <c:invertIfNegative val="0"/>
          <c:dLbls>
            <c:dLbl>
              <c:idx val="1"/>
              <c:layout>
                <c:manualLayout>
                  <c:x val="-0.18274363862047865"/>
                  <c:y val="-2.3745112853790495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F30F-4A65-86CF-DFF59E59D9A7}"/>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Основная группа</c:v>
                </c:pt>
                <c:pt idx="1">
                  <c:v>Контрольная группа</c:v>
                </c:pt>
              </c:strCache>
            </c:strRef>
          </c:cat>
          <c:val>
            <c:numRef>
              <c:f>Лист1!$B$2:$B$3</c:f>
              <c:numCache>
                <c:formatCode>0.0%</c:formatCode>
                <c:ptCount val="2"/>
                <c:pt idx="0">
                  <c:v>0</c:v>
                </c:pt>
                <c:pt idx="1">
                  <c:v>0.26700000000000002</c:v>
                </c:pt>
              </c:numCache>
            </c:numRef>
          </c:val>
          <c:extLst xmlns:c16r2="http://schemas.microsoft.com/office/drawing/2015/06/chart">
            <c:ext xmlns:c16="http://schemas.microsoft.com/office/drawing/2014/chart" uri="{C3380CC4-5D6E-409C-BE32-E72D297353CC}">
              <c16:uniqueId val="{00000001-F30F-4A65-86CF-DFF59E59D9A7}"/>
            </c:ext>
          </c:extLst>
        </c:ser>
        <c:ser>
          <c:idx val="1"/>
          <c:order val="1"/>
          <c:tx>
            <c:strRef>
              <c:f>Лист1!$C$1</c:f>
              <c:strCache>
                <c:ptCount val="1"/>
                <c:pt idx="0">
                  <c:v>2 степень</c:v>
                </c:pt>
              </c:strCache>
            </c:strRef>
          </c:tx>
          <c:spPr>
            <a:solidFill>
              <a:schemeClr val="accent2"/>
            </a:solidFill>
            <a:ln>
              <a:noFill/>
            </a:ln>
            <a:effectLst/>
          </c:spPr>
          <c:invertIfNegative val="0"/>
          <c:dLbls>
            <c:delete val="1"/>
          </c:dLbls>
          <c:cat>
            <c:strRef>
              <c:f>Лист1!$A$2:$A$3</c:f>
              <c:strCache>
                <c:ptCount val="2"/>
                <c:pt idx="0">
                  <c:v>Основная группа</c:v>
                </c:pt>
                <c:pt idx="1">
                  <c:v>Контрольная группа</c:v>
                </c:pt>
              </c:strCache>
            </c:strRef>
          </c:cat>
          <c:val>
            <c:numRef>
              <c:f>Лист1!$C$2:$C$3</c:f>
              <c:numCache>
                <c:formatCode>0.0%</c:formatCode>
                <c:ptCount val="2"/>
                <c:pt idx="0">
                  <c:v>0</c:v>
                </c:pt>
                <c:pt idx="1">
                  <c:v>0</c:v>
                </c:pt>
              </c:numCache>
            </c:numRef>
          </c:val>
          <c:extLst xmlns:c16r2="http://schemas.microsoft.com/office/drawing/2015/06/chart">
            <c:ext xmlns:c16="http://schemas.microsoft.com/office/drawing/2014/chart" uri="{C3380CC4-5D6E-409C-BE32-E72D297353CC}">
              <c16:uniqueId val="{00000002-F30F-4A65-86CF-DFF59E59D9A7}"/>
            </c:ext>
          </c:extLst>
        </c:ser>
        <c:dLbls>
          <c:showLegendKey val="0"/>
          <c:showVal val="1"/>
          <c:showCatName val="0"/>
          <c:showSerName val="0"/>
          <c:showPercent val="0"/>
          <c:showBubbleSize val="0"/>
        </c:dLbls>
        <c:gapWidth val="219"/>
        <c:overlap val="100"/>
        <c:axId val="-545199248"/>
        <c:axId val="-545198704"/>
      </c:barChart>
      <c:catAx>
        <c:axId val="-545199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ru-RU"/>
          </a:p>
        </c:txPr>
        <c:crossAx val="-545198704"/>
        <c:crosses val="autoZero"/>
        <c:auto val="1"/>
        <c:lblAlgn val="ctr"/>
        <c:lblOffset val="100"/>
        <c:noMultiLvlLbl val="0"/>
      </c:catAx>
      <c:valAx>
        <c:axId val="-5451987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45199248"/>
        <c:crosses val="autoZero"/>
        <c:crossBetween val="between"/>
      </c:valAx>
      <c:spPr>
        <a:noFill/>
        <a:ln>
          <a:noFill/>
        </a:ln>
        <a:effectLst/>
      </c:spPr>
    </c:plotArea>
    <c:legend>
      <c:legendPos val="r"/>
      <c:layout>
        <c:manualLayout>
          <c:xMode val="edge"/>
          <c:yMode val="edge"/>
          <c:x val="0.26865084817417961"/>
          <c:y val="0.21215073388884642"/>
          <c:w val="0.23470485652380702"/>
          <c:h val="0.1023975613485207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0404764110368561"/>
          <c:y val="3.9232200405329085E-2"/>
          <c:w val="0.44503142989479255"/>
          <c:h val="0.83795474932722014"/>
        </c:manualLayout>
      </c:layout>
      <c:pieChart>
        <c:varyColors val="1"/>
        <c:ser>
          <c:idx val="0"/>
          <c:order val="0"/>
          <c:tx>
            <c:strRef>
              <c:f>Лист1!$B$1</c:f>
              <c:strCache>
                <c:ptCount val="1"/>
                <c:pt idx="0">
                  <c:v>Информация о генитальном пролапсе</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B0D9-4E11-8DF0-2E4B5131F930}"/>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B0D9-4E11-8DF0-2E4B5131F930}"/>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B0D9-4E11-8DF0-2E4B5131F930}"/>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B0D9-4E11-8DF0-2E4B5131F930}"/>
              </c:ext>
            </c:extLst>
          </c:dPt>
          <c:dLbls>
            <c:dLbl>
              <c:idx val="0"/>
              <c:layout>
                <c:manualLayout>
                  <c:x val="-0.12268518518518519"/>
                  <c:y val="5.5614923134608175E-3"/>
                </c:manualLayout>
              </c:layout>
              <c:tx>
                <c:rich>
                  <a:bodyPr rot="0" spcFirstLastPara="1" vertOverflow="ellipsis" vert="horz" wrap="square" lIns="38100" tIns="19050" rIns="38100" bIns="19050" anchor="ctr" anchorCtr="1">
                    <a:noAutofit/>
                  </a:bodyPr>
                  <a:lstStyle/>
                  <a:p>
                    <a:pPr>
                      <a:defRPr sz="1010" b="0" i="0" u="none" strike="noStrike" kern="1200" baseline="0">
                        <a:solidFill>
                          <a:schemeClr val="tx1">
                            <a:lumMod val="75000"/>
                            <a:lumOff val="25000"/>
                          </a:schemeClr>
                        </a:solidFill>
                        <a:latin typeface="+mn-lt"/>
                        <a:ea typeface="+mn-ea"/>
                        <a:cs typeface="+mn-cs"/>
                      </a:defRPr>
                    </a:pPr>
                    <a:r>
                      <a:rPr lang="en-US" sz="1010" baseline="0"/>
                      <a:t>115 (</a:t>
                    </a:r>
                    <a:fld id="{070338B4-A832-4CC5-9C2D-BCB20D6CAD60}" type="VALUE">
                      <a:rPr lang="en-US" sz="1010" baseline="0"/>
                      <a:pPr>
                        <a:defRPr sz="1010" b="0" i="0" u="none" strike="noStrike" kern="1200" baseline="0">
                          <a:solidFill>
                            <a:schemeClr val="tx1">
                              <a:lumMod val="75000"/>
                              <a:lumOff val="25000"/>
                            </a:schemeClr>
                          </a:solidFill>
                          <a:latin typeface="+mn-lt"/>
                          <a:ea typeface="+mn-ea"/>
                          <a:cs typeface="+mn-cs"/>
                        </a:defRPr>
                      </a:pPr>
                      <a:t>[ЗНАЧЕНИЕ]</a:t>
                    </a:fld>
                    <a:r>
                      <a:rPr lang="en-US" sz="1010" baseline="0"/>
                      <a:t>)</a:t>
                    </a:r>
                  </a:p>
                </c:rich>
              </c:tx>
              <c:spPr>
                <a:noFill/>
                <a:ln>
                  <a:noFill/>
                </a:ln>
                <a:effectLst/>
              </c:sp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B0D9-4E11-8DF0-2E4B5131F930}"/>
                </c:ext>
                <c:ext xmlns:c15="http://schemas.microsoft.com/office/drawing/2012/chart" uri="{CE6537A1-D6FC-4f65-9D91-7224C49458BB}">
                  <c15:layout>
                    <c:manualLayout>
                      <c:w val="0.10185185185185185"/>
                      <c:h val="0.13194444444444445"/>
                    </c:manualLayout>
                  </c15:layout>
                  <c15:dlblFieldTable/>
                  <c15:showDataLabelsRange val="0"/>
                </c:ext>
              </c:extLst>
            </c:dLbl>
            <c:dLbl>
              <c:idx val="1"/>
              <c:tx>
                <c:rich>
                  <a:bodyPr rot="0" spcFirstLastPara="1" vertOverflow="ellipsis" vert="horz" wrap="square" lIns="38100" tIns="19050" rIns="38100" bIns="19050" anchor="ctr" anchorCtr="1">
                    <a:noAutofit/>
                  </a:bodyPr>
                  <a:lstStyle/>
                  <a:p>
                    <a:pPr>
                      <a:defRPr sz="1010" b="0" i="0" u="none" strike="noStrike" kern="1200" baseline="0">
                        <a:solidFill>
                          <a:schemeClr val="tx1">
                            <a:lumMod val="75000"/>
                            <a:lumOff val="25000"/>
                          </a:schemeClr>
                        </a:solidFill>
                        <a:latin typeface="+mn-lt"/>
                        <a:ea typeface="+mn-ea"/>
                        <a:cs typeface="+mn-cs"/>
                      </a:defRPr>
                    </a:pPr>
                    <a:r>
                      <a:rPr lang="en-US" sz="1010" baseline="0"/>
                      <a:t>96 (</a:t>
                    </a:r>
                    <a:fld id="{6E13717F-9C62-43BC-9D05-515E26BA24A3}" type="VALUE">
                      <a:rPr lang="en-US" sz="1010" baseline="0"/>
                      <a:pPr>
                        <a:defRPr sz="1010" b="0" i="0" u="none" strike="noStrike" kern="1200" baseline="0">
                          <a:solidFill>
                            <a:schemeClr val="tx1">
                              <a:lumMod val="75000"/>
                              <a:lumOff val="25000"/>
                            </a:schemeClr>
                          </a:solidFill>
                          <a:latin typeface="+mn-lt"/>
                          <a:ea typeface="+mn-ea"/>
                          <a:cs typeface="+mn-cs"/>
                        </a:defRPr>
                      </a:pPr>
                      <a:t>[ЗНАЧЕНИЕ]</a:t>
                    </a:fld>
                    <a:r>
                      <a:rPr lang="en-US" sz="1010" baseline="0"/>
                      <a:t>)</a:t>
                    </a:r>
                  </a:p>
                </c:rich>
              </c:tx>
              <c:spPr>
                <a:noFill/>
                <a:ln>
                  <a:noFill/>
                </a:ln>
                <a:effectLst/>
              </c:sp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B0D9-4E11-8DF0-2E4B5131F930}"/>
                </c:ext>
                <c:ext xmlns:c15="http://schemas.microsoft.com/office/drawing/2012/chart" uri="{CE6537A1-D6FC-4f65-9D91-7224C49458BB}">
                  <c15:spPr xmlns:c15="http://schemas.microsoft.com/office/drawing/2012/chart">
                    <a:prstGeom prst="rect">
                      <a:avLst/>
                    </a:prstGeom>
                  </c15:spPr>
                  <c15:dlblFieldTable/>
                  <c15:showDataLabelsRange val="0"/>
                </c:ext>
              </c:extLst>
            </c:dLbl>
            <c:dLbl>
              <c:idx val="2"/>
              <c:layout>
                <c:manualLayout>
                  <c:x val="8.4086559492563426E-2"/>
                  <c:y val="8.9409448818897633E-2"/>
                </c:manualLayout>
              </c:layout>
              <c:tx>
                <c:rich>
                  <a:bodyPr rot="0" spcFirstLastPara="1" vertOverflow="ellipsis" vert="horz" wrap="square" lIns="38100" tIns="19050" rIns="38100" bIns="19050" anchor="ctr" anchorCtr="1">
                    <a:noAutofit/>
                  </a:bodyPr>
                  <a:lstStyle/>
                  <a:p>
                    <a:pPr>
                      <a:defRPr sz="1010" b="0" i="0" u="none" strike="noStrike" kern="1200" baseline="0">
                        <a:solidFill>
                          <a:schemeClr val="tx1">
                            <a:lumMod val="75000"/>
                            <a:lumOff val="25000"/>
                          </a:schemeClr>
                        </a:solidFill>
                        <a:latin typeface="+mn-lt"/>
                        <a:ea typeface="+mn-ea"/>
                        <a:cs typeface="+mn-cs"/>
                      </a:defRPr>
                    </a:pPr>
                    <a:r>
                      <a:rPr lang="en-US" sz="1010" baseline="0"/>
                      <a:t>34 (13,9%)</a:t>
                    </a:r>
                  </a:p>
                </c:rich>
              </c:tx>
              <c:spPr>
                <a:noFill/>
                <a:ln>
                  <a:noFill/>
                </a:ln>
                <a:effectLst/>
              </c:sp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B0D9-4E11-8DF0-2E4B5131F930}"/>
                </c:ext>
                <c:ext xmlns:c15="http://schemas.microsoft.com/office/drawing/2012/chart" uri="{CE6537A1-D6FC-4f65-9D91-7224C49458BB}">
                  <c15:layout>
                    <c:manualLayout>
                      <c:w val="0.12018518518518516"/>
                      <c:h val="0.20232158480189977"/>
                    </c:manualLayout>
                  </c15:layout>
                </c:ext>
              </c:extLst>
            </c:dLbl>
            <c:dLbl>
              <c:idx val="3"/>
              <c:delete val="1"/>
              <c:extLst xmlns:c16r2="http://schemas.microsoft.com/office/drawing/2015/06/chart">
                <c:ext xmlns:c16="http://schemas.microsoft.com/office/drawing/2014/chart" uri="{C3380CC4-5D6E-409C-BE32-E72D297353CC}">
                  <c16:uniqueId val="{00000007-B0D9-4E11-8DF0-2E4B5131F93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1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Лист1!$A$2:$A$5</c:f>
              <c:strCache>
                <c:ptCount val="4"/>
                <c:pt idx="0">
                  <c:v>не получала</c:v>
                </c:pt>
                <c:pt idx="1">
                  <c:v>Спрашивала у знакомых или на форумах в интернете </c:v>
                </c:pt>
                <c:pt idx="2">
                  <c:v>Спрашивала у врача или на медицинских сайтах </c:v>
                </c:pt>
                <c:pt idx="3">
                  <c:v>Читала научную литературу, доступную для понимания </c:v>
                </c:pt>
              </c:strCache>
            </c:strRef>
          </c:cat>
          <c:val>
            <c:numRef>
              <c:f>Лист1!$B$2:$B$5</c:f>
              <c:numCache>
                <c:formatCode>0.00%</c:formatCode>
                <c:ptCount val="4"/>
                <c:pt idx="0">
                  <c:v>0.46899999999999997</c:v>
                </c:pt>
                <c:pt idx="1">
                  <c:v>0.39200000000000002</c:v>
                </c:pt>
                <c:pt idx="2">
                  <c:v>0.13900000000000001</c:v>
                </c:pt>
                <c:pt idx="3" formatCode="General">
                  <c:v>0</c:v>
                </c:pt>
              </c:numCache>
            </c:numRef>
          </c:val>
          <c:extLst xmlns:c16r2="http://schemas.microsoft.com/office/drawing/2015/06/chart">
            <c:ext xmlns:c16="http://schemas.microsoft.com/office/drawing/2014/chart" uri="{C3380CC4-5D6E-409C-BE32-E72D297353CC}">
              <c16:uniqueId val="{00000008-B0D9-4E11-8DF0-2E4B5131F930}"/>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1.6091954022988506E-2"/>
          <c:y val="2.3533236165231085E-2"/>
          <c:w val="0.52094105424321957"/>
          <c:h val="0.2619066366704161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6546261513575664"/>
          <c:y val="2.2354633555420961E-2"/>
          <c:w val="0.53589811460324677"/>
          <c:h val="0.75875959014738548"/>
        </c:manualLayout>
      </c:layout>
      <c:pieChart>
        <c:varyColors val="1"/>
        <c:ser>
          <c:idx val="0"/>
          <c:order val="0"/>
          <c:tx>
            <c:strRef>
              <c:f>Лист1!$B$1</c:f>
              <c:strCache>
                <c:ptCount val="1"/>
                <c:pt idx="0">
                  <c:v>Информированность после посещения организаций ПМСП</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69A5-42C5-8377-D7E2699940BC}"/>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69A5-42C5-8377-D7E2699940BC}"/>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69A5-42C5-8377-D7E2699940BC}"/>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69A5-42C5-8377-D7E2699940BC}"/>
              </c:ext>
            </c:extLst>
          </c:dPt>
          <c:dLbls>
            <c:dLbl>
              <c:idx val="0"/>
              <c:layout>
                <c:manualLayout>
                  <c:x val="-7.4383023853767008E-2"/>
                  <c:y val="0.14903846153846154"/>
                </c:manualLayout>
              </c:layout>
              <c:tx>
                <c:rich>
                  <a:bodyPr/>
                  <a:lstStyle/>
                  <a:p>
                    <a:r>
                      <a:rPr lang="en-US"/>
                      <a:t>29(</a:t>
                    </a:r>
                    <a:fld id="{C6DD86AD-D55B-45AA-8E00-81D94BE03895}" type="VALUE">
                      <a:rPr lang="en-US"/>
                      <a:pPr/>
                      <a:t>[ЗНАЧЕНИЕ]</a:t>
                    </a:fld>
                    <a:r>
                      <a:rPr lang="en-US"/>
                      <a:t>)</a:t>
                    </a:r>
                  </a:p>
                </c:rich>
              </c:tx>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69A5-42C5-8377-D7E2699940BC}"/>
                </c:ext>
                <c:ext xmlns:c15="http://schemas.microsoft.com/office/drawing/2012/chart" uri="{CE6537A1-D6FC-4f65-9D91-7224C49458BB}">
                  <c15:dlblFieldTable/>
                  <c15:showDataLabelsRange val="0"/>
                </c:ext>
              </c:extLst>
            </c:dLbl>
            <c:dLbl>
              <c:idx val="1"/>
              <c:layout>
                <c:manualLayout>
                  <c:x val="-7.7294513575732901E-2"/>
                  <c:y val="-0.36494357409476069"/>
                </c:manualLayout>
              </c:layout>
              <c:tx>
                <c:rich>
                  <a:bodyPr rot="0" spcFirstLastPara="1" vertOverflow="ellipsis" vert="horz" wrap="square" lIns="38100" tIns="19050" rIns="38100" bIns="19050" anchor="ctr" anchorCtr="1">
                    <a:noAutofit/>
                  </a:bodyPr>
                  <a:lstStyle/>
                  <a:p>
                    <a:pPr>
                      <a:defRPr sz="1000" b="0" i="0" u="none" strike="noStrike" kern="1200" baseline="0">
                        <a:solidFill>
                          <a:schemeClr val="tx1">
                            <a:lumMod val="75000"/>
                            <a:lumOff val="25000"/>
                          </a:schemeClr>
                        </a:solidFill>
                        <a:latin typeface="+mn-lt"/>
                        <a:ea typeface="+mn-ea"/>
                        <a:cs typeface="+mn-cs"/>
                      </a:defRPr>
                    </a:pPr>
                    <a:r>
                      <a:rPr lang="en-US" sz="1000" baseline="0"/>
                      <a:t>149 (</a:t>
                    </a:r>
                    <a:fld id="{73A43566-D330-4467-87EF-1C2CD5BBC821}" type="VALUE">
                      <a:rPr lang="en-US" sz="1000" baseline="0"/>
                      <a:pPr>
                        <a:defRPr sz="1000"/>
                      </a:pPr>
                      <a:t>[ЗНАЧЕНИЕ]</a:t>
                    </a:fld>
                    <a:r>
                      <a:rPr lang="en-US" sz="1000" baseline="0"/>
                      <a:t>)</a:t>
                    </a:r>
                  </a:p>
                </c:rich>
              </c:tx>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69A5-42C5-8377-D7E2699940BC}"/>
                </c:ext>
                <c:ext xmlns:c15="http://schemas.microsoft.com/office/drawing/2012/chart" uri="{CE6537A1-D6FC-4f65-9D91-7224C49458BB}">
                  <c15:layout>
                    <c:manualLayout>
                      <c:w val="0.16507074136955291"/>
                      <c:h val="9.6105895416919024E-2"/>
                    </c:manualLayout>
                  </c15:layout>
                  <c15:dlblFieldTable/>
                  <c15:showDataLabelsRange val="0"/>
                </c:ext>
              </c:extLst>
            </c:dLbl>
            <c:dLbl>
              <c:idx val="2"/>
              <c:layout>
                <c:manualLayout>
                  <c:x val="0.14173763084368279"/>
                  <c:y val="0.11907076519281243"/>
                </c:manualLayout>
              </c:layout>
              <c:tx>
                <c:rich>
                  <a:bodyPr rot="0" spcFirstLastPara="1" vertOverflow="ellipsis" vert="horz" wrap="square" lIns="38100" tIns="19050" rIns="38100" bIns="19050" anchor="ctr" anchorCtr="1">
                    <a:noAutofit/>
                  </a:bodyPr>
                  <a:lstStyle/>
                  <a:p>
                    <a:pPr>
                      <a:defRPr sz="1000" b="0" i="0" u="none" strike="noStrike" kern="1200" baseline="0">
                        <a:solidFill>
                          <a:schemeClr val="tx1">
                            <a:lumMod val="75000"/>
                            <a:lumOff val="25000"/>
                          </a:schemeClr>
                        </a:solidFill>
                        <a:latin typeface="+mn-lt"/>
                        <a:ea typeface="+mn-ea"/>
                        <a:cs typeface="+mn-cs"/>
                      </a:defRPr>
                    </a:pPr>
                    <a:r>
                      <a:rPr lang="en-US" sz="1000" baseline="0"/>
                      <a:t>59 (</a:t>
                    </a:r>
                    <a:fld id="{80F1E601-F24F-49CF-B1F4-FBA614E69FD8}" type="VALUE">
                      <a:rPr lang="en-US" sz="1000" baseline="0"/>
                      <a:pPr>
                        <a:defRPr sz="1000"/>
                      </a:pPr>
                      <a:t>[ЗНАЧЕНИЕ]</a:t>
                    </a:fld>
                    <a:r>
                      <a:rPr lang="en-US" sz="1000" baseline="0"/>
                      <a:t>)</a:t>
                    </a:r>
                  </a:p>
                </c:rich>
              </c:tx>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69A5-42C5-8377-D7E2699940BC}"/>
                </c:ext>
                <c:ext xmlns:c15="http://schemas.microsoft.com/office/drawing/2012/chart" uri="{CE6537A1-D6FC-4f65-9D91-7224C49458BB}">
                  <c15:layout>
                    <c:manualLayout>
                      <c:w val="0.11892464205981043"/>
                      <c:h val="0.11854179285281646"/>
                    </c:manualLayout>
                  </c15:layout>
                  <c15:dlblFieldTable/>
                  <c15:showDataLabelsRange val="0"/>
                </c:ext>
              </c:extLst>
            </c:dLbl>
            <c:dLbl>
              <c:idx val="3"/>
              <c:layout>
                <c:manualLayout>
                  <c:x val="2.2640268438431612E-2"/>
                  <c:y val="8.0128205128205125E-4"/>
                </c:manualLayout>
              </c:layout>
              <c:tx>
                <c:rich>
                  <a:bodyPr/>
                  <a:lstStyle/>
                  <a:p>
                    <a:r>
                      <a:rPr lang="en-US"/>
                      <a:t>8</a:t>
                    </a:r>
                  </a:p>
                  <a:p>
                    <a:r>
                      <a:rPr lang="en-US"/>
                      <a:t>(</a:t>
                    </a:r>
                    <a:fld id="{9A7ACA05-66C3-42A2-A760-A1DE2A136EAE}" type="VALUE">
                      <a:rPr lang="en-US"/>
                      <a:pPr/>
                      <a:t>[ЗНАЧЕНИЕ]</a:t>
                    </a:fld>
                    <a:r>
                      <a:rPr lang="en-US"/>
                      <a:t>)</a:t>
                    </a:r>
                  </a:p>
                </c:rich>
              </c:tx>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69A5-42C5-8377-D7E2699940BC}"/>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Лист1!$A$2:$A$5</c:f>
              <c:strCache>
                <c:ptCount val="4"/>
                <c:pt idx="0">
                  <c:v>Не объяснили </c:v>
                </c:pt>
                <c:pt idx="1">
                  <c:v>Немного, осталось много непонятного </c:v>
                </c:pt>
                <c:pt idx="2">
                  <c:v>Объяснили большую часть, осталось мало непонятных вопросов </c:v>
                </c:pt>
                <c:pt idx="3">
                  <c:v>Все объяснили доступно, получила ответ на все интересующие вопросы</c:v>
                </c:pt>
              </c:strCache>
            </c:strRef>
          </c:cat>
          <c:val>
            <c:numRef>
              <c:f>Лист1!$B$2:$B$5</c:f>
              <c:numCache>
                <c:formatCode>0.00%</c:formatCode>
                <c:ptCount val="4"/>
                <c:pt idx="0">
                  <c:v>0.11799999999999999</c:v>
                </c:pt>
                <c:pt idx="1">
                  <c:v>0.60799999999999998</c:v>
                </c:pt>
                <c:pt idx="2">
                  <c:v>0.24099999999999999</c:v>
                </c:pt>
                <c:pt idx="3">
                  <c:v>3.3000000000000002E-2</c:v>
                </c:pt>
              </c:numCache>
            </c:numRef>
          </c:val>
          <c:extLst xmlns:c16r2="http://schemas.microsoft.com/office/drawing/2015/06/chart">
            <c:ext xmlns:c16="http://schemas.microsoft.com/office/drawing/2014/chart" uri="{C3380CC4-5D6E-409C-BE32-E72D297353CC}">
              <c16:uniqueId val="{00000008-69A5-42C5-8377-D7E2699940BC}"/>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0"/>
          <c:y val="0.71937573076487116"/>
          <c:w val="0.52094105424321957"/>
          <c:h val="0.2619066366704161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160</Pages>
  <Words>54376</Words>
  <Characters>309946</Characters>
  <Application>Microsoft Office Word</Application>
  <DocSecurity>0</DocSecurity>
  <Lines>2582</Lines>
  <Paragraphs>727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363595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dcterms:created xsi:type="dcterms:W3CDTF">2024-11-13T09:46:00Z</dcterms:created>
  <dcterms:modified xsi:type="dcterms:W3CDTF">2024-11-13T09:46:00Z</dcterms:modified>
</cp:coreProperties>
</file>