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2EEF5" w14:textId="77777777" w:rsidR="000B103D" w:rsidRPr="00107040" w:rsidRDefault="000B103D" w:rsidP="000C16BB">
      <w:pPr>
        <w:shd w:val="clear" w:color="auto" w:fill="FFFFFF"/>
        <w:spacing w:after="0" w:line="240" w:lineRule="auto"/>
        <w:ind w:right="182"/>
        <w:jc w:val="center"/>
        <w:rPr>
          <w:rFonts w:ascii="Times New Roman" w:eastAsia="MS Mincho" w:hAnsi="Times New Roman"/>
          <w:sz w:val="28"/>
          <w:szCs w:val="28"/>
          <w:lang w:val="ru-RU" w:eastAsia="ja-JP"/>
        </w:rPr>
      </w:pPr>
      <w:bookmarkStart w:id="0" w:name="_Hlk104222741"/>
      <w:bookmarkStart w:id="1" w:name="_GoBack"/>
      <w:bookmarkEnd w:id="1"/>
      <w:r w:rsidRPr="00107040">
        <w:rPr>
          <w:rFonts w:ascii="Times New Roman" w:eastAsia="MS Mincho" w:hAnsi="Times New Roman"/>
          <w:sz w:val="28"/>
          <w:szCs w:val="28"/>
          <w:lang w:val="ru-RU" w:eastAsia="ja-JP"/>
        </w:rPr>
        <w:t>К</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з</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хский 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цион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льный университет имени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ль-Ф</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би</w:t>
      </w:r>
    </w:p>
    <w:p w14:paraId="0985F4B7" w14:textId="77777777" w:rsidR="000B103D" w:rsidRPr="00107040" w:rsidRDefault="000B103D" w:rsidP="000C16BB">
      <w:pPr>
        <w:shd w:val="clear" w:color="auto" w:fill="FFFFFF"/>
        <w:spacing w:after="0" w:line="240" w:lineRule="auto"/>
        <w:ind w:right="182"/>
        <w:jc w:val="center"/>
        <w:rPr>
          <w:rFonts w:ascii="Times New Roman" w:eastAsia="MS Mincho" w:hAnsi="Times New Roman"/>
          <w:sz w:val="28"/>
          <w:szCs w:val="28"/>
          <w:lang w:val="ru-RU" w:eastAsia="ja-JP"/>
        </w:rPr>
      </w:pPr>
    </w:p>
    <w:p w14:paraId="7309BD6F" w14:textId="77777777" w:rsidR="000B103D" w:rsidRPr="00107040" w:rsidRDefault="000B103D" w:rsidP="000C16BB">
      <w:pPr>
        <w:shd w:val="clear" w:color="auto" w:fill="FFFFFF"/>
        <w:spacing w:after="0" w:line="240" w:lineRule="auto"/>
        <w:ind w:right="182"/>
        <w:jc w:val="center"/>
        <w:rPr>
          <w:rFonts w:ascii="Times New Roman" w:eastAsia="MS Mincho" w:hAnsi="Times New Roman"/>
          <w:sz w:val="28"/>
          <w:szCs w:val="28"/>
          <w:lang w:val="ru-RU" w:eastAsia="ja-JP"/>
        </w:rPr>
      </w:pPr>
    </w:p>
    <w:p w14:paraId="57B54AED" w14:textId="77777777" w:rsidR="000B103D" w:rsidRPr="00107040" w:rsidRDefault="000B103D" w:rsidP="000C16BB">
      <w:pPr>
        <w:shd w:val="clear" w:color="auto" w:fill="FFFFFF"/>
        <w:spacing w:after="0" w:line="240" w:lineRule="auto"/>
        <w:ind w:right="182"/>
        <w:jc w:val="center"/>
        <w:rPr>
          <w:rFonts w:ascii="Times New Roman" w:eastAsia="MS Mincho" w:hAnsi="Times New Roman"/>
          <w:spacing w:val="7"/>
          <w:sz w:val="28"/>
          <w:szCs w:val="28"/>
          <w:lang w:val="ru-RU" w:eastAsia="ja-JP"/>
        </w:rPr>
      </w:pPr>
      <w:r w:rsidRPr="00107040">
        <w:rPr>
          <w:rFonts w:ascii="Times New Roman" w:eastAsia="MS Mincho" w:hAnsi="Times New Roman"/>
          <w:sz w:val="28"/>
          <w:szCs w:val="28"/>
          <w:lang w:val="ru-RU" w:eastAsia="ja-JP"/>
        </w:rPr>
        <w:t>УДК 581.19                                                                              На правах рукописи</w:t>
      </w:r>
    </w:p>
    <w:p w14:paraId="61084CD3" w14:textId="77777777" w:rsidR="000B103D" w:rsidRPr="00107040" w:rsidRDefault="000B103D" w:rsidP="000C16BB">
      <w:pPr>
        <w:shd w:val="clear" w:color="auto" w:fill="FFFFFF"/>
        <w:spacing w:after="0" w:line="240" w:lineRule="auto"/>
        <w:ind w:right="182"/>
        <w:jc w:val="center"/>
        <w:rPr>
          <w:rFonts w:ascii="Times New Roman" w:eastAsia="MS Mincho" w:hAnsi="Times New Roman"/>
          <w:b/>
          <w:spacing w:val="7"/>
          <w:sz w:val="28"/>
          <w:szCs w:val="28"/>
          <w:lang w:val="ru-RU" w:eastAsia="ja-JP"/>
        </w:rPr>
      </w:pPr>
    </w:p>
    <w:p w14:paraId="1678159E" w14:textId="77777777" w:rsidR="000B103D" w:rsidRPr="00107040" w:rsidRDefault="000B103D" w:rsidP="000C16BB">
      <w:pPr>
        <w:shd w:val="clear" w:color="auto" w:fill="FFFFFF"/>
        <w:spacing w:after="0" w:line="240" w:lineRule="auto"/>
        <w:ind w:right="182"/>
        <w:jc w:val="center"/>
        <w:rPr>
          <w:rFonts w:ascii="Times New Roman" w:eastAsia="MS Mincho" w:hAnsi="Times New Roman"/>
          <w:b/>
          <w:spacing w:val="7"/>
          <w:sz w:val="28"/>
          <w:szCs w:val="28"/>
          <w:lang w:val="kk-KZ" w:eastAsia="ja-JP"/>
        </w:rPr>
      </w:pPr>
    </w:p>
    <w:p w14:paraId="17E21582" w14:textId="77777777" w:rsidR="000B103D" w:rsidRPr="00107040" w:rsidRDefault="000B103D" w:rsidP="000C16BB">
      <w:pPr>
        <w:shd w:val="clear" w:color="auto" w:fill="FFFFFF"/>
        <w:spacing w:after="0" w:line="240" w:lineRule="auto"/>
        <w:ind w:right="182"/>
        <w:jc w:val="center"/>
        <w:rPr>
          <w:rFonts w:ascii="Times New Roman" w:eastAsia="MS Mincho" w:hAnsi="Times New Roman"/>
          <w:b/>
          <w:spacing w:val="7"/>
          <w:sz w:val="28"/>
          <w:szCs w:val="28"/>
          <w:lang w:val="kk-KZ" w:eastAsia="ja-JP"/>
        </w:rPr>
      </w:pPr>
    </w:p>
    <w:p w14:paraId="575FDE2A" w14:textId="77777777" w:rsidR="000B103D" w:rsidRPr="00107040" w:rsidRDefault="000B103D" w:rsidP="000C16BB">
      <w:pPr>
        <w:shd w:val="clear" w:color="auto" w:fill="FFFFFF"/>
        <w:spacing w:after="0" w:line="240" w:lineRule="auto"/>
        <w:ind w:right="182"/>
        <w:jc w:val="center"/>
        <w:rPr>
          <w:rFonts w:ascii="Times New Roman" w:eastAsia="MS Mincho" w:hAnsi="Times New Roman"/>
          <w:b/>
          <w:spacing w:val="7"/>
          <w:sz w:val="28"/>
          <w:szCs w:val="28"/>
          <w:lang w:val="kk-KZ" w:eastAsia="ja-JP"/>
        </w:rPr>
      </w:pPr>
    </w:p>
    <w:p w14:paraId="13DAC51B" w14:textId="77777777" w:rsidR="000B103D" w:rsidRPr="00107040" w:rsidRDefault="000B103D" w:rsidP="000C16BB">
      <w:pPr>
        <w:shd w:val="clear" w:color="auto" w:fill="FFFFFF"/>
        <w:spacing w:after="0" w:line="240" w:lineRule="auto"/>
        <w:ind w:right="182"/>
        <w:jc w:val="center"/>
        <w:rPr>
          <w:rFonts w:ascii="Times New Roman" w:eastAsia="MS Mincho" w:hAnsi="Times New Roman"/>
          <w:b/>
          <w:sz w:val="28"/>
          <w:szCs w:val="28"/>
          <w:lang w:val="kk-KZ" w:eastAsia="ja-JP"/>
        </w:rPr>
      </w:pPr>
      <w:r w:rsidRPr="00107040">
        <w:rPr>
          <w:rFonts w:ascii="Times New Roman" w:eastAsia="MS Mincho" w:hAnsi="Times New Roman"/>
          <w:b/>
          <w:spacing w:val="7"/>
          <w:sz w:val="28"/>
          <w:szCs w:val="28"/>
          <w:lang w:val="kk-KZ" w:eastAsia="ja-JP"/>
        </w:rPr>
        <w:t>Қуанбай Әйгерім Құрманбекқызы</w:t>
      </w:r>
    </w:p>
    <w:p w14:paraId="4AC85A19" w14:textId="77777777" w:rsidR="000B103D" w:rsidRPr="00107040" w:rsidRDefault="000B103D" w:rsidP="000C16BB">
      <w:pPr>
        <w:shd w:val="clear" w:color="auto" w:fill="FFFFFF"/>
        <w:spacing w:after="0" w:line="240" w:lineRule="auto"/>
        <w:ind w:right="182"/>
        <w:jc w:val="center"/>
        <w:rPr>
          <w:rFonts w:ascii="Times New Roman" w:eastAsia="MS Mincho" w:hAnsi="Times New Roman"/>
          <w:b/>
          <w:spacing w:val="5"/>
          <w:sz w:val="28"/>
          <w:szCs w:val="28"/>
          <w:lang w:val="ru-RU" w:eastAsia="ja-JP"/>
        </w:rPr>
      </w:pPr>
    </w:p>
    <w:p w14:paraId="03356141" w14:textId="77777777" w:rsidR="000B103D" w:rsidRPr="00107040" w:rsidRDefault="000B103D" w:rsidP="000C16BB">
      <w:pPr>
        <w:shd w:val="clear" w:color="auto" w:fill="FFFFFF"/>
        <w:spacing w:after="0" w:line="240" w:lineRule="auto"/>
        <w:ind w:right="182"/>
        <w:jc w:val="center"/>
        <w:rPr>
          <w:rFonts w:ascii="Times New Roman" w:eastAsia="MS Mincho" w:hAnsi="Times New Roman"/>
          <w:b/>
          <w:spacing w:val="5"/>
          <w:sz w:val="28"/>
          <w:szCs w:val="28"/>
          <w:lang w:val="ru-RU" w:eastAsia="ja-JP"/>
        </w:rPr>
      </w:pPr>
    </w:p>
    <w:p w14:paraId="31E0AADE" w14:textId="77777777" w:rsidR="000B103D" w:rsidRPr="00107040" w:rsidRDefault="000B103D" w:rsidP="000C16BB">
      <w:pPr>
        <w:shd w:val="clear" w:color="auto" w:fill="FFFFFF"/>
        <w:spacing w:after="0" w:line="240" w:lineRule="auto"/>
        <w:ind w:right="182"/>
        <w:jc w:val="center"/>
        <w:rPr>
          <w:rFonts w:ascii="Times New Roman" w:eastAsia="MS Mincho" w:hAnsi="Times New Roman"/>
          <w:b/>
          <w:i/>
          <w:spacing w:val="5"/>
          <w:sz w:val="28"/>
          <w:szCs w:val="28"/>
          <w:lang w:val="ru-RU" w:eastAsia="ja-JP"/>
        </w:rPr>
      </w:pPr>
      <w:r w:rsidRPr="00107040">
        <w:rPr>
          <w:rFonts w:ascii="Times New Roman" w:eastAsia="MS Mincho" w:hAnsi="Times New Roman"/>
          <w:b/>
          <w:spacing w:val="5"/>
          <w:sz w:val="28"/>
          <w:szCs w:val="28"/>
          <w:lang w:val="ru-RU" w:eastAsia="ja-JP"/>
        </w:rPr>
        <w:t xml:space="preserve">Изучение роли Поли (АДФ-рибоза) полимераз </w:t>
      </w:r>
      <w:r w:rsidRPr="00107040">
        <w:rPr>
          <w:rFonts w:ascii="Times New Roman" w:eastAsia="MS Mincho" w:hAnsi="Times New Roman"/>
          <w:b/>
          <w:i/>
          <w:spacing w:val="5"/>
          <w:sz w:val="28"/>
          <w:szCs w:val="28"/>
          <w:lang w:val="ru-RU" w:eastAsia="ja-JP"/>
        </w:rPr>
        <w:t>Arabidopsis thaliana</w:t>
      </w:r>
      <w:r w:rsidRPr="00107040">
        <w:rPr>
          <w:rFonts w:ascii="Times New Roman" w:eastAsia="MS Mincho" w:hAnsi="Times New Roman"/>
          <w:b/>
          <w:spacing w:val="5"/>
          <w:sz w:val="28"/>
          <w:szCs w:val="28"/>
          <w:lang w:val="ru-RU" w:eastAsia="ja-JP"/>
        </w:rPr>
        <w:t xml:space="preserve"> в ковалентной модификации концов разрывов в цепи ДНК </w:t>
      </w:r>
      <w:r w:rsidRPr="00107040">
        <w:rPr>
          <w:rFonts w:ascii="Times New Roman" w:eastAsia="MS Mincho" w:hAnsi="Times New Roman"/>
          <w:b/>
          <w:i/>
          <w:spacing w:val="5"/>
          <w:sz w:val="28"/>
          <w:szCs w:val="28"/>
          <w:lang w:val="ru-RU" w:eastAsia="ja-JP"/>
        </w:rPr>
        <w:t xml:space="preserve">in vitro </w:t>
      </w:r>
      <w:r w:rsidRPr="00107040">
        <w:rPr>
          <w:rFonts w:ascii="Times New Roman" w:eastAsia="MS Mincho" w:hAnsi="Times New Roman"/>
          <w:b/>
          <w:spacing w:val="5"/>
          <w:sz w:val="28"/>
          <w:szCs w:val="28"/>
          <w:lang w:val="ru-RU" w:eastAsia="ja-JP"/>
        </w:rPr>
        <w:t>и</w:t>
      </w:r>
    </w:p>
    <w:p w14:paraId="1307DF98" w14:textId="77777777" w:rsidR="000B103D" w:rsidRPr="00107040" w:rsidRDefault="000B103D" w:rsidP="000C16BB">
      <w:pPr>
        <w:shd w:val="clear" w:color="auto" w:fill="FFFFFF"/>
        <w:spacing w:after="0" w:line="240" w:lineRule="auto"/>
        <w:ind w:right="182"/>
        <w:jc w:val="center"/>
        <w:rPr>
          <w:rFonts w:ascii="Times New Roman" w:eastAsia="MS Mincho" w:hAnsi="Times New Roman"/>
          <w:b/>
          <w:spacing w:val="5"/>
          <w:sz w:val="28"/>
          <w:szCs w:val="28"/>
          <w:lang w:val="ru-RU" w:eastAsia="ja-JP"/>
        </w:rPr>
      </w:pPr>
      <w:r w:rsidRPr="00107040">
        <w:rPr>
          <w:rFonts w:ascii="Times New Roman" w:eastAsia="MS Mincho" w:hAnsi="Times New Roman"/>
          <w:b/>
          <w:i/>
          <w:spacing w:val="5"/>
          <w:sz w:val="28"/>
          <w:szCs w:val="28"/>
          <w:lang w:val="ru-RU" w:eastAsia="ja-JP"/>
        </w:rPr>
        <w:t>in vivo</w:t>
      </w:r>
    </w:p>
    <w:p w14:paraId="301985A3" w14:textId="77777777" w:rsidR="000B103D" w:rsidRPr="00107040" w:rsidRDefault="000B103D" w:rsidP="000C16BB">
      <w:pPr>
        <w:shd w:val="clear" w:color="auto" w:fill="FFFFFF"/>
        <w:spacing w:after="0" w:line="240" w:lineRule="auto"/>
        <w:ind w:right="182"/>
        <w:jc w:val="center"/>
        <w:rPr>
          <w:rFonts w:ascii="Times New Roman" w:eastAsia="MS Mincho" w:hAnsi="Times New Roman"/>
          <w:sz w:val="28"/>
          <w:szCs w:val="28"/>
          <w:lang w:val="ru-RU" w:eastAsia="ja-JP"/>
        </w:rPr>
      </w:pPr>
    </w:p>
    <w:p w14:paraId="5E2899A0" w14:textId="77777777" w:rsidR="000B103D" w:rsidRPr="00107040" w:rsidRDefault="000B103D" w:rsidP="000C16BB">
      <w:pPr>
        <w:shd w:val="clear" w:color="auto" w:fill="FFFFFF"/>
        <w:spacing w:after="0" w:line="240" w:lineRule="auto"/>
        <w:ind w:right="182"/>
        <w:jc w:val="center"/>
        <w:rPr>
          <w:rFonts w:ascii="Times New Roman" w:eastAsia="MS Mincho" w:hAnsi="Times New Roman"/>
          <w:sz w:val="28"/>
          <w:szCs w:val="28"/>
          <w:lang w:val="ru-RU" w:eastAsia="ja-JP"/>
        </w:rPr>
      </w:pPr>
    </w:p>
    <w:p w14:paraId="569A800A" w14:textId="77777777" w:rsidR="000B103D" w:rsidRPr="00107040" w:rsidRDefault="000B103D" w:rsidP="000C16BB">
      <w:pPr>
        <w:shd w:val="clear" w:color="auto" w:fill="FFFFFF"/>
        <w:tabs>
          <w:tab w:val="left" w:pos="778"/>
        </w:tabs>
        <w:spacing w:after="0" w:line="240" w:lineRule="auto"/>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6D060700 - Биология</w:t>
      </w:r>
    </w:p>
    <w:p w14:paraId="002EF593" w14:textId="77777777" w:rsidR="000B103D" w:rsidRPr="00107040" w:rsidRDefault="000B103D" w:rsidP="000C16BB">
      <w:pPr>
        <w:shd w:val="clear" w:color="auto" w:fill="FFFFFF"/>
        <w:spacing w:after="0" w:line="240" w:lineRule="auto"/>
        <w:jc w:val="center"/>
        <w:rPr>
          <w:rFonts w:ascii="Times New Roman" w:eastAsia="MS Mincho" w:hAnsi="Times New Roman"/>
          <w:spacing w:val="2"/>
          <w:sz w:val="28"/>
          <w:szCs w:val="28"/>
          <w:lang w:val="ru-RU" w:eastAsia="ja-JP"/>
        </w:rPr>
      </w:pPr>
    </w:p>
    <w:p w14:paraId="248FB822" w14:textId="77777777" w:rsidR="000B103D" w:rsidRPr="00107040" w:rsidRDefault="000B103D" w:rsidP="000C16BB">
      <w:pPr>
        <w:shd w:val="clear" w:color="auto" w:fill="FFFFFF"/>
        <w:spacing w:after="0" w:line="240" w:lineRule="auto"/>
        <w:jc w:val="center"/>
        <w:rPr>
          <w:rFonts w:ascii="Times New Roman" w:eastAsia="MS Mincho" w:hAnsi="Times New Roman"/>
          <w:sz w:val="28"/>
          <w:szCs w:val="28"/>
          <w:lang w:val="ru-RU" w:eastAsia="ja-JP"/>
        </w:rPr>
      </w:pPr>
      <w:r w:rsidRPr="00107040">
        <w:rPr>
          <w:rFonts w:ascii="Times New Roman" w:eastAsia="MS Mincho" w:hAnsi="Times New Roman"/>
          <w:spacing w:val="2"/>
          <w:sz w:val="28"/>
          <w:szCs w:val="28"/>
          <w:lang w:val="ru-RU" w:eastAsia="ja-JP"/>
        </w:rPr>
        <w:t>Диссертация на соискание ученой степени</w:t>
      </w:r>
      <w:r w:rsidRPr="00107040">
        <w:rPr>
          <w:rFonts w:ascii="Times New Roman" w:eastAsia="MS Mincho" w:hAnsi="Times New Roman"/>
          <w:spacing w:val="2"/>
          <w:sz w:val="28"/>
          <w:szCs w:val="28"/>
          <w:lang w:val="ru-RU" w:eastAsia="ja-JP"/>
        </w:rPr>
        <w:br/>
      </w:r>
      <w:r w:rsidRPr="00107040">
        <w:rPr>
          <w:rFonts w:ascii="Times New Roman" w:eastAsia="MS Mincho" w:hAnsi="Times New Roman"/>
          <w:spacing w:val="4"/>
          <w:sz w:val="28"/>
          <w:szCs w:val="28"/>
          <w:lang w:val="ru-RU" w:eastAsia="ja-JP"/>
        </w:rPr>
        <w:t xml:space="preserve">доктора </w:t>
      </w:r>
      <w:r w:rsidRPr="00107040">
        <w:rPr>
          <w:rFonts w:ascii="Times New Roman" w:eastAsia="MS Mincho" w:hAnsi="Times New Roman"/>
          <w:spacing w:val="-3"/>
          <w:sz w:val="28"/>
          <w:szCs w:val="28"/>
          <w:lang w:val="ru-RU" w:eastAsia="ja-JP"/>
        </w:rPr>
        <w:t>философии (</w:t>
      </w:r>
      <w:r w:rsidRPr="00107040">
        <w:rPr>
          <w:rFonts w:ascii="Times New Roman" w:eastAsia="MS Mincho" w:hAnsi="Times New Roman"/>
          <w:spacing w:val="-3"/>
          <w:sz w:val="28"/>
          <w:szCs w:val="28"/>
          <w:lang w:val="en-US" w:eastAsia="ja-JP"/>
        </w:rPr>
        <w:t>PhD</w:t>
      </w:r>
      <w:r w:rsidRPr="00107040">
        <w:rPr>
          <w:rFonts w:ascii="Times New Roman" w:eastAsia="MS Mincho" w:hAnsi="Times New Roman"/>
          <w:spacing w:val="-3"/>
          <w:sz w:val="28"/>
          <w:szCs w:val="28"/>
          <w:lang w:val="ru-RU" w:eastAsia="ja-JP"/>
        </w:rPr>
        <w:t>), доктора по профилю</w:t>
      </w:r>
    </w:p>
    <w:p w14:paraId="3897BEE1" w14:textId="77777777" w:rsidR="000B103D" w:rsidRPr="00107040" w:rsidRDefault="000B103D" w:rsidP="000C16BB">
      <w:pPr>
        <w:shd w:val="clear" w:color="auto" w:fill="FFFFFF"/>
        <w:spacing w:after="0" w:line="240" w:lineRule="auto"/>
        <w:rPr>
          <w:rFonts w:ascii="Times New Roman" w:eastAsia="MS Mincho" w:hAnsi="Times New Roman"/>
          <w:sz w:val="28"/>
          <w:szCs w:val="28"/>
          <w:lang w:val="ru-RU" w:eastAsia="ja-JP"/>
        </w:rPr>
      </w:pPr>
    </w:p>
    <w:p w14:paraId="30828D63" w14:textId="77777777" w:rsidR="000B103D" w:rsidRPr="00107040" w:rsidRDefault="000B103D" w:rsidP="000C16BB">
      <w:pPr>
        <w:shd w:val="clear" w:color="auto" w:fill="FFFFFF"/>
        <w:spacing w:after="0" w:line="240" w:lineRule="auto"/>
        <w:jc w:val="center"/>
        <w:rPr>
          <w:rFonts w:ascii="Times New Roman" w:eastAsia="MS Mincho" w:hAnsi="Times New Roman"/>
          <w:sz w:val="28"/>
          <w:szCs w:val="28"/>
          <w:lang w:val="ru-RU" w:eastAsia="ja-JP"/>
        </w:rPr>
      </w:pPr>
    </w:p>
    <w:p w14:paraId="1B76EC07" w14:textId="77777777" w:rsidR="000B103D" w:rsidRPr="00107040" w:rsidRDefault="000B103D" w:rsidP="000C16BB">
      <w:pPr>
        <w:shd w:val="clear" w:color="auto" w:fill="FFFFFF"/>
        <w:tabs>
          <w:tab w:val="left" w:pos="7088"/>
        </w:tabs>
        <w:spacing w:after="0" w:line="240" w:lineRule="auto"/>
        <w:jc w:val="center"/>
        <w:rPr>
          <w:rFonts w:ascii="Times New Roman" w:eastAsia="MS Mincho" w:hAnsi="Times New Roman"/>
          <w:sz w:val="28"/>
          <w:szCs w:val="28"/>
          <w:lang w:val="ru-RU" w:eastAsia="ja-JP"/>
        </w:rPr>
      </w:pPr>
    </w:p>
    <w:p w14:paraId="3C4992F3" w14:textId="77777777" w:rsidR="000B103D" w:rsidRPr="00107040" w:rsidRDefault="000B103D" w:rsidP="000C16BB">
      <w:pPr>
        <w:shd w:val="clear" w:color="auto" w:fill="FFFFFF"/>
        <w:tabs>
          <w:tab w:val="left" w:pos="7088"/>
        </w:tabs>
        <w:spacing w:after="0" w:line="240" w:lineRule="auto"/>
        <w:jc w:val="center"/>
        <w:rPr>
          <w:rFonts w:ascii="Times New Roman" w:eastAsia="MS Mincho" w:hAnsi="Times New Roman"/>
          <w:sz w:val="28"/>
          <w:szCs w:val="28"/>
          <w:lang w:val="ru-RU" w:eastAsia="ja-JP"/>
        </w:rPr>
      </w:pPr>
    </w:p>
    <w:p w14:paraId="6D9735E9" w14:textId="77777777" w:rsidR="000B103D" w:rsidRPr="00107040" w:rsidRDefault="000B103D" w:rsidP="000C16BB">
      <w:pPr>
        <w:shd w:val="clear" w:color="auto" w:fill="FFFFFF"/>
        <w:tabs>
          <w:tab w:val="left" w:pos="7088"/>
        </w:tabs>
        <w:spacing w:after="0" w:line="240" w:lineRule="auto"/>
        <w:jc w:val="center"/>
        <w:rPr>
          <w:rFonts w:ascii="Times New Roman" w:eastAsia="MS Mincho" w:hAnsi="Times New Roman"/>
          <w:sz w:val="28"/>
          <w:szCs w:val="28"/>
          <w:lang w:val="ru-RU" w:eastAsia="ja-JP"/>
        </w:rPr>
      </w:pPr>
    </w:p>
    <w:p w14:paraId="5CFC3057" w14:textId="77777777" w:rsidR="000B103D" w:rsidRPr="00107040" w:rsidRDefault="000B103D" w:rsidP="000C16BB">
      <w:pPr>
        <w:shd w:val="clear" w:color="auto" w:fill="FFFFFF"/>
        <w:spacing w:after="0" w:line="240" w:lineRule="auto"/>
        <w:ind w:left="5529"/>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Научный консультант:</w:t>
      </w:r>
    </w:p>
    <w:p w14:paraId="51D76DD2" w14:textId="77777777" w:rsidR="000B103D" w:rsidRPr="00107040" w:rsidRDefault="000B103D" w:rsidP="000C16BB">
      <w:pPr>
        <w:shd w:val="clear" w:color="auto" w:fill="FFFFFF"/>
        <w:spacing w:after="0" w:line="240" w:lineRule="auto"/>
        <w:ind w:left="5529"/>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Бисенбaев A.К., д.б.н.,</w:t>
      </w:r>
    </w:p>
    <w:p w14:paraId="509CE090" w14:textId="77777777" w:rsidR="000B103D" w:rsidRPr="00107040" w:rsidRDefault="000B103D" w:rsidP="000C16BB">
      <w:pPr>
        <w:shd w:val="clear" w:color="auto" w:fill="FFFFFF"/>
        <w:spacing w:after="0" w:line="240" w:lineRule="auto"/>
        <w:ind w:left="5529"/>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академик НAН РК;</w:t>
      </w:r>
    </w:p>
    <w:p w14:paraId="2D5FD4E6" w14:textId="77777777" w:rsidR="000B103D" w:rsidRPr="00107040" w:rsidRDefault="000B103D" w:rsidP="000C16BB">
      <w:pPr>
        <w:shd w:val="clear" w:color="auto" w:fill="FFFFFF"/>
        <w:spacing w:after="0" w:line="240" w:lineRule="auto"/>
        <w:ind w:left="5529"/>
        <w:rPr>
          <w:rFonts w:ascii="Times New Roman" w:eastAsia="MS Mincho" w:hAnsi="Times New Roman"/>
          <w:sz w:val="28"/>
          <w:szCs w:val="28"/>
          <w:lang w:val="ru-RU" w:eastAsia="ja-JP"/>
        </w:rPr>
      </w:pPr>
    </w:p>
    <w:p w14:paraId="50773433" w14:textId="77777777" w:rsidR="000B103D" w:rsidRPr="00107040" w:rsidRDefault="000B103D" w:rsidP="000C16BB">
      <w:pPr>
        <w:shd w:val="clear" w:color="auto" w:fill="FFFFFF"/>
        <w:spacing w:after="0" w:line="240" w:lineRule="auto"/>
        <w:ind w:left="5529"/>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Зарубежный научный консультант:</w:t>
      </w:r>
    </w:p>
    <w:p w14:paraId="081A6EA9" w14:textId="77777777" w:rsidR="000B103D" w:rsidRPr="00107040" w:rsidRDefault="000B103D" w:rsidP="000C16BB">
      <w:pPr>
        <w:shd w:val="clear" w:color="auto" w:fill="FFFFFF"/>
        <w:spacing w:after="0" w:line="240" w:lineRule="auto"/>
        <w:ind w:left="5529"/>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Сапарбаев М.К., Ph</w:t>
      </w:r>
      <w:r w:rsidRPr="00107040">
        <w:rPr>
          <w:rFonts w:ascii="Times New Roman" w:eastAsia="MS Mincho" w:hAnsi="Times New Roman"/>
          <w:sz w:val="28"/>
          <w:szCs w:val="28"/>
          <w:lang w:val="en-US" w:eastAsia="ja-JP"/>
        </w:rPr>
        <w:t>D</w:t>
      </w:r>
      <w:r w:rsidRPr="00107040">
        <w:rPr>
          <w:rFonts w:ascii="Times New Roman" w:eastAsia="MS Mincho" w:hAnsi="Times New Roman"/>
          <w:sz w:val="28"/>
          <w:szCs w:val="28"/>
          <w:lang w:val="ru-RU" w:eastAsia="ja-JP"/>
        </w:rPr>
        <w:t xml:space="preserve"> института</w:t>
      </w:r>
    </w:p>
    <w:p w14:paraId="7913EC9C" w14:textId="77777777" w:rsidR="000B103D" w:rsidRPr="00107040" w:rsidRDefault="000B103D" w:rsidP="000C16BB">
      <w:pPr>
        <w:shd w:val="clear" w:color="auto" w:fill="FFFFFF"/>
        <w:spacing w:after="0" w:line="240" w:lineRule="auto"/>
        <w:ind w:left="5529"/>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Густава Русси</w:t>
      </w:r>
    </w:p>
    <w:p w14:paraId="0C6904C0" w14:textId="77777777" w:rsidR="000B103D" w:rsidRPr="00107040" w:rsidRDefault="000B103D" w:rsidP="000C16BB">
      <w:pPr>
        <w:shd w:val="clear" w:color="auto" w:fill="FFFFFF"/>
        <w:spacing w:after="0" w:line="240" w:lineRule="auto"/>
        <w:ind w:left="5529"/>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(Вильжюиф, Франция)</w:t>
      </w:r>
    </w:p>
    <w:p w14:paraId="33E7F8C4" w14:textId="77777777" w:rsidR="000B103D" w:rsidRPr="00107040" w:rsidRDefault="000B103D" w:rsidP="000C16BB">
      <w:pPr>
        <w:shd w:val="clear" w:color="auto" w:fill="FFFFFF"/>
        <w:spacing w:after="0" w:line="240" w:lineRule="auto"/>
        <w:jc w:val="center"/>
        <w:rPr>
          <w:rFonts w:ascii="Times New Roman" w:eastAsia="MS Mincho" w:hAnsi="Times New Roman"/>
          <w:sz w:val="28"/>
          <w:szCs w:val="28"/>
          <w:lang w:val="ru-RU" w:eastAsia="ja-JP"/>
        </w:rPr>
      </w:pPr>
    </w:p>
    <w:p w14:paraId="653F47D3" w14:textId="77777777" w:rsidR="000B103D" w:rsidRPr="00107040" w:rsidRDefault="000B103D" w:rsidP="000C16BB">
      <w:pPr>
        <w:shd w:val="clear" w:color="auto" w:fill="FFFFFF"/>
        <w:spacing w:after="0" w:line="240" w:lineRule="auto"/>
        <w:jc w:val="center"/>
        <w:rPr>
          <w:rFonts w:ascii="Times New Roman" w:eastAsia="MS Mincho" w:hAnsi="Times New Roman"/>
          <w:sz w:val="28"/>
          <w:szCs w:val="28"/>
          <w:lang w:val="ru-RU" w:eastAsia="ja-JP"/>
        </w:rPr>
      </w:pPr>
    </w:p>
    <w:p w14:paraId="47B35493" w14:textId="77777777" w:rsidR="000B103D" w:rsidRPr="00107040" w:rsidRDefault="000B103D" w:rsidP="000C16BB">
      <w:pPr>
        <w:shd w:val="clear" w:color="auto" w:fill="FFFFFF"/>
        <w:spacing w:after="0" w:line="240" w:lineRule="auto"/>
        <w:jc w:val="center"/>
        <w:rPr>
          <w:rFonts w:ascii="Times New Roman" w:eastAsia="MS Mincho" w:hAnsi="Times New Roman"/>
          <w:sz w:val="28"/>
          <w:szCs w:val="28"/>
          <w:lang w:val="ru-RU" w:eastAsia="ja-JP"/>
        </w:rPr>
      </w:pPr>
    </w:p>
    <w:p w14:paraId="45C06CF5" w14:textId="77777777" w:rsidR="000B103D" w:rsidRPr="00107040" w:rsidRDefault="000B103D" w:rsidP="000C16BB">
      <w:pPr>
        <w:spacing w:after="0" w:line="240" w:lineRule="auto"/>
        <w:jc w:val="center"/>
        <w:rPr>
          <w:rFonts w:ascii="Times New Roman" w:eastAsia="MS Mincho" w:hAnsi="Times New Roman"/>
          <w:b/>
          <w:sz w:val="28"/>
          <w:szCs w:val="28"/>
          <w:lang w:val="ru-RU" w:eastAsia="ja-JP"/>
        </w:rPr>
      </w:pPr>
    </w:p>
    <w:p w14:paraId="0220DFE1" w14:textId="77777777" w:rsidR="000B103D" w:rsidRPr="00107040" w:rsidRDefault="000B103D" w:rsidP="000C16BB">
      <w:pPr>
        <w:spacing w:after="0" w:line="240" w:lineRule="auto"/>
        <w:jc w:val="center"/>
        <w:rPr>
          <w:rFonts w:ascii="Times New Roman" w:eastAsia="MS Mincho" w:hAnsi="Times New Roman"/>
          <w:b/>
          <w:sz w:val="28"/>
          <w:szCs w:val="28"/>
          <w:lang w:val="ru-RU" w:eastAsia="ja-JP"/>
        </w:rPr>
      </w:pPr>
    </w:p>
    <w:p w14:paraId="42396B4B" w14:textId="77777777" w:rsidR="000B103D" w:rsidRPr="00107040" w:rsidRDefault="000B103D" w:rsidP="000C16BB">
      <w:pPr>
        <w:spacing w:after="0" w:line="240" w:lineRule="auto"/>
        <w:jc w:val="center"/>
        <w:rPr>
          <w:rFonts w:ascii="Times New Roman" w:eastAsia="MS Mincho" w:hAnsi="Times New Roman"/>
          <w:b/>
          <w:sz w:val="28"/>
          <w:szCs w:val="28"/>
          <w:lang w:val="ru-RU" w:eastAsia="ja-JP"/>
        </w:rPr>
      </w:pPr>
    </w:p>
    <w:p w14:paraId="2FD5EAB3" w14:textId="77777777" w:rsidR="000B103D" w:rsidRPr="00107040" w:rsidRDefault="000B103D" w:rsidP="000C16BB">
      <w:pPr>
        <w:spacing w:after="0" w:line="240" w:lineRule="auto"/>
        <w:rPr>
          <w:rFonts w:ascii="Times New Roman" w:eastAsia="MS Mincho" w:hAnsi="Times New Roman"/>
          <w:sz w:val="28"/>
          <w:szCs w:val="28"/>
          <w:lang w:val="ru-RU" w:eastAsia="ja-JP"/>
        </w:rPr>
      </w:pPr>
    </w:p>
    <w:p w14:paraId="3C99A653" w14:textId="77777777" w:rsidR="000B103D" w:rsidRPr="00107040" w:rsidRDefault="000B103D" w:rsidP="000C16BB">
      <w:pPr>
        <w:spacing w:after="0" w:line="240" w:lineRule="auto"/>
        <w:jc w:val="center"/>
        <w:rPr>
          <w:rFonts w:ascii="Times New Roman" w:eastAsia="MS Mincho" w:hAnsi="Times New Roman"/>
          <w:sz w:val="28"/>
          <w:szCs w:val="28"/>
          <w:lang w:val="ru-RU" w:eastAsia="ja-JP"/>
        </w:rPr>
      </w:pPr>
    </w:p>
    <w:p w14:paraId="6D8E9B10" w14:textId="77777777" w:rsidR="000B103D" w:rsidRPr="00107040" w:rsidRDefault="000B103D" w:rsidP="000C16BB">
      <w:pPr>
        <w:spacing w:after="0" w:line="240" w:lineRule="auto"/>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Республика Казахстан</w:t>
      </w:r>
    </w:p>
    <w:p w14:paraId="12DF97A5" w14:textId="77777777" w:rsidR="000B103D" w:rsidRPr="00107040" w:rsidRDefault="000B103D" w:rsidP="000C16BB">
      <w:pPr>
        <w:spacing w:after="0" w:line="240" w:lineRule="auto"/>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Aлмaты, 2022</w:t>
      </w:r>
    </w:p>
    <w:p w14:paraId="034B04B1" w14:textId="05C78BA5" w:rsidR="000B103D" w:rsidRPr="00107040" w:rsidRDefault="005B007E" w:rsidP="000C16BB">
      <w:pPr>
        <w:spacing w:after="0" w:line="240" w:lineRule="auto"/>
        <w:jc w:val="center"/>
        <w:rPr>
          <w:rFonts w:ascii="Times New Roman" w:hAnsi="Times New Roman"/>
          <w:sz w:val="28"/>
          <w:szCs w:val="28"/>
        </w:rPr>
      </w:pPr>
      <w:r w:rsidRPr="00107040">
        <w:rPr>
          <w:rFonts w:ascii="Times New Roman" w:hAnsi="Times New Roman"/>
          <w:noProof/>
          <w:sz w:val="28"/>
          <w:szCs w:val="28"/>
          <w:lang w:val="ru-RU" w:eastAsia="ru-RU"/>
        </w:rPr>
        <mc:AlternateContent>
          <mc:Choice Requires="wps">
            <w:drawing>
              <wp:anchor distT="0" distB="0" distL="114300" distR="114300" simplePos="0" relativeHeight="251659264" behindDoc="0" locked="0" layoutInCell="1" allowOverlap="1" wp14:anchorId="5344DCC2" wp14:editId="211DB694">
                <wp:simplePos x="0" y="0"/>
                <wp:positionH relativeFrom="column">
                  <wp:posOffset>2948940</wp:posOffset>
                </wp:positionH>
                <wp:positionV relativeFrom="paragraph">
                  <wp:posOffset>361315</wp:posOffset>
                </wp:positionV>
                <wp:extent cx="228600" cy="180975"/>
                <wp:effectExtent l="0" t="0" r="19050" b="28575"/>
                <wp:wrapNone/>
                <wp:docPr id="36" name="Прямоугольник 36"/>
                <wp:cNvGraphicFramePr/>
                <a:graphic xmlns:a="http://schemas.openxmlformats.org/drawingml/2006/main">
                  <a:graphicData uri="http://schemas.microsoft.com/office/word/2010/wordprocessingShape">
                    <wps:wsp>
                      <wps:cNvSpPr/>
                      <wps:spPr>
                        <a:xfrm>
                          <a:off x="0" y="0"/>
                          <a:ext cx="22860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6840EB" id="Прямоугольник 36" o:spid="_x0000_s1026" style="position:absolute;margin-left:232.2pt;margin-top:28.45pt;width:18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" fillcolor="white [3212]" strokecolor="white [3212]" strokeweight="1pt"/>
            </w:pict>
          </mc:Fallback>
        </mc:AlternateContent>
      </w:r>
    </w:p>
    <w:p w14:paraId="06F0A332" w14:textId="77777777" w:rsidR="00916EDB" w:rsidRPr="00107040" w:rsidRDefault="00916EDB" w:rsidP="00916EDB">
      <w:pPr>
        <w:spacing w:after="0" w:line="240" w:lineRule="auto"/>
        <w:jc w:val="center"/>
        <w:rPr>
          <w:rFonts w:ascii="Times New Roman" w:hAnsi="Times New Roman"/>
          <w:b/>
          <w:sz w:val="28"/>
          <w:szCs w:val="28"/>
        </w:rPr>
      </w:pPr>
      <w:bookmarkStart w:id="2" w:name="_Hlk104987337"/>
      <w:r w:rsidRPr="00107040">
        <w:rPr>
          <w:rFonts w:ascii="Times New Roman" w:eastAsia="MS Mincho" w:hAnsi="Times New Roman"/>
          <w:b/>
          <w:sz w:val="28"/>
          <w:szCs w:val="28"/>
          <w:lang w:val="ru-RU" w:eastAsia="ja-JP"/>
        </w:rPr>
        <w:lastRenderedPageBreak/>
        <w:t>СОДЕРЖАНИЕ</w:t>
      </w:r>
    </w:p>
    <w:bookmarkEnd w:id="2"/>
    <w:tbl>
      <w:tblPr>
        <w:tblW w:w="0" w:type="auto"/>
        <w:tblLook w:val="04A0" w:firstRow="1" w:lastRow="0" w:firstColumn="1" w:lastColumn="0" w:noHBand="0" w:noVBand="1"/>
      </w:tblPr>
      <w:tblGrid>
        <w:gridCol w:w="1406"/>
        <w:gridCol w:w="7274"/>
        <w:gridCol w:w="665"/>
      </w:tblGrid>
      <w:tr w:rsidR="00B60717" w:rsidRPr="00B60717" w14:paraId="6EB9126E" w14:textId="77777777" w:rsidTr="00B60717">
        <w:tc>
          <w:tcPr>
            <w:tcW w:w="1406" w:type="dxa"/>
            <w:shd w:val="clear" w:color="auto" w:fill="auto"/>
          </w:tcPr>
          <w:p w14:paraId="75CCCCA5"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p>
        </w:tc>
        <w:tc>
          <w:tcPr>
            <w:tcW w:w="7274" w:type="dxa"/>
            <w:shd w:val="clear" w:color="auto" w:fill="auto"/>
          </w:tcPr>
          <w:p w14:paraId="4CD3C609"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p>
        </w:tc>
        <w:tc>
          <w:tcPr>
            <w:tcW w:w="665" w:type="dxa"/>
            <w:shd w:val="clear" w:color="auto" w:fill="auto"/>
          </w:tcPr>
          <w:p w14:paraId="736116EA"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p>
        </w:tc>
      </w:tr>
      <w:tr w:rsidR="00B60717" w:rsidRPr="00B60717" w14:paraId="1E2BAAF3" w14:textId="77777777" w:rsidTr="00B60717">
        <w:tc>
          <w:tcPr>
            <w:tcW w:w="8680" w:type="dxa"/>
            <w:gridSpan w:val="2"/>
            <w:vMerge w:val="restart"/>
            <w:shd w:val="clear" w:color="auto" w:fill="auto"/>
          </w:tcPr>
          <w:p w14:paraId="4D04F6E1" w14:textId="77777777" w:rsidR="00B60717" w:rsidRPr="00B60717" w:rsidRDefault="00B60717" w:rsidP="00B60717">
            <w:pPr>
              <w:spacing w:after="0" w:line="240" w:lineRule="auto"/>
              <w:jc w:val="both"/>
              <w:rPr>
                <w:rFonts w:ascii="Times New Roman" w:eastAsia="MS Mincho" w:hAnsi="Times New Roman"/>
                <w:b/>
                <w:sz w:val="28"/>
                <w:szCs w:val="28"/>
                <w:lang w:val="en-US" w:eastAsia="ja-JP"/>
              </w:rPr>
            </w:pPr>
            <w:r w:rsidRPr="00B60717">
              <w:rPr>
                <w:rFonts w:ascii="Times New Roman" w:hAnsi="Times New Roman"/>
                <w:b/>
                <w:sz w:val="28"/>
                <w:szCs w:val="28"/>
                <w:lang w:val="ru-RU"/>
              </w:rPr>
              <w:t xml:space="preserve">ОБОЗНАЧЕНИЯ И </w:t>
            </w:r>
            <w:r w:rsidRPr="00B60717">
              <w:rPr>
                <w:rFonts w:ascii="Times New Roman" w:eastAsia="MS Mincho" w:hAnsi="Times New Roman"/>
                <w:b/>
                <w:sz w:val="28"/>
                <w:szCs w:val="28"/>
                <w:lang w:val="ru-RU" w:eastAsia="ja-JP"/>
              </w:rPr>
              <w:t>СОКРАЩЕНИЯ</w:t>
            </w:r>
          </w:p>
          <w:p w14:paraId="527FE563" w14:textId="77777777" w:rsidR="00B60717" w:rsidRPr="00B60717" w:rsidRDefault="00B60717" w:rsidP="00B60717">
            <w:pPr>
              <w:spacing w:after="0" w:line="240" w:lineRule="auto"/>
              <w:jc w:val="both"/>
              <w:rPr>
                <w:rFonts w:ascii="Times New Roman" w:eastAsia="MS Mincho" w:hAnsi="Times New Roman"/>
                <w:b/>
                <w:sz w:val="28"/>
                <w:szCs w:val="28"/>
                <w:lang w:val="en-US" w:eastAsia="ja-JP"/>
              </w:rPr>
            </w:pPr>
            <w:r w:rsidRPr="00B60717">
              <w:rPr>
                <w:rFonts w:ascii="Times New Roman" w:eastAsia="MS Mincho" w:hAnsi="Times New Roman"/>
                <w:b/>
                <w:sz w:val="28"/>
                <w:szCs w:val="28"/>
                <w:lang w:val="en-US" w:eastAsia="ja-JP"/>
              </w:rPr>
              <w:t>ВВЕДЕНИЕ</w:t>
            </w:r>
          </w:p>
        </w:tc>
        <w:tc>
          <w:tcPr>
            <w:tcW w:w="665" w:type="dxa"/>
            <w:shd w:val="clear" w:color="auto" w:fill="auto"/>
          </w:tcPr>
          <w:p w14:paraId="0F8FE407" w14:textId="77777777" w:rsidR="00B60717" w:rsidRPr="00B60717" w:rsidRDefault="00B60717" w:rsidP="00B60717">
            <w:pPr>
              <w:spacing w:after="0" w:line="240" w:lineRule="auto"/>
              <w:jc w:val="both"/>
              <w:rPr>
                <w:rFonts w:ascii="Times New Roman" w:eastAsia="MS Mincho" w:hAnsi="Times New Roman"/>
                <w:sz w:val="28"/>
                <w:szCs w:val="28"/>
                <w:lang w:val="kk-KZ" w:eastAsia="ja-JP"/>
              </w:rPr>
            </w:pPr>
            <w:r w:rsidRPr="00B60717">
              <w:rPr>
                <w:rFonts w:ascii="Times New Roman" w:eastAsia="MS Mincho" w:hAnsi="Times New Roman"/>
                <w:sz w:val="28"/>
                <w:szCs w:val="28"/>
                <w:lang w:val="kk-KZ" w:eastAsia="ja-JP"/>
              </w:rPr>
              <w:t>5</w:t>
            </w:r>
          </w:p>
        </w:tc>
      </w:tr>
      <w:tr w:rsidR="00B60717" w:rsidRPr="00B60717" w14:paraId="2601E5BF" w14:textId="77777777" w:rsidTr="00B60717">
        <w:tc>
          <w:tcPr>
            <w:tcW w:w="8680" w:type="dxa"/>
            <w:gridSpan w:val="2"/>
            <w:vMerge/>
            <w:shd w:val="clear" w:color="auto" w:fill="auto"/>
          </w:tcPr>
          <w:p w14:paraId="0C49EDEB" w14:textId="77777777" w:rsidR="00B60717" w:rsidRPr="00B60717" w:rsidRDefault="00B60717" w:rsidP="00B60717">
            <w:pPr>
              <w:spacing w:after="0" w:line="240" w:lineRule="auto"/>
              <w:jc w:val="both"/>
              <w:rPr>
                <w:rFonts w:ascii="Times New Roman" w:eastAsia="MS Mincho" w:hAnsi="Times New Roman"/>
                <w:b/>
                <w:sz w:val="28"/>
                <w:szCs w:val="28"/>
                <w:lang w:val="en-US" w:eastAsia="ja-JP"/>
              </w:rPr>
            </w:pPr>
          </w:p>
        </w:tc>
        <w:tc>
          <w:tcPr>
            <w:tcW w:w="665" w:type="dxa"/>
            <w:shd w:val="clear" w:color="auto" w:fill="auto"/>
          </w:tcPr>
          <w:p w14:paraId="0B390859"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8</w:t>
            </w:r>
          </w:p>
        </w:tc>
      </w:tr>
      <w:tr w:rsidR="00B60717" w:rsidRPr="00B60717" w14:paraId="4E6D8F49" w14:textId="77777777" w:rsidTr="00B60717">
        <w:tc>
          <w:tcPr>
            <w:tcW w:w="1406" w:type="dxa"/>
            <w:shd w:val="clear" w:color="auto" w:fill="auto"/>
          </w:tcPr>
          <w:p w14:paraId="31D798B2" w14:textId="77777777" w:rsidR="00B60717" w:rsidRPr="00B60717" w:rsidRDefault="00B60717" w:rsidP="00B60717">
            <w:pPr>
              <w:spacing w:after="0" w:line="240" w:lineRule="auto"/>
              <w:jc w:val="both"/>
              <w:rPr>
                <w:rFonts w:ascii="Times New Roman" w:eastAsia="MS Mincho" w:hAnsi="Times New Roman"/>
                <w:b/>
                <w:sz w:val="28"/>
                <w:szCs w:val="28"/>
                <w:lang w:val="en-US" w:eastAsia="ja-JP"/>
              </w:rPr>
            </w:pPr>
            <w:r w:rsidRPr="00B60717">
              <w:rPr>
                <w:rFonts w:ascii="Times New Roman" w:eastAsia="MS Mincho" w:hAnsi="Times New Roman"/>
                <w:b/>
                <w:sz w:val="28"/>
                <w:szCs w:val="28"/>
                <w:lang w:val="en-US" w:eastAsia="ja-JP"/>
              </w:rPr>
              <w:t>1</w:t>
            </w:r>
          </w:p>
        </w:tc>
        <w:tc>
          <w:tcPr>
            <w:tcW w:w="7274" w:type="dxa"/>
            <w:shd w:val="clear" w:color="auto" w:fill="auto"/>
          </w:tcPr>
          <w:p w14:paraId="3709A301" w14:textId="77777777" w:rsidR="00B60717" w:rsidRPr="00B60717" w:rsidRDefault="00B60717" w:rsidP="00B60717">
            <w:pPr>
              <w:spacing w:after="0" w:line="240" w:lineRule="auto"/>
              <w:jc w:val="both"/>
              <w:rPr>
                <w:rFonts w:ascii="Times New Roman" w:eastAsia="MS Mincho" w:hAnsi="Times New Roman"/>
                <w:b/>
                <w:sz w:val="28"/>
                <w:szCs w:val="28"/>
                <w:lang w:val="en-US" w:eastAsia="ja-JP"/>
              </w:rPr>
            </w:pPr>
            <w:r w:rsidRPr="00B60717">
              <w:rPr>
                <w:rFonts w:ascii="Times New Roman" w:eastAsia="MS Mincho" w:hAnsi="Times New Roman"/>
                <w:b/>
                <w:sz w:val="28"/>
                <w:szCs w:val="28"/>
                <w:lang w:val="ru-RU" w:eastAsia="ja-JP"/>
              </w:rPr>
              <w:t xml:space="preserve">ОБЗОР </w:t>
            </w:r>
            <w:r w:rsidRPr="00B60717">
              <w:rPr>
                <w:rFonts w:ascii="Times New Roman" w:eastAsia="MS Mincho" w:hAnsi="Times New Roman"/>
                <w:b/>
                <w:sz w:val="28"/>
                <w:szCs w:val="28"/>
                <w:lang w:val="en-US" w:eastAsia="ja-JP"/>
              </w:rPr>
              <w:t>ЛИТЕРАТУ</w:t>
            </w:r>
            <w:r w:rsidRPr="00B60717">
              <w:rPr>
                <w:rFonts w:ascii="Times New Roman" w:eastAsia="MS Mincho" w:hAnsi="Times New Roman"/>
                <w:b/>
                <w:sz w:val="28"/>
                <w:szCs w:val="28"/>
                <w:lang w:val="ru-RU" w:eastAsia="ja-JP"/>
              </w:rPr>
              <w:t>РЫ</w:t>
            </w:r>
          </w:p>
        </w:tc>
        <w:tc>
          <w:tcPr>
            <w:tcW w:w="665" w:type="dxa"/>
            <w:shd w:val="clear" w:color="auto" w:fill="auto"/>
          </w:tcPr>
          <w:p w14:paraId="07BF3C00"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16</w:t>
            </w:r>
          </w:p>
        </w:tc>
      </w:tr>
      <w:tr w:rsidR="00B60717" w:rsidRPr="00B60717" w14:paraId="48D4FA28" w14:textId="77777777" w:rsidTr="00B60717">
        <w:tc>
          <w:tcPr>
            <w:tcW w:w="1406" w:type="dxa"/>
            <w:shd w:val="clear" w:color="auto" w:fill="auto"/>
          </w:tcPr>
          <w:p w14:paraId="5C1EC1B4"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1.1</w:t>
            </w:r>
          </w:p>
        </w:tc>
        <w:tc>
          <w:tcPr>
            <w:tcW w:w="7274" w:type="dxa"/>
            <w:shd w:val="clear" w:color="auto" w:fill="auto"/>
          </w:tcPr>
          <w:p w14:paraId="22F9FC98"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Ответ на повреждение ДН</w:t>
            </w:r>
            <w:r w:rsidRPr="00B60717">
              <w:rPr>
                <w:rFonts w:ascii="Times New Roman" w:eastAsia="MS Mincho" w:hAnsi="Times New Roman"/>
                <w:sz w:val="28"/>
                <w:szCs w:val="28"/>
                <w:lang w:val="ru-RU" w:eastAsia="ja-JP"/>
              </w:rPr>
              <w:t>К</w:t>
            </w:r>
          </w:p>
        </w:tc>
        <w:tc>
          <w:tcPr>
            <w:tcW w:w="665" w:type="dxa"/>
            <w:shd w:val="clear" w:color="auto" w:fill="auto"/>
          </w:tcPr>
          <w:p w14:paraId="6B5C23C4"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16</w:t>
            </w:r>
          </w:p>
        </w:tc>
      </w:tr>
      <w:tr w:rsidR="00B60717" w:rsidRPr="00B60717" w14:paraId="570AE7E6" w14:textId="77777777" w:rsidTr="00B60717">
        <w:tc>
          <w:tcPr>
            <w:tcW w:w="1406" w:type="dxa"/>
            <w:shd w:val="clear" w:color="auto" w:fill="auto"/>
          </w:tcPr>
          <w:p w14:paraId="2D8DB65C"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1.1.</w:t>
            </w:r>
            <w:r w:rsidRPr="00B60717">
              <w:rPr>
                <w:rFonts w:ascii="Times New Roman" w:eastAsia="MS Mincho" w:hAnsi="Times New Roman"/>
                <w:sz w:val="28"/>
                <w:szCs w:val="28"/>
                <w:lang w:val="ru-RU" w:eastAsia="ja-JP"/>
              </w:rPr>
              <w:t>1</w:t>
            </w:r>
          </w:p>
        </w:tc>
        <w:tc>
          <w:tcPr>
            <w:tcW w:w="7274" w:type="dxa"/>
            <w:shd w:val="clear" w:color="auto" w:fill="auto"/>
          </w:tcPr>
          <w:p w14:paraId="3099BB7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Повреждения ДНК, вызванные эндогенными и экзогенными факторами</w:t>
            </w:r>
          </w:p>
        </w:tc>
        <w:tc>
          <w:tcPr>
            <w:tcW w:w="665" w:type="dxa"/>
            <w:shd w:val="clear" w:color="auto" w:fill="auto"/>
          </w:tcPr>
          <w:p w14:paraId="14BAA2F9"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16</w:t>
            </w:r>
          </w:p>
        </w:tc>
      </w:tr>
      <w:tr w:rsidR="00B60717" w:rsidRPr="00B60717" w14:paraId="1E6E8BE6" w14:textId="77777777" w:rsidTr="00B60717">
        <w:tc>
          <w:tcPr>
            <w:tcW w:w="1406" w:type="dxa"/>
            <w:shd w:val="clear" w:color="auto" w:fill="auto"/>
          </w:tcPr>
          <w:p w14:paraId="586F3A4B"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1.1.</w:t>
            </w:r>
            <w:r w:rsidRPr="00B60717">
              <w:rPr>
                <w:rFonts w:ascii="Times New Roman" w:eastAsia="MS Mincho" w:hAnsi="Times New Roman"/>
                <w:sz w:val="28"/>
                <w:szCs w:val="28"/>
                <w:lang w:val="ru-RU" w:eastAsia="ja-JP"/>
              </w:rPr>
              <w:t>2</w:t>
            </w:r>
          </w:p>
        </w:tc>
        <w:tc>
          <w:tcPr>
            <w:tcW w:w="7274" w:type="dxa"/>
            <w:shd w:val="clear" w:color="auto" w:fill="auto"/>
          </w:tcPr>
          <w:p w14:paraId="3E1C43FC"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 xml:space="preserve">Окислительное повреждение ДНК </w:t>
            </w:r>
          </w:p>
        </w:tc>
        <w:tc>
          <w:tcPr>
            <w:tcW w:w="665" w:type="dxa"/>
            <w:shd w:val="clear" w:color="auto" w:fill="auto"/>
          </w:tcPr>
          <w:p w14:paraId="5D68F43C"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7</w:t>
            </w:r>
          </w:p>
        </w:tc>
      </w:tr>
      <w:tr w:rsidR="00B60717" w:rsidRPr="00B60717" w14:paraId="187C62D9" w14:textId="77777777" w:rsidTr="00B60717">
        <w:tc>
          <w:tcPr>
            <w:tcW w:w="1406" w:type="dxa"/>
            <w:shd w:val="clear" w:color="auto" w:fill="auto"/>
          </w:tcPr>
          <w:p w14:paraId="11F9B1D3"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1.1.</w:t>
            </w:r>
            <w:r w:rsidRPr="00B60717">
              <w:rPr>
                <w:rFonts w:ascii="Times New Roman" w:eastAsia="MS Mincho" w:hAnsi="Times New Roman"/>
                <w:sz w:val="28"/>
                <w:szCs w:val="28"/>
                <w:lang w:val="ru-RU" w:eastAsia="ja-JP"/>
              </w:rPr>
              <w:t>2.</w:t>
            </w:r>
            <w:r w:rsidRPr="00B60717">
              <w:rPr>
                <w:rFonts w:ascii="Times New Roman" w:eastAsia="MS Mincho" w:hAnsi="Times New Roman"/>
                <w:sz w:val="28"/>
                <w:szCs w:val="28"/>
                <w:lang w:val="en-US" w:eastAsia="ja-JP"/>
              </w:rPr>
              <w:t>1</w:t>
            </w:r>
          </w:p>
        </w:tc>
        <w:tc>
          <w:tcPr>
            <w:tcW w:w="7274" w:type="dxa"/>
            <w:shd w:val="clear" w:color="auto" w:fill="auto"/>
          </w:tcPr>
          <w:p w14:paraId="3327B921"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 xml:space="preserve">Источники окислительного повреждения ДНК </w:t>
            </w:r>
          </w:p>
        </w:tc>
        <w:tc>
          <w:tcPr>
            <w:tcW w:w="665" w:type="dxa"/>
            <w:shd w:val="clear" w:color="auto" w:fill="auto"/>
          </w:tcPr>
          <w:p w14:paraId="15F5F9C9" w14:textId="77777777" w:rsidR="00B60717" w:rsidRPr="00B60717" w:rsidRDefault="00B60717" w:rsidP="00B60717">
            <w:pPr>
              <w:spacing w:after="0" w:line="240" w:lineRule="auto"/>
              <w:jc w:val="both"/>
              <w:rPr>
                <w:rFonts w:ascii="Times New Roman" w:eastAsia="MS Mincho" w:hAnsi="Times New Roman"/>
                <w:sz w:val="28"/>
                <w:szCs w:val="28"/>
                <w:lang w:val="kk-KZ" w:eastAsia="ja-JP"/>
              </w:rPr>
            </w:pPr>
            <w:r w:rsidRPr="00B60717">
              <w:rPr>
                <w:rFonts w:ascii="Times New Roman" w:eastAsia="MS Mincho" w:hAnsi="Times New Roman"/>
                <w:sz w:val="28"/>
                <w:szCs w:val="28"/>
                <w:lang w:val="kk-KZ" w:eastAsia="ja-JP"/>
              </w:rPr>
              <w:t>17</w:t>
            </w:r>
          </w:p>
        </w:tc>
      </w:tr>
      <w:tr w:rsidR="00B60717" w:rsidRPr="00B60717" w14:paraId="294797CF" w14:textId="77777777" w:rsidTr="00B60717">
        <w:tc>
          <w:tcPr>
            <w:tcW w:w="1406" w:type="dxa"/>
            <w:shd w:val="clear" w:color="auto" w:fill="auto"/>
          </w:tcPr>
          <w:p w14:paraId="76E8D59A"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1.1.2.2</w:t>
            </w:r>
          </w:p>
        </w:tc>
        <w:tc>
          <w:tcPr>
            <w:tcW w:w="7274" w:type="dxa"/>
            <w:shd w:val="clear" w:color="auto" w:fill="auto"/>
          </w:tcPr>
          <w:p w14:paraId="5D576CA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Различные формы окислительного повреждения ДНК и их генотоксические эффекты</w:t>
            </w:r>
          </w:p>
        </w:tc>
        <w:tc>
          <w:tcPr>
            <w:tcW w:w="665" w:type="dxa"/>
            <w:shd w:val="clear" w:color="auto" w:fill="auto"/>
          </w:tcPr>
          <w:p w14:paraId="7DF1333D"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18</w:t>
            </w:r>
          </w:p>
        </w:tc>
      </w:tr>
      <w:tr w:rsidR="00B60717" w:rsidRPr="00B60717" w14:paraId="4086ADB9" w14:textId="77777777" w:rsidTr="00B60717">
        <w:tc>
          <w:tcPr>
            <w:tcW w:w="1406" w:type="dxa"/>
            <w:shd w:val="clear" w:color="auto" w:fill="auto"/>
          </w:tcPr>
          <w:p w14:paraId="3A97A25D"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2</w:t>
            </w:r>
          </w:p>
        </w:tc>
        <w:tc>
          <w:tcPr>
            <w:tcW w:w="7274" w:type="dxa"/>
            <w:shd w:val="clear" w:color="auto" w:fill="auto"/>
          </w:tcPr>
          <w:p w14:paraId="663C8C2B"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hAnsi="Times New Roman"/>
                <w:sz w:val="28"/>
                <w:szCs w:val="28"/>
                <w:lang w:val="ru-RU"/>
              </w:rPr>
              <w:t>Пути репарации ДНК</w:t>
            </w:r>
          </w:p>
        </w:tc>
        <w:tc>
          <w:tcPr>
            <w:tcW w:w="665" w:type="dxa"/>
            <w:shd w:val="clear" w:color="auto" w:fill="auto"/>
          </w:tcPr>
          <w:p w14:paraId="3BDA4B47" w14:textId="77777777" w:rsidR="00B60717" w:rsidRPr="00B60717" w:rsidRDefault="00B60717" w:rsidP="00B60717">
            <w:pPr>
              <w:spacing w:after="0" w:line="240" w:lineRule="auto"/>
              <w:jc w:val="both"/>
              <w:rPr>
                <w:rFonts w:ascii="Times New Roman" w:eastAsia="MS Mincho" w:hAnsi="Times New Roman"/>
                <w:sz w:val="28"/>
                <w:szCs w:val="28"/>
                <w:lang w:val="kk-KZ" w:eastAsia="ja-JP"/>
              </w:rPr>
            </w:pPr>
            <w:r w:rsidRPr="00B60717">
              <w:rPr>
                <w:rFonts w:ascii="Times New Roman" w:eastAsia="MS Mincho" w:hAnsi="Times New Roman"/>
                <w:sz w:val="28"/>
                <w:szCs w:val="28"/>
                <w:lang w:val="kk-KZ" w:eastAsia="ja-JP"/>
              </w:rPr>
              <w:t>21</w:t>
            </w:r>
          </w:p>
        </w:tc>
      </w:tr>
      <w:tr w:rsidR="00B60717" w:rsidRPr="00B60717" w14:paraId="72721286" w14:textId="77777777" w:rsidTr="00B60717">
        <w:tc>
          <w:tcPr>
            <w:tcW w:w="1406" w:type="dxa"/>
            <w:shd w:val="clear" w:color="auto" w:fill="auto"/>
          </w:tcPr>
          <w:p w14:paraId="09C35E43"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2</w:t>
            </w:r>
            <w:r w:rsidRPr="00B60717">
              <w:rPr>
                <w:rFonts w:ascii="Times New Roman" w:eastAsia="MS Mincho" w:hAnsi="Times New Roman"/>
                <w:sz w:val="28"/>
                <w:szCs w:val="28"/>
                <w:lang w:val="en-US" w:eastAsia="ja-JP"/>
              </w:rPr>
              <w:t>.</w:t>
            </w:r>
            <w:r w:rsidRPr="00B60717">
              <w:rPr>
                <w:rFonts w:ascii="Times New Roman" w:eastAsia="MS Mincho" w:hAnsi="Times New Roman"/>
                <w:sz w:val="28"/>
                <w:szCs w:val="28"/>
                <w:lang w:val="ru-RU" w:eastAsia="ja-JP"/>
              </w:rPr>
              <w:t>1</w:t>
            </w:r>
          </w:p>
        </w:tc>
        <w:tc>
          <w:tcPr>
            <w:tcW w:w="7274" w:type="dxa"/>
            <w:shd w:val="clear" w:color="auto" w:fill="auto"/>
          </w:tcPr>
          <w:p w14:paraId="2703F1D4"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hAnsi="Times New Roman"/>
                <w:sz w:val="28"/>
                <w:szCs w:val="28"/>
                <w:shd w:val="clear" w:color="auto" w:fill="FFFFFF"/>
                <w:lang w:val="ru-RU"/>
              </w:rPr>
              <w:t>Репарация повреждений оснований ДНК</w:t>
            </w:r>
          </w:p>
        </w:tc>
        <w:tc>
          <w:tcPr>
            <w:tcW w:w="665" w:type="dxa"/>
            <w:shd w:val="clear" w:color="auto" w:fill="auto"/>
          </w:tcPr>
          <w:p w14:paraId="5D61226A"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21</w:t>
            </w:r>
          </w:p>
        </w:tc>
      </w:tr>
      <w:tr w:rsidR="00B60717" w:rsidRPr="00B60717" w14:paraId="6251DE6E" w14:textId="77777777" w:rsidTr="00B60717">
        <w:tc>
          <w:tcPr>
            <w:tcW w:w="1406" w:type="dxa"/>
            <w:shd w:val="clear" w:color="auto" w:fill="auto"/>
          </w:tcPr>
          <w:p w14:paraId="1D3D8C9A"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hAnsi="Times New Roman"/>
                <w:sz w:val="28"/>
                <w:szCs w:val="28"/>
                <w:shd w:val="clear" w:color="auto" w:fill="FFFFFF"/>
                <w:lang w:val="en-US"/>
              </w:rPr>
              <w:t>1.</w:t>
            </w:r>
            <w:r w:rsidRPr="00B60717">
              <w:rPr>
                <w:rFonts w:ascii="Times New Roman" w:hAnsi="Times New Roman"/>
                <w:sz w:val="28"/>
                <w:szCs w:val="28"/>
                <w:shd w:val="clear" w:color="auto" w:fill="FFFFFF"/>
                <w:lang w:val="ru-RU"/>
              </w:rPr>
              <w:t>2</w:t>
            </w:r>
            <w:r w:rsidRPr="00B60717">
              <w:rPr>
                <w:rFonts w:ascii="Times New Roman" w:hAnsi="Times New Roman"/>
                <w:sz w:val="28"/>
                <w:szCs w:val="28"/>
                <w:shd w:val="clear" w:color="auto" w:fill="FFFFFF"/>
                <w:lang w:val="en-US"/>
              </w:rPr>
              <w:t>.1.</w:t>
            </w:r>
            <w:r w:rsidRPr="00B60717">
              <w:rPr>
                <w:rFonts w:ascii="Times New Roman" w:hAnsi="Times New Roman"/>
                <w:sz w:val="28"/>
                <w:szCs w:val="28"/>
                <w:shd w:val="clear" w:color="auto" w:fill="FFFFFF"/>
                <w:lang w:val="ru-RU"/>
              </w:rPr>
              <w:t>1</w:t>
            </w:r>
          </w:p>
        </w:tc>
        <w:tc>
          <w:tcPr>
            <w:tcW w:w="7274" w:type="dxa"/>
            <w:shd w:val="clear" w:color="auto" w:fill="auto"/>
          </w:tcPr>
          <w:p w14:paraId="5D47B567"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hAnsi="Times New Roman"/>
                <w:sz w:val="28"/>
                <w:szCs w:val="28"/>
                <w:shd w:val="clear" w:color="auto" w:fill="FFFFFF"/>
                <w:lang w:val="kk-KZ"/>
              </w:rPr>
              <w:t>Эксцизионная репарация</w:t>
            </w:r>
            <w:r w:rsidRPr="00B60717">
              <w:rPr>
                <w:rFonts w:ascii="Times New Roman" w:hAnsi="Times New Roman"/>
                <w:sz w:val="28"/>
                <w:szCs w:val="28"/>
                <w:shd w:val="clear" w:color="auto" w:fill="FFFFFF"/>
                <w:lang w:val="en-US"/>
              </w:rPr>
              <w:t xml:space="preserve"> </w:t>
            </w:r>
            <w:r w:rsidRPr="00B60717">
              <w:rPr>
                <w:rFonts w:ascii="Times New Roman" w:hAnsi="Times New Roman"/>
                <w:sz w:val="28"/>
                <w:szCs w:val="28"/>
                <w:shd w:val="clear" w:color="auto" w:fill="FFFFFF"/>
                <w:lang w:val="ru-RU"/>
              </w:rPr>
              <w:t>основания</w:t>
            </w:r>
            <w:r w:rsidRPr="00B60717">
              <w:rPr>
                <w:rFonts w:ascii="Times New Roman" w:hAnsi="Times New Roman"/>
                <w:sz w:val="28"/>
                <w:szCs w:val="28"/>
                <w:shd w:val="clear" w:color="auto" w:fill="FFFFFF"/>
                <w:lang w:val="en-US"/>
              </w:rPr>
              <w:t xml:space="preserve"> (BER)</w:t>
            </w:r>
          </w:p>
        </w:tc>
        <w:tc>
          <w:tcPr>
            <w:tcW w:w="665" w:type="dxa"/>
            <w:shd w:val="clear" w:color="auto" w:fill="auto"/>
          </w:tcPr>
          <w:p w14:paraId="230718DF"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21</w:t>
            </w:r>
          </w:p>
        </w:tc>
      </w:tr>
      <w:tr w:rsidR="00B60717" w:rsidRPr="00B60717" w14:paraId="572CC2BB" w14:textId="77777777" w:rsidTr="00B60717">
        <w:tc>
          <w:tcPr>
            <w:tcW w:w="1406" w:type="dxa"/>
            <w:shd w:val="clear" w:color="auto" w:fill="auto"/>
          </w:tcPr>
          <w:p w14:paraId="79CEFD5F"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1.2.2</w:t>
            </w:r>
          </w:p>
        </w:tc>
        <w:tc>
          <w:tcPr>
            <w:tcW w:w="7274" w:type="dxa"/>
            <w:shd w:val="clear" w:color="auto" w:fill="auto"/>
          </w:tcPr>
          <w:p w14:paraId="14DB166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Репарация множественных и объемных повреждений оснований</w:t>
            </w:r>
          </w:p>
        </w:tc>
        <w:tc>
          <w:tcPr>
            <w:tcW w:w="665" w:type="dxa"/>
            <w:shd w:val="clear" w:color="auto" w:fill="auto"/>
          </w:tcPr>
          <w:p w14:paraId="33F8499C"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22</w:t>
            </w:r>
          </w:p>
        </w:tc>
      </w:tr>
      <w:tr w:rsidR="00B60717" w:rsidRPr="00B60717" w14:paraId="63CE8A83" w14:textId="77777777" w:rsidTr="00B60717">
        <w:tc>
          <w:tcPr>
            <w:tcW w:w="1406" w:type="dxa"/>
            <w:shd w:val="clear" w:color="auto" w:fill="auto"/>
          </w:tcPr>
          <w:p w14:paraId="6B3770B3"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1.2.2.</w:t>
            </w:r>
            <w:r w:rsidRPr="00B60717">
              <w:rPr>
                <w:rFonts w:ascii="Times New Roman" w:eastAsia="MS Mincho" w:hAnsi="Times New Roman"/>
                <w:sz w:val="28"/>
                <w:szCs w:val="28"/>
                <w:lang w:val="en-US" w:eastAsia="ja-JP"/>
              </w:rPr>
              <w:t>1</w:t>
            </w:r>
          </w:p>
        </w:tc>
        <w:tc>
          <w:tcPr>
            <w:tcW w:w="7274" w:type="dxa"/>
            <w:shd w:val="clear" w:color="auto" w:fill="auto"/>
          </w:tcPr>
          <w:p w14:paraId="48EB6B07"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Нуклеотидная эксцизионная репарация (NER)</w:t>
            </w:r>
          </w:p>
        </w:tc>
        <w:tc>
          <w:tcPr>
            <w:tcW w:w="665" w:type="dxa"/>
            <w:shd w:val="clear" w:color="auto" w:fill="auto"/>
          </w:tcPr>
          <w:p w14:paraId="0A75C9E2"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22</w:t>
            </w:r>
          </w:p>
        </w:tc>
      </w:tr>
      <w:tr w:rsidR="00B60717" w:rsidRPr="00B60717" w14:paraId="0BEB571F" w14:textId="77777777" w:rsidTr="00B60717">
        <w:tc>
          <w:tcPr>
            <w:tcW w:w="1406" w:type="dxa"/>
            <w:shd w:val="clear" w:color="auto" w:fill="auto"/>
          </w:tcPr>
          <w:p w14:paraId="05A4B243"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2</w:t>
            </w:r>
            <w:r w:rsidRPr="00B60717">
              <w:rPr>
                <w:rFonts w:ascii="Times New Roman" w:eastAsia="MS Mincho" w:hAnsi="Times New Roman"/>
                <w:sz w:val="28"/>
                <w:szCs w:val="28"/>
                <w:lang w:val="en-US" w:eastAsia="ja-JP"/>
              </w:rPr>
              <w:t>.2.2</w:t>
            </w:r>
          </w:p>
        </w:tc>
        <w:tc>
          <w:tcPr>
            <w:tcW w:w="7274" w:type="dxa"/>
            <w:shd w:val="clear" w:color="auto" w:fill="auto"/>
          </w:tcPr>
          <w:p w14:paraId="1A5772AF"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hAnsi="Times New Roman"/>
                <w:sz w:val="28"/>
                <w:szCs w:val="28"/>
                <w:lang w:val="ru-RU"/>
              </w:rPr>
              <w:t>Репарация ошибочно спаренных нуклеотидов (</w:t>
            </w:r>
            <w:r w:rsidRPr="00B60717">
              <w:rPr>
                <w:rFonts w:ascii="Times New Roman" w:hAnsi="Times New Roman"/>
                <w:sz w:val="28"/>
                <w:szCs w:val="28"/>
                <w:lang w:val="en-US"/>
              </w:rPr>
              <w:t>MMR</w:t>
            </w:r>
            <w:r w:rsidRPr="00B60717">
              <w:rPr>
                <w:rFonts w:ascii="Times New Roman" w:hAnsi="Times New Roman"/>
                <w:b/>
                <w:sz w:val="28"/>
                <w:szCs w:val="28"/>
                <w:lang w:val="ru-RU"/>
              </w:rPr>
              <w:t>)</w:t>
            </w:r>
          </w:p>
        </w:tc>
        <w:tc>
          <w:tcPr>
            <w:tcW w:w="665" w:type="dxa"/>
            <w:shd w:val="clear" w:color="auto" w:fill="auto"/>
          </w:tcPr>
          <w:p w14:paraId="27D75BD9"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23</w:t>
            </w:r>
          </w:p>
        </w:tc>
      </w:tr>
      <w:tr w:rsidR="00B60717" w:rsidRPr="00B60717" w14:paraId="750BD20D" w14:textId="77777777" w:rsidTr="00B60717">
        <w:tc>
          <w:tcPr>
            <w:tcW w:w="1406" w:type="dxa"/>
            <w:shd w:val="clear" w:color="auto" w:fill="auto"/>
          </w:tcPr>
          <w:p w14:paraId="5E79F815"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2</w:t>
            </w:r>
            <w:r w:rsidRPr="00B60717">
              <w:rPr>
                <w:rFonts w:ascii="Times New Roman" w:eastAsia="MS Mincho" w:hAnsi="Times New Roman"/>
                <w:sz w:val="28"/>
                <w:szCs w:val="28"/>
                <w:lang w:val="en-US" w:eastAsia="ja-JP"/>
              </w:rPr>
              <w:t>.</w:t>
            </w:r>
            <w:r w:rsidRPr="00B60717">
              <w:rPr>
                <w:rFonts w:ascii="Times New Roman" w:eastAsia="MS Mincho" w:hAnsi="Times New Roman"/>
                <w:sz w:val="28"/>
                <w:szCs w:val="28"/>
                <w:lang w:val="ru-RU" w:eastAsia="ja-JP"/>
              </w:rPr>
              <w:t>3</w:t>
            </w:r>
          </w:p>
        </w:tc>
        <w:tc>
          <w:tcPr>
            <w:tcW w:w="7274" w:type="dxa"/>
            <w:shd w:val="clear" w:color="auto" w:fill="auto"/>
          </w:tcPr>
          <w:p w14:paraId="082F23D6"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Репарация разрывов ДНК</w:t>
            </w:r>
          </w:p>
        </w:tc>
        <w:tc>
          <w:tcPr>
            <w:tcW w:w="665" w:type="dxa"/>
            <w:shd w:val="clear" w:color="auto" w:fill="auto"/>
          </w:tcPr>
          <w:p w14:paraId="137E72EE"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24</w:t>
            </w:r>
          </w:p>
        </w:tc>
      </w:tr>
      <w:tr w:rsidR="00B60717" w:rsidRPr="00B60717" w14:paraId="4F7C1657" w14:textId="77777777" w:rsidTr="00B60717">
        <w:tc>
          <w:tcPr>
            <w:tcW w:w="1406" w:type="dxa"/>
            <w:shd w:val="clear" w:color="auto" w:fill="auto"/>
          </w:tcPr>
          <w:p w14:paraId="61862266"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2</w:t>
            </w:r>
            <w:r w:rsidRPr="00B60717">
              <w:rPr>
                <w:rFonts w:ascii="Times New Roman" w:eastAsia="MS Mincho" w:hAnsi="Times New Roman"/>
                <w:sz w:val="28"/>
                <w:szCs w:val="28"/>
                <w:lang w:val="en-US" w:eastAsia="ja-JP"/>
              </w:rPr>
              <w:t>.</w:t>
            </w:r>
            <w:r w:rsidRPr="00B60717">
              <w:rPr>
                <w:rFonts w:ascii="Times New Roman" w:eastAsia="MS Mincho" w:hAnsi="Times New Roman"/>
                <w:sz w:val="28"/>
                <w:szCs w:val="28"/>
                <w:lang w:val="ru-RU" w:eastAsia="ja-JP"/>
              </w:rPr>
              <w:t>3</w:t>
            </w:r>
            <w:r w:rsidRPr="00B60717">
              <w:rPr>
                <w:rFonts w:ascii="Times New Roman" w:eastAsia="MS Mincho" w:hAnsi="Times New Roman"/>
                <w:sz w:val="28"/>
                <w:szCs w:val="28"/>
                <w:lang w:val="en-US" w:eastAsia="ja-JP"/>
              </w:rPr>
              <w:t>.1</w:t>
            </w:r>
          </w:p>
        </w:tc>
        <w:tc>
          <w:tcPr>
            <w:tcW w:w="7274" w:type="dxa"/>
            <w:shd w:val="clear" w:color="auto" w:fill="auto"/>
          </w:tcPr>
          <w:p w14:paraId="71E28FA0"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Репарация одноцепочечных разрывов (SSBR)</w:t>
            </w:r>
          </w:p>
        </w:tc>
        <w:tc>
          <w:tcPr>
            <w:tcW w:w="665" w:type="dxa"/>
            <w:shd w:val="clear" w:color="auto" w:fill="auto"/>
          </w:tcPr>
          <w:p w14:paraId="1BACCE89"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24</w:t>
            </w:r>
          </w:p>
        </w:tc>
      </w:tr>
      <w:tr w:rsidR="00B60717" w:rsidRPr="00B60717" w14:paraId="61A7F139" w14:textId="77777777" w:rsidTr="00B60717">
        <w:tc>
          <w:tcPr>
            <w:tcW w:w="1406" w:type="dxa"/>
            <w:shd w:val="clear" w:color="auto" w:fill="auto"/>
          </w:tcPr>
          <w:p w14:paraId="6671E6C3"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1.1.</w:t>
            </w:r>
            <w:r w:rsidRPr="00B60717">
              <w:rPr>
                <w:rFonts w:ascii="Times New Roman" w:eastAsia="MS Mincho" w:hAnsi="Times New Roman"/>
                <w:sz w:val="28"/>
                <w:szCs w:val="28"/>
                <w:lang w:val="ru-RU" w:eastAsia="ja-JP"/>
              </w:rPr>
              <w:t>3</w:t>
            </w:r>
            <w:r w:rsidRPr="00B60717">
              <w:rPr>
                <w:rFonts w:ascii="Times New Roman" w:eastAsia="MS Mincho" w:hAnsi="Times New Roman"/>
                <w:sz w:val="28"/>
                <w:szCs w:val="28"/>
                <w:lang w:val="en-US" w:eastAsia="ja-JP"/>
              </w:rPr>
              <w:t>.2</w:t>
            </w:r>
          </w:p>
        </w:tc>
        <w:tc>
          <w:tcPr>
            <w:tcW w:w="7274" w:type="dxa"/>
            <w:shd w:val="clear" w:color="auto" w:fill="auto"/>
          </w:tcPr>
          <w:p w14:paraId="3AAEBAE8"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Репарация двухцепочечных разрывов (DSBR)</w:t>
            </w:r>
          </w:p>
        </w:tc>
        <w:tc>
          <w:tcPr>
            <w:tcW w:w="665" w:type="dxa"/>
            <w:shd w:val="clear" w:color="auto" w:fill="auto"/>
          </w:tcPr>
          <w:p w14:paraId="5C45179E"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24</w:t>
            </w:r>
          </w:p>
        </w:tc>
      </w:tr>
      <w:tr w:rsidR="00B60717" w:rsidRPr="00B60717" w14:paraId="3232E64D" w14:textId="77777777" w:rsidTr="00B60717">
        <w:tc>
          <w:tcPr>
            <w:tcW w:w="1406" w:type="dxa"/>
            <w:shd w:val="clear" w:color="auto" w:fill="auto"/>
          </w:tcPr>
          <w:p w14:paraId="02DDF5F9"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3</w:t>
            </w:r>
          </w:p>
        </w:tc>
        <w:tc>
          <w:tcPr>
            <w:tcW w:w="7274" w:type="dxa"/>
            <w:shd w:val="clear" w:color="auto" w:fill="auto"/>
          </w:tcPr>
          <w:p w14:paraId="1831F1E7"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НАД</w:t>
            </w:r>
            <w:r w:rsidRPr="00B60717">
              <w:rPr>
                <w:rFonts w:ascii="Times New Roman" w:eastAsia="MS Mincho" w:hAnsi="Times New Roman"/>
                <w:sz w:val="28"/>
                <w:szCs w:val="28"/>
                <w:vertAlign w:val="superscript"/>
                <w:lang w:val="en-US" w:eastAsia="ja-JP"/>
              </w:rPr>
              <w:t>+</w:t>
            </w:r>
            <w:r w:rsidRPr="00B60717">
              <w:rPr>
                <w:rFonts w:ascii="Times New Roman" w:eastAsia="MS Mincho" w:hAnsi="Times New Roman"/>
                <w:sz w:val="28"/>
                <w:szCs w:val="28"/>
                <w:lang w:val="en-US" w:eastAsia="ja-JP"/>
              </w:rPr>
              <w:t xml:space="preserve"> и АДФ-рибозилирование</w:t>
            </w:r>
          </w:p>
        </w:tc>
        <w:tc>
          <w:tcPr>
            <w:tcW w:w="665" w:type="dxa"/>
            <w:shd w:val="clear" w:color="auto" w:fill="auto"/>
          </w:tcPr>
          <w:p w14:paraId="4F19F759"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26</w:t>
            </w:r>
          </w:p>
        </w:tc>
      </w:tr>
      <w:tr w:rsidR="00B60717" w:rsidRPr="00B60717" w14:paraId="052E52A4" w14:textId="77777777" w:rsidTr="00B60717">
        <w:tc>
          <w:tcPr>
            <w:tcW w:w="1406" w:type="dxa"/>
            <w:shd w:val="clear" w:color="auto" w:fill="auto"/>
          </w:tcPr>
          <w:p w14:paraId="65B9F10F"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4</w:t>
            </w:r>
          </w:p>
        </w:tc>
        <w:tc>
          <w:tcPr>
            <w:tcW w:w="7274" w:type="dxa"/>
            <w:shd w:val="clear" w:color="auto" w:fill="auto"/>
          </w:tcPr>
          <w:p w14:paraId="2961CB88"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hAnsi="Times New Roman"/>
                <w:sz w:val="28"/>
                <w:szCs w:val="28"/>
                <w:lang w:val="ru-RU"/>
              </w:rPr>
              <w:t>Семейство поли (АДФ-рибоза) полимеразы (</w:t>
            </w:r>
            <w:r w:rsidRPr="00B60717">
              <w:rPr>
                <w:rFonts w:ascii="Times New Roman" w:hAnsi="Times New Roman"/>
                <w:sz w:val="28"/>
                <w:szCs w:val="28"/>
                <w:lang w:val="en-US"/>
              </w:rPr>
              <w:t>PARP</w:t>
            </w:r>
            <w:r w:rsidRPr="00B60717">
              <w:rPr>
                <w:rFonts w:ascii="Times New Roman" w:hAnsi="Times New Roman"/>
                <w:sz w:val="28"/>
                <w:szCs w:val="28"/>
                <w:lang w:val="ru-RU"/>
              </w:rPr>
              <w:t>) млекопитающих</w:t>
            </w:r>
          </w:p>
        </w:tc>
        <w:tc>
          <w:tcPr>
            <w:tcW w:w="665" w:type="dxa"/>
            <w:shd w:val="clear" w:color="auto" w:fill="auto"/>
          </w:tcPr>
          <w:p w14:paraId="27C9D648" w14:textId="77777777" w:rsidR="00B60717" w:rsidRPr="00B60717" w:rsidRDefault="00B60717" w:rsidP="00B60717">
            <w:pPr>
              <w:spacing w:after="0" w:line="240" w:lineRule="auto"/>
              <w:jc w:val="both"/>
              <w:rPr>
                <w:rFonts w:ascii="Times New Roman" w:eastAsia="MS Mincho" w:hAnsi="Times New Roman"/>
                <w:sz w:val="28"/>
                <w:szCs w:val="28"/>
                <w:lang w:val="kk-KZ" w:eastAsia="ja-JP"/>
              </w:rPr>
            </w:pPr>
            <w:r w:rsidRPr="00B60717">
              <w:rPr>
                <w:rFonts w:ascii="Times New Roman" w:eastAsia="MS Mincho" w:hAnsi="Times New Roman"/>
                <w:sz w:val="28"/>
                <w:szCs w:val="28"/>
                <w:lang w:val="kk-KZ" w:eastAsia="ja-JP"/>
              </w:rPr>
              <w:t>28</w:t>
            </w:r>
          </w:p>
        </w:tc>
      </w:tr>
      <w:tr w:rsidR="00B60717" w:rsidRPr="00B60717" w14:paraId="5D337250" w14:textId="77777777" w:rsidTr="00B60717">
        <w:tc>
          <w:tcPr>
            <w:tcW w:w="1406" w:type="dxa"/>
            <w:shd w:val="clear" w:color="auto" w:fill="auto"/>
          </w:tcPr>
          <w:p w14:paraId="5D24FFD2"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hAnsi="Times New Roman"/>
                <w:sz w:val="28"/>
                <w:szCs w:val="28"/>
                <w:lang w:val="en-US"/>
              </w:rPr>
              <w:t>1.</w:t>
            </w:r>
            <w:r w:rsidRPr="00B60717">
              <w:rPr>
                <w:rFonts w:ascii="Times New Roman" w:hAnsi="Times New Roman"/>
                <w:sz w:val="28"/>
                <w:szCs w:val="28"/>
                <w:lang w:val="ru-RU"/>
              </w:rPr>
              <w:t>5</w:t>
            </w:r>
          </w:p>
        </w:tc>
        <w:tc>
          <w:tcPr>
            <w:tcW w:w="7274" w:type="dxa"/>
            <w:shd w:val="clear" w:color="auto" w:fill="auto"/>
          </w:tcPr>
          <w:p w14:paraId="6F76F580" w14:textId="77777777" w:rsidR="00B60717" w:rsidRPr="00B60717" w:rsidRDefault="00B60717" w:rsidP="00B60717">
            <w:pPr>
              <w:spacing w:after="0" w:line="240" w:lineRule="auto"/>
              <w:jc w:val="both"/>
              <w:rPr>
                <w:rFonts w:ascii="Times New Roman" w:hAnsi="Times New Roman"/>
                <w:sz w:val="28"/>
                <w:szCs w:val="28"/>
                <w:lang w:val="ru-RU"/>
              </w:rPr>
            </w:pPr>
            <w:r w:rsidRPr="00B60717">
              <w:rPr>
                <w:rFonts w:ascii="Times New Roman" w:hAnsi="Times New Roman"/>
                <w:sz w:val="28"/>
                <w:szCs w:val="28"/>
                <w:lang w:val="ru-RU"/>
              </w:rPr>
              <w:t>Ферменты деПАРилирования млекопитающих</w:t>
            </w:r>
          </w:p>
        </w:tc>
        <w:tc>
          <w:tcPr>
            <w:tcW w:w="665" w:type="dxa"/>
            <w:shd w:val="clear" w:color="auto" w:fill="auto"/>
          </w:tcPr>
          <w:p w14:paraId="41B52404"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31</w:t>
            </w:r>
          </w:p>
        </w:tc>
      </w:tr>
      <w:tr w:rsidR="00B60717" w:rsidRPr="00B60717" w14:paraId="49C9609C" w14:textId="77777777" w:rsidTr="00B60717">
        <w:tc>
          <w:tcPr>
            <w:tcW w:w="1406" w:type="dxa"/>
            <w:shd w:val="clear" w:color="auto" w:fill="auto"/>
          </w:tcPr>
          <w:p w14:paraId="19B53E22"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5.</w:t>
            </w:r>
            <w:r w:rsidRPr="00B60717">
              <w:rPr>
                <w:rFonts w:ascii="Times New Roman" w:eastAsia="MS Mincho" w:hAnsi="Times New Roman"/>
                <w:sz w:val="28"/>
                <w:szCs w:val="28"/>
                <w:lang w:val="en-US" w:eastAsia="ja-JP"/>
              </w:rPr>
              <w:t>1</w:t>
            </w:r>
          </w:p>
        </w:tc>
        <w:tc>
          <w:tcPr>
            <w:tcW w:w="7274" w:type="dxa"/>
            <w:shd w:val="clear" w:color="auto" w:fill="auto"/>
          </w:tcPr>
          <w:p w14:paraId="591D546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Поли (АДФ-рибоза) гликогидролаза (</w:t>
            </w:r>
            <w:r w:rsidRPr="00B60717">
              <w:rPr>
                <w:rFonts w:ascii="Times New Roman" w:eastAsia="MS Mincho" w:hAnsi="Times New Roman"/>
                <w:sz w:val="28"/>
                <w:szCs w:val="28"/>
                <w:lang w:val="en-US" w:eastAsia="ja-JP"/>
              </w:rPr>
              <w:t>PARG</w:t>
            </w:r>
            <w:r w:rsidRPr="00B60717">
              <w:rPr>
                <w:rFonts w:ascii="Times New Roman" w:eastAsia="MS Mincho" w:hAnsi="Times New Roman"/>
                <w:sz w:val="28"/>
                <w:szCs w:val="28"/>
                <w:lang w:val="ru-RU" w:eastAsia="ja-JP"/>
              </w:rPr>
              <w:t>)</w:t>
            </w:r>
          </w:p>
        </w:tc>
        <w:tc>
          <w:tcPr>
            <w:tcW w:w="665" w:type="dxa"/>
            <w:shd w:val="clear" w:color="auto" w:fill="auto"/>
          </w:tcPr>
          <w:p w14:paraId="553ABF4A"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32</w:t>
            </w:r>
          </w:p>
        </w:tc>
      </w:tr>
      <w:tr w:rsidR="00B60717" w:rsidRPr="00B60717" w14:paraId="7E11CB32" w14:textId="77777777" w:rsidTr="00B60717">
        <w:tc>
          <w:tcPr>
            <w:tcW w:w="1406" w:type="dxa"/>
            <w:shd w:val="clear" w:color="auto" w:fill="auto"/>
          </w:tcPr>
          <w:p w14:paraId="4D8C1BA2"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5</w:t>
            </w:r>
            <w:r w:rsidRPr="00B60717">
              <w:rPr>
                <w:rFonts w:ascii="Times New Roman" w:eastAsia="MS Mincho" w:hAnsi="Times New Roman"/>
                <w:sz w:val="28"/>
                <w:szCs w:val="28"/>
                <w:lang w:val="en-US" w:eastAsia="ja-JP"/>
              </w:rPr>
              <w:t>.2</w:t>
            </w:r>
          </w:p>
        </w:tc>
        <w:tc>
          <w:tcPr>
            <w:tcW w:w="7274" w:type="dxa"/>
            <w:shd w:val="clear" w:color="auto" w:fill="auto"/>
          </w:tcPr>
          <w:p w14:paraId="130D0353"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АДФ-рибоз</w:t>
            </w:r>
            <w:r w:rsidRPr="00B60717">
              <w:rPr>
                <w:rFonts w:ascii="Times New Roman" w:eastAsia="MS Mincho" w:hAnsi="Times New Roman"/>
                <w:sz w:val="28"/>
                <w:szCs w:val="28"/>
                <w:lang w:val="ru-RU" w:eastAsia="ja-JP"/>
              </w:rPr>
              <w:t>ил-</w:t>
            </w:r>
            <w:r w:rsidRPr="00B60717">
              <w:rPr>
                <w:rFonts w:ascii="Times New Roman" w:eastAsia="MS Mincho" w:hAnsi="Times New Roman"/>
                <w:sz w:val="28"/>
                <w:szCs w:val="28"/>
                <w:lang w:val="en-US" w:eastAsia="ja-JP"/>
              </w:rPr>
              <w:t>гидролазы (ARHs)</w:t>
            </w:r>
          </w:p>
        </w:tc>
        <w:tc>
          <w:tcPr>
            <w:tcW w:w="665" w:type="dxa"/>
            <w:shd w:val="clear" w:color="auto" w:fill="auto"/>
          </w:tcPr>
          <w:p w14:paraId="75454916"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35</w:t>
            </w:r>
          </w:p>
        </w:tc>
      </w:tr>
      <w:tr w:rsidR="00B60717" w:rsidRPr="00B60717" w14:paraId="069AA319" w14:textId="77777777" w:rsidTr="00B60717">
        <w:tc>
          <w:tcPr>
            <w:tcW w:w="1406" w:type="dxa"/>
            <w:shd w:val="clear" w:color="auto" w:fill="auto"/>
          </w:tcPr>
          <w:p w14:paraId="0BAD4743"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1.5.</w:t>
            </w:r>
            <w:r w:rsidRPr="00B60717">
              <w:rPr>
                <w:rFonts w:ascii="Times New Roman" w:eastAsia="MS Mincho" w:hAnsi="Times New Roman"/>
                <w:sz w:val="28"/>
                <w:szCs w:val="28"/>
                <w:lang w:val="en-US" w:eastAsia="ja-JP"/>
              </w:rPr>
              <w:t>3</w:t>
            </w:r>
          </w:p>
        </w:tc>
        <w:tc>
          <w:tcPr>
            <w:tcW w:w="7274" w:type="dxa"/>
            <w:shd w:val="clear" w:color="auto" w:fill="auto"/>
          </w:tcPr>
          <w:p w14:paraId="11937FD4"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hAnsi="Times New Roman"/>
                <w:sz w:val="28"/>
                <w:szCs w:val="28"/>
                <w:lang w:val="ru-RU"/>
              </w:rPr>
              <w:t>Макродоменные стиратели АДФ-рибозы</w:t>
            </w:r>
          </w:p>
        </w:tc>
        <w:tc>
          <w:tcPr>
            <w:tcW w:w="665" w:type="dxa"/>
            <w:shd w:val="clear" w:color="auto" w:fill="auto"/>
          </w:tcPr>
          <w:p w14:paraId="629B9B1D"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37</w:t>
            </w:r>
          </w:p>
        </w:tc>
      </w:tr>
      <w:tr w:rsidR="00B60717" w:rsidRPr="00B60717" w14:paraId="314301FE" w14:textId="77777777" w:rsidTr="00B60717">
        <w:tc>
          <w:tcPr>
            <w:tcW w:w="1406" w:type="dxa"/>
            <w:shd w:val="clear" w:color="auto" w:fill="auto"/>
          </w:tcPr>
          <w:p w14:paraId="756F9759"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hAnsi="Times New Roman"/>
                <w:sz w:val="28"/>
                <w:szCs w:val="28"/>
                <w:lang w:val="en-US"/>
              </w:rPr>
              <w:t>1.</w:t>
            </w:r>
            <w:r w:rsidRPr="00B60717">
              <w:rPr>
                <w:rFonts w:ascii="Times New Roman" w:hAnsi="Times New Roman"/>
                <w:sz w:val="28"/>
                <w:szCs w:val="28"/>
                <w:lang w:val="ru-RU"/>
              </w:rPr>
              <w:t>5</w:t>
            </w:r>
            <w:r w:rsidRPr="00B60717">
              <w:rPr>
                <w:rFonts w:ascii="Times New Roman" w:hAnsi="Times New Roman"/>
                <w:sz w:val="28"/>
                <w:szCs w:val="28"/>
                <w:lang w:val="en-US"/>
              </w:rPr>
              <w:t>.4</w:t>
            </w:r>
          </w:p>
        </w:tc>
        <w:tc>
          <w:tcPr>
            <w:tcW w:w="7274" w:type="dxa"/>
            <w:shd w:val="clear" w:color="auto" w:fill="auto"/>
          </w:tcPr>
          <w:p w14:paraId="550E240C" w14:textId="77777777" w:rsidR="00B60717" w:rsidRPr="00B60717" w:rsidRDefault="00B60717" w:rsidP="00B60717">
            <w:pPr>
              <w:spacing w:after="0" w:line="240" w:lineRule="auto"/>
              <w:jc w:val="both"/>
              <w:rPr>
                <w:rFonts w:ascii="Times New Roman" w:hAnsi="Times New Roman"/>
                <w:sz w:val="28"/>
                <w:szCs w:val="28"/>
                <w:lang w:val="en-US"/>
              </w:rPr>
            </w:pPr>
            <w:r w:rsidRPr="00B60717">
              <w:rPr>
                <w:rFonts w:ascii="Times New Roman" w:hAnsi="Times New Roman"/>
                <w:sz w:val="28"/>
                <w:szCs w:val="28"/>
                <w:lang w:val="ru-RU"/>
              </w:rPr>
              <w:t>Фосфодиэфирные АДФ-рибозил-гидролазы</w:t>
            </w:r>
          </w:p>
        </w:tc>
        <w:tc>
          <w:tcPr>
            <w:tcW w:w="665" w:type="dxa"/>
            <w:shd w:val="clear" w:color="auto" w:fill="auto"/>
          </w:tcPr>
          <w:p w14:paraId="1A89BDCC"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38</w:t>
            </w:r>
          </w:p>
        </w:tc>
      </w:tr>
      <w:tr w:rsidR="00B60717" w:rsidRPr="00B60717" w14:paraId="287155CE" w14:textId="77777777" w:rsidTr="00B60717">
        <w:tc>
          <w:tcPr>
            <w:tcW w:w="1406" w:type="dxa"/>
            <w:shd w:val="clear" w:color="auto" w:fill="auto"/>
          </w:tcPr>
          <w:p w14:paraId="72B040AA"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6</w:t>
            </w:r>
          </w:p>
        </w:tc>
        <w:tc>
          <w:tcPr>
            <w:tcW w:w="7274" w:type="dxa"/>
            <w:shd w:val="clear" w:color="auto" w:fill="auto"/>
          </w:tcPr>
          <w:p w14:paraId="6EADC054"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Модули чтения ПАР</w:t>
            </w:r>
          </w:p>
        </w:tc>
        <w:tc>
          <w:tcPr>
            <w:tcW w:w="665" w:type="dxa"/>
            <w:shd w:val="clear" w:color="auto" w:fill="auto"/>
          </w:tcPr>
          <w:p w14:paraId="1AB8390D"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39</w:t>
            </w:r>
          </w:p>
        </w:tc>
      </w:tr>
      <w:tr w:rsidR="00B60717" w:rsidRPr="00B60717" w14:paraId="2B34B5C5" w14:textId="77777777" w:rsidTr="00B60717">
        <w:tc>
          <w:tcPr>
            <w:tcW w:w="1406" w:type="dxa"/>
            <w:shd w:val="clear" w:color="auto" w:fill="auto"/>
          </w:tcPr>
          <w:p w14:paraId="1EF58E83"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6.1</w:t>
            </w:r>
          </w:p>
        </w:tc>
        <w:tc>
          <w:tcPr>
            <w:tcW w:w="7274" w:type="dxa"/>
            <w:shd w:val="clear" w:color="auto" w:fill="auto"/>
          </w:tcPr>
          <w:p w14:paraId="4D6906CA"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hAnsi="Times New Roman"/>
                <w:sz w:val="28"/>
                <w:szCs w:val="28"/>
                <w:lang w:val="ru-RU"/>
              </w:rPr>
              <w:t xml:space="preserve">Мотив </w:t>
            </w:r>
            <w:r w:rsidRPr="00B60717">
              <w:rPr>
                <w:rFonts w:ascii="Times New Roman" w:hAnsi="Times New Roman"/>
                <w:sz w:val="28"/>
                <w:szCs w:val="28"/>
                <w:lang w:val="en-US"/>
              </w:rPr>
              <w:t>PBM</w:t>
            </w:r>
          </w:p>
        </w:tc>
        <w:tc>
          <w:tcPr>
            <w:tcW w:w="665" w:type="dxa"/>
            <w:shd w:val="clear" w:color="auto" w:fill="auto"/>
          </w:tcPr>
          <w:p w14:paraId="51364CFF"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40</w:t>
            </w:r>
          </w:p>
        </w:tc>
      </w:tr>
      <w:tr w:rsidR="00B60717" w:rsidRPr="00B60717" w14:paraId="09E2860F" w14:textId="77777777" w:rsidTr="00B60717">
        <w:tc>
          <w:tcPr>
            <w:tcW w:w="1406" w:type="dxa"/>
            <w:shd w:val="clear" w:color="auto" w:fill="auto"/>
          </w:tcPr>
          <w:p w14:paraId="202E05F5"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6.2</w:t>
            </w:r>
          </w:p>
        </w:tc>
        <w:tc>
          <w:tcPr>
            <w:tcW w:w="7274" w:type="dxa"/>
            <w:shd w:val="clear" w:color="auto" w:fill="auto"/>
          </w:tcPr>
          <w:p w14:paraId="20A7551B"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 xml:space="preserve">Мотив </w:t>
            </w:r>
            <w:r w:rsidRPr="00B60717">
              <w:rPr>
                <w:rFonts w:ascii="Times New Roman" w:eastAsia="MS Mincho" w:hAnsi="Times New Roman"/>
                <w:sz w:val="28"/>
                <w:szCs w:val="28"/>
                <w:lang w:val="en-US" w:eastAsia="ja-JP"/>
              </w:rPr>
              <w:t>PBZ</w:t>
            </w:r>
          </w:p>
        </w:tc>
        <w:tc>
          <w:tcPr>
            <w:tcW w:w="665" w:type="dxa"/>
            <w:shd w:val="clear" w:color="auto" w:fill="auto"/>
          </w:tcPr>
          <w:p w14:paraId="4E78C320"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40</w:t>
            </w:r>
          </w:p>
        </w:tc>
      </w:tr>
      <w:tr w:rsidR="00B60717" w:rsidRPr="00B60717" w14:paraId="151B7C16" w14:textId="77777777" w:rsidTr="00B60717">
        <w:tc>
          <w:tcPr>
            <w:tcW w:w="1406" w:type="dxa"/>
            <w:shd w:val="clear" w:color="auto" w:fill="auto"/>
          </w:tcPr>
          <w:p w14:paraId="523DA259"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6.3</w:t>
            </w:r>
          </w:p>
        </w:tc>
        <w:tc>
          <w:tcPr>
            <w:tcW w:w="7274" w:type="dxa"/>
            <w:shd w:val="clear" w:color="auto" w:fill="auto"/>
          </w:tcPr>
          <w:p w14:paraId="218A1351"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Макродомены</w:t>
            </w:r>
          </w:p>
        </w:tc>
        <w:tc>
          <w:tcPr>
            <w:tcW w:w="665" w:type="dxa"/>
            <w:shd w:val="clear" w:color="auto" w:fill="auto"/>
          </w:tcPr>
          <w:p w14:paraId="4913BBE1"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40</w:t>
            </w:r>
          </w:p>
        </w:tc>
      </w:tr>
      <w:tr w:rsidR="00B60717" w:rsidRPr="00B60717" w14:paraId="1B515964" w14:textId="77777777" w:rsidTr="00B60717">
        <w:tc>
          <w:tcPr>
            <w:tcW w:w="1406" w:type="dxa"/>
            <w:shd w:val="clear" w:color="auto" w:fill="auto"/>
          </w:tcPr>
          <w:p w14:paraId="5A740732"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6.4</w:t>
            </w:r>
          </w:p>
        </w:tc>
        <w:tc>
          <w:tcPr>
            <w:tcW w:w="7274" w:type="dxa"/>
            <w:shd w:val="clear" w:color="auto" w:fill="auto"/>
          </w:tcPr>
          <w:p w14:paraId="3044F3A3"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Мотив WWE</w:t>
            </w:r>
          </w:p>
        </w:tc>
        <w:tc>
          <w:tcPr>
            <w:tcW w:w="665" w:type="dxa"/>
            <w:shd w:val="clear" w:color="auto" w:fill="auto"/>
          </w:tcPr>
          <w:p w14:paraId="60439253"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41</w:t>
            </w:r>
          </w:p>
        </w:tc>
      </w:tr>
      <w:tr w:rsidR="00B60717" w:rsidRPr="00B60717" w14:paraId="5281A5A2" w14:textId="77777777" w:rsidTr="00B60717">
        <w:tc>
          <w:tcPr>
            <w:tcW w:w="1406" w:type="dxa"/>
            <w:shd w:val="clear" w:color="auto" w:fill="auto"/>
          </w:tcPr>
          <w:p w14:paraId="1ADEFFA3"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6.5</w:t>
            </w:r>
          </w:p>
        </w:tc>
        <w:tc>
          <w:tcPr>
            <w:tcW w:w="7274" w:type="dxa"/>
            <w:shd w:val="clear" w:color="auto" w:fill="auto"/>
          </w:tcPr>
          <w:p w14:paraId="7801CD6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Домены распознавания фосфорилирования (</w:t>
            </w:r>
            <w:r w:rsidRPr="00B60717">
              <w:rPr>
                <w:rFonts w:ascii="Times New Roman" w:eastAsia="MS Mincho" w:hAnsi="Times New Roman"/>
                <w:sz w:val="28"/>
                <w:szCs w:val="28"/>
                <w:lang w:val="en-US" w:eastAsia="ja-JP"/>
              </w:rPr>
              <w:t>BRCT</w:t>
            </w:r>
            <w:r w:rsidRPr="00B60717">
              <w:rPr>
                <w:rFonts w:ascii="Times New Roman" w:eastAsia="MS Mincho" w:hAnsi="Times New Roman"/>
                <w:sz w:val="28"/>
                <w:szCs w:val="28"/>
                <w:lang w:val="ru-RU" w:eastAsia="ja-JP"/>
              </w:rPr>
              <w:t>/</w:t>
            </w:r>
            <w:r w:rsidRPr="00B60717">
              <w:rPr>
                <w:rFonts w:ascii="Times New Roman" w:eastAsia="MS Mincho" w:hAnsi="Times New Roman"/>
                <w:sz w:val="28"/>
                <w:szCs w:val="28"/>
                <w:lang w:val="en-US" w:eastAsia="ja-JP"/>
              </w:rPr>
              <w:t>FHA</w:t>
            </w:r>
            <w:r w:rsidRPr="00B60717">
              <w:rPr>
                <w:rFonts w:ascii="Times New Roman" w:eastAsia="MS Mincho" w:hAnsi="Times New Roman"/>
                <w:sz w:val="28"/>
                <w:szCs w:val="28"/>
                <w:lang w:val="ru-RU" w:eastAsia="ja-JP"/>
              </w:rPr>
              <w:t>)</w:t>
            </w:r>
          </w:p>
        </w:tc>
        <w:tc>
          <w:tcPr>
            <w:tcW w:w="665" w:type="dxa"/>
            <w:shd w:val="clear" w:color="auto" w:fill="auto"/>
          </w:tcPr>
          <w:p w14:paraId="7832DE28"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41</w:t>
            </w:r>
          </w:p>
        </w:tc>
      </w:tr>
      <w:tr w:rsidR="00B60717" w:rsidRPr="00B60717" w14:paraId="0DC9D8D1" w14:textId="77777777" w:rsidTr="00B60717">
        <w:tc>
          <w:tcPr>
            <w:tcW w:w="1406" w:type="dxa"/>
            <w:shd w:val="clear" w:color="auto" w:fill="auto"/>
          </w:tcPr>
          <w:p w14:paraId="52BC107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6.6</w:t>
            </w:r>
          </w:p>
        </w:tc>
        <w:tc>
          <w:tcPr>
            <w:tcW w:w="7274" w:type="dxa"/>
            <w:shd w:val="clear" w:color="auto" w:fill="auto"/>
          </w:tcPr>
          <w:p w14:paraId="13D1870B"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Области взаимодействия с ДНК или РНК</w:t>
            </w:r>
          </w:p>
        </w:tc>
        <w:tc>
          <w:tcPr>
            <w:tcW w:w="665" w:type="dxa"/>
            <w:shd w:val="clear" w:color="auto" w:fill="auto"/>
          </w:tcPr>
          <w:p w14:paraId="68367F98"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42</w:t>
            </w:r>
          </w:p>
        </w:tc>
      </w:tr>
      <w:tr w:rsidR="00B60717" w:rsidRPr="00B60717" w14:paraId="2D587128" w14:textId="77777777" w:rsidTr="00B60717">
        <w:tc>
          <w:tcPr>
            <w:tcW w:w="1406" w:type="dxa"/>
            <w:shd w:val="clear" w:color="auto" w:fill="auto"/>
          </w:tcPr>
          <w:p w14:paraId="138F814D"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7</w:t>
            </w:r>
          </w:p>
        </w:tc>
        <w:tc>
          <w:tcPr>
            <w:tcW w:w="7274" w:type="dxa"/>
            <w:shd w:val="clear" w:color="auto" w:fill="auto"/>
          </w:tcPr>
          <w:p w14:paraId="0360235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Поли(АДФ-рибозил)ирование в растениях</w:t>
            </w:r>
          </w:p>
        </w:tc>
        <w:tc>
          <w:tcPr>
            <w:tcW w:w="665" w:type="dxa"/>
            <w:shd w:val="clear" w:color="auto" w:fill="auto"/>
          </w:tcPr>
          <w:p w14:paraId="1A39901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43</w:t>
            </w:r>
          </w:p>
        </w:tc>
      </w:tr>
      <w:tr w:rsidR="00B60717" w:rsidRPr="00B60717" w14:paraId="2E175FEF" w14:textId="77777777" w:rsidTr="00B60717">
        <w:tc>
          <w:tcPr>
            <w:tcW w:w="1406" w:type="dxa"/>
            <w:shd w:val="clear" w:color="auto" w:fill="auto"/>
          </w:tcPr>
          <w:p w14:paraId="34F9DFFA"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7.1</w:t>
            </w:r>
          </w:p>
        </w:tc>
        <w:tc>
          <w:tcPr>
            <w:tcW w:w="7274" w:type="dxa"/>
            <w:shd w:val="clear" w:color="auto" w:fill="auto"/>
          </w:tcPr>
          <w:p w14:paraId="7112487E" w14:textId="3968390E"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 xml:space="preserve">Три канонических белка PARP у </w:t>
            </w:r>
            <w:r w:rsidRPr="00B60717">
              <w:rPr>
                <w:rFonts w:ascii="Times New Roman" w:eastAsia="MS Mincho" w:hAnsi="Times New Roman"/>
                <w:i/>
                <w:sz w:val="28"/>
                <w:szCs w:val="28"/>
                <w:lang w:val="ru-RU" w:eastAsia="ja-JP"/>
              </w:rPr>
              <w:t>Arabidopsis thaliana</w:t>
            </w:r>
            <w:r w:rsidRPr="00B60717">
              <w:rPr>
                <w:rFonts w:ascii="Times New Roman" w:hAnsi="Times New Roman"/>
                <w:i/>
                <w:sz w:val="28"/>
                <w:szCs w:val="28"/>
                <w:lang w:val="ru-RU"/>
              </w:rPr>
              <w:t xml:space="preserve"> </w:t>
            </w:r>
          </w:p>
        </w:tc>
        <w:tc>
          <w:tcPr>
            <w:tcW w:w="665" w:type="dxa"/>
            <w:shd w:val="clear" w:color="auto" w:fill="auto"/>
          </w:tcPr>
          <w:p w14:paraId="6573FF55"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43</w:t>
            </w:r>
          </w:p>
        </w:tc>
      </w:tr>
      <w:tr w:rsidR="00B60717" w:rsidRPr="00B60717" w14:paraId="20F0841B" w14:textId="77777777" w:rsidTr="00B60717">
        <w:tc>
          <w:tcPr>
            <w:tcW w:w="1406" w:type="dxa"/>
            <w:shd w:val="clear" w:color="auto" w:fill="auto"/>
          </w:tcPr>
          <w:p w14:paraId="51C8178F"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1.8</w:t>
            </w:r>
          </w:p>
        </w:tc>
        <w:tc>
          <w:tcPr>
            <w:tcW w:w="7274" w:type="dxa"/>
            <w:shd w:val="clear" w:color="auto" w:fill="auto"/>
          </w:tcPr>
          <w:p w14:paraId="043CAA96"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Растительные поли(АДФ-рибозы) гликогидролазы (PARG)</w:t>
            </w:r>
          </w:p>
        </w:tc>
        <w:tc>
          <w:tcPr>
            <w:tcW w:w="665" w:type="dxa"/>
            <w:shd w:val="clear" w:color="auto" w:fill="auto"/>
          </w:tcPr>
          <w:p w14:paraId="2668E39B"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45</w:t>
            </w:r>
          </w:p>
        </w:tc>
      </w:tr>
      <w:tr w:rsidR="00B60717" w:rsidRPr="00B60717" w14:paraId="65631E09" w14:textId="77777777" w:rsidTr="00B60717">
        <w:tc>
          <w:tcPr>
            <w:tcW w:w="1406" w:type="dxa"/>
            <w:shd w:val="clear" w:color="auto" w:fill="auto"/>
          </w:tcPr>
          <w:p w14:paraId="4608CEA2"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ru-RU" w:eastAsia="ja-JP"/>
              </w:rPr>
              <w:t>1.9</w:t>
            </w:r>
          </w:p>
        </w:tc>
        <w:tc>
          <w:tcPr>
            <w:tcW w:w="7274" w:type="dxa"/>
            <w:shd w:val="clear" w:color="auto" w:fill="auto"/>
          </w:tcPr>
          <w:p w14:paraId="5AEBF9FC" w14:textId="3B8BE924" w:rsidR="00B60717" w:rsidRPr="00B60717" w:rsidRDefault="00E57A39" w:rsidP="00B60717">
            <w:pPr>
              <w:spacing w:after="0" w:line="240" w:lineRule="auto"/>
              <w:jc w:val="both"/>
              <w:rPr>
                <w:rFonts w:ascii="Times New Roman" w:eastAsia="MS Mincho" w:hAnsi="Times New Roman"/>
                <w:sz w:val="28"/>
                <w:szCs w:val="28"/>
                <w:lang w:val="ru-RU" w:eastAsia="ja-JP"/>
              </w:rPr>
            </w:pPr>
            <w:r>
              <w:rPr>
                <w:rFonts w:ascii="Times New Roman" w:eastAsia="MS Mincho" w:hAnsi="Times New Roman"/>
                <w:sz w:val="28"/>
                <w:szCs w:val="28"/>
                <w:lang w:val="kk-KZ" w:eastAsia="ja-JP"/>
              </w:rPr>
              <w:t>Роль р</w:t>
            </w:r>
            <w:r w:rsidR="00B60717" w:rsidRPr="00B60717">
              <w:rPr>
                <w:rFonts w:ascii="Times New Roman" w:eastAsia="MS Mincho" w:hAnsi="Times New Roman"/>
                <w:sz w:val="28"/>
                <w:szCs w:val="28"/>
                <w:lang w:val="ru-RU" w:eastAsia="ja-JP"/>
              </w:rPr>
              <w:t>астительны</w:t>
            </w:r>
            <w:r>
              <w:rPr>
                <w:rFonts w:ascii="Times New Roman" w:eastAsia="MS Mincho" w:hAnsi="Times New Roman"/>
                <w:sz w:val="28"/>
                <w:szCs w:val="28"/>
                <w:lang w:val="ru-RU" w:eastAsia="ja-JP"/>
              </w:rPr>
              <w:t>х</w:t>
            </w:r>
            <w:r w:rsidR="00B60717" w:rsidRPr="00B60717">
              <w:rPr>
                <w:rFonts w:ascii="Times New Roman" w:eastAsia="MS Mincho" w:hAnsi="Times New Roman"/>
                <w:sz w:val="28"/>
                <w:szCs w:val="28"/>
                <w:lang w:val="ru-RU" w:eastAsia="ja-JP"/>
              </w:rPr>
              <w:t xml:space="preserve"> PARP в реакци</w:t>
            </w:r>
            <w:r>
              <w:rPr>
                <w:rFonts w:ascii="Times New Roman" w:eastAsia="MS Mincho" w:hAnsi="Times New Roman"/>
                <w:sz w:val="28"/>
                <w:szCs w:val="28"/>
                <w:lang w:val="ru-RU" w:eastAsia="ja-JP"/>
              </w:rPr>
              <w:t>ях</w:t>
            </w:r>
            <w:r w:rsidR="00B60717" w:rsidRPr="00B60717">
              <w:rPr>
                <w:rFonts w:ascii="Times New Roman" w:eastAsia="MS Mincho" w:hAnsi="Times New Roman"/>
                <w:sz w:val="28"/>
                <w:szCs w:val="28"/>
                <w:lang w:val="ru-RU" w:eastAsia="ja-JP"/>
              </w:rPr>
              <w:t xml:space="preserve"> на повреждение ДНК и целостности генома </w:t>
            </w:r>
          </w:p>
        </w:tc>
        <w:tc>
          <w:tcPr>
            <w:tcW w:w="665" w:type="dxa"/>
            <w:shd w:val="clear" w:color="auto" w:fill="auto"/>
          </w:tcPr>
          <w:p w14:paraId="29E23049"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46</w:t>
            </w:r>
          </w:p>
        </w:tc>
      </w:tr>
      <w:tr w:rsidR="00B60717" w:rsidRPr="00B60717" w14:paraId="22D3F654" w14:textId="77777777" w:rsidTr="00B60717">
        <w:tc>
          <w:tcPr>
            <w:tcW w:w="1406" w:type="dxa"/>
            <w:shd w:val="clear" w:color="auto" w:fill="auto"/>
          </w:tcPr>
          <w:p w14:paraId="26841DFB"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9.1</w:t>
            </w:r>
          </w:p>
        </w:tc>
        <w:tc>
          <w:tcPr>
            <w:tcW w:w="7274" w:type="dxa"/>
            <w:shd w:val="clear" w:color="auto" w:fill="auto"/>
          </w:tcPr>
          <w:p w14:paraId="357EF070" w14:textId="4AFAB397" w:rsidR="00B60717" w:rsidRPr="00B60717" w:rsidRDefault="00E57A39" w:rsidP="00B60717">
            <w:pPr>
              <w:spacing w:after="0" w:line="240" w:lineRule="auto"/>
              <w:jc w:val="both"/>
              <w:rPr>
                <w:rFonts w:ascii="Times New Roman" w:eastAsia="MS Mincho" w:hAnsi="Times New Roman"/>
                <w:sz w:val="28"/>
                <w:szCs w:val="28"/>
                <w:lang w:val="ru-RU" w:eastAsia="ja-JP"/>
              </w:rPr>
            </w:pPr>
            <w:r>
              <w:rPr>
                <w:rFonts w:ascii="Times New Roman" w:eastAsia="MS Mincho" w:hAnsi="Times New Roman"/>
                <w:sz w:val="28"/>
                <w:szCs w:val="28"/>
                <w:lang w:val="ru-RU" w:eastAsia="ja-JP"/>
              </w:rPr>
              <w:t xml:space="preserve">Участие </w:t>
            </w:r>
            <w:r w:rsidR="00B60717" w:rsidRPr="00B60717">
              <w:rPr>
                <w:rFonts w:ascii="Times New Roman" w:eastAsia="MS Mincho" w:hAnsi="Times New Roman"/>
                <w:sz w:val="28"/>
                <w:szCs w:val="28"/>
                <w:lang w:val="ru-RU" w:eastAsia="ja-JP"/>
              </w:rPr>
              <w:t>PARP1 и PARP2 в различных путях реакции на повреждение ДНК у растений</w:t>
            </w:r>
          </w:p>
        </w:tc>
        <w:tc>
          <w:tcPr>
            <w:tcW w:w="665" w:type="dxa"/>
            <w:shd w:val="clear" w:color="auto" w:fill="auto"/>
          </w:tcPr>
          <w:p w14:paraId="61DAD2C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47</w:t>
            </w:r>
          </w:p>
        </w:tc>
      </w:tr>
      <w:tr w:rsidR="00B60717" w:rsidRPr="00B60717" w14:paraId="5F80C8B4" w14:textId="77777777" w:rsidTr="00B60717">
        <w:tc>
          <w:tcPr>
            <w:tcW w:w="1406" w:type="dxa"/>
            <w:shd w:val="clear" w:color="auto" w:fill="auto"/>
          </w:tcPr>
          <w:p w14:paraId="389DC18B"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9.2</w:t>
            </w:r>
          </w:p>
        </w:tc>
        <w:tc>
          <w:tcPr>
            <w:tcW w:w="7274" w:type="dxa"/>
            <w:shd w:val="clear" w:color="auto" w:fill="auto"/>
          </w:tcPr>
          <w:p w14:paraId="1716C0D9" w14:textId="0EC87C8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hAnsi="Times New Roman"/>
                <w:sz w:val="28"/>
                <w:szCs w:val="28"/>
                <w:lang w:val="ru-RU"/>
              </w:rPr>
              <w:t>PARP3 — ключевой компонент целостности генома семян</w:t>
            </w:r>
          </w:p>
        </w:tc>
        <w:tc>
          <w:tcPr>
            <w:tcW w:w="665" w:type="dxa"/>
            <w:shd w:val="clear" w:color="auto" w:fill="auto"/>
          </w:tcPr>
          <w:p w14:paraId="5EF10605"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49</w:t>
            </w:r>
          </w:p>
        </w:tc>
      </w:tr>
      <w:tr w:rsidR="00B60717" w:rsidRPr="00B60717" w14:paraId="4E97AE05" w14:textId="77777777" w:rsidTr="00B60717">
        <w:tc>
          <w:tcPr>
            <w:tcW w:w="1406" w:type="dxa"/>
            <w:shd w:val="clear" w:color="auto" w:fill="auto"/>
          </w:tcPr>
          <w:p w14:paraId="6AA087E4"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lastRenderedPageBreak/>
              <w:t>1.</w:t>
            </w:r>
            <w:r w:rsidRPr="00B60717">
              <w:rPr>
                <w:rFonts w:ascii="Times New Roman" w:eastAsia="MS Mincho" w:hAnsi="Times New Roman"/>
                <w:sz w:val="28"/>
                <w:szCs w:val="28"/>
                <w:lang w:val="ru-RU" w:eastAsia="ja-JP"/>
              </w:rPr>
              <w:t>9.3</w:t>
            </w:r>
          </w:p>
        </w:tc>
        <w:tc>
          <w:tcPr>
            <w:tcW w:w="7274" w:type="dxa"/>
            <w:shd w:val="clear" w:color="auto" w:fill="auto"/>
          </w:tcPr>
          <w:p w14:paraId="2B8A2240" w14:textId="201528A7" w:rsidR="00B60717" w:rsidRPr="00B60717" w:rsidRDefault="00E57A39" w:rsidP="00B60717">
            <w:pPr>
              <w:spacing w:after="0" w:line="240" w:lineRule="auto"/>
              <w:jc w:val="both"/>
              <w:rPr>
                <w:rFonts w:ascii="Times New Roman" w:hAnsi="Times New Roman"/>
                <w:sz w:val="28"/>
                <w:szCs w:val="28"/>
                <w:lang w:val="ru-RU"/>
              </w:rPr>
            </w:pPr>
            <w:r>
              <w:rPr>
                <w:rFonts w:ascii="Times New Roman" w:hAnsi="Times New Roman"/>
                <w:sz w:val="28"/>
                <w:szCs w:val="28"/>
                <w:lang w:val="ru-RU"/>
              </w:rPr>
              <w:t>Связь р</w:t>
            </w:r>
            <w:r w:rsidR="00B60717" w:rsidRPr="00B60717">
              <w:rPr>
                <w:rFonts w:ascii="Times New Roman" w:hAnsi="Times New Roman"/>
                <w:sz w:val="28"/>
                <w:szCs w:val="28"/>
                <w:lang w:val="ru-RU"/>
              </w:rPr>
              <w:t>астительны</w:t>
            </w:r>
            <w:r>
              <w:rPr>
                <w:rFonts w:ascii="Times New Roman" w:hAnsi="Times New Roman"/>
                <w:sz w:val="28"/>
                <w:szCs w:val="28"/>
                <w:lang w:val="ru-RU"/>
              </w:rPr>
              <w:t>х</w:t>
            </w:r>
            <w:r w:rsidR="00B60717" w:rsidRPr="00B60717">
              <w:rPr>
                <w:rFonts w:ascii="Times New Roman" w:hAnsi="Times New Roman"/>
                <w:sz w:val="28"/>
                <w:szCs w:val="28"/>
                <w:lang w:val="ru-RU"/>
              </w:rPr>
              <w:t xml:space="preserve"> белк</w:t>
            </w:r>
            <w:r>
              <w:rPr>
                <w:rFonts w:ascii="Times New Roman" w:hAnsi="Times New Roman"/>
                <w:sz w:val="28"/>
                <w:szCs w:val="28"/>
                <w:lang w:val="ru-RU"/>
              </w:rPr>
              <w:t>ов</w:t>
            </w:r>
            <w:r w:rsidR="00B60717" w:rsidRPr="00B60717">
              <w:rPr>
                <w:rFonts w:ascii="Times New Roman" w:hAnsi="Times New Roman"/>
                <w:sz w:val="28"/>
                <w:szCs w:val="28"/>
                <w:lang w:val="ru-RU"/>
              </w:rPr>
              <w:t xml:space="preserve"> PARG с реакцией на повреждение ДНК</w:t>
            </w:r>
          </w:p>
        </w:tc>
        <w:tc>
          <w:tcPr>
            <w:tcW w:w="665" w:type="dxa"/>
            <w:shd w:val="clear" w:color="auto" w:fill="auto"/>
          </w:tcPr>
          <w:p w14:paraId="6D50C4B8"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50</w:t>
            </w:r>
          </w:p>
        </w:tc>
      </w:tr>
      <w:tr w:rsidR="00B60717" w:rsidRPr="00B60717" w14:paraId="4046F687" w14:textId="77777777" w:rsidTr="00B60717">
        <w:tc>
          <w:tcPr>
            <w:tcW w:w="1406" w:type="dxa"/>
            <w:shd w:val="clear" w:color="auto" w:fill="auto"/>
          </w:tcPr>
          <w:p w14:paraId="2BFBD44D"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9.4</w:t>
            </w:r>
          </w:p>
        </w:tc>
        <w:tc>
          <w:tcPr>
            <w:tcW w:w="7274" w:type="dxa"/>
            <w:shd w:val="clear" w:color="auto" w:fill="auto"/>
          </w:tcPr>
          <w:p w14:paraId="770C69AF"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hAnsi="Times New Roman"/>
                <w:sz w:val="28"/>
                <w:szCs w:val="28"/>
                <w:lang w:val="ru-RU"/>
              </w:rPr>
              <w:t>Растительные PARP модифицируют хромосомы</w:t>
            </w:r>
          </w:p>
        </w:tc>
        <w:tc>
          <w:tcPr>
            <w:tcW w:w="665" w:type="dxa"/>
            <w:shd w:val="clear" w:color="auto" w:fill="auto"/>
          </w:tcPr>
          <w:p w14:paraId="323F4501"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50</w:t>
            </w:r>
          </w:p>
        </w:tc>
      </w:tr>
      <w:tr w:rsidR="00B60717" w:rsidRPr="00B60717" w14:paraId="1B1CA6A9" w14:textId="77777777" w:rsidTr="00B60717">
        <w:tc>
          <w:tcPr>
            <w:tcW w:w="1406" w:type="dxa"/>
            <w:shd w:val="clear" w:color="auto" w:fill="auto"/>
          </w:tcPr>
          <w:p w14:paraId="7D6C7799"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1.10</w:t>
            </w:r>
          </w:p>
        </w:tc>
        <w:tc>
          <w:tcPr>
            <w:tcW w:w="7274" w:type="dxa"/>
            <w:shd w:val="clear" w:color="auto" w:fill="auto"/>
          </w:tcPr>
          <w:p w14:paraId="453531A0" w14:textId="45ED93E0" w:rsidR="00B60717" w:rsidRPr="00B60717" w:rsidRDefault="00E57A39" w:rsidP="00B60717">
            <w:pPr>
              <w:spacing w:after="0" w:line="240" w:lineRule="auto"/>
              <w:jc w:val="both"/>
              <w:rPr>
                <w:rFonts w:ascii="Times New Roman" w:hAnsi="Times New Roman"/>
                <w:sz w:val="28"/>
                <w:szCs w:val="28"/>
                <w:lang w:val="ru-RU"/>
              </w:rPr>
            </w:pPr>
            <w:r>
              <w:rPr>
                <w:rFonts w:ascii="Times New Roman" w:hAnsi="Times New Roman"/>
                <w:sz w:val="28"/>
                <w:szCs w:val="28"/>
                <w:lang w:val="ru-RU"/>
              </w:rPr>
              <w:t>Роль р</w:t>
            </w:r>
            <w:r w:rsidR="00B60717" w:rsidRPr="00B60717">
              <w:rPr>
                <w:rFonts w:ascii="Times New Roman" w:hAnsi="Times New Roman"/>
                <w:sz w:val="28"/>
                <w:szCs w:val="28"/>
                <w:lang w:val="ru-RU"/>
              </w:rPr>
              <w:t>астительны</w:t>
            </w:r>
            <w:r>
              <w:rPr>
                <w:rFonts w:ascii="Times New Roman" w:hAnsi="Times New Roman"/>
                <w:sz w:val="28"/>
                <w:szCs w:val="28"/>
                <w:lang w:val="ru-RU"/>
              </w:rPr>
              <w:t>х</w:t>
            </w:r>
            <w:r w:rsidR="00B60717" w:rsidRPr="00B60717">
              <w:rPr>
                <w:rFonts w:ascii="Times New Roman" w:hAnsi="Times New Roman"/>
                <w:sz w:val="28"/>
                <w:szCs w:val="28"/>
                <w:lang w:val="ru-RU"/>
              </w:rPr>
              <w:t xml:space="preserve"> PARP в гибели, развитии и метаболизме клеток</w:t>
            </w:r>
          </w:p>
        </w:tc>
        <w:tc>
          <w:tcPr>
            <w:tcW w:w="665" w:type="dxa"/>
            <w:shd w:val="clear" w:color="auto" w:fill="auto"/>
          </w:tcPr>
          <w:p w14:paraId="24BDA982"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51</w:t>
            </w:r>
          </w:p>
        </w:tc>
      </w:tr>
      <w:tr w:rsidR="00B60717" w:rsidRPr="00B60717" w14:paraId="7F8B2914" w14:textId="77777777" w:rsidTr="00B60717">
        <w:tc>
          <w:tcPr>
            <w:tcW w:w="1406" w:type="dxa"/>
            <w:shd w:val="clear" w:color="auto" w:fill="auto"/>
          </w:tcPr>
          <w:p w14:paraId="35327158"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1.11</w:t>
            </w:r>
          </w:p>
        </w:tc>
        <w:tc>
          <w:tcPr>
            <w:tcW w:w="7274" w:type="dxa"/>
            <w:shd w:val="clear" w:color="auto" w:fill="auto"/>
          </w:tcPr>
          <w:p w14:paraId="6B330F8A" w14:textId="77777777" w:rsidR="00B60717" w:rsidRPr="00B60717" w:rsidRDefault="00B60717" w:rsidP="00B60717">
            <w:pPr>
              <w:shd w:val="clear" w:color="auto" w:fill="FFFFFF"/>
              <w:spacing w:after="0" w:line="240" w:lineRule="auto"/>
              <w:jc w:val="both"/>
              <w:rPr>
                <w:rFonts w:ascii="Times New Roman" w:eastAsia="Times New Roman" w:hAnsi="Times New Roman"/>
                <w:sz w:val="28"/>
                <w:szCs w:val="28"/>
                <w:lang w:val="ru-RU"/>
              </w:rPr>
            </w:pPr>
            <w:r w:rsidRPr="00B60717">
              <w:rPr>
                <w:rFonts w:ascii="Times New Roman" w:eastAsia="Times New Roman" w:hAnsi="Times New Roman"/>
                <w:sz w:val="28"/>
                <w:szCs w:val="28"/>
                <w:lang w:val="ru-RU"/>
              </w:rPr>
              <w:t>Поли(АДФ-рибозил)ирование и реакция растений на абиотический стресс</w:t>
            </w:r>
          </w:p>
        </w:tc>
        <w:tc>
          <w:tcPr>
            <w:tcW w:w="665" w:type="dxa"/>
            <w:shd w:val="clear" w:color="auto" w:fill="auto"/>
          </w:tcPr>
          <w:p w14:paraId="20E8016B" w14:textId="2CFE0A4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5</w:t>
            </w:r>
            <w:r w:rsidR="00AC7601">
              <w:rPr>
                <w:rFonts w:ascii="Times New Roman" w:eastAsia="MS Mincho" w:hAnsi="Times New Roman"/>
                <w:sz w:val="28"/>
                <w:szCs w:val="28"/>
                <w:lang w:val="ru-RU" w:eastAsia="ja-JP"/>
              </w:rPr>
              <w:t>2</w:t>
            </w:r>
          </w:p>
        </w:tc>
      </w:tr>
      <w:tr w:rsidR="00B60717" w:rsidRPr="00B60717" w14:paraId="57A77AD9" w14:textId="77777777" w:rsidTr="00B60717">
        <w:tc>
          <w:tcPr>
            <w:tcW w:w="1406" w:type="dxa"/>
            <w:shd w:val="clear" w:color="auto" w:fill="auto"/>
          </w:tcPr>
          <w:p w14:paraId="18B3E1D9"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1.12</w:t>
            </w:r>
          </w:p>
        </w:tc>
        <w:tc>
          <w:tcPr>
            <w:tcW w:w="7274" w:type="dxa"/>
            <w:shd w:val="clear" w:color="auto" w:fill="auto"/>
          </w:tcPr>
          <w:p w14:paraId="47EC05CB" w14:textId="77777777" w:rsidR="00B60717" w:rsidRPr="00B60717" w:rsidRDefault="00B60717" w:rsidP="00B60717">
            <w:pPr>
              <w:shd w:val="clear" w:color="auto" w:fill="FFFFFF"/>
              <w:spacing w:after="0" w:line="240" w:lineRule="auto"/>
              <w:jc w:val="both"/>
              <w:rPr>
                <w:rFonts w:ascii="Times New Roman" w:eastAsia="Times New Roman" w:hAnsi="Times New Roman"/>
                <w:sz w:val="28"/>
                <w:szCs w:val="28"/>
                <w:lang w:val="ru-RU"/>
              </w:rPr>
            </w:pPr>
            <w:r w:rsidRPr="00B60717">
              <w:rPr>
                <w:rFonts w:ascii="Times New Roman" w:eastAsia="Times New Roman" w:hAnsi="Times New Roman"/>
                <w:sz w:val="28"/>
                <w:szCs w:val="28"/>
                <w:lang w:val="ru-RU"/>
              </w:rPr>
              <w:t>Поли(АДФ-рибозил)ирование и реакция растений на биотический стресс</w:t>
            </w:r>
          </w:p>
        </w:tc>
        <w:tc>
          <w:tcPr>
            <w:tcW w:w="665" w:type="dxa"/>
            <w:shd w:val="clear" w:color="auto" w:fill="auto"/>
          </w:tcPr>
          <w:p w14:paraId="44A70CEB"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55</w:t>
            </w:r>
          </w:p>
        </w:tc>
      </w:tr>
      <w:tr w:rsidR="00B60717" w:rsidRPr="00B60717" w14:paraId="150E4EF2" w14:textId="77777777" w:rsidTr="00B60717">
        <w:tc>
          <w:tcPr>
            <w:tcW w:w="1406" w:type="dxa"/>
            <w:shd w:val="clear" w:color="auto" w:fill="auto"/>
          </w:tcPr>
          <w:p w14:paraId="4F20AAC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1.13</w:t>
            </w:r>
          </w:p>
        </w:tc>
        <w:tc>
          <w:tcPr>
            <w:tcW w:w="7274" w:type="dxa"/>
            <w:shd w:val="clear" w:color="auto" w:fill="auto"/>
          </w:tcPr>
          <w:p w14:paraId="33437260" w14:textId="464EC21B" w:rsidR="00B60717" w:rsidRPr="00B60717" w:rsidRDefault="00B60717" w:rsidP="00B60717">
            <w:pPr>
              <w:shd w:val="clear" w:color="auto" w:fill="FFFFFF"/>
              <w:spacing w:after="0" w:line="240" w:lineRule="auto"/>
              <w:jc w:val="both"/>
              <w:rPr>
                <w:rFonts w:ascii="Times New Roman" w:eastAsia="Times New Roman" w:hAnsi="Times New Roman"/>
                <w:sz w:val="28"/>
                <w:szCs w:val="28"/>
                <w:lang w:val="ru-RU"/>
              </w:rPr>
            </w:pPr>
            <w:r w:rsidRPr="00B60717">
              <w:rPr>
                <w:rFonts w:ascii="Times New Roman" w:eastAsia="Times New Roman" w:hAnsi="Times New Roman"/>
                <w:sz w:val="28"/>
                <w:szCs w:val="28"/>
                <w:lang w:val="ru-RU"/>
              </w:rPr>
              <w:t>Неканонические белки домена PARP в ответ на стресс у растений</w:t>
            </w:r>
          </w:p>
        </w:tc>
        <w:tc>
          <w:tcPr>
            <w:tcW w:w="665" w:type="dxa"/>
            <w:shd w:val="clear" w:color="auto" w:fill="auto"/>
          </w:tcPr>
          <w:p w14:paraId="3D87928F"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57</w:t>
            </w:r>
          </w:p>
        </w:tc>
      </w:tr>
      <w:tr w:rsidR="00B60717" w:rsidRPr="00B60717" w14:paraId="264D6298" w14:textId="77777777" w:rsidTr="00B60717">
        <w:tc>
          <w:tcPr>
            <w:tcW w:w="1406" w:type="dxa"/>
            <w:shd w:val="clear" w:color="auto" w:fill="auto"/>
          </w:tcPr>
          <w:p w14:paraId="60F748F8" w14:textId="77777777" w:rsidR="00B60717" w:rsidRPr="00B60717" w:rsidRDefault="00B60717" w:rsidP="00B60717">
            <w:pPr>
              <w:spacing w:after="0" w:line="240" w:lineRule="auto"/>
              <w:jc w:val="both"/>
              <w:rPr>
                <w:rFonts w:ascii="Times New Roman" w:eastAsia="MS Mincho" w:hAnsi="Times New Roman"/>
                <w:b/>
                <w:sz w:val="28"/>
                <w:szCs w:val="28"/>
                <w:lang w:val="en-US" w:eastAsia="ja-JP"/>
              </w:rPr>
            </w:pPr>
            <w:r w:rsidRPr="00B60717">
              <w:rPr>
                <w:rFonts w:ascii="Times New Roman" w:eastAsia="MS Mincho" w:hAnsi="Times New Roman"/>
                <w:b/>
                <w:sz w:val="28"/>
                <w:szCs w:val="28"/>
                <w:lang w:val="en-US" w:eastAsia="ja-JP"/>
              </w:rPr>
              <w:t>2</w:t>
            </w:r>
          </w:p>
        </w:tc>
        <w:tc>
          <w:tcPr>
            <w:tcW w:w="7274" w:type="dxa"/>
            <w:shd w:val="clear" w:color="auto" w:fill="auto"/>
          </w:tcPr>
          <w:p w14:paraId="09B72EA2" w14:textId="77777777" w:rsidR="00B60717" w:rsidRPr="00B60717" w:rsidRDefault="00B60717" w:rsidP="00B60717">
            <w:pPr>
              <w:spacing w:after="0" w:line="240" w:lineRule="auto"/>
              <w:jc w:val="both"/>
              <w:rPr>
                <w:rFonts w:ascii="Times New Roman" w:eastAsia="MS Mincho" w:hAnsi="Times New Roman"/>
                <w:b/>
                <w:sz w:val="28"/>
                <w:szCs w:val="28"/>
                <w:lang w:val="kk-KZ" w:eastAsia="ja-JP"/>
              </w:rPr>
            </w:pPr>
            <w:r w:rsidRPr="00B60717">
              <w:rPr>
                <w:rFonts w:ascii="Times New Roman" w:eastAsia="MS Mincho" w:hAnsi="Times New Roman"/>
                <w:b/>
                <w:sz w:val="28"/>
                <w:szCs w:val="28"/>
                <w:lang w:val="en-US" w:eastAsia="ja-JP"/>
              </w:rPr>
              <w:t>МАТЕРИАЛЫ И МЕТОДЫ ИССЛЕДОВАНИ</w:t>
            </w:r>
            <w:r w:rsidRPr="00B60717">
              <w:rPr>
                <w:rFonts w:ascii="Times New Roman" w:eastAsia="MS Mincho" w:hAnsi="Times New Roman"/>
                <w:b/>
                <w:sz w:val="28"/>
                <w:szCs w:val="28"/>
                <w:lang w:val="kk-KZ" w:eastAsia="ja-JP"/>
              </w:rPr>
              <w:t>Я</w:t>
            </w:r>
          </w:p>
        </w:tc>
        <w:tc>
          <w:tcPr>
            <w:tcW w:w="665" w:type="dxa"/>
            <w:shd w:val="clear" w:color="auto" w:fill="auto"/>
          </w:tcPr>
          <w:p w14:paraId="5384BCD7"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61</w:t>
            </w:r>
          </w:p>
        </w:tc>
      </w:tr>
      <w:tr w:rsidR="00B60717" w:rsidRPr="00B60717" w14:paraId="087E9F27" w14:textId="77777777" w:rsidTr="00B60717">
        <w:tc>
          <w:tcPr>
            <w:tcW w:w="1406" w:type="dxa"/>
            <w:shd w:val="clear" w:color="auto" w:fill="auto"/>
          </w:tcPr>
          <w:p w14:paraId="01CC1692"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2.1</w:t>
            </w:r>
          </w:p>
        </w:tc>
        <w:tc>
          <w:tcPr>
            <w:tcW w:w="7274" w:type="dxa"/>
            <w:shd w:val="clear" w:color="auto" w:fill="auto"/>
          </w:tcPr>
          <w:p w14:paraId="0D8A9F1B"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Бактериальные штаммы, плазмиды и реактивы</w:t>
            </w:r>
          </w:p>
        </w:tc>
        <w:tc>
          <w:tcPr>
            <w:tcW w:w="665" w:type="dxa"/>
            <w:shd w:val="clear" w:color="auto" w:fill="auto"/>
          </w:tcPr>
          <w:p w14:paraId="1A068DE7"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61</w:t>
            </w:r>
          </w:p>
        </w:tc>
      </w:tr>
      <w:tr w:rsidR="00B60717" w:rsidRPr="00B60717" w14:paraId="1C80B72F" w14:textId="77777777" w:rsidTr="00B60717">
        <w:tc>
          <w:tcPr>
            <w:tcW w:w="1406" w:type="dxa"/>
            <w:shd w:val="clear" w:color="auto" w:fill="auto"/>
          </w:tcPr>
          <w:p w14:paraId="7CAC5289"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2.2</w:t>
            </w:r>
          </w:p>
        </w:tc>
        <w:tc>
          <w:tcPr>
            <w:tcW w:w="7274" w:type="dxa"/>
            <w:shd w:val="clear" w:color="auto" w:fill="auto"/>
          </w:tcPr>
          <w:p w14:paraId="79E75AE3"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Олигонуклеотиды</w:t>
            </w:r>
          </w:p>
        </w:tc>
        <w:tc>
          <w:tcPr>
            <w:tcW w:w="665" w:type="dxa"/>
            <w:shd w:val="clear" w:color="auto" w:fill="auto"/>
          </w:tcPr>
          <w:p w14:paraId="3B969FE4"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62</w:t>
            </w:r>
          </w:p>
        </w:tc>
      </w:tr>
      <w:tr w:rsidR="00B60717" w:rsidRPr="00B60717" w14:paraId="56740920" w14:textId="77777777" w:rsidTr="00B60717">
        <w:tc>
          <w:tcPr>
            <w:tcW w:w="1406" w:type="dxa"/>
            <w:shd w:val="clear" w:color="auto" w:fill="auto"/>
          </w:tcPr>
          <w:p w14:paraId="1100593F"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2.3</w:t>
            </w:r>
          </w:p>
        </w:tc>
        <w:tc>
          <w:tcPr>
            <w:tcW w:w="7274" w:type="dxa"/>
            <w:shd w:val="clear" w:color="auto" w:fill="auto"/>
          </w:tcPr>
          <w:p w14:paraId="556C913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Радиоактивное мечение олигонуклеотидов</w:t>
            </w:r>
          </w:p>
        </w:tc>
        <w:tc>
          <w:tcPr>
            <w:tcW w:w="665" w:type="dxa"/>
            <w:shd w:val="clear" w:color="auto" w:fill="auto"/>
          </w:tcPr>
          <w:p w14:paraId="410ACD55"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65</w:t>
            </w:r>
          </w:p>
        </w:tc>
      </w:tr>
      <w:tr w:rsidR="00B60717" w:rsidRPr="00B60717" w14:paraId="331E2372" w14:textId="77777777" w:rsidTr="00B60717">
        <w:tc>
          <w:tcPr>
            <w:tcW w:w="1406" w:type="dxa"/>
            <w:shd w:val="clear" w:color="auto" w:fill="auto"/>
          </w:tcPr>
          <w:p w14:paraId="3C8EE2E6"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2.4</w:t>
            </w:r>
          </w:p>
        </w:tc>
        <w:tc>
          <w:tcPr>
            <w:tcW w:w="7274" w:type="dxa"/>
            <w:shd w:val="clear" w:color="auto" w:fill="auto"/>
          </w:tcPr>
          <w:p w14:paraId="50A355F7"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Растительный материал</w:t>
            </w:r>
          </w:p>
        </w:tc>
        <w:tc>
          <w:tcPr>
            <w:tcW w:w="665" w:type="dxa"/>
            <w:shd w:val="clear" w:color="auto" w:fill="auto"/>
          </w:tcPr>
          <w:p w14:paraId="2525B85A"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65</w:t>
            </w:r>
          </w:p>
        </w:tc>
      </w:tr>
      <w:tr w:rsidR="00B60717" w:rsidRPr="00B60717" w14:paraId="1954E8F0" w14:textId="77777777" w:rsidTr="00B60717">
        <w:tc>
          <w:tcPr>
            <w:tcW w:w="1406" w:type="dxa"/>
            <w:shd w:val="clear" w:color="auto" w:fill="auto"/>
          </w:tcPr>
          <w:p w14:paraId="2642A295"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2.5</w:t>
            </w:r>
          </w:p>
        </w:tc>
        <w:tc>
          <w:tcPr>
            <w:tcW w:w="7274" w:type="dxa"/>
            <w:shd w:val="clear" w:color="auto" w:fill="auto"/>
          </w:tcPr>
          <w:p w14:paraId="6564039F"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 xml:space="preserve">Бесклеточные экстракты </w:t>
            </w:r>
            <w:r w:rsidRPr="00B60717">
              <w:rPr>
                <w:rFonts w:ascii="Times New Roman" w:eastAsia="MS Mincho" w:hAnsi="Times New Roman"/>
                <w:i/>
                <w:sz w:val="28"/>
                <w:szCs w:val="28"/>
                <w:lang w:val="ru-RU" w:eastAsia="ja-JP"/>
              </w:rPr>
              <w:t>A. thaliana</w:t>
            </w:r>
          </w:p>
        </w:tc>
        <w:tc>
          <w:tcPr>
            <w:tcW w:w="665" w:type="dxa"/>
            <w:shd w:val="clear" w:color="auto" w:fill="auto"/>
          </w:tcPr>
          <w:p w14:paraId="48EBCE44"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65</w:t>
            </w:r>
          </w:p>
        </w:tc>
      </w:tr>
      <w:tr w:rsidR="00B60717" w:rsidRPr="00B60717" w14:paraId="3A35C682" w14:textId="77777777" w:rsidTr="00B60717">
        <w:tc>
          <w:tcPr>
            <w:tcW w:w="1406" w:type="dxa"/>
            <w:shd w:val="clear" w:color="auto" w:fill="auto"/>
          </w:tcPr>
          <w:p w14:paraId="6978F7A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2.6</w:t>
            </w:r>
          </w:p>
        </w:tc>
        <w:tc>
          <w:tcPr>
            <w:tcW w:w="7274" w:type="dxa"/>
            <w:shd w:val="clear" w:color="auto" w:fill="auto"/>
          </w:tcPr>
          <w:p w14:paraId="60C2CCC3"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 xml:space="preserve">Экстракция геномной ДНК </w:t>
            </w:r>
            <w:r w:rsidRPr="00B60717">
              <w:rPr>
                <w:rFonts w:ascii="Times New Roman" w:eastAsia="MS Mincho" w:hAnsi="Times New Roman"/>
                <w:i/>
                <w:sz w:val="28"/>
                <w:szCs w:val="28"/>
                <w:lang w:val="ru-RU" w:eastAsia="ja-JP"/>
              </w:rPr>
              <w:t>A. thaliana</w:t>
            </w:r>
          </w:p>
        </w:tc>
        <w:tc>
          <w:tcPr>
            <w:tcW w:w="665" w:type="dxa"/>
            <w:shd w:val="clear" w:color="auto" w:fill="auto"/>
          </w:tcPr>
          <w:p w14:paraId="2C364D07"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65</w:t>
            </w:r>
          </w:p>
        </w:tc>
      </w:tr>
      <w:tr w:rsidR="00B60717" w:rsidRPr="00B60717" w14:paraId="07D8CD34" w14:textId="77777777" w:rsidTr="00B60717">
        <w:tc>
          <w:tcPr>
            <w:tcW w:w="1406" w:type="dxa"/>
            <w:shd w:val="clear" w:color="auto" w:fill="auto"/>
          </w:tcPr>
          <w:p w14:paraId="3C0D2F36"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2.7</w:t>
            </w:r>
          </w:p>
        </w:tc>
        <w:tc>
          <w:tcPr>
            <w:tcW w:w="7274" w:type="dxa"/>
            <w:shd w:val="clear" w:color="auto" w:fill="auto"/>
          </w:tcPr>
          <w:p w14:paraId="60D8F71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Выделение тотальной РНК</w:t>
            </w:r>
          </w:p>
        </w:tc>
        <w:tc>
          <w:tcPr>
            <w:tcW w:w="665" w:type="dxa"/>
            <w:shd w:val="clear" w:color="auto" w:fill="auto"/>
          </w:tcPr>
          <w:p w14:paraId="7E8D2531"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66</w:t>
            </w:r>
          </w:p>
        </w:tc>
      </w:tr>
      <w:tr w:rsidR="00B60717" w:rsidRPr="00B60717" w14:paraId="704B3C61" w14:textId="77777777" w:rsidTr="00B60717">
        <w:tc>
          <w:tcPr>
            <w:tcW w:w="1406" w:type="dxa"/>
            <w:shd w:val="clear" w:color="auto" w:fill="auto"/>
          </w:tcPr>
          <w:p w14:paraId="2344F5DF"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2.8</w:t>
            </w:r>
          </w:p>
        </w:tc>
        <w:tc>
          <w:tcPr>
            <w:tcW w:w="7274" w:type="dxa"/>
            <w:shd w:val="clear" w:color="auto" w:fill="auto"/>
          </w:tcPr>
          <w:p w14:paraId="27992569"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Реaкция обрaтной трaнскрипции (ОТ)</w:t>
            </w:r>
          </w:p>
        </w:tc>
        <w:tc>
          <w:tcPr>
            <w:tcW w:w="665" w:type="dxa"/>
            <w:shd w:val="clear" w:color="auto" w:fill="auto"/>
          </w:tcPr>
          <w:p w14:paraId="393CE5D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66</w:t>
            </w:r>
          </w:p>
        </w:tc>
      </w:tr>
      <w:tr w:rsidR="00B60717" w:rsidRPr="00B60717" w14:paraId="54FB618C" w14:textId="77777777" w:rsidTr="00B60717">
        <w:tc>
          <w:tcPr>
            <w:tcW w:w="1406" w:type="dxa"/>
            <w:shd w:val="clear" w:color="auto" w:fill="auto"/>
          </w:tcPr>
          <w:p w14:paraId="1158411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2.9</w:t>
            </w:r>
          </w:p>
        </w:tc>
        <w:tc>
          <w:tcPr>
            <w:tcW w:w="7274" w:type="dxa"/>
            <w:shd w:val="clear" w:color="auto" w:fill="auto"/>
          </w:tcPr>
          <w:p w14:paraId="01C4C4FA"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Полимерaзнaя цепнaя реaкция (ПЦР)</w:t>
            </w:r>
          </w:p>
        </w:tc>
        <w:tc>
          <w:tcPr>
            <w:tcW w:w="665" w:type="dxa"/>
            <w:shd w:val="clear" w:color="auto" w:fill="auto"/>
          </w:tcPr>
          <w:p w14:paraId="74C56D34"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67</w:t>
            </w:r>
          </w:p>
        </w:tc>
      </w:tr>
      <w:tr w:rsidR="00B60717" w:rsidRPr="00B60717" w14:paraId="08FE4200" w14:textId="77777777" w:rsidTr="00B60717">
        <w:tc>
          <w:tcPr>
            <w:tcW w:w="1406" w:type="dxa"/>
            <w:shd w:val="clear" w:color="auto" w:fill="auto"/>
          </w:tcPr>
          <w:p w14:paraId="4ADA19CA"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2.10</w:t>
            </w:r>
          </w:p>
        </w:tc>
        <w:tc>
          <w:tcPr>
            <w:tcW w:w="7274" w:type="dxa"/>
            <w:shd w:val="clear" w:color="auto" w:fill="auto"/>
          </w:tcPr>
          <w:p w14:paraId="2C1C43BC"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Сайт направленный мутагенез</w:t>
            </w:r>
          </w:p>
        </w:tc>
        <w:tc>
          <w:tcPr>
            <w:tcW w:w="665" w:type="dxa"/>
            <w:shd w:val="clear" w:color="auto" w:fill="auto"/>
          </w:tcPr>
          <w:p w14:paraId="535F459C"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68</w:t>
            </w:r>
          </w:p>
        </w:tc>
      </w:tr>
      <w:tr w:rsidR="00B60717" w:rsidRPr="00B60717" w14:paraId="7866D1C8" w14:textId="77777777" w:rsidTr="00B60717">
        <w:tc>
          <w:tcPr>
            <w:tcW w:w="1406" w:type="dxa"/>
            <w:shd w:val="clear" w:color="auto" w:fill="auto"/>
          </w:tcPr>
          <w:p w14:paraId="1D36A2B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2.11</w:t>
            </w:r>
          </w:p>
        </w:tc>
        <w:tc>
          <w:tcPr>
            <w:tcW w:w="7274" w:type="dxa"/>
            <w:shd w:val="clear" w:color="auto" w:fill="auto"/>
          </w:tcPr>
          <w:p w14:paraId="540C059D"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Создание рекомбинантной плазмидной конструкции</w:t>
            </w:r>
          </w:p>
        </w:tc>
        <w:tc>
          <w:tcPr>
            <w:tcW w:w="665" w:type="dxa"/>
            <w:shd w:val="clear" w:color="auto" w:fill="auto"/>
          </w:tcPr>
          <w:p w14:paraId="6C404368"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6</w:t>
            </w:r>
            <w:r w:rsidRPr="00B60717">
              <w:rPr>
                <w:rFonts w:ascii="Times New Roman" w:eastAsia="MS Mincho" w:hAnsi="Times New Roman"/>
                <w:sz w:val="28"/>
                <w:szCs w:val="28"/>
                <w:lang w:val="ru-RU" w:eastAsia="ja-JP"/>
              </w:rPr>
              <w:t>8</w:t>
            </w:r>
          </w:p>
        </w:tc>
      </w:tr>
      <w:tr w:rsidR="00B60717" w:rsidRPr="00B60717" w14:paraId="1B6A3361" w14:textId="77777777" w:rsidTr="00B60717">
        <w:tc>
          <w:tcPr>
            <w:tcW w:w="1406" w:type="dxa"/>
            <w:shd w:val="clear" w:color="auto" w:fill="auto"/>
          </w:tcPr>
          <w:p w14:paraId="1B8AE02B"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2.12</w:t>
            </w:r>
          </w:p>
        </w:tc>
        <w:tc>
          <w:tcPr>
            <w:tcW w:w="7274" w:type="dxa"/>
            <w:shd w:val="clear" w:color="auto" w:fill="auto"/>
          </w:tcPr>
          <w:p w14:paraId="39C6848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 xml:space="preserve">Приготовление компетентных клеток </w:t>
            </w:r>
            <w:r w:rsidRPr="00B60717">
              <w:rPr>
                <w:rFonts w:ascii="Times New Roman" w:eastAsia="MS Mincho" w:hAnsi="Times New Roman"/>
                <w:i/>
                <w:sz w:val="28"/>
                <w:szCs w:val="28"/>
                <w:lang w:val="ru-RU" w:eastAsia="ja-JP"/>
              </w:rPr>
              <w:t>Escherichia coli</w:t>
            </w:r>
          </w:p>
        </w:tc>
        <w:tc>
          <w:tcPr>
            <w:tcW w:w="665" w:type="dxa"/>
            <w:shd w:val="clear" w:color="auto" w:fill="auto"/>
          </w:tcPr>
          <w:p w14:paraId="0FD5E2CB"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6</w:t>
            </w:r>
            <w:r w:rsidRPr="00B60717">
              <w:rPr>
                <w:rFonts w:ascii="Times New Roman" w:eastAsia="MS Mincho" w:hAnsi="Times New Roman"/>
                <w:sz w:val="28"/>
                <w:szCs w:val="28"/>
                <w:lang w:val="ru-RU" w:eastAsia="ja-JP"/>
              </w:rPr>
              <w:t>9</w:t>
            </w:r>
          </w:p>
        </w:tc>
      </w:tr>
      <w:tr w:rsidR="00B60717" w:rsidRPr="00B60717" w14:paraId="55B1569A" w14:textId="77777777" w:rsidTr="00B60717">
        <w:tc>
          <w:tcPr>
            <w:tcW w:w="1406" w:type="dxa"/>
            <w:shd w:val="clear" w:color="auto" w:fill="auto"/>
          </w:tcPr>
          <w:p w14:paraId="5441DB77"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2.13</w:t>
            </w:r>
          </w:p>
        </w:tc>
        <w:tc>
          <w:tcPr>
            <w:tcW w:w="7274" w:type="dxa"/>
            <w:shd w:val="clear" w:color="auto" w:fill="auto"/>
          </w:tcPr>
          <w:p w14:paraId="7D8D4C27"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 xml:space="preserve">Трaнсформaция клеток </w:t>
            </w:r>
            <w:r w:rsidRPr="00B60717">
              <w:rPr>
                <w:rFonts w:ascii="Times New Roman" w:eastAsia="MS Mincho" w:hAnsi="Times New Roman"/>
                <w:i/>
                <w:sz w:val="28"/>
                <w:szCs w:val="28"/>
                <w:lang w:val="ru-RU" w:eastAsia="ja-JP"/>
              </w:rPr>
              <w:t>Escherichia coli</w:t>
            </w:r>
          </w:p>
        </w:tc>
        <w:tc>
          <w:tcPr>
            <w:tcW w:w="665" w:type="dxa"/>
            <w:shd w:val="clear" w:color="auto" w:fill="auto"/>
          </w:tcPr>
          <w:p w14:paraId="30AF71E6"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70</w:t>
            </w:r>
          </w:p>
        </w:tc>
      </w:tr>
      <w:tr w:rsidR="00B60717" w:rsidRPr="00B60717" w14:paraId="38E583C8" w14:textId="77777777" w:rsidTr="00B60717">
        <w:tc>
          <w:tcPr>
            <w:tcW w:w="1406" w:type="dxa"/>
            <w:shd w:val="clear" w:color="auto" w:fill="auto"/>
          </w:tcPr>
          <w:p w14:paraId="0F5427D1"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2.14</w:t>
            </w:r>
          </w:p>
        </w:tc>
        <w:tc>
          <w:tcPr>
            <w:tcW w:w="7274" w:type="dxa"/>
            <w:shd w:val="clear" w:color="auto" w:fill="auto"/>
          </w:tcPr>
          <w:p w14:paraId="2A88368C"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Выделение плaзмид методом щелочного гидролизa</w:t>
            </w:r>
          </w:p>
        </w:tc>
        <w:tc>
          <w:tcPr>
            <w:tcW w:w="665" w:type="dxa"/>
            <w:shd w:val="clear" w:color="auto" w:fill="auto"/>
          </w:tcPr>
          <w:p w14:paraId="46A1667C"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70</w:t>
            </w:r>
          </w:p>
        </w:tc>
      </w:tr>
      <w:tr w:rsidR="00B60717" w:rsidRPr="00B60717" w14:paraId="209BFEF9" w14:textId="77777777" w:rsidTr="00B60717">
        <w:tc>
          <w:tcPr>
            <w:tcW w:w="1406" w:type="dxa"/>
            <w:shd w:val="clear" w:color="auto" w:fill="auto"/>
          </w:tcPr>
          <w:p w14:paraId="57FD563D"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2.15</w:t>
            </w:r>
          </w:p>
        </w:tc>
        <w:tc>
          <w:tcPr>
            <w:tcW w:w="7274" w:type="dxa"/>
            <w:shd w:val="clear" w:color="auto" w:fill="auto"/>
          </w:tcPr>
          <w:p w14:paraId="2CE2400C"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SDS</w:t>
            </w:r>
            <w:r w:rsidRPr="00B60717">
              <w:rPr>
                <w:rFonts w:ascii="Times New Roman" w:eastAsia="MS Mincho" w:hAnsi="Times New Roman"/>
                <w:sz w:val="28"/>
                <w:szCs w:val="28"/>
                <w:lang w:val="ru-RU" w:eastAsia="ja-JP"/>
              </w:rPr>
              <w:t>-ПААГ электрофорез</w:t>
            </w:r>
          </w:p>
        </w:tc>
        <w:tc>
          <w:tcPr>
            <w:tcW w:w="665" w:type="dxa"/>
            <w:shd w:val="clear" w:color="auto" w:fill="auto"/>
          </w:tcPr>
          <w:p w14:paraId="7EBFD6AF"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71</w:t>
            </w:r>
          </w:p>
        </w:tc>
      </w:tr>
      <w:tr w:rsidR="00B60717" w:rsidRPr="00B60717" w14:paraId="0457BCCB" w14:textId="77777777" w:rsidTr="00B60717">
        <w:tc>
          <w:tcPr>
            <w:tcW w:w="1406" w:type="dxa"/>
            <w:shd w:val="clear" w:color="auto" w:fill="auto"/>
          </w:tcPr>
          <w:p w14:paraId="1B9152A1"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2.16</w:t>
            </w:r>
          </w:p>
        </w:tc>
        <w:tc>
          <w:tcPr>
            <w:tcW w:w="7274" w:type="dxa"/>
            <w:shd w:val="clear" w:color="auto" w:fill="auto"/>
          </w:tcPr>
          <w:p w14:paraId="311B987F"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Экспрессия и очистка белков</w:t>
            </w:r>
          </w:p>
        </w:tc>
        <w:tc>
          <w:tcPr>
            <w:tcW w:w="665" w:type="dxa"/>
            <w:shd w:val="clear" w:color="auto" w:fill="auto"/>
          </w:tcPr>
          <w:p w14:paraId="0AB607D9"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71</w:t>
            </w:r>
          </w:p>
        </w:tc>
      </w:tr>
      <w:tr w:rsidR="00B60717" w:rsidRPr="00B60717" w14:paraId="34465A18" w14:textId="77777777" w:rsidTr="00B60717">
        <w:tc>
          <w:tcPr>
            <w:tcW w:w="1406" w:type="dxa"/>
            <w:shd w:val="clear" w:color="auto" w:fill="auto"/>
          </w:tcPr>
          <w:p w14:paraId="34F26AA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2.17</w:t>
            </w:r>
          </w:p>
        </w:tc>
        <w:tc>
          <w:tcPr>
            <w:tcW w:w="7274" w:type="dxa"/>
            <w:shd w:val="clear" w:color="auto" w:fill="auto"/>
          </w:tcPr>
          <w:p w14:paraId="52F13C6A"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Приготовление антител против AtPARP1/AtPARP2</w:t>
            </w:r>
          </w:p>
        </w:tc>
        <w:tc>
          <w:tcPr>
            <w:tcW w:w="665" w:type="dxa"/>
            <w:shd w:val="clear" w:color="auto" w:fill="auto"/>
          </w:tcPr>
          <w:p w14:paraId="0BA78282"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71</w:t>
            </w:r>
          </w:p>
        </w:tc>
      </w:tr>
      <w:tr w:rsidR="00B60717" w:rsidRPr="00B60717" w14:paraId="65EC28C5" w14:textId="77777777" w:rsidTr="00B60717">
        <w:tc>
          <w:tcPr>
            <w:tcW w:w="1406" w:type="dxa"/>
            <w:shd w:val="clear" w:color="auto" w:fill="auto"/>
          </w:tcPr>
          <w:p w14:paraId="09FB0C49"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2.18</w:t>
            </w:r>
          </w:p>
        </w:tc>
        <w:tc>
          <w:tcPr>
            <w:tcW w:w="7274" w:type="dxa"/>
            <w:shd w:val="clear" w:color="auto" w:fill="auto"/>
          </w:tcPr>
          <w:p w14:paraId="7F12FD85"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Вестерн-блоттинг</w:t>
            </w:r>
          </w:p>
        </w:tc>
        <w:tc>
          <w:tcPr>
            <w:tcW w:w="665" w:type="dxa"/>
            <w:shd w:val="clear" w:color="auto" w:fill="auto"/>
          </w:tcPr>
          <w:p w14:paraId="1694CF94"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72</w:t>
            </w:r>
          </w:p>
        </w:tc>
      </w:tr>
      <w:tr w:rsidR="00B60717" w:rsidRPr="00B60717" w14:paraId="611C4A91" w14:textId="77777777" w:rsidTr="00B60717">
        <w:tc>
          <w:tcPr>
            <w:tcW w:w="1406" w:type="dxa"/>
            <w:shd w:val="clear" w:color="auto" w:fill="auto"/>
          </w:tcPr>
          <w:p w14:paraId="2FE4FCC3"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2.19</w:t>
            </w:r>
          </w:p>
        </w:tc>
        <w:tc>
          <w:tcPr>
            <w:tcW w:w="7274" w:type="dxa"/>
            <w:shd w:val="clear" w:color="auto" w:fill="auto"/>
          </w:tcPr>
          <w:p w14:paraId="7EC18D97"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Анализ активности поли(АДФ-рибоза)полимеразы</w:t>
            </w:r>
          </w:p>
        </w:tc>
        <w:tc>
          <w:tcPr>
            <w:tcW w:w="665" w:type="dxa"/>
            <w:shd w:val="clear" w:color="auto" w:fill="auto"/>
          </w:tcPr>
          <w:p w14:paraId="6261E85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73</w:t>
            </w:r>
          </w:p>
        </w:tc>
      </w:tr>
      <w:tr w:rsidR="00B60717" w:rsidRPr="00B60717" w14:paraId="64D572C2" w14:textId="77777777" w:rsidTr="00B60717">
        <w:tc>
          <w:tcPr>
            <w:tcW w:w="1406" w:type="dxa"/>
            <w:shd w:val="clear" w:color="auto" w:fill="auto"/>
          </w:tcPr>
          <w:p w14:paraId="15659683"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2.20</w:t>
            </w:r>
          </w:p>
        </w:tc>
        <w:tc>
          <w:tcPr>
            <w:tcW w:w="7274" w:type="dxa"/>
            <w:shd w:val="clear" w:color="auto" w:fill="auto"/>
          </w:tcPr>
          <w:p w14:paraId="754BE066"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Гидролиз аддуктов AДФ-рибозилированной ДНК</w:t>
            </w:r>
          </w:p>
        </w:tc>
        <w:tc>
          <w:tcPr>
            <w:tcW w:w="665" w:type="dxa"/>
            <w:shd w:val="clear" w:color="auto" w:fill="auto"/>
          </w:tcPr>
          <w:p w14:paraId="7AECADD3"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73</w:t>
            </w:r>
          </w:p>
        </w:tc>
      </w:tr>
      <w:tr w:rsidR="00B60717" w:rsidRPr="00B60717" w14:paraId="074D2059" w14:textId="77777777" w:rsidTr="00B60717">
        <w:tc>
          <w:tcPr>
            <w:tcW w:w="1406" w:type="dxa"/>
            <w:shd w:val="clear" w:color="auto" w:fill="auto"/>
          </w:tcPr>
          <w:p w14:paraId="6BA06719"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2.21</w:t>
            </w:r>
          </w:p>
        </w:tc>
        <w:tc>
          <w:tcPr>
            <w:tcW w:w="7274" w:type="dxa"/>
            <w:shd w:val="clear" w:color="auto" w:fill="auto"/>
          </w:tcPr>
          <w:p w14:paraId="03A01622"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bCs/>
                <w:iCs/>
                <w:sz w:val="28"/>
                <w:szCs w:val="28"/>
                <w:lang w:val="ru-RU" w:eastAsia="ja-JP"/>
              </w:rPr>
              <w:t>А</w:t>
            </w:r>
            <w:r w:rsidRPr="00B60717">
              <w:rPr>
                <w:rFonts w:ascii="Times New Roman" w:eastAsia="MS Mincho" w:hAnsi="Times New Roman"/>
                <w:bCs/>
                <w:sz w:val="28"/>
                <w:szCs w:val="28"/>
                <w:lang w:eastAsia="ja-JP"/>
              </w:rPr>
              <w:t xml:space="preserve">нализ структуры и состава ПАР–ДНК аддуктов с помощью </w:t>
            </w:r>
            <w:r w:rsidRPr="00B60717">
              <w:rPr>
                <w:rFonts w:ascii="Times New Roman" w:eastAsia="MS Mincho" w:hAnsi="Times New Roman"/>
                <w:bCs/>
                <w:iCs/>
                <w:sz w:val="28"/>
                <w:szCs w:val="28"/>
                <w:lang w:val="en-US" w:eastAsia="ja-JP"/>
              </w:rPr>
              <w:t>MALDI</w:t>
            </w:r>
            <w:r w:rsidRPr="00B60717">
              <w:rPr>
                <w:rFonts w:ascii="Times New Roman" w:eastAsia="MS Mincho" w:hAnsi="Times New Roman"/>
                <w:bCs/>
                <w:iCs/>
                <w:sz w:val="28"/>
                <w:szCs w:val="28"/>
                <w:lang w:eastAsia="ja-JP"/>
              </w:rPr>
              <w:t>-</w:t>
            </w:r>
            <w:r w:rsidRPr="00B60717">
              <w:rPr>
                <w:rFonts w:ascii="Times New Roman" w:eastAsia="MS Mincho" w:hAnsi="Times New Roman"/>
                <w:bCs/>
                <w:iCs/>
                <w:sz w:val="28"/>
                <w:szCs w:val="28"/>
                <w:lang w:val="en-US" w:eastAsia="ja-JP"/>
              </w:rPr>
              <w:t>TOF</w:t>
            </w:r>
            <w:r w:rsidRPr="00B60717">
              <w:rPr>
                <w:rFonts w:ascii="Times New Roman" w:eastAsia="MS Mincho" w:hAnsi="Times New Roman"/>
                <w:bCs/>
                <w:iCs/>
                <w:sz w:val="28"/>
                <w:szCs w:val="28"/>
                <w:lang w:eastAsia="ja-JP"/>
              </w:rPr>
              <w:t xml:space="preserve"> масс-спектрометрии</w:t>
            </w:r>
          </w:p>
        </w:tc>
        <w:tc>
          <w:tcPr>
            <w:tcW w:w="665" w:type="dxa"/>
            <w:shd w:val="clear" w:color="auto" w:fill="auto"/>
          </w:tcPr>
          <w:p w14:paraId="2F7DC722"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73</w:t>
            </w:r>
          </w:p>
        </w:tc>
      </w:tr>
      <w:tr w:rsidR="00B60717" w:rsidRPr="00B60717" w14:paraId="08BE15A4" w14:textId="77777777" w:rsidTr="00B60717">
        <w:tc>
          <w:tcPr>
            <w:tcW w:w="1406" w:type="dxa"/>
            <w:shd w:val="clear" w:color="auto" w:fill="auto"/>
          </w:tcPr>
          <w:p w14:paraId="34DEA444"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2.22</w:t>
            </w:r>
          </w:p>
        </w:tc>
        <w:tc>
          <w:tcPr>
            <w:tcW w:w="7274" w:type="dxa"/>
            <w:shd w:val="clear" w:color="auto" w:fill="auto"/>
          </w:tcPr>
          <w:p w14:paraId="5C508571"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Ауто- и ДНК АДФ-рибозилирование</w:t>
            </w:r>
          </w:p>
        </w:tc>
        <w:tc>
          <w:tcPr>
            <w:tcW w:w="665" w:type="dxa"/>
            <w:shd w:val="clear" w:color="auto" w:fill="auto"/>
          </w:tcPr>
          <w:p w14:paraId="181C177F"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74</w:t>
            </w:r>
          </w:p>
        </w:tc>
      </w:tr>
      <w:tr w:rsidR="00B60717" w:rsidRPr="00B60717" w14:paraId="42930014" w14:textId="77777777" w:rsidTr="00B60717">
        <w:tc>
          <w:tcPr>
            <w:tcW w:w="1406" w:type="dxa"/>
            <w:shd w:val="clear" w:color="auto" w:fill="auto"/>
          </w:tcPr>
          <w:p w14:paraId="7F50F862"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2.23</w:t>
            </w:r>
          </w:p>
        </w:tc>
        <w:tc>
          <w:tcPr>
            <w:tcW w:w="7274" w:type="dxa"/>
            <w:shd w:val="clear" w:color="auto" w:fill="auto"/>
          </w:tcPr>
          <w:p w14:paraId="6055D69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Дотблот</w:t>
            </w:r>
          </w:p>
        </w:tc>
        <w:tc>
          <w:tcPr>
            <w:tcW w:w="665" w:type="dxa"/>
            <w:shd w:val="clear" w:color="auto" w:fill="auto"/>
          </w:tcPr>
          <w:p w14:paraId="58154208"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74</w:t>
            </w:r>
          </w:p>
        </w:tc>
      </w:tr>
      <w:tr w:rsidR="00B60717" w:rsidRPr="00B60717" w14:paraId="7388C9CA" w14:textId="77777777" w:rsidTr="00B60717">
        <w:tc>
          <w:tcPr>
            <w:tcW w:w="1406" w:type="dxa"/>
            <w:shd w:val="clear" w:color="auto" w:fill="auto"/>
          </w:tcPr>
          <w:p w14:paraId="1C76CA92" w14:textId="77777777" w:rsidR="00B60717" w:rsidRPr="00B60717" w:rsidRDefault="00B60717" w:rsidP="00B60717">
            <w:pPr>
              <w:spacing w:after="0" w:line="240" w:lineRule="auto"/>
              <w:jc w:val="both"/>
              <w:rPr>
                <w:rFonts w:ascii="Times New Roman" w:eastAsia="MS Mincho" w:hAnsi="Times New Roman"/>
                <w:b/>
                <w:sz w:val="28"/>
                <w:szCs w:val="28"/>
                <w:lang w:val="en-US" w:eastAsia="ja-JP"/>
              </w:rPr>
            </w:pPr>
            <w:r w:rsidRPr="00B60717">
              <w:rPr>
                <w:rFonts w:ascii="Times New Roman" w:eastAsia="MS Mincho" w:hAnsi="Times New Roman"/>
                <w:b/>
                <w:sz w:val="28"/>
                <w:szCs w:val="28"/>
                <w:lang w:val="en-US" w:eastAsia="ja-JP"/>
              </w:rPr>
              <w:t>3</w:t>
            </w:r>
          </w:p>
        </w:tc>
        <w:tc>
          <w:tcPr>
            <w:tcW w:w="7274" w:type="dxa"/>
            <w:shd w:val="clear" w:color="auto" w:fill="auto"/>
          </w:tcPr>
          <w:p w14:paraId="14460B93" w14:textId="77777777" w:rsidR="00B60717" w:rsidRPr="00B60717" w:rsidRDefault="00B60717" w:rsidP="00B60717">
            <w:pPr>
              <w:spacing w:after="0" w:line="240" w:lineRule="auto"/>
              <w:jc w:val="both"/>
              <w:rPr>
                <w:rFonts w:ascii="Times New Roman" w:eastAsia="MS Mincho" w:hAnsi="Times New Roman"/>
                <w:b/>
                <w:sz w:val="28"/>
                <w:szCs w:val="28"/>
                <w:lang w:val="en-US" w:eastAsia="ja-JP"/>
              </w:rPr>
            </w:pPr>
            <w:r w:rsidRPr="00B60717">
              <w:rPr>
                <w:rFonts w:ascii="Times New Roman" w:eastAsia="MS Mincho" w:hAnsi="Times New Roman"/>
                <w:b/>
                <w:sz w:val="28"/>
                <w:szCs w:val="28"/>
                <w:lang w:val="en-US" w:eastAsia="ja-JP"/>
              </w:rPr>
              <w:t>РЕЗУЛЬТАТЫ И ОБСУЖДЕНИЯ</w:t>
            </w:r>
          </w:p>
        </w:tc>
        <w:tc>
          <w:tcPr>
            <w:tcW w:w="665" w:type="dxa"/>
            <w:shd w:val="clear" w:color="auto" w:fill="auto"/>
          </w:tcPr>
          <w:p w14:paraId="5E36B348"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75</w:t>
            </w:r>
          </w:p>
        </w:tc>
      </w:tr>
      <w:tr w:rsidR="00B60717" w:rsidRPr="00B60717" w14:paraId="4994B06E" w14:textId="77777777" w:rsidTr="00B60717">
        <w:tc>
          <w:tcPr>
            <w:tcW w:w="1406" w:type="dxa"/>
            <w:shd w:val="clear" w:color="auto" w:fill="auto"/>
          </w:tcPr>
          <w:p w14:paraId="61B23527" w14:textId="77777777" w:rsidR="00B60717" w:rsidRPr="00B60717" w:rsidRDefault="00B60717" w:rsidP="00B60717">
            <w:pPr>
              <w:spacing w:after="0" w:line="240" w:lineRule="auto"/>
              <w:jc w:val="both"/>
              <w:rPr>
                <w:rFonts w:ascii="Times New Roman" w:eastAsia="MS Mincho" w:hAnsi="Times New Roman"/>
                <w:sz w:val="28"/>
                <w:szCs w:val="28"/>
                <w:lang w:val="en-US" w:eastAsia="ja-JP"/>
              </w:rPr>
            </w:pPr>
            <w:r w:rsidRPr="00B60717">
              <w:rPr>
                <w:rFonts w:ascii="Times New Roman" w:eastAsia="MS Mincho" w:hAnsi="Times New Roman"/>
                <w:sz w:val="28"/>
                <w:szCs w:val="28"/>
                <w:lang w:val="en-US" w:eastAsia="ja-JP"/>
              </w:rPr>
              <w:t>3.1</w:t>
            </w:r>
          </w:p>
        </w:tc>
        <w:tc>
          <w:tcPr>
            <w:tcW w:w="7274" w:type="dxa"/>
            <w:shd w:val="clear" w:color="auto" w:fill="auto"/>
          </w:tcPr>
          <w:p w14:paraId="0CAE133B"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 xml:space="preserve">Выделение и функциональная экспрессия His-меченных кДНК генов </w:t>
            </w:r>
            <w:r w:rsidRPr="00B60717">
              <w:rPr>
                <w:rFonts w:ascii="Times New Roman" w:eastAsia="MS Mincho" w:hAnsi="Times New Roman"/>
                <w:i/>
                <w:sz w:val="28"/>
                <w:szCs w:val="28"/>
                <w:lang w:val="ru-RU" w:eastAsia="ja-JP"/>
              </w:rPr>
              <w:t>АtPARP1</w:t>
            </w:r>
            <w:r w:rsidRPr="00B60717">
              <w:rPr>
                <w:rFonts w:ascii="Times New Roman" w:eastAsia="MS Mincho" w:hAnsi="Times New Roman"/>
                <w:sz w:val="28"/>
                <w:szCs w:val="28"/>
                <w:lang w:val="ru-RU" w:eastAsia="ja-JP"/>
              </w:rPr>
              <w:t xml:space="preserve"> и </w:t>
            </w:r>
            <w:r w:rsidRPr="00B60717">
              <w:rPr>
                <w:rFonts w:ascii="Times New Roman" w:eastAsia="MS Mincho" w:hAnsi="Times New Roman"/>
                <w:i/>
                <w:sz w:val="28"/>
                <w:szCs w:val="28"/>
                <w:lang w:val="ru-RU" w:eastAsia="ja-JP"/>
              </w:rPr>
              <w:t>AtPARP2</w:t>
            </w:r>
            <w:r w:rsidRPr="00B60717">
              <w:rPr>
                <w:rFonts w:ascii="Times New Roman" w:eastAsia="MS Mincho" w:hAnsi="Times New Roman"/>
                <w:sz w:val="28"/>
                <w:szCs w:val="28"/>
                <w:lang w:val="ru-RU" w:eastAsia="ja-JP"/>
              </w:rPr>
              <w:t xml:space="preserve"> в </w:t>
            </w:r>
            <w:r w:rsidRPr="00B60717">
              <w:rPr>
                <w:rFonts w:ascii="Times New Roman" w:eastAsia="MS Mincho" w:hAnsi="Times New Roman"/>
                <w:i/>
                <w:sz w:val="28"/>
                <w:szCs w:val="28"/>
                <w:lang w:val="ru-RU" w:eastAsia="ja-JP"/>
              </w:rPr>
              <w:t>E. coli</w:t>
            </w:r>
          </w:p>
        </w:tc>
        <w:tc>
          <w:tcPr>
            <w:tcW w:w="665" w:type="dxa"/>
            <w:shd w:val="clear" w:color="auto" w:fill="auto"/>
          </w:tcPr>
          <w:p w14:paraId="0D246DCB"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75</w:t>
            </w:r>
          </w:p>
        </w:tc>
      </w:tr>
      <w:tr w:rsidR="00B60717" w:rsidRPr="00B60717" w14:paraId="532625DB" w14:textId="77777777" w:rsidTr="00B60717">
        <w:tc>
          <w:tcPr>
            <w:tcW w:w="1406" w:type="dxa"/>
            <w:shd w:val="clear" w:color="auto" w:fill="auto"/>
          </w:tcPr>
          <w:p w14:paraId="684141D4"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3.2</w:t>
            </w:r>
          </w:p>
        </w:tc>
        <w:tc>
          <w:tcPr>
            <w:tcW w:w="7274" w:type="dxa"/>
            <w:shd w:val="clear" w:color="auto" w:fill="auto"/>
          </w:tcPr>
          <w:p w14:paraId="2A87420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Характеристика субстратной специфичности АtPARP1, AtPARP2</w:t>
            </w:r>
            <w:r w:rsidRPr="00B60717">
              <w:rPr>
                <w:rFonts w:ascii="Times New Roman" w:eastAsia="MS Mincho" w:hAnsi="Times New Roman"/>
                <w:b/>
                <w:bCs/>
                <w:sz w:val="28"/>
                <w:szCs w:val="28"/>
                <w:shd w:val="clear" w:color="auto" w:fill="FFFFFF"/>
                <w:lang w:val="ru-RU" w:eastAsia="ja-JP"/>
              </w:rPr>
              <w:t xml:space="preserve"> </w:t>
            </w:r>
            <w:r w:rsidRPr="00B60717">
              <w:rPr>
                <w:rFonts w:ascii="Times New Roman" w:eastAsia="MS Mincho" w:hAnsi="Times New Roman"/>
                <w:bCs/>
                <w:sz w:val="28"/>
                <w:szCs w:val="28"/>
                <w:shd w:val="clear" w:color="auto" w:fill="FFFFFF"/>
                <w:lang w:val="ru-RU" w:eastAsia="ja-JP"/>
              </w:rPr>
              <w:t>и</w:t>
            </w:r>
            <w:r w:rsidRPr="00B60717">
              <w:rPr>
                <w:rFonts w:ascii="Times New Roman" w:eastAsia="MS Mincho" w:hAnsi="Times New Roman"/>
                <w:b/>
                <w:bCs/>
                <w:sz w:val="28"/>
                <w:szCs w:val="28"/>
                <w:shd w:val="clear" w:color="auto" w:fill="FFFFFF"/>
                <w:lang w:val="ru-RU" w:eastAsia="ja-JP"/>
              </w:rPr>
              <w:t xml:space="preserve"> </w:t>
            </w:r>
            <w:r w:rsidRPr="00B60717">
              <w:rPr>
                <w:rFonts w:ascii="Times New Roman" w:eastAsia="MS Mincho" w:hAnsi="Times New Roman"/>
                <w:bCs/>
                <w:sz w:val="28"/>
                <w:szCs w:val="28"/>
                <w:shd w:val="clear" w:color="auto" w:fill="FFFFFF"/>
                <w:lang w:val="en-US" w:eastAsia="ja-JP"/>
              </w:rPr>
              <w:t>AtPARP</w:t>
            </w:r>
            <w:r w:rsidRPr="00B60717">
              <w:rPr>
                <w:rFonts w:ascii="Times New Roman" w:eastAsia="MS Mincho" w:hAnsi="Times New Roman"/>
                <w:bCs/>
                <w:sz w:val="28"/>
                <w:szCs w:val="28"/>
                <w:shd w:val="clear" w:color="auto" w:fill="FFFFFF"/>
                <w:lang w:val="ru-RU" w:eastAsia="ja-JP"/>
              </w:rPr>
              <w:t>3</w:t>
            </w:r>
            <w:r w:rsidRPr="00B60717">
              <w:rPr>
                <w:rFonts w:ascii="Times New Roman" w:eastAsia="MS Mincho" w:hAnsi="Times New Roman"/>
                <w:sz w:val="28"/>
                <w:szCs w:val="28"/>
                <w:lang w:val="ru-RU" w:eastAsia="ja-JP"/>
              </w:rPr>
              <w:t xml:space="preserve"> </w:t>
            </w:r>
            <w:r w:rsidRPr="00B60717">
              <w:rPr>
                <w:rFonts w:ascii="Times New Roman" w:eastAsia="MS Mincho" w:hAnsi="Times New Roman"/>
                <w:i/>
                <w:sz w:val="28"/>
                <w:szCs w:val="28"/>
                <w:lang w:val="ru-RU" w:eastAsia="ja-JP"/>
              </w:rPr>
              <w:t>A.thaliana</w:t>
            </w:r>
            <w:r w:rsidRPr="00B60717">
              <w:rPr>
                <w:rFonts w:ascii="Times New Roman" w:eastAsia="MS Mincho" w:hAnsi="Times New Roman"/>
                <w:sz w:val="28"/>
                <w:szCs w:val="28"/>
                <w:lang w:val="ru-RU" w:eastAsia="ja-JP"/>
              </w:rPr>
              <w:t xml:space="preserve"> к олигонуклеотидным субстратам с разными конфигурациями и структурой 5' и 3'-концов</w:t>
            </w:r>
          </w:p>
        </w:tc>
        <w:tc>
          <w:tcPr>
            <w:tcW w:w="665" w:type="dxa"/>
            <w:shd w:val="clear" w:color="auto" w:fill="auto"/>
          </w:tcPr>
          <w:p w14:paraId="21FBC7A1"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80</w:t>
            </w:r>
          </w:p>
        </w:tc>
      </w:tr>
      <w:tr w:rsidR="00B60717" w:rsidRPr="00B60717" w14:paraId="3D193D2B" w14:textId="77777777" w:rsidTr="00B60717">
        <w:tc>
          <w:tcPr>
            <w:tcW w:w="1406" w:type="dxa"/>
            <w:shd w:val="clear" w:color="auto" w:fill="auto"/>
          </w:tcPr>
          <w:p w14:paraId="79872F8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lastRenderedPageBreak/>
              <w:t>3.3</w:t>
            </w:r>
          </w:p>
        </w:tc>
        <w:tc>
          <w:tcPr>
            <w:tcW w:w="7274" w:type="dxa"/>
            <w:shd w:val="clear" w:color="auto" w:fill="auto"/>
          </w:tcPr>
          <w:p w14:paraId="523645BF"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Конструирование каталитически инактивных АtPARP1</w:t>
            </w:r>
            <w:r w:rsidRPr="00B60717">
              <w:rPr>
                <w:rFonts w:ascii="Times New Roman" w:eastAsia="MS Mincho" w:hAnsi="Times New Roman"/>
                <w:sz w:val="28"/>
                <w:szCs w:val="28"/>
                <w:vertAlign w:val="superscript"/>
                <w:lang w:val="ru-RU" w:eastAsia="ja-JP"/>
              </w:rPr>
              <w:t xml:space="preserve">E960K, E960Q </w:t>
            </w:r>
            <w:r w:rsidRPr="00B60717">
              <w:rPr>
                <w:rFonts w:ascii="Times New Roman" w:eastAsia="MS Mincho" w:hAnsi="Times New Roman"/>
                <w:sz w:val="28"/>
                <w:szCs w:val="28"/>
                <w:lang w:val="ru-RU" w:eastAsia="ja-JP"/>
              </w:rPr>
              <w:t>и АtPARP2</w:t>
            </w:r>
            <w:r w:rsidRPr="00B60717">
              <w:rPr>
                <w:rFonts w:ascii="Times New Roman" w:eastAsia="MS Mincho" w:hAnsi="Times New Roman"/>
                <w:sz w:val="28"/>
                <w:szCs w:val="28"/>
                <w:vertAlign w:val="superscript"/>
                <w:lang w:val="ru-RU" w:eastAsia="ja-JP"/>
              </w:rPr>
              <w:t>E614K</w:t>
            </w:r>
            <w:r w:rsidRPr="00B60717">
              <w:rPr>
                <w:rFonts w:ascii="Times New Roman" w:eastAsia="MS Mincho" w:hAnsi="Times New Roman"/>
                <w:sz w:val="28"/>
                <w:szCs w:val="28"/>
                <w:lang w:val="ru-RU" w:eastAsia="ja-JP"/>
              </w:rPr>
              <w:t xml:space="preserve"> форм белков и определение их ДНК ПАРилирующей активности</w:t>
            </w:r>
          </w:p>
        </w:tc>
        <w:tc>
          <w:tcPr>
            <w:tcW w:w="665" w:type="dxa"/>
            <w:shd w:val="clear" w:color="auto" w:fill="auto"/>
          </w:tcPr>
          <w:p w14:paraId="071EA128"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96</w:t>
            </w:r>
          </w:p>
        </w:tc>
      </w:tr>
      <w:tr w:rsidR="00B60717" w:rsidRPr="00B60717" w14:paraId="19CC7E26" w14:textId="77777777" w:rsidTr="00B60717">
        <w:tc>
          <w:tcPr>
            <w:tcW w:w="1406" w:type="dxa"/>
            <w:shd w:val="clear" w:color="auto" w:fill="auto"/>
          </w:tcPr>
          <w:p w14:paraId="0C4C78F6"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3.4</w:t>
            </w:r>
          </w:p>
        </w:tc>
        <w:tc>
          <w:tcPr>
            <w:tcW w:w="7274" w:type="dxa"/>
            <w:shd w:val="clear" w:color="auto" w:fill="auto"/>
          </w:tcPr>
          <w:p w14:paraId="6CC91CC7" w14:textId="77777777" w:rsidR="00B60717" w:rsidRPr="00B60717" w:rsidRDefault="00B60717" w:rsidP="00B60717">
            <w:pPr>
              <w:spacing w:after="0" w:line="240" w:lineRule="auto"/>
              <w:jc w:val="both"/>
              <w:rPr>
                <w:rFonts w:ascii="Times New Roman" w:eastAsia="MS Mincho" w:hAnsi="Times New Roman"/>
                <w:sz w:val="28"/>
                <w:szCs w:val="28"/>
                <w:lang w:eastAsia="ja-JP"/>
              </w:rPr>
            </w:pPr>
            <w:r w:rsidRPr="00B60717">
              <w:rPr>
                <w:rFonts w:ascii="Times New Roman" w:eastAsia="MS Mincho" w:hAnsi="Times New Roman"/>
                <w:sz w:val="28"/>
                <w:szCs w:val="28"/>
                <w:lang w:eastAsia="ja-JP"/>
              </w:rPr>
              <w:t>Изучение ауто (АДФ)-рибозилирующей активности AtPARP2</w:t>
            </w:r>
          </w:p>
        </w:tc>
        <w:tc>
          <w:tcPr>
            <w:tcW w:w="665" w:type="dxa"/>
            <w:shd w:val="clear" w:color="auto" w:fill="auto"/>
          </w:tcPr>
          <w:p w14:paraId="7A61ECF5"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100</w:t>
            </w:r>
          </w:p>
        </w:tc>
      </w:tr>
      <w:tr w:rsidR="00B60717" w:rsidRPr="00B60717" w14:paraId="36BFD40B" w14:textId="77777777" w:rsidTr="00B60717">
        <w:tc>
          <w:tcPr>
            <w:tcW w:w="1406" w:type="dxa"/>
            <w:shd w:val="clear" w:color="auto" w:fill="auto"/>
          </w:tcPr>
          <w:p w14:paraId="5510371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bookmarkStart w:id="3" w:name="_Hlk101785333"/>
            <w:r w:rsidRPr="00B60717">
              <w:rPr>
                <w:rFonts w:ascii="Times New Roman" w:eastAsia="MS Mincho" w:hAnsi="Times New Roman"/>
                <w:sz w:val="28"/>
                <w:szCs w:val="28"/>
                <w:lang w:val="ru-RU" w:eastAsia="ja-JP"/>
              </w:rPr>
              <w:t>3.5</w:t>
            </w:r>
          </w:p>
        </w:tc>
        <w:tc>
          <w:tcPr>
            <w:tcW w:w="7274" w:type="dxa"/>
            <w:shd w:val="clear" w:color="auto" w:fill="auto"/>
          </w:tcPr>
          <w:p w14:paraId="6A1F6664"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Анализ структуры и состава ПАР–ДНК аддуктов обработкой разными ферментами и идентификация их природы с помощью MALDI-TOF MS</w:t>
            </w:r>
          </w:p>
        </w:tc>
        <w:tc>
          <w:tcPr>
            <w:tcW w:w="665" w:type="dxa"/>
            <w:shd w:val="clear" w:color="auto" w:fill="auto"/>
          </w:tcPr>
          <w:p w14:paraId="51A80B21"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102</w:t>
            </w:r>
          </w:p>
        </w:tc>
      </w:tr>
      <w:bookmarkEnd w:id="3"/>
      <w:tr w:rsidR="00B60717" w:rsidRPr="00B60717" w14:paraId="514BAC29" w14:textId="77777777" w:rsidTr="00B60717">
        <w:tc>
          <w:tcPr>
            <w:tcW w:w="1406" w:type="dxa"/>
            <w:shd w:val="clear" w:color="auto" w:fill="auto"/>
          </w:tcPr>
          <w:p w14:paraId="783688C7"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3.</w:t>
            </w:r>
            <w:r w:rsidRPr="00B60717">
              <w:rPr>
                <w:rFonts w:ascii="Times New Roman" w:eastAsia="MS Mincho" w:hAnsi="Times New Roman"/>
                <w:sz w:val="28"/>
                <w:szCs w:val="28"/>
                <w:lang w:val="ru-RU" w:eastAsia="ja-JP"/>
              </w:rPr>
              <w:t>6</w:t>
            </w:r>
          </w:p>
        </w:tc>
        <w:tc>
          <w:tcPr>
            <w:tcW w:w="7274" w:type="dxa"/>
            <w:shd w:val="clear" w:color="auto" w:fill="auto"/>
          </w:tcPr>
          <w:p w14:paraId="5F2A31E0"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Аддукты ПАР-ДНК в геномной ДНК растений после генотоксической обработки</w:t>
            </w:r>
          </w:p>
        </w:tc>
        <w:tc>
          <w:tcPr>
            <w:tcW w:w="665" w:type="dxa"/>
            <w:shd w:val="clear" w:color="auto" w:fill="auto"/>
          </w:tcPr>
          <w:p w14:paraId="70C85AAE" w14:textId="34DA2CF4"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ru-RU" w:eastAsia="ja-JP"/>
              </w:rPr>
              <w:t>11</w:t>
            </w:r>
            <w:r w:rsidR="00AC7601">
              <w:rPr>
                <w:rFonts w:ascii="Times New Roman" w:eastAsia="MS Mincho" w:hAnsi="Times New Roman"/>
                <w:sz w:val="28"/>
                <w:szCs w:val="28"/>
                <w:lang w:val="ru-RU" w:eastAsia="ja-JP"/>
              </w:rPr>
              <w:t>1</w:t>
            </w:r>
          </w:p>
        </w:tc>
      </w:tr>
      <w:tr w:rsidR="00B60717" w:rsidRPr="00B60717" w14:paraId="1ABB3D4B" w14:textId="77777777" w:rsidTr="00B60717">
        <w:tc>
          <w:tcPr>
            <w:tcW w:w="8680" w:type="dxa"/>
            <w:gridSpan w:val="2"/>
            <w:vMerge w:val="restart"/>
            <w:shd w:val="clear" w:color="auto" w:fill="auto"/>
          </w:tcPr>
          <w:p w14:paraId="5F1890E9" w14:textId="77777777" w:rsidR="00B60717" w:rsidRPr="00B60717" w:rsidRDefault="00B60717" w:rsidP="00B60717">
            <w:pPr>
              <w:tabs>
                <w:tab w:val="left" w:pos="142"/>
              </w:tabs>
              <w:autoSpaceDE w:val="0"/>
              <w:autoSpaceDN w:val="0"/>
              <w:adjustRightInd w:val="0"/>
              <w:spacing w:after="0" w:line="240" w:lineRule="auto"/>
              <w:ind w:right="107"/>
              <w:jc w:val="both"/>
              <w:rPr>
                <w:rFonts w:ascii="Times New Roman" w:eastAsia="MS Mincho" w:hAnsi="Times New Roman"/>
                <w:b/>
                <w:bCs/>
                <w:sz w:val="28"/>
                <w:szCs w:val="28"/>
              </w:rPr>
            </w:pPr>
            <w:r w:rsidRPr="00B60717">
              <w:rPr>
                <w:rFonts w:ascii="Times New Roman" w:eastAsia="MS Mincho" w:hAnsi="Times New Roman"/>
                <w:b/>
                <w:sz w:val="28"/>
                <w:szCs w:val="28"/>
              </w:rPr>
              <w:t>ВЫВОДЫ</w:t>
            </w:r>
          </w:p>
          <w:p w14:paraId="4C7C29B0" w14:textId="77777777" w:rsidR="00B60717" w:rsidRPr="00B60717" w:rsidRDefault="00B60717" w:rsidP="00B60717">
            <w:pPr>
              <w:spacing w:after="0" w:line="240" w:lineRule="auto"/>
              <w:jc w:val="both"/>
              <w:rPr>
                <w:rFonts w:ascii="Times New Roman" w:eastAsia="MS Mincho" w:hAnsi="Times New Roman"/>
                <w:b/>
                <w:bCs/>
                <w:sz w:val="28"/>
                <w:szCs w:val="28"/>
              </w:rPr>
            </w:pPr>
            <w:r w:rsidRPr="00B60717">
              <w:rPr>
                <w:rFonts w:ascii="Times New Roman" w:eastAsia="MS Mincho" w:hAnsi="Times New Roman"/>
                <w:b/>
                <w:sz w:val="28"/>
                <w:szCs w:val="28"/>
                <w:lang w:val="kk-KZ" w:eastAsia="ja-JP"/>
              </w:rPr>
              <w:t>СПИСОК ЛИТЕРАТУРЫ</w:t>
            </w:r>
          </w:p>
        </w:tc>
        <w:tc>
          <w:tcPr>
            <w:tcW w:w="665" w:type="dxa"/>
            <w:shd w:val="clear" w:color="auto" w:fill="auto"/>
          </w:tcPr>
          <w:p w14:paraId="5258261E"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14</w:t>
            </w:r>
          </w:p>
        </w:tc>
      </w:tr>
      <w:tr w:rsidR="00B60717" w:rsidRPr="00B60717" w14:paraId="3C99F253" w14:textId="77777777" w:rsidTr="00B60717">
        <w:tc>
          <w:tcPr>
            <w:tcW w:w="8680" w:type="dxa"/>
            <w:gridSpan w:val="2"/>
            <w:vMerge/>
            <w:shd w:val="clear" w:color="auto" w:fill="auto"/>
          </w:tcPr>
          <w:p w14:paraId="1C2B2B68" w14:textId="77777777" w:rsidR="00B60717" w:rsidRPr="00B60717" w:rsidRDefault="00B60717" w:rsidP="00B60717">
            <w:pPr>
              <w:spacing w:after="0" w:line="240" w:lineRule="auto"/>
              <w:jc w:val="both"/>
              <w:rPr>
                <w:rFonts w:ascii="Times New Roman" w:eastAsia="MS Mincho" w:hAnsi="Times New Roman"/>
                <w:b/>
                <w:sz w:val="28"/>
                <w:szCs w:val="28"/>
                <w:lang w:val="kk-KZ" w:eastAsia="ja-JP"/>
              </w:rPr>
            </w:pPr>
          </w:p>
        </w:tc>
        <w:tc>
          <w:tcPr>
            <w:tcW w:w="665" w:type="dxa"/>
            <w:shd w:val="clear" w:color="auto" w:fill="auto"/>
          </w:tcPr>
          <w:p w14:paraId="3F2D015C" w14:textId="77777777" w:rsidR="00B60717" w:rsidRPr="00B60717" w:rsidRDefault="00B60717" w:rsidP="00B60717">
            <w:pPr>
              <w:spacing w:after="0" w:line="240" w:lineRule="auto"/>
              <w:jc w:val="both"/>
              <w:rPr>
                <w:rFonts w:ascii="Times New Roman" w:eastAsia="MS Mincho" w:hAnsi="Times New Roman"/>
                <w:sz w:val="28"/>
                <w:szCs w:val="28"/>
                <w:lang w:val="ru-RU" w:eastAsia="ja-JP"/>
              </w:rPr>
            </w:pPr>
            <w:r w:rsidRPr="00B60717">
              <w:rPr>
                <w:rFonts w:ascii="Times New Roman" w:eastAsia="MS Mincho" w:hAnsi="Times New Roman"/>
                <w:sz w:val="28"/>
                <w:szCs w:val="28"/>
                <w:lang w:val="en-US" w:eastAsia="ja-JP"/>
              </w:rPr>
              <w:t>1</w:t>
            </w:r>
            <w:r w:rsidRPr="00B60717">
              <w:rPr>
                <w:rFonts w:ascii="Times New Roman" w:eastAsia="MS Mincho" w:hAnsi="Times New Roman"/>
                <w:sz w:val="28"/>
                <w:szCs w:val="28"/>
                <w:lang w:val="ru-RU" w:eastAsia="ja-JP"/>
              </w:rPr>
              <w:t>16</w:t>
            </w:r>
          </w:p>
        </w:tc>
      </w:tr>
    </w:tbl>
    <w:p w14:paraId="78F23410" w14:textId="77777777" w:rsidR="00B60717" w:rsidRPr="00B60717" w:rsidRDefault="00B60717" w:rsidP="00B60717">
      <w:pPr>
        <w:rPr>
          <w:rFonts w:ascii="Times New Roman" w:hAnsi="Times New Roman"/>
          <w:sz w:val="28"/>
          <w:szCs w:val="28"/>
        </w:rPr>
      </w:pPr>
    </w:p>
    <w:p w14:paraId="64FFFBB7" w14:textId="312FDFB6" w:rsidR="00916EDB" w:rsidRDefault="00916EDB" w:rsidP="00916EDB">
      <w:pPr>
        <w:rPr>
          <w:rFonts w:ascii="Times New Roman" w:hAnsi="Times New Roman"/>
          <w:sz w:val="28"/>
          <w:szCs w:val="28"/>
        </w:rPr>
      </w:pPr>
    </w:p>
    <w:p w14:paraId="14A61433" w14:textId="77777777" w:rsidR="00B60717" w:rsidRPr="00107040" w:rsidRDefault="00B60717" w:rsidP="00916EDB">
      <w:pPr>
        <w:rPr>
          <w:rFonts w:ascii="Times New Roman" w:hAnsi="Times New Roman"/>
          <w:sz w:val="28"/>
          <w:szCs w:val="28"/>
        </w:rPr>
      </w:pPr>
    </w:p>
    <w:p w14:paraId="5DBA2DA9" w14:textId="77777777" w:rsidR="00916EDB" w:rsidRPr="00107040" w:rsidRDefault="00916EDB" w:rsidP="000C16BB">
      <w:pPr>
        <w:spacing w:after="0" w:line="240" w:lineRule="auto"/>
        <w:jc w:val="center"/>
        <w:rPr>
          <w:rFonts w:ascii="Times New Roman" w:hAnsi="Times New Roman"/>
          <w:sz w:val="28"/>
          <w:szCs w:val="28"/>
        </w:rPr>
      </w:pPr>
    </w:p>
    <w:p w14:paraId="6FFFA682"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p>
    <w:p w14:paraId="3DA3A983"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p>
    <w:p w14:paraId="4AAAE0BA"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p>
    <w:p w14:paraId="187C2D1E"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p>
    <w:p w14:paraId="6EDBA0CD" w14:textId="77777777" w:rsidR="000B103D" w:rsidRPr="00107040" w:rsidRDefault="000B103D" w:rsidP="000C16BB">
      <w:pPr>
        <w:spacing w:after="0" w:line="240" w:lineRule="auto"/>
        <w:jc w:val="center"/>
        <w:rPr>
          <w:rFonts w:ascii="Times New Roman" w:eastAsia="MS Mincho" w:hAnsi="Times New Roman"/>
          <w:b/>
          <w:sz w:val="28"/>
          <w:szCs w:val="28"/>
          <w:lang w:val="ru-RU" w:eastAsia="fr-FR"/>
        </w:rPr>
      </w:pPr>
      <w:r w:rsidRPr="00107040">
        <w:rPr>
          <w:rFonts w:ascii="Times New Roman" w:eastAsia="MS Mincho" w:hAnsi="Times New Roman"/>
          <w:sz w:val="28"/>
          <w:szCs w:val="28"/>
          <w:lang w:val="ru-RU" w:eastAsia="fr-FR"/>
        </w:rPr>
        <w:br w:type="page"/>
      </w:r>
      <w:r w:rsidRPr="00107040">
        <w:rPr>
          <w:rFonts w:ascii="Times New Roman" w:hAnsi="Times New Roman"/>
          <w:b/>
          <w:sz w:val="28"/>
          <w:szCs w:val="28"/>
          <w:lang w:val="ru-RU"/>
        </w:rPr>
        <w:lastRenderedPageBreak/>
        <w:t>ОБОЗНАЧЕНИЯ И</w:t>
      </w:r>
      <w:r w:rsidRPr="00107040">
        <w:rPr>
          <w:rFonts w:ascii="Times New Roman" w:eastAsia="MS Mincho" w:hAnsi="Times New Roman"/>
          <w:b/>
          <w:sz w:val="28"/>
          <w:szCs w:val="28"/>
          <w:lang w:val="ru-RU" w:eastAsia="fr-FR"/>
        </w:rPr>
        <w:t xml:space="preserve"> СОКРАЩЕНИЯ</w:t>
      </w:r>
    </w:p>
    <w:p w14:paraId="7AB4CE8E"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p>
    <w:p w14:paraId="056527FB"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O</w:t>
      </w:r>
      <w:r w:rsidRPr="00107040">
        <w:rPr>
          <w:rFonts w:ascii="Times New Roman" w:eastAsia="MS Mincho" w:hAnsi="Times New Roman"/>
          <w:sz w:val="28"/>
          <w:szCs w:val="28"/>
          <w:vertAlign w:val="subscript"/>
          <w:lang w:val="ru-RU" w:eastAsia="fr-FR"/>
        </w:rPr>
        <w:t>2</w:t>
      </w:r>
      <w:r w:rsidRPr="00107040">
        <w:rPr>
          <w:rFonts w:ascii="Times New Roman" w:eastAsia="MS Mincho" w:hAnsi="Times New Roman"/>
          <w:sz w:val="28"/>
          <w:szCs w:val="28"/>
          <w:vertAlign w:val="superscript"/>
          <w:lang w:val="ru-RU" w:eastAsia="fr-FR"/>
        </w:rPr>
        <w:t>-</w:t>
      </w:r>
      <w:r w:rsidRPr="00107040">
        <w:rPr>
          <w:rFonts w:ascii="Times New Roman" w:eastAsia="MS Mincho" w:hAnsi="Times New Roman"/>
          <w:sz w:val="28"/>
          <w:szCs w:val="28"/>
          <w:lang w:val="ru-RU" w:eastAsia="fr-FR"/>
        </w:rPr>
        <w:t xml:space="preserve"> − Супероксидные радикалы</w:t>
      </w:r>
    </w:p>
    <w:p w14:paraId="14BB8E8B"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OH</w:t>
      </w:r>
      <w:r w:rsidRPr="00107040">
        <w:rPr>
          <w:rFonts w:ascii="Times New Roman" w:eastAsia="MS Mincho" w:hAnsi="Times New Roman"/>
          <w:sz w:val="28"/>
          <w:szCs w:val="28"/>
          <w:lang w:val="ru-RU" w:eastAsia="fr-FR"/>
        </w:rPr>
        <w:t xml:space="preserve"> – Гидроксильный радикал</w:t>
      </w:r>
    </w:p>
    <w:p w14:paraId="7A583379"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ONO</w:t>
      </w:r>
      <w:r w:rsidRPr="00107040">
        <w:rPr>
          <w:rFonts w:ascii="Times New Roman" w:eastAsia="MS Mincho" w:hAnsi="Times New Roman"/>
          <w:sz w:val="28"/>
          <w:szCs w:val="28"/>
          <w:vertAlign w:val="subscript"/>
          <w:lang w:val="ru-RU" w:eastAsia="fr-FR"/>
        </w:rPr>
        <w:t>2</w:t>
      </w:r>
      <w:r w:rsidRPr="00107040">
        <w:rPr>
          <w:rFonts w:ascii="Times New Roman" w:eastAsia="MS Mincho" w:hAnsi="Times New Roman"/>
          <w:sz w:val="28"/>
          <w:szCs w:val="28"/>
          <w:vertAlign w:val="superscript"/>
          <w:lang w:val="ru-RU" w:eastAsia="fr-FR"/>
        </w:rPr>
        <w:t>–</w:t>
      </w:r>
      <w:r w:rsidRPr="00107040">
        <w:rPr>
          <w:rFonts w:ascii="Times New Roman" w:eastAsia="MS Mincho" w:hAnsi="Times New Roman"/>
          <w:sz w:val="28"/>
          <w:szCs w:val="28"/>
          <w:lang w:val="ru-RU" w:eastAsia="fr-FR"/>
        </w:rPr>
        <w:t xml:space="preserve"> – Пероксинитрит</w:t>
      </w:r>
    </w:p>
    <w:p w14:paraId="24BBA604"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AGT</w:t>
      </w:r>
      <w:r w:rsidRPr="00107040">
        <w:rPr>
          <w:rFonts w:ascii="Times New Roman" w:eastAsia="MS Mincho" w:hAnsi="Times New Roman"/>
          <w:sz w:val="28"/>
          <w:szCs w:val="28"/>
          <w:lang w:val="ru-RU" w:eastAsia="fr-FR"/>
        </w:rPr>
        <w:t>/</w:t>
      </w:r>
      <w:r w:rsidRPr="00107040">
        <w:rPr>
          <w:rFonts w:ascii="Times New Roman" w:eastAsia="MS Mincho" w:hAnsi="Times New Roman"/>
          <w:sz w:val="28"/>
          <w:szCs w:val="28"/>
          <w:lang w:val="en-US" w:eastAsia="fr-FR"/>
        </w:rPr>
        <w:t>MGMT</w:t>
      </w:r>
      <w:r w:rsidRPr="00107040">
        <w:rPr>
          <w:rFonts w:ascii="Times New Roman" w:eastAsia="MS Mincho" w:hAnsi="Times New Roman"/>
          <w:sz w:val="28"/>
          <w:szCs w:val="28"/>
          <w:lang w:val="ru-RU" w:eastAsia="fr-FR"/>
        </w:rPr>
        <w:t xml:space="preserve"> – (</w:t>
      </w:r>
      <w:r w:rsidRPr="00107040">
        <w:rPr>
          <w:rFonts w:ascii="Times New Roman" w:eastAsia="MS Mincho" w:hAnsi="Times New Roman"/>
          <w:sz w:val="28"/>
          <w:szCs w:val="28"/>
          <w:lang w:val="en-US" w:eastAsia="fr-FR"/>
        </w:rPr>
        <w:t>O</w:t>
      </w:r>
      <w:r w:rsidRPr="00107040">
        <w:rPr>
          <w:rFonts w:ascii="Times New Roman" w:eastAsia="MS Mincho" w:hAnsi="Times New Roman"/>
          <w:sz w:val="28"/>
          <w:szCs w:val="28"/>
          <w:vertAlign w:val="superscript"/>
          <w:lang w:val="ru-RU" w:eastAsia="fr-FR"/>
        </w:rPr>
        <w:t>6</w:t>
      </w:r>
      <w:r w:rsidRPr="00107040">
        <w:rPr>
          <w:rFonts w:ascii="Times New Roman" w:eastAsia="MS Mincho" w:hAnsi="Times New Roman"/>
          <w:sz w:val="28"/>
          <w:szCs w:val="28"/>
          <w:lang w:val="ru-RU" w:eastAsia="fr-FR"/>
        </w:rPr>
        <w:t>-</w:t>
      </w:r>
      <w:r w:rsidRPr="00107040">
        <w:rPr>
          <w:rFonts w:ascii="Times New Roman" w:eastAsia="MS Mincho" w:hAnsi="Times New Roman"/>
          <w:sz w:val="28"/>
          <w:szCs w:val="28"/>
          <w:lang w:val="en-US" w:eastAsia="fr-FR"/>
        </w:rPr>
        <w:t>methylguanine</w:t>
      </w:r>
      <w:r w:rsidRPr="00107040">
        <w:rPr>
          <w:rFonts w:ascii="Times New Roman" w:eastAsia="MS Mincho" w:hAnsi="Times New Roman"/>
          <w:sz w:val="28"/>
          <w:szCs w:val="28"/>
          <w:lang w:val="ru-RU" w:eastAsia="fr-FR"/>
        </w:rPr>
        <w:t>-</w:t>
      </w:r>
      <w:r w:rsidRPr="00107040">
        <w:rPr>
          <w:rFonts w:ascii="Times New Roman" w:eastAsia="MS Mincho" w:hAnsi="Times New Roman"/>
          <w:sz w:val="28"/>
          <w:szCs w:val="28"/>
          <w:lang w:val="en-US" w:eastAsia="fr-FR"/>
        </w:rPr>
        <w:t>DNA</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methyltransferase</w:t>
      </w:r>
      <w:r w:rsidRPr="00107040">
        <w:rPr>
          <w:rFonts w:ascii="Times New Roman" w:eastAsia="MS Mincho" w:hAnsi="Times New Roman"/>
          <w:sz w:val="28"/>
          <w:szCs w:val="28"/>
          <w:lang w:val="ru-RU" w:eastAsia="fr-FR"/>
        </w:rPr>
        <w:t xml:space="preserve">) </w:t>
      </w:r>
      <w:r w:rsidRPr="00107040">
        <w:rPr>
          <w:rFonts w:ascii="Times New Roman" w:hAnsi="Times New Roman"/>
          <w:i/>
          <w:sz w:val="28"/>
          <w:szCs w:val="28"/>
          <w:shd w:val="clear" w:color="auto" w:fill="FFFFFF"/>
          <w:lang w:val="en"/>
        </w:rPr>
        <w:t>O</w:t>
      </w:r>
      <w:r w:rsidRPr="00107040">
        <w:rPr>
          <w:rFonts w:ascii="Times New Roman" w:hAnsi="Times New Roman"/>
          <w:i/>
          <w:sz w:val="28"/>
          <w:szCs w:val="28"/>
          <w:shd w:val="clear" w:color="auto" w:fill="FFFFFF"/>
          <w:vertAlign w:val="superscript"/>
          <w:lang w:val="ru-RU"/>
        </w:rPr>
        <w:t>6</w:t>
      </w:r>
      <w:r w:rsidRPr="00107040">
        <w:rPr>
          <w:rFonts w:ascii="Times New Roman" w:hAnsi="Times New Roman"/>
          <w:sz w:val="28"/>
          <w:szCs w:val="28"/>
          <w:shd w:val="clear" w:color="auto" w:fill="FFFFFF"/>
          <w:lang w:val="ru-RU"/>
        </w:rPr>
        <w:t>-</w:t>
      </w:r>
      <w:r w:rsidRPr="00107040">
        <w:rPr>
          <w:rFonts w:ascii="Times New Roman" w:hAnsi="Times New Roman"/>
          <w:sz w:val="28"/>
          <w:szCs w:val="28"/>
          <w:shd w:val="clear" w:color="auto" w:fill="FFFFFF"/>
          <w:lang w:val="kk-KZ"/>
        </w:rPr>
        <w:t>метил</w:t>
      </w:r>
      <w:r w:rsidRPr="00107040">
        <w:rPr>
          <w:rFonts w:ascii="Times New Roman" w:hAnsi="Times New Roman"/>
          <w:sz w:val="28"/>
          <w:szCs w:val="28"/>
          <w:shd w:val="clear" w:color="auto" w:fill="FFFFFF"/>
          <w:lang w:val="ru-RU"/>
        </w:rPr>
        <w:t>гуанин-ДНК-метилтрансфераза</w:t>
      </w:r>
    </w:p>
    <w:p w14:paraId="4DDCA113"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A</w:t>
      </w:r>
      <w:r w:rsidRPr="00107040">
        <w:rPr>
          <w:rFonts w:ascii="Times New Roman" w:eastAsia="MS Mincho" w:hAnsi="Times New Roman"/>
          <w:sz w:val="28"/>
          <w:szCs w:val="28"/>
          <w:lang w:val="ru-RU" w:eastAsia="fr-FR"/>
        </w:rPr>
        <w:t>ДФ – Аденозиндифосфат</w:t>
      </w:r>
    </w:p>
    <w:p w14:paraId="241C2388"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A</w:t>
      </w:r>
      <w:r w:rsidRPr="00107040">
        <w:rPr>
          <w:rFonts w:ascii="Times New Roman" w:eastAsia="MS Mincho" w:hAnsi="Times New Roman"/>
          <w:sz w:val="28"/>
          <w:szCs w:val="28"/>
          <w:lang w:val="ru-RU" w:eastAsia="fr-FR"/>
        </w:rPr>
        <w:t>ДФр – АДФ-рибоза</w:t>
      </w:r>
    </w:p>
    <w:p w14:paraId="668BD2C6"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A</w:t>
      </w:r>
      <w:r w:rsidRPr="00107040">
        <w:rPr>
          <w:rFonts w:ascii="Times New Roman" w:eastAsia="MS Mincho" w:hAnsi="Times New Roman"/>
          <w:sz w:val="28"/>
          <w:szCs w:val="28"/>
          <w:lang w:val="ru-RU" w:eastAsia="fr-FR"/>
        </w:rPr>
        <w:t>МФ  – Аденозинмонофосфат</w:t>
      </w:r>
    </w:p>
    <w:p w14:paraId="1D21E2E1"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ATP</w:t>
      </w:r>
      <w:r w:rsidRPr="00107040">
        <w:rPr>
          <w:rFonts w:ascii="Times New Roman" w:eastAsia="MS Mincho" w:hAnsi="Times New Roman"/>
          <w:sz w:val="28"/>
          <w:szCs w:val="28"/>
          <w:lang w:val="ru-RU" w:eastAsia="fr-FR"/>
        </w:rPr>
        <w:t xml:space="preserve"> – Аденозинтрифосфат</w:t>
      </w:r>
    </w:p>
    <w:p w14:paraId="38098943"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AIF</w:t>
      </w:r>
      <w:r w:rsidRPr="00107040">
        <w:rPr>
          <w:rFonts w:ascii="Times New Roman" w:eastAsia="MS Mincho" w:hAnsi="Times New Roman"/>
          <w:sz w:val="28"/>
          <w:szCs w:val="28"/>
          <w:lang w:val="ru-RU" w:eastAsia="fr-FR"/>
        </w:rPr>
        <w:t xml:space="preserve"> – (</w:t>
      </w:r>
      <w:r w:rsidRPr="00107040">
        <w:rPr>
          <w:rFonts w:ascii="Times New Roman" w:eastAsia="MS Mincho" w:hAnsi="Times New Roman"/>
          <w:sz w:val="28"/>
          <w:szCs w:val="28"/>
          <w:lang w:val="en-US" w:eastAsia="fr-FR"/>
        </w:rPr>
        <w:t>Apoptosis</w:t>
      </w:r>
      <w:r w:rsidRPr="00107040">
        <w:rPr>
          <w:rFonts w:ascii="Times New Roman" w:eastAsia="MS Mincho" w:hAnsi="Times New Roman"/>
          <w:sz w:val="28"/>
          <w:szCs w:val="28"/>
          <w:lang w:val="ru-RU" w:eastAsia="fr-FR"/>
        </w:rPr>
        <w:t>-</w:t>
      </w:r>
      <w:r w:rsidRPr="00107040">
        <w:rPr>
          <w:rFonts w:ascii="Times New Roman" w:eastAsia="MS Mincho" w:hAnsi="Times New Roman"/>
          <w:sz w:val="28"/>
          <w:szCs w:val="28"/>
          <w:lang w:val="en-US" w:eastAsia="fr-FR"/>
        </w:rPr>
        <w:t>inducing</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factor</w:t>
      </w:r>
      <w:r w:rsidRPr="00107040">
        <w:rPr>
          <w:rFonts w:ascii="Times New Roman" w:eastAsia="MS Mincho" w:hAnsi="Times New Roman"/>
          <w:sz w:val="28"/>
          <w:szCs w:val="28"/>
          <w:lang w:val="ru-RU" w:eastAsia="fr-FR"/>
        </w:rPr>
        <w:t>) Фактор, индуцирующий апоптоз</w:t>
      </w:r>
    </w:p>
    <w:p w14:paraId="60E399AB"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AP</w:t>
      </w:r>
      <w:r w:rsidRPr="00107040">
        <w:rPr>
          <w:rFonts w:ascii="Times New Roman" w:eastAsia="MS Mincho" w:hAnsi="Times New Roman"/>
          <w:sz w:val="28"/>
          <w:szCs w:val="28"/>
          <w:lang w:val="ru-RU" w:eastAsia="fr-FR"/>
        </w:rPr>
        <w:t xml:space="preserve"> – (</w:t>
      </w:r>
      <w:r w:rsidRPr="00107040">
        <w:rPr>
          <w:rFonts w:ascii="Times New Roman" w:eastAsia="MS Mincho" w:hAnsi="Times New Roman"/>
          <w:sz w:val="28"/>
          <w:szCs w:val="28"/>
          <w:lang w:val="en-US" w:eastAsia="fr-FR"/>
        </w:rPr>
        <w:t>Apuric</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or</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apyrimidic</w:t>
      </w:r>
      <w:r w:rsidRPr="00107040">
        <w:rPr>
          <w:rFonts w:ascii="Times New Roman" w:eastAsia="MS Mincho" w:hAnsi="Times New Roman"/>
          <w:sz w:val="28"/>
          <w:szCs w:val="28"/>
          <w:lang w:val="ru-RU" w:eastAsia="fr-FR"/>
        </w:rPr>
        <w:t>) Апуриновая или апиримидиновая</w:t>
      </w:r>
    </w:p>
    <w:p w14:paraId="168B1628"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r w:rsidRPr="00107040">
        <w:rPr>
          <w:rFonts w:ascii="Times New Roman" w:eastAsia="MS Mincho" w:hAnsi="Times New Roman"/>
          <w:sz w:val="28"/>
          <w:szCs w:val="28"/>
          <w:lang w:val="en-US" w:eastAsia="fr-FR"/>
        </w:rPr>
        <w:t>APE1 – (Apurinic/apyrimidinic endonuclease 1) AP эндонуклеаза 1</w:t>
      </w:r>
    </w:p>
    <w:p w14:paraId="70DDB89F"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r w:rsidRPr="00107040">
        <w:rPr>
          <w:rFonts w:ascii="Times New Roman" w:eastAsia="MS Mincho" w:hAnsi="Times New Roman"/>
          <w:sz w:val="28"/>
          <w:szCs w:val="28"/>
          <w:lang w:val="en-US" w:eastAsia="fr-FR"/>
        </w:rPr>
        <w:t xml:space="preserve">APLF – (Aprataxin and PNK-like factor) </w:t>
      </w:r>
      <w:r w:rsidRPr="00107040">
        <w:rPr>
          <w:rFonts w:ascii="Times New Roman" w:eastAsia="MS Mincho" w:hAnsi="Times New Roman"/>
          <w:sz w:val="28"/>
          <w:szCs w:val="28"/>
          <w:lang w:val="ru-RU" w:eastAsia="fr-FR"/>
        </w:rPr>
        <w:t>Апратаксин</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и</w:t>
      </w:r>
      <w:r w:rsidRPr="00107040">
        <w:rPr>
          <w:rFonts w:ascii="Times New Roman" w:eastAsia="MS Mincho" w:hAnsi="Times New Roman"/>
          <w:sz w:val="28"/>
          <w:szCs w:val="28"/>
          <w:lang w:val="en-US" w:eastAsia="fr-FR"/>
        </w:rPr>
        <w:t xml:space="preserve"> PNK-</w:t>
      </w:r>
      <w:r w:rsidRPr="00107040">
        <w:rPr>
          <w:rFonts w:ascii="Times New Roman" w:eastAsia="MS Mincho" w:hAnsi="Times New Roman"/>
          <w:sz w:val="28"/>
          <w:szCs w:val="28"/>
          <w:lang w:val="ru-RU" w:eastAsia="fr-FR"/>
        </w:rPr>
        <w:t>подобный</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фактор</w:t>
      </w:r>
    </w:p>
    <w:p w14:paraId="05009F88"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r w:rsidRPr="00107040">
        <w:rPr>
          <w:rFonts w:ascii="Times New Roman" w:eastAsia="MS Mincho" w:hAnsi="Times New Roman"/>
          <w:sz w:val="28"/>
          <w:szCs w:val="28"/>
          <w:lang w:val="en-US" w:eastAsia="fr-FR"/>
        </w:rPr>
        <w:t xml:space="preserve">APTX – (Aprataxin) </w:t>
      </w:r>
      <w:r w:rsidRPr="00107040">
        <w:rPr>
          <w:rFonts w:ascii="Times New Roman" w:eastAsia="MS Mincho" w:hAnsi="Times New Roman"/>
          <w:sz w:val="28"/>
          <w:szCs w:val="28"/>
          <w:lang w:val="ru-RU" w:eastAsia="fr-FR"/>
        </w:rPr>
        <w:t>Апратаксин</w:t>
      </w:r>
    </w:p>
    <w:p w14:paraId="03F4C9F3"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r w:rsidRPr="00107040">
        <w:rPr>
          <w:rFonts w:ascii="Times New Roman" w:eastAsia="MS Mincho" w:hAnsi="Times New Roman"/>
          <w:sz w:val="28"/>
          <w:szCs w:val="28"/>
          <w:lang w:val="en-US" w:eastAsia="fr-FR"/>
        </w:rPr>
        <w:t xml:space="preserve">ARH – (ADP-ribosylhydrolase) </w:t>
      </w:r>
      <w:r w:rsidRPr="00107040">
        <w:rPr>
          <w:rFonts w:ascii="Times New Roman" w:eastAsia="MS Mincho" w:hAnsi="Times New Roman"/>
          <w:sz w:val="28"/>
          <w:szCs w:val="28"/>
          <w:lang w:val="ru-RU" w:eastAsia="fr-FR"/>
        </w:rPr>
        <w:t>АДФ</w:t>
      </w:r>
      <w:r w:rsidRPr="00107040">
        <w:rPr>
          <w:rFonts w:ascii="Times New Roman" w:eastAsia="MS Mincho" w:hAnsi="Times New Roman"/>
          <w:sz w:val="28"/>
          <w:szCs w:val="28"/>
          <w:lang w:val="en-US" w:eastAsia="fr-FR"/>
        </w:rPr>
        <w:t>-</w:t>
      </w:r>
      <w:r w:rsidRPr="00107040">
        <w:rPr>
          <w:rFonts w:ascii="Times New Roman" w:eastAsia="MS Mincho" w:hAnsi="Times New Roman"/>
          <w:sz w:val="28"/>
          <w:szCs w:val="28"/>
          <w:lang w:val="ru-RU" w:eastAsia="fr-FR"/>
        </w:rPr>
        <w:t>рибозилгидролаза</w:t>
      </w:r>
    </w:p>
    <w:p w14:paraId="60F422D4"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r w:rsidRPr="00107040">
        <w:rPr>
          <w:rFonts w:ascii="Times New Roman" w:eastAsia="MS Mincho" w:hAnsi="Times New Roman"/>
          <w:sz w:val="28"/>
          <w:szCs w:val="28"/>
          <w:lang w:val="en-US" w:eastAsia="fr-FR"/>
        </w:rPr>
        <w:t xml:space="preserve">ART – (ADP-ribosyltransferase) </w:t>
      </w:r>
      <w:r w:rsidRPr="00107040">
        <w:rPr>
          <w:rFonts w:ascii="Times New Roman" w:eastAsia="MS Mincho" w:hAnsi="Times New Roman"/>
          <w:sz w:val="28"/>
          <w:szCs w:val="28"/>
          <w:lang w:val="ru-RU" w:eastAsia="fr-FR"/>
        </w:rPr>
        <w:t>АДФ</w:t>
      </w:r>
      <w:r w:rsidRPr="00107040">
        <w:rPr>
          <w:rFonts w:ascii="Times New Roman" w:eastAsia="MS Mincho" w:hAnsi="Times New Roman"/>
          <w:sz w:val="28"/>
          <w:szCs w:val="28"/>
          <w:lang w:val="en-US" w:eastAsia="fr-FR"/>
        </w:rPr>
        <w:t>-</w:t>
      </w:r>
      <w:r w:rsidRPr="00107040">
        <w:rPr>
          <w:rFonts w:ascii="Times New Roman" w:eastAsia="MS Mincho" w:hAnsi="Times New Roman"/>
          <w:sz w:val="28"/>
          <w:szCs w:val="28"/>
          <w:lang w:val="ru-RU" w:eastAsia="fr-FR"/>
        </w:rPr>
        <w:t>рибозилтрансфераза</w:t>
      </w:r>
    </w:p>
    <w:p w14:paraId="10E8F7A9"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r w:rsidRPr="00107040">
        <w:rPr>
          <w:rFonts w:ascii="Times New Roman" w:eastAsia="MS Mincho" w:hAnsi="Times New Roman"/>
          <w:sz w:val="28"/>
          <w:szCs w:val="28"/>
          <w:lang w:val="en-US" w:eastAsia="fr-FR"/>
        </w:rPr>
        <w:t xml:space="preserve">ARTD – (ADP-ribosyltransferase diphtheria toxin like) </w:t>
      </w:r>
      <w:r w:rsidRPr="00107040">
        <w:rPr>
          <w:rFonts w:ascii="Times New Roman" w:eastAsia="MS Mincho" w:hAnsi="Times New Roman"/>
          <w:sz w:val="28"/>
          <w:szCs w:val="28"/>
          <w:lang w:val="ru-RU" w:eastAsia="fr-FR"/>
        </w:rPr>
        <w:t>Дифтерийный</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токсиноподобный</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АДФ</w:t>
      </w:r>
      <w:r w:rsidRPr="00107040">
        <w:rPr>
          <w:rFonts w:ascii="Times New Roman" w:eastAsia="MS Mincho" w:hAnsi="Times New Roman"/>
          <w:sz w:val="28"/>
          <w:szCs w:val="28"/>
          <w:lang w:val="en-US" w:eastAsia="fr-FR"/>
        </w:rPr>
        <w:t>-</w:t>
      </w:r>
      <w:r w:rsidRPr="00107040">
        <w:rPr>
          <w:rFonts w:ascii="Times New Roman" w:eastAsia="MS Mincho" w:hAnsi="Times New Roman"/>
          <w:sz w:val="28"/>
          <w:szCs w:val="28"/>
          <w:lang w:val="ru-RU" w:eastAsia="fr-FR"/>
        </w:rPr>
        <w:t>рибозилтрансферазы</w:t>
      </w:r>
    </w:p>
    <w:p w14:paraId="5471BD4C"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kk-KZ"/>
        </w:rPr>
        <w:t>АФК</w:t>
      </w:r>
      <w:r w:rsidRPr="00107040">
        <w:rPr>
          <w:rFonts w:ascii="Times New Roman" w:eastAsia="ArialMT" w:hAnsi="Times New Roman"/>
          <w:sz w:val="28"/>
          <w:szCs w:val="28"/>
          <w:lang w:val="en-US"/>
        </w:rPr>
        <w:t xml:space="preserve">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Активные формы кислорода</w:t>
      </w:r>
    </w:p>
    <w:p w14:paraId="2A780193"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r w:rsidRPr="00107040">
        <w:rPr>
          <w:rFonts w:ascii="Times New Roman" w:eastAsia="MS Mincho" w:hAnsi="Times New Roman"/>
          <w:sz w:val="28"/>
          <w:szCs w:val="28"/>
          <w:lang w:val="en-US" w:eastAsia="fr-FR"/>
        </w:rPr>
        <w:t>AtPARP1 – (</w:t>
      </w:r>
      <w:r w:rsidRPr="00107040">
        <w:rPr>
          <w:rFonts w:ascii="Times New Roman" w:eastAsia="MS Mincho" w:hAnsi="Times New Roman"/>
          <w:i/>
          <w:sz w:val="28"/>
          <w:szCs w:val="28"/>
          <w:lang w:val="en-US" w:eastAsia="fr-FR"/>
        </w:rPr>
        <w:t>Arabidopsis thaliana</w:t>
      </w:r>
      <w:r w:rsidRPr="00107040">
        <w:rPr>
          <w:rFonts w:ascii="Times New Roman" w:eastAsia="MS Mincho" w:hAnsi="Times New Roman"/>
          <w:sz w:val="28"/>
          <w:szCs w:val="28"/>
          <w:lang w:val="en-US" w:eastAsia="fr-FR"/>
        </w:rPr>
        <w:t xml:space="preserve"> Poly (ADP-Ribose) Polymerase 1) </w:t>
      </w:r>
      <w:r w:rsidRPr="00107040">
        <w:rPr>
          <w:rFonts w:ascii="Times New Roman" w:eastAsia="MS Mincho" w:hAnsi="Times New Roman"/>
          <w:i/>
          <w:sz w:val="28"/>
          <w:szCs w:val="28"/>
          <w:lang w:val="en-US" w:eastAsia="fr-FR"/>
        </w:rPr>
        <w:t>Arabidopsis thaliana</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Поли</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АДФ</w:t>
      </w:r>
      <w:r w:rsidRPr="00107040">
        <w:rPr>
          <w:rFonts w:ascii="Times New Roman" w:eastAsia="MS Mincho" w:hAnsi="Times New Roman"/>
          <w:sz w:val="28"/>
          <w:szCs w:val="28"/>
          <w:lang w:val="en-US" w:eastAsia="fr-FR"/>
        </w:rPr>
        <w:t>-</w:t>
      </w:r>
      <w:r w:rsidRPr="00107040">
        <w:rPr>
          <w:rFonts w:ascii="Times New Roman" w:eastAsia="MS Mincho" w:hAnsi="Times New Roman"/>
          <w:sz w:val="28"/>
          <w:szCs w:val="28"/>
          <w:lang w:val="ru-RU" w:eastAsia="fr-FR"/>
        </w:rPr>
        <w:t>рибоза</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полимераза</w:t>
      </w:r>
      <w:r w:rsidRPr="00107040">
        <w:rPr>
          <w:rFonts w:ascii="Times New Roman" w:eastAsia="MS Mincho" w:hAnsi="Times New Roman"/>
          <w:sz w:val="28"/>
          <w:szCs w:val="28"/>
          <w:lang w:val="en-US" w:eastAsia="fr-FR"/>
        </w:rPr>
        <w:t xml:space="preserve"> 1</w:t>
      </w:r>
    </w:p>
    <w:p w14:paraId="58E12CA2"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r w:rsidRPr="00107040">
        <w:rPr>
          <w:rFonts w:ascii="Times New Roman" w:eastAsia="MS Mincho" w:hAnsi="Times New Roman"/>
          <w:sz w:val="28"/>
          <w:szCs w:val="28"/>
          <w:lang w:val="en-US" w:eastAsia="fr-FR"/>
        </w:rPr>
        <w:t>AtPARP2 – (</w:t>
      </w:r>
      <w:r w:rsidRPr="00107040">
        <w:rPr>
          <w:rFonts w:ascii="Times New Roman" w:eastAsia="MS Mincho" w:hAnsi="Times New Roman"/>
          <w:i/>
          <w:sz w:val="28"/>
          <w:szCs w:val="28"/>
          <w:lang w:val="en-US" w:eastAsia="fr-FR"/>
        </w:rPr>
        <w:t>Arabidopsis thaliana</w:t>
      </w:r>
      <w:r w:rsidRPr="00107040">
        <w:rPr>
          <w:rFonts w:ascii="Times New Roman" w:eastAsia="MS Mincho" w:hAnsi="Times New Roman"/>
          <w:sz w:val="28"/>
          <w:szCs w:val="28"/>
          <w:lang w:val="en-US" w:eastAsia="fr-FR"/>
        </w:rPr>
        <w:t xml:space="preserve"> Poly (ADP-Ribose) Polymerase 2) </w:t>
      </w:r>
      <w:r w:rsidRPr="00107040">
        <w:rPr>
          <w:rFonts w:ascii="Times New Roman" w:eastAsia="MS Mincho" w:hAnsi="Times New Roman"/>
          <w:i/>
          <w:sz w:val="28"/>
          <w:szCs w:val="28"/>
          <w:lang w:val="en-US" w:eastAsia="fr-FR"/>
        </w:rPr>
        <w:t>Arabidopsis thaliana</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Поли</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АДФ</w:t>
      </w:r>
      <w:r w:rsidRPr="00107040">
        <w:rPr>
          <w:rFonts w:ascii="Times New Roman" w:eastAsia="MS Mincho" w:hAnsi="Times New Roman"/>
          <w:sz w:val="28"/>
          <w:szCs w:val="28"/>
          <w:lang w:val="en-US" w:eastAsia="fr-FR"/>
        </w:rPr>
        <w:t>-</w:t>
      </w:r>
      <w:r w:rsidRPr="00107040">
        <w:rPr>
          <w:rFonts w:ascii="Times New Roman" w:eastAsia="MS Mincho" w:hAnsi="Times New Roman"/>
          <w:sz w:val="28"/>
          <w:szCs w:val="28"/>
          <w:lang w:val="ru-RU" w:eastAsia="fr-FR"/>
        </w:rPr>
        <w:t>рибоза</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полимераза</w:t>
      </w:r>
      <w:r w:rsidRPr="00107040">
        <w:rPr>
          <w:rFonts w:ascii="Times New Roman" w:eastAsia="MS Mincho" w:hAnsi="Times New Roman"/>
          <w:sz w:val="28"/>
          <w:szCs w:val="28"/>
          <w:lang w:val="en-US" w:eastAsia="fr-FR"/>
        </w:rPr>
        <w:t xml:space="preserve"> 2</w:t>
      </w:r>
    </w:p>
    <w:p w14:paraId="517A2096" w14:textId="77777777" w:rsidR="000B103D" w:rsidRPr="00107040" w:rsidRDefault="000B103D" w:rsidP="000C16BB">
      <w:pPr>
        <w:spacing w:after="0" w:line="240" w:lineRule="auto"/>
        <w:jc w:val="both"/>
        <w:rPr>
          <w:rFonts w:ascii="Times New Roman" w:eastAsia="MS Mincho" w:hAnsi="Times New Roman"/>
          <w:sz w:val="28"/>
          <w:szCs w:val="28"/>
          <w:lang w:val="en-US" w:eastAsia="fr-FR"/>
        </w:rPr>
      </w:pPr>
      <w:r w:rsidRPr="00107040">
        <w:rPr>
          <w:rFonts w:ascii="Times New Roman" w:eastAsia="MS Mincho" w:hAnsi="Times New Roman"/>
          <w:sz w:val="28"/>
          <w:szCs w:val="28"/>
          <w:lang w:val="en-US" w:eastAsia="fr-FR"/>
        </w:rPr>
        <w:t>AtPARP3 – (</w:t>
      </w:r>
      <w:r w:rsidRPr="00107040">
        <w:rPr>
          <w:rFonts w:ascii="Times New Roman" w:eastAsia="MS Mincho" w:hAnsi="Times New Roman"/>
          <w:i/>
          <w:sz w:val="28"/>
          <w:szCs w:val="28"/>
          <w:lang w:val="en-US" w:eastAsia="fr-FR"/>
        </w:rPr>
        <w:t>Arabidopsis thaliana</w:t>
      </w:r>
      <w:r w:rsidRPr="00107040">
        <w:rPr>
          <w:rFonts w:ascii="Times New Roman" w:eastAsia="MS Mincho" w:hAnsi="Times New Roman"/>
          <w:sz w:val="28"/>
          <w:szCs w:val="28"/>
          <w:lang w:val="en-US" w:eastAsia="fr-FR"/>
        </w:rPr>
        <w:t xml:space="preserve"> Poly (ADP-Ribose) Polymerase 3) </w:t>
      </w:r>
      <w:r w:rsidRPr="00107040">
        <w:rPr>
          <w:rFonts w:ascii="Times New Roman" w:eastAsia="MS Mincho" w:hAnsi="Times New Roman"/>
          <w:i/>
          <w:sz w:val="28"/>
          <w:szCs w:val="28"/>
          <w:lang w:val="en-US" w:eastAsia="fr-FR"/>
        </w:rPr>
        <w:t>Arabidopsis thaliana</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Поли</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АДФ</w:t>
      </w:r>
      <w:r w:rsidRPr="00107040">
        <w:rPr>
          <w:rFonts w:ascii="Times New Roman" w:eastAsia="MS Mincho" w:hAnsi="Times New Roman"/>
          <w:sz w:val="28"/>
          <w:szCs w:val="28"/>
          <w:lang w:val="en-US" w:eastAsia="fr-FR"/>
        </w:rPr>
        <w:t>-</w:t>
      </w:r>
      <w:r w:rsidRPr="00107040">
        <w:rPr>
          <w:rFonts w:ascii="Times New Roman" w:eastAsia="MS Mincho" w:hAnsi="Times New Roman"/>
          <w:sz w:val="28"/>
          <w:szCs w:val="28"/>
          <w:lang w:val="ru-RU" w:eastAsia="fr-FR"/>
        </w:rPr>
        <w:t>рибоза</w:t>
      </w:r>
      <w:r w:rsidRPr="00107040">
        <w:rPr>
          <w:rFonts w:ascii="Times New Roman" w:eastAsia="MS Mincho" w:hAnsi="Times New Roman"/>
          <w:sz w:val="28"/>
          <w:szCs w:val="28"/>
          <w:lang w:val="en-US" w:eastAsia="fr-FR"/>
        </w:rPr>
        <w:t xml:space="preserve">) </w:t>
      </w:r>
      <w:r w:rsidRPr="00107040">
        <w:rPr>
          <w:rFonts w:ascii="Times New Roman" w:eastAsia="MS Mincho" w:hAnsi="Times New Roman"/>
          <w:sz w:val="28"/>
          <w:szCs w:val="28"/>
          <w:lang w:val="ru-RU" w:eastAsia="fr-FR"/>
        </w:rPr>
        <w:t>полимераза</w:t>
      </w:r>
      <w:r w:rsidRPr="00107040">
        <w:rPr>
          <w:rFonts w:ascii="Times New Roman" w:eastAsia="MS Mincho" w:hAnsi="Times New Roman"/>
          <w:sz w:val="28"/>
          <w:szCs w:val="28"/>
          <w:lang w:val="en-US" w:eastAsia="fr-FR"/>
        </w:rPr>
        <w:t xml:space="preserve"> 3</w:t>
      </w:r>
    </w:p>
    <w:p w14:paraId="5540FD3F"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BER</w:t>
      </w:r>
      <w:r w:rsidRPr="00107040">
        <w:rPr>
          <w:rFonts w:ascii="Times New Roman" w:eastAsia="MS Mincho" w:hAnsi="Times New Roman"/>
          <w:sz w:val="28"/>
          <w:szCs w:val="28"/>
          <w:lang w:val="ru-RU" w:eastAsia="fr-FR"/>
        </w:rPr>
        <w:t xml:space="preserve"> – (</w:t>
      </w:r>
      <w:r w:rsidRPr="00107040">
        <w:rPr>
          <w:rFonts w:ascii="Times New Roman" w:eastAsia="MS Mincho" w:hAnsi="Times New Roman"/>
          <w:sz w:val="28"/>
          <w:szCs w:val="28"/>
          <w:lang w:val="en-US" w:eastAsia="fr-FR"/>
        </w:rPr>
        <w:t>Base</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excision</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repair</w:t>
      </w:r>
      <w:r w:rsidRPr="00107040">
        <w:rPr>
          <w:rFonts w:ascii="Times New Roman" w:eastAsia="MS Mincho" w:hAnsi="Times New Roman"/>
          <w:sz w:val="28"/>
          <w:szCs w:val="28"/>
          <w:lang w:val="ru-RU" w:eastAsia="fr-FR"/>
        </w:rPr>
        <w:t>) Эксцизионная репарация оснований</w:t>
      </w:r>
    </w:p>
    <w:p w14:paraId="39404329"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BSA</w:t>
      </w:r>
      <w:r w:rsidRPr="00107040">
        <w:rPr>
          <w:rFonts w:ascii="Times New Roman" w:eastAsia="MS Mincho" w:hAnsi="Times New Roman"/>
          <w:sz w:val="28"/>
          <w:szCs w:val="28"/>
          <w:lang w:val="ru-RU" w:eastAsia="fr-FR"/>
        </w:rPr>
        <w:t xml:space="preserve"> – (</w:t>
      </w:r>
      <w:r w:rsidRPr="00107040">
        <w:rPr>
          <w:rFonts w:ascii="Times New Roman" w:eastAsia="MS Mincho" w:hAnsi="Times New Roman"/>
          <w:sz w:val="28"/>
          <w:szCs w:val="28"/>
          <w:lang w:val="en-US" w:eastAsia="fr-FR"/>
        </w:rPr>
        <w:t>Bovine</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serum</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albumin</w:t>
      </w:r>
      <w:r w:rsidRPr="00107040">
        <w:rPr>
          <w:rFonts w:ascii="Times New Roman" w:eastAsia="MS Mincho" w:hAnsi="Times New Roman"/>
          <w:sz w:val="28"/>
          <w:szCs w:val="28"/>
          <w:lang w:val="ru-RU" w:eastAsia="fr-FR"/>
        </w:rPr>
        <w:t>) Альбумин бычьей сыворотки</w:t>
      </w:r>
    </w:p>
    <w:p w14:paraId="715D5D99"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BRCA</w:t>
      </w:r>
      <w:r w:rsidRPr="00107040">
        <w:rPr>
          <w:rFonts w:ascii="Times New Roman" w:eastAsia="MS Mincho" w:hAnsi="Times New Roman"/>
          <w:sz w:val="28"/>
          <w:szCs w:val="28"/>
          <w:lang w:val="ru-RU" w:eastAsia="fr-FR"/>
        </w:rPr>
        <w:t>1/2 – (</w:t>
      </w:r>
      <w:r w:rsidRPr="00107040">
        <w:rPr>
          <w:rFonts w:ascii="Times New Roman" w:eastAsia="MS Mincho" w:hAnsi="Times New Roman"/>
          <w:sz w:val="28"/>
          <w:szCs w:val="28"/>
          <w:lang w:val="en-US" w:eastAsia="fr-FR"/>
        </w:rPr>
        <w:t>BReast</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CAncer</w:t>
      </w:r>
      <w:r w:rsidRPr="00107040">
        <w:rPr>
          <w:rFonts w:ascii="Times New Roman" w:eastAsia="MS Mincho" w:hAnsi="Times New Roman"/>
          <w:sz w:val="28"/>
          <w:szCs w:val="28"/>
          <w:lang w:val="ru-RU" w:eastAsia="fr-FR"/>
        </w:rPr>
        <w:t xml:space="preserve"> 1/2) Ген рака молочной железы 1/2</w:t>
      </w:r>
    </w:p>
    <w:p w14:paraId="25DCB164"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C</w:t>
      </w:r>
      <w:r w:rsidRPr="00107040">
        <w:rPr>
          <w:rFonts w:ascii="Times New Roman" w:eastAsia="MS Mincho" w:hAnsi="Times New Roman"/>
          <w:sz w:val="28"/>
          <w:szCs w:val="28"/>
          <w:lang w:val="ru-RU" w:eastAsia="fr-FR"/>
        </w:rPr>
        <w:t xml:space="preserve"> – (</w:t>
      </w:r>
      <w:r w:rsidRPr="00107040">
        <w:rPr>
          <w:rFonts w:ascii="Times New Roman" w:eastAsia="MS Mincho" w:hAnsi="Times New Roman"/>
          <w:sz w:val="28"/>
          <w:szCs w:val="28"/>
          <w:lang w:val="en-US" w:eastAsia="fr-FR"/>
        </w:rPr>
        <w:t>Carbon</w:t>
      </w:r>
      <w:r w:rsidRPr="00107040">
        <w:rPr>
          <w:rFonts w:ascii="Times New Roman" w:eastAsia="MS Mincho" w:hAnsi="Times New Roman"/>
          <w:sz w:val="28"/>
          <w:szCs w:val="28"/>
          <w:lang w:val="ru-RU" w:eastAsia="fr-FR"/>
        </w:rPr>
        <w:t>) Углерод</w:t>
      </w:r>
    </w:p>
    <w:p w14:paraId="1E8E1815" w14:textId="77777777" w:rsidR="000B103D" w:rsidRPr="00107040" w:rsidRDefault="000B103D" w:rsidP="000C16BB">
      <w:pPr>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en-US" w:eastAsia="fr-FR"/>
        </w:rPr>
        <w:t>CIP</w:t>
      </w:r>
      <w:r w:rsidRPr="00107040">
        <w:rPr>
          <w:rFonts w:ascii="Times New Roman" w:eastAsia="MS Mincho" w:hAnsi="Times New Roman"/>
          <w:sz w:val="28"/>
          <w:szCs w:val="28"/>
          <w:lang w:val="ru-RU" w:eastAsia="fr-FR"/>
        </w:rPr>
        <w:t xml:space="preserve"> – (</w:t>
      </w:r>
      <w:r w:rsidRPr="00107040">
        <w:rPr>
          <w:rFonts w:ascii="Times New Roman" w:eastAsia="MS Mincho" w:hAnsi="Times New Roman"/>
          <w:sz w:val="28"/>
          <w:szCs w:val="28"/>
          <w:lang w:val="en-US" w:eastAsia="fr-FR"/>
        </w:rPr>
        <w:t>Calf</w:t>
      </w:r>
      <w:r w:rsidRPr="00107040">
        <w:rPr>
          <w:rFonts w:ascii="Times New Roman" w:eastAsia="MS Mincho" w:hAnsi="Times New Roman"/>
          <w:sz w:val="28"/>
          <w:szCs w:val="28"/>
          <w:lang w:val="ru-RU" w:eastAsia="fr-FR"/>
        </w:rPr>
        <w:t>-</w:t>
      </w:r>
      <w:r w:rsidRPr="00107040">
        <w:rPr>
          <w:rFonts w:ascii="Times New Roman" w:eastAsia="MS Mincho" w:hAnsi="Times New Roman"/>
          <w:sz w:val="28"/>
          <w:szCs w:val="28"/>
          <w:lang w:val="en-US" w:eastAsia="fr-FR"/>
        </w:rPr>
        <w:t>intestinal</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alkaline</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phosphatase</w:t>
      </w:r>
      <w:r w:rsidRPr="00107040">
        <w:rPr>
          <w:rFonts w:ascii="Times New Roman" w:eastAsia="MS Mincho" w:hAnsi="Times New Roman"/>
          <w:sz w:val="28"/>
          <w:szCs w:val="28"/>
          <w:lang w:val="ru-RU" w:eastAsia="fr-FR"/>
        </w:rPr>
        <w:t>) Щелочная фосфатаза кишечника телят</w:t>
      </w:r>
    </w:p>
    <w:p w14:paraId="4C3E8D6F"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Cys</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Cysteine</w:t>
      </w:r>
      <w:r w:rsidRPr="00107040">
        <w:rPr>
          <w:rFonts w:ascii="Times New Roman" w:eastAsia="ArialMT" w:hAnsi="Times New Roman"/>
          <w:sz w:val="28"/>
          <w:szCs w:val="28"/>
          <w:lang w:val="ru-RU"/>
        </w:rPr>
        <w:t>) Цистеин</w:t>
      </w:r>
    </w:p>
    <w:p w14:paraId="16C4B0D2"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Da</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Dalton</w:t>
      </w:r>
      <w:r w:rsidRPr="00107040">
        <w:rPr>
          <w:rFonts w:ascii="Times New Roman" w:eastAsia="ArialMT" w:hAnsi="Times New Roman"/>
          <w:sz w:val="28"/>
          <w:szCs w:val="28"/>
          <w:lang w:val="ru-RU"/>
        </w:rPr>
        <w:t>) Далтон</w:t>
      </w:r>
    </w:p>
    <w:p w14:paraId="12C0256F"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DarG</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DNA</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ADP</w:t>
      </w:r>
      <w:r w:rsidRPr="00107040">
        <w:rPr>
          <w:rFonts w:ascii="Times New Roman" w:eastAsia="ArialMT" w:hAnsi="Times New Roman"/>
          <w:sz w:val="28"/>
          <w:szCs w:val="28"/>
          <w:lang w:val="ru-RU"/>
        </w:rPr>
        <w:t>-</w:t>
      </w:r>
      <w:r w:rsidRPr="00107040">
        <w:rPr>
          <w:rFonts w:ascii="Times New Roman" w:eastAsia="ArialMT" w:hAnsi="Times New Roman"/>
          <w:sz w:val="28"/>
          <w:szCs w:val="28"/>
          <w:lang w:val="en-US"/>
        </w:rPr>
        <w:t>ribose</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glycohydrolase</w:t>
      </w:r>
      <w:r w:rsidRPr="00107040">
        <w:rPr>
          <w:rFonts w:ascii="Times New Roman" w:eastAsia="ArialMT" w:hAnsi="Times New Roman"/>
          <w:sz w:val="28"/>
          <w:szCs w:val="28"/>
          <w:lang w:val="ru-RU"/>
        </w:rPr>
        <w:t>) ДНК АДФ-рибозилгликогидролаза</w:t>
      </w:r>
    </w:p>
    <w:p w14:paraId="7068CF30"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DarT</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DNA</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ADP</w:t>
      </w:r>
      <w:r w:rsidRPr="00107040">
        <w:rPr>
          <w:rFonts w:ascii="Times New Roman" w:eastAsia="ArialMT" w:hAnsi="Times New Roman"/>
          <w:sz w:val="28"/>
          <w:szCs w:val="28"/>
          <w:lang w:val="ru-RU"/>
        </w:rPr>
        <w:t>-</w:t>
      </w:r>
      <w:r w:rsidRPr="00107040">
        <w:rPr>
          <w:rFonts w:ascii="Times New Roman" w:eastAsia="ArialMT" w:hAnsi="Times New Roman"/>
          <w:sz w:val="28"/>
          <w:szCs w:val="28"/>
          <w:lang w:val="en-US"/>
        </w:rPr>
        <w:t>ribosyltransferase</w:t>
      </w:r>
      <w:r w:rsidRPr="00107040">
        <w:rPr>
          <w:rFonts w:ascii="Times New Roman" w:eastAsia="ArialMT" w:hAnsi="Times New Roman"/>
          <w:sz w:val="28"/>
          <w:szCs w:val="28"/>
          <w:lang w:val="ru-RU"/>
        </w:rPr>
        <w:t>) ДНК АДФ-рибозилтрансфераза</w:t>
      </w:r>
    </w:p>
    <w:p w14:paraId="7FE169A8"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DBB</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DNA</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damage</w:t>
      </w:r>
      <w:r w:rsidRPr="00107040">
        <w:rPr>
          <w:rFonts w:ascii="Times New Roman" w:eastAsia="ArialMT" w:hAnsi="Times New Roman"/>
          <w:sz w:val="28"/>
          <w:szCs w:val="28"/>
          <w:lang w:val="ru-RU"/>
        </w:rPr>
        <w:t>-</w:t>
      </w:r>
      <w:r w:rsidRPr="00107040">
        <w:rPr>
          <w:rFonts w:ascii="Times New Roman" w:eastAsia="ArialMT" w:hAnsi="Times New Roman"/>
          <w:sz w:val="28"/>
          <w:szCs w:val="28"/>
          <w:lang w:val="en-US"/>
        </w:rPr>
        <w:t>binding</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protein</w:t>
      </w:r>
      <w:r w:rsidRPr="00107040">
        <w:rPr>
          <w:rFonts w:ascii="Times New Roman" w:eastAsia="ArialMT" w:hAnsi="Times New Roman"/>
          <w:sz w:val="28"/>
          <w:szCs w:val="28"/>
          <w:lang w:val="ru-RU"/>
        </w:rPr>
        <w:t>) Белок, связывающий повреждение ДНК</w:t>
      </w:r>
    </w:p>
    <w:p w14:paraId="059F50BD"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DDR</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DNA</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damage</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response</w:t>
      </w:r>
      <w:r w:rsidRPr="00107040">
        <w:rPr>
          <w:rFonts w:ascii="Times New Roman" w:eastAsia="ArialMT" w:hAnsi="Times New Roman"/>
          <w:sz w:val="28"/>
          <w:szCs w:val="28"/>
          <w:lang w:val="ru-RU"/>
        </w:rPr>
        <w:t>) Ответ на повреждение ДНК</w:t>
      </w:r>
    </w:p>
    <w:p w14:paraId="4BE91C21"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kk-KZ"/>
        </w:rPr>
        <w:t>Д</w:t>
      </w:r>
      <w:r w:rsidRPr="00107040">
        <w:rPr>
          <w:rFonts w:ascii="Times New Roman" w:eastAsia="ArialMT" w:hAnsi="Times New Roman"/>
          <w:sz w:val="28"/>
          <w:szCs w:val="28"/>
          <w:lang w:val="ru-RU"/>
        </w:rPr>
        <w:t xml:space="preserve">НК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Дезоксирибонуклеиновая кислота</w:t>
      </w:r>
    </w:p>
    <w:p w14:paraId="48E9040A"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DNA</w:t>
      </w:r>
      <w:r w:rsidRPr="00107040">
        <w:rPr>
          <w:rFonts w:ascii="Times New Roman" w:eastAsia="ArialMT" w:hAnsi="Times New Roman"/>
          <w:sz w:val="28"/>
          <w:szCs w:val="28"/>
          <w:lang w:val="ru-RU"/>
        </w:rPr>
        <w:t>-</w:t>
      </w:r>
      <w:r w:rsidRPr="00107040">
        <w:rPr>
          <w:rFonts w:ascii="Times New Roman" w:eastAsia="ArialMT" w:hAnsi="Times New Roman"/>
          <w:sz w:val="28"/>
          <w:szCs w:val="28"/>
          <w:lang w:val="en-US"/>
        </w:rPr>
        <w:t>PKcs</w:t>
      </w:r>
      <w:r w:rsidRPr="00107040">
        <w:rPr>
          <w:rFonts w:ascii="Times New Roman" w:eastAsia="ArialMT" w:hAnsi="Times New Roman"/>
          <w:sz w:val="28"/>
          <w:szCs w:val="28"/>
          <w:lang w:val="ru-RU"/>
        </w:rPr>
        <w:t xml:space="preserve"> – (</w:t>
      </w:r>
      <w:r w:rsidRPr="00107040">
        <w:rPr>
          <w:rFonts w:ascii="Times New Roman" w:eastAsia="ArialMT" w:hAnsi="Times New Roman"/>
          <w:sz w:val="28"/>
          <w:szCs w:val="28"/>
          <w:lang w:val="en-US"/>
        </w:rPr>
        <w:t>DNA</w:t>
      </w:r>
      <w:r w:rsidRPr="00107040">
        <w:rPr>
          <w:rFonts w:ascii="Times New Roman" w:eastAsia="ArialMT" w:hAnsi="Times New Roman"/>
          <w:sz w:val="28"/>
          <w:szCs w:val="28"/>
          <w:lang w:val="ru-RU"/>
        </w:rPr>
        <w:t>-</w:t>
      </w:r>
      <w:r w:rsidRPr="00107040">
        <w:rPr>
          <w:rFonts w:ascii="Times New Roman" w:eastAsia="ArialMT" w:hAnsi="Times New Roman"/>
          <w:sz w:val="28"/>
          <w:szCs w:val="28"/>
          <w:lang w:val="en-US"/>
        </w:rPr>
        <w:t>dependent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protein</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kinase</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catalytic</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subunit</w:t>
      </w:r>
      <w:r w:rsidRPr="00107040">
        <w:rPr>
          <w:rFonts w:ascii="Times New Roman" w:eastAsia="ArialMT" w:hAnsi="Times New Roman"/>
          <w:sz w:val="28"/>
          <w:szCs w:val="28"/>
          <w:lang w:val="ru-RU"/>
        </w:rPr>
        <w:t>) ДНК-зависимая протеинкиназа, каталитическая субъединица</w:t>
      </w:r>
    </w:p>
    <w:p w14:paraId="2E4CDC9C"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POL</w:t>
      </w:r>
      <w:r w:rsidRPr="00107040">
        <w:rPr>
          <w:rFonts w:ascii="Times New Roman" w:eastAsia="ArialMT" w:hAnsi="Times New Roman"/>
          <w:sz w:val="28"/>
          <w:szCs w:val="28"/>
          <w:lang w:val="ru-RU"/>
        </w:rPr>
        <w:t xml:space="preserve"> β – (</w:t>
      </w:r>
      <w:r w:rsidRPr="00107040">
        <w:rPr>
          <w:rFonts w:ascii="Times New Roman" w:eastAsia="ArialMT" w:hAnsi="Times New Roman"/>
          <w:sz w:val="28"/>
          <w:szCs w:val="28"/>
          <w:lang w:val="en-US"/>
        </w:rPr>
        <w:t>DNA</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polymerase</w:t>
      </w:r>
      <w:r w:rsidRPr="00107040">
        <w:rPr>
          <w:rFonts w:ascii="Times New Roman" w:eastAsia="ArialMT" w:hAnsi="Times New Roman"/>
          <w:sz w:val="28"/>
          <w:szCs w:val="28"/>
          <w:lang w:val="ru-RU"/>
        </w:rPr>
        <w:t xml:space="preserve"> β) ДНК </w:t>
      </w:r>
      <w:r w:rsidRPr="00107040">
        <w:rPr>
          <w:rFonts w:ascii="Times New Roman" w:eastAsia="ArialMT" w:hAnsi="Times New Roman"/>
          <w:sz w:val="28"/>
          <w:szCs w:val="28"/>
          <w:lang w:val="kk-KZ"/>
        </w:rPr>
        <w:t xml:space="preserve">полимераза </w:t>
      </w:r>
      <w:r w:rsidRPr="00107040">
        <w:rPr>
          <w:rFonts w:ascii="Times New Roman" w:eastAsia="ArialMT" w:hAnsi="Times New Roman"/>
          <w:sz w:val="28"/>
          <w:szCs w:val="28"/>
          <w:lang w:val="ru-RU"/>
        </w:rPr>
        <w:t>β</w:t>
      </w:r>
    </w:p>
    <w:p w14:paraId="55B81281"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dRP</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Deoxyribose</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phosphate</w:t>
      </w:r>
      <w:r w:rsidRPr="00107040">
        <w:rPr>
          <w:rFonts w:ascii="Times New Roman" w:eastAsia="ArialMT" w:hAnsi="Times New Roman"/>
          <w:sz w:val="28"/>
          <w:szCs w:val="28"/>
          <w:lang w:val="ru-RU"/>
        </w:rPr>
        <w:t>) Дезоксирибозофосфат</w:t>
      </w:r>
    </w:p>
    <w:p w14:paraId="11AAC3CB"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DSB</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 (</w:t>
      </w:r>
      <w:r w:rsidRPr="00107040">
        <w:rPr>
          <w:rFonts w:ascii="Times New Roman" w:eastAsia="MS Mincho" w:hAnsi="Times New Roman"/>
          <w:sz w:val="28"/>
          <w:szCs w:val="28"/>
          <w:lang w:val="en-US" w:eastAsia="fr-FR"/>
        </w:rPr>
        <w:t>Double</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stranded</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break</w:t>
      </w:r>
      <w:r w:rsidRPr="00107040">
        <w:rPr>
          <w:rFonts w:ascii="Times New Roman" w:eastAsia="MS Mincho" w:hAnsi="Times New Roman"/>
          <w:sz w:val="28"/>
          <w:szCs w:val="28"/>
          <w:lang w:val="ru-RU" w:eastAsia="fr-FR"/>
        </w:rPr>
        <w:t xml:space="preserve">) </w:t>
      </w:r>
      <w:r w:rsidRPr="00107040">
        <w:rPr>
          <w:rFonts w:ascii="Times New Roman" w:eastAsia="ArialMT" w:hAnsi="Times New Roman"/>
          <w:sz w:val="28"/>
          <w:szCs w:val="28"/>
          <w:lang w:val="ru-RU"/>
        </w:rPr>
        <w:t>Двойной разрыв цепи</w:t>
      </w:r>
    </w:p>
    <w:p w14:paraId="5F260FEC"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ru-RU"/>
        </w:rPr>
        <w:t xml:space="preserve">дцДНК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Двухцепочечная дезоксирибонуклеиновая кислота</w:t>
      </w:r>
    </w:p>
    <w:p w14:paraId="523DAE05"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lastRenderedPageBreak/>
        <w:t>DTT</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 (</w:t>
      </w:r>
      <w:r w:rsidRPr="00107040">
        <w:rPr>
          <w:rFonts w:ascii="Times New Roman" w:eastAsia="MS Mincho" w:hAnsi="Times New Roman"/>
          <w:sz w:val="28"/>
          <w:szCs w:val="28"/>
          <w:lang w:val="en-US" w:eastAsia="fr-FR"/>
        </w:rPr>
        <w:t>Dithiothreitol</w:t>
      </w:r>
      <w:r w:rsidRPr="00107040">
        <w:rPr>
          <w:rFonts w:ascii="Times New Roman" w:eastAsia="MS Mincho" w:hAnsi="Times New Roman"/>
          <w:sz w:val="28"/>
          <w:szCs w:val="28"/>
          <w:lang w:val="ru-RU" w:eastAsia="fr-FR"/>
        </w:rPr>
        <w:t xml:space="preserve">) </w:t>
      </w:r>
      <w:r w:rsidRPr="00107040">
        <w:rPr>
          <w:rFonts w:ascii="Times New Roman" w:eastAsia="ArialMT" w:hAnsi="Times New Roman"/>
          <w:sz w:val="28"/>
          <w:szCs w:val="28"/>
          <w:lang w:val="ru-RU"/>
        </w:rPr>
        <w:t>Дитиотреитол</w:t>
      </w:r>
    </w:p>
    <w:p w14:paraId="2349D521"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FEN-1 </w:t>
      </w:r>
      <w:r w:rsidRPr="00107040">
        <w:rPr>
          <w:rFonts w:ascii="Times New Roman" w:eastAsia="MS Mincho" w:hAnsi="Times New Roman"/>
          <w:sz w:val="28"/>
          <w:szCs w:val="28"/>
          <w:lang w:val="en-US" w:eastAsia="fr-FR"/>
        </w:rPr>
        <w:t xml:space="preserve">– (Flap endonuclease 1) </w:t>
      </w:r>
      <w:r w:rsidRPr="00107040">
        <w:rPr>
          <w:rFonts w:ascii="Times New Roman" w:eastAsia="MS Mincho" w:hAnsi="Times New Roman"/>
          <w:sz w:val="28"/>
          <w:szCs w:val="28"/>
          <w:lang w:val="ru-RU" w:eastAsia="fr-FR"/>
        </w:rPr>
        <w:t>Флэп</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эндонуклеаза</w:t>
      </w:r>
      <w:r w:rsidRPr="00107040">
        <w:rPr>
          <w:rFonts w:ascii="Times New Roman" w:eastAsia="ArialMT" w:hAnsi="Times New Roman"/>
          <w:sz w:val="28"/>
          <w:szCs w:val="28"/>
          <w:lang w:val="en-US"/>
        </w:rPr>
        <w:t xml:space="preserve"> 1</w:t>
      </w:r>
    </w:p>
    <w:p w14:paraId="62820843"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kk-KZ"/>
        </w:rPr>
      </w:pPr>
      <w:r w:rsidRPr="00107040">
        <w:rPr>
          <w:rFonts w:ascii="Times New Roman" w:eastAsia="ArialMT" w:hAnsi="Times New Roman"/>
          <w:sz w:val="28"/>
          <w:szCs w:val="28"/>
          <w:lang w:val="en-US"/>
        </w:rPr>
        <w:t xml:space="preserve">Glu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(Glutamic acid) </w:t>
      </w:r>
      <w:r w:rsidRPr="00107040">
        <w:rPr>
          <w:rFonts w:ascii="Times New Roman" w:eastAsia="ArialMT" w:hAnsi="Times New Roman"/>
          <w:sz w:val="28"/>
          <w:szCs w:val="28"/>
          <w:lang w:val="ru-RU"/>
        </w:rPr>
        <w:t>Глютаминовая</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кислота</w:t>
      </w:r>
    </w:p>
    <w:p w14:paraId="3183D1CD"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H</w:t>
      </w:r>
      <w:r w:rsidRPr="00107040">
        <w:rPr>
          <w:rFonts w:ascii="Times New Roman" w:eastAsia="ArialMT" w:hAnsi="Times New Roman"/>
          <w:sz w:val="28"/>
          <w:szCs w:val="28"/>
          <w:vertAlign w:val="subscript"/>
          <w:lang w:val="en-US"/>
        </w:rPr>
        <w:t>2</w:t>
      </w:r>
      <w:r w:rsidRPr="00107040">
        <w:rPr>
          <w:rFonts w:ascii="Times New Roman" w:eastAsia="ArialMT" w:hAnsi="Times New Roman"/>
          <w:sz w:val="28"/>
          <w:szCs w:val="28"/>
          <w:lang w:val="en-US"/>
        </w:rPr>
        <w:t>O</w:t>
      </w:r>
      <w:r w:rsidRPr="00107040">
        <w:rPr>
          <w:rFonts w:ascii="Times New Roman" w:eastAsia="ArialMT" w:hAnsi="Times New Roman"/>
          <w:sz w:val="28"/>
          <w:szCs w:val="28"/>
          <w:vertAlign w:val="subscript"/>
          <w:lang w:val="en-US"/>
        </w:rPr>
        <w:t>2</w:t>
      </w:r>
      <w:r w:rsidRPr="00107040">
        <w:rPr>
          <w:rFonts w:ascii="Times New Roman" w:eastAsia="ArialMT" w:hAnsi="Times New Roman"/>
          <w:sz w:val="28"/>
          <w:szCs w:val="28"/>
          <w:lang w:val="en-US"/>
        </w:rPr>
        <w:t xml:space="preserve">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Пероксид</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водорода</w:t>
      </w:r>
    </w:p>
    <w:p w14:paraId="291468AF"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His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(Histidine) </w:t>
      </w:r>
      <w:r w:rsidRPr="00107040">
        <w:rPr>
          <w:rFonts w:ascii="Times New Roman" w:eastAsia="ArialMT" w:hAnsi="Times New Roman"/>
          <w:sz w:val="28"/>
          <w:szCs w:val="28"/>
          <w:lang w:val="ru-RU"/>
        </w:rPr>
        <w:t>Гистидин</w:t>
      </w:r>
    </w:p>
    <w:p w14:paraId="0F00D8CB"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HR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(Homologous Recombination) </w:t>
      </w:r>
      <w:r w:rsidRPr="00107040">
        <w:rPr>
          <w:rFonts w:ascii="Times New Roman" w:eastAsia="ArialMT" w:hAnsi="Times New Roman"/>
          <w:sz w:val="28"/>
          <w:szCs w:val="28"/>
          <w:lang w:val="ru-RU"/>
        </w:rPr>
        <w:t>Гомологическая</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рекомбинация</w:t>
      </w:r>
    </w:p>
    <w:p w14:paraId="2E89A7B5" w14:textId="77777777" w:rsidR="000B103D" w:rsidRPr="00107040" w:rsidRDefault="000B103D" w:rsidP="000C16BB">
      <w:pPr>
        <w:autoSpaceDE w:val="0"/>
        <w:autoSpaceDN w:val="0"/>
        <w:adjustRightInd w:val="0"/>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 xml:space="preserve">HMW – (High molecular weight) </w:t>
      </w:r>
      <w:r w:rsidRPr="00107040">
        <w:rPr>
          <w:rFonts w:ascii="Times New Roman" w:eastAsia="MS Mincho" w:hAnsi="Times New Roman"/>
          <w:sz w:val="28"/>
          <w:szCs w:val="28"/>
          <w:lang w:val="ru-RU" w:eastAsia="ja-JP"/>
        </w:rPr>
        <w:t>высоко</w:t>
      </w:r>
      <w:r w:rsidRPr="00107040">
        <w:rPr>
          <w:rFonts w:ascii="Times New Roman" w:eastAsia="MS Mincho" w:hAnsi="Times New Roman"/>
          <w:sz w:val="28"/>
          <w:szCs w:val="28"/>
          <w:lang w:val="en-US" w:eastAsia="ja-JP"/>
        </w:rPr>
        <w:t xml:space="preserve"> </w:t>
      </w:r>
      <w:r w:rsidRPr="00107040">
        <w:rPr>
          <w:rFonts w:ascii="Times New Roman" w:eastAsia="MS Mincho" w:hAnsi="Times New Roman"/>
          <w:sz w:val="28"/>
          <w:szCs w:val="28"/>
          <w:lang w:val="ru-RU" w:eastAsia="ja-JP"/>
        </w:rPr>
        <w:t>молекулярная</w:t>
      </w:r>
      <w:r w:rsidRPr="00107040">
        <w:rPr>
          <w:rFonts w:ascii="Times New Roman" w:eastAsia="MS Mincho" w:hAnsi="Times New Roman"/>
          <w:sz w:val="28"/>
          <w:szCs w:val="28"/>
          <w:lang w:val="en-US" w:eastAsia="ja-JP"/>
        </w:rPr>
        <w:t xml:space="preserve"> </w:t>
      </w:r>
      <w:r w:rsidRPr="00107040">
        <w:rPr>
          <w:rFonts w:ascii="Times New Roman" w:eastAsia="MS Mincho" w:hAnsi="Times New Roman"/>
          <w:sz w:val="28"/>
          <w:szCs w:val="28"/>
          <w:lang w:val="ru-RU" w:eastAsia="ja-JP"/>
        </w:rPr>
        <w:t>масса</w:t>
      </w:r>
    </w:p>
    <w:p w14:paraId="11968B3B" w14:textId="29BCD234" w:rsidR="000C16BB" w:rsidRPr="00107040" w:rsidRDefault="000C16BB"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MS Mincho" w:hAnsi="Times New Roman"/>
          <w:sz w:val="28"/>
          <w:szCs w:val="28"/>
          <w:lang w:val="en-US" w:eastAsia="ja-JP"/>
        </w:rPr>
        <w:t xml:space="preserve">ICL – (Interstrand crosslinks) </w:t>
      </w:r>
      <w:r w:rsidR="004F7934" w:rsidRPr="00107040">
        <w:rPr>
          <w:rFonts w:ascii="Times New Roman" w:eastAsia="MS Mincho" w:hAnsi="Times New Roman"/>
          <w:sz w:val="28"/>
          <w:szCs w:val="28"/>
          <w:lang w:val="ru-RU" w:eastAsia="ja-JP"/>
        </w:rPr>
        <w:t>межцепочечные</w:t>
      </w:r>
      <w:r w:rsidR="004F7934" w:rsidRPr="00107040">
        <w:rPr>
          <w:rFonts w:ascii="Times New Roman" w:eastAsia="MS Mincho" w:hAnsi="Times New Roman"/>
          <w:sz w:val="28"/>
          <w:szCs w:val="28"/>
          <w:lang w:val="en-US" w:eastAsia="ja-JP"/>
        </w:rPr>
        <w:t xml:space="preserve"> </w:t>
      </w:r>
      <w:r w:rsidR="004F7934" w:rsidRPr="00107040">
        <w:rPr>
          <w:rFonts w:ascii="Times New Roman" w:eastAsia="MS Mincho" w:hAnsi="Times New Roman"/>
          <w:sz w:val="28"/>
          <w:szCs w:val="28"/>
          <w:lang w:val="ru-RU" w:eastAsia="ja-JP"/>
        </w:rPr>
        <w:t>поперечны</w:t>
      </w:r>
      <w:r w:rsidR="004F7934" w:rsidRPr="00107040">
        <w:rPr>
          <w:rFonts w:ascii="Times New Roman" w:eastAsia="MS Mincho" w:hAnsi="Times New Roman"/>
          <w:sz w:val="28"/>
          <w:szCs w:val="28"/>
          <w:lang w:val="kk-KZ" w:eastAsia="ja-JP"/>
        </w:rPr>
        <w:t>е</w:t>
      </w:r>
      <w:r w:rsidR="004F7934" w:rsidRPr="00107040">
        <w:rPr>
          <w:rFonts w:ascii="Times New Roman" w:eastAsia="MS Mincho" w:hAnsi="Times New Roman"/>
          <w:sz w:val="28"/>
          <w:szCs w:val="28"/>
          <w:lang w:val="en-US" w:eastAsia="ja-JP"/>
        </w:rPr>
        <w:t xml:space="preserve"> </w:t>
      </w:r>
      <w:r w:rsidR="004F7934" w:rsidRPr="00107040">
        <w:rPr>
          <w:rFonts w:ascii="Times New Roman" w:eastAsia="MS Mincho" w:hAnsi="Times New Roman"/>
          <w:sz w:val="28"/>
          <w:szCs w:val="28"/>
          <w:lang w:val="ru-RU" w:eastAsia="ja-JP"/>
        </w:rPr>
        <w:t>связи</w:t>
      </w:r>
    </w:p>
    <w:p w14:paraId="71F39AED"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IPTG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(Isopropyl ß-D-1-thiogalactopyranoside) </w:t>
      </w:r>
      <w:r w:rsidRPr="00107040">
        <w:rPr>
          <w:rFonts w:ascii="Times New Roman" w:eastAsia="ArialMT" w:hAnsi="Times New Roman"/>
          <w:sz w:val="28"/>
          <w:szCs w:val="28"/>
          <w:lang w:val="ru-RU"/>
        </w:rPr>
        <w:t>Изопропил</w:t>
      </w:r>
      <w:r w:rsidRPr="00107040">
        <w:rPr>
          <w:rFonts w:ascii="Times New Roman" w:eastAsia="ArialMT" w:hAnsi="Times New Roman"/>
          <w:sz w:val="28"/>
          <w:szCs w:val="28"/>
          <w:lang w:val="en-US"/>
        </w:rPr>
        <w:t xml:space="preserve"> D-</w:t>
      </w:r>
      <w:r w:rsidRPr="00107040">
        <w:rPr>
          <w:rFonts w:ascii="Times New Roman" w:eastAsia="ArialMT" w:hAnsi="Times New Roman"/>
          <w:sz w:val="28"/>
          <w:szCs w:val="28"/>
          <w:lang w:val="ru-RU"/>
        </w:rPr>
        <w:t>галактопиранозид</w:t>
      </w:r>
    </w:p>
    <w:p w14:paraId="298B5D93" w14:textId="77777777" w:rsidR="000B103D" w:rsidRPr="00107040" w:rsidRDefault="000B103D" w:rsidP="000C16BB">
      <w:pPr>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Ku</w:t>
      </w:r>
      <w:r w:rsidRPr="00107040">
        <w:rPr>
          <w:rFonts w:ascii="Times New Roman" w:eastAsia="ArialMT" w:hAnsi="Times New Roman"/>
          <w:sz w:val="28"/>
          <w:szCs w:val="28"/>
          <w:lang w:val="ru-RU"/>
        </w:rPr>
        <w:t xml:space="preserve">70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bookmarkStart w:id="4" w:name="_Hlk101743457"/>
      <w:r w:rsidRPr="00107040">
        <w:rPr>
          <w:rFonts w:ascii="Times New Roman" w:eastAsia="ArialMT" w:hAnsi="Times New Roman"/>
          <w:sz w:val="28"/>
          <w:szCs w:val="28"/>
          <w:lang w:val="ru-RU"/>
        </w:rPr>
        <w:t xml:space="preserve">Кросс-комплементирующий белок для репарации </w:t>
      </w:r>
      <w:r w:rsidRPr="00107040">
        <w:rPr>
          <w:rFonts w:ascii="Times New Roman" w:eastAsia="ArialMT" w:hAnsi="Times New Roman"/>
          <w:sz w:val="28"/>
          <w:szCs w:val="28"/>
          <w:lang w:val="en-US"/>
        </w:rPr>
        <w:t>X</w:t>
      </w:r>
      <w:r w:rsidRPr="00107040">
        <w:rPr>
          <w:rFonts w:ascii="Times New Roman" w:eastAsia="ArialMT" w:hAnsi="Times New Roman"/>
          <w:sz w:val="28"/>
          <w:szCs w:val="28"/>
          <w:lang w:val="ru-RU"/>
        </w:rPr>
        <w:t>-</w:t>
      </w:r>
      <w:r w:rsidRPr="00107040">
        <w:rPr>
          <w:rFonts w:ascii="Times New Roman" w:eastAsia="ArialMT" w:hAnsi="Times New Roman"/>
          <w:sz w:val="28"/>
          <w:szCs w:val="28"/>
          <w:lang w:val="en-US"/>
        </w:rPr>
        <w:t>ray</w:t>
      </w:r>
      <w:r w:rsidRPr="00107040">
        <w:rPr>
          <w:rFonts w:ascii="Times New Roman" w:eastAsia="ArialMT" w:hAnsi="Times New Roman"/>
          <w:sz w:val="28"/>
          <w:szCs w:val="28"/>
          <w:lang w:val="ru-RU"/>
        </w:rPr>
        <w:t xml:space="preserve"> 6</w:t>
      </w:r>
      <w:bookmarkEnd w:id="4"/>
    </w:p>
    <w:p w14:paraId="6291A465"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Ku</w:t>
      </w:r>
      <w:r w:rsidRPr="00107040">
        <w:rPr>
          <w:rFonts w:ascii="Times New Roman" w:eastAsia="ArialMT" w:hAnsi="Times New Roman"/>
          <w:sz w:val="28"/>
          <w:szCs w:val="28"/>
          <w:lang w:val="ru-RU"/>
        </w:rPr>
        <w:t xml:space="preserve">80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Кросс-комплементирующий белок для репарации X-ray 5</w:t>
      </w:r>
    </w:p>
    <w:p w14:paraId="085CA849"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LIG1 – (DNA Ligase 1) ДНК-лигаза 1</w:t>
      </w:r>
    </w:p>
    <w:p w14:paraId="65B0BA14"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LMW – (Low molecular weight) </w:t>
      </w:r>
      <w:r w:rsidRPr="00107040">
        <w:rPr>
          <w:rFonts w:ascii="Times New Roman" w:eastAsia="ArialMT" w:hAnsi="Times New Roman"/>
          <w:sz w:val="28"/>
          <w:szCs w:val="28"/>
          <w:lang w:val="ru-RU"/>
        </w:rPr>
        <w:t>Низко</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молекулярная</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масса</w:t>
      </w:r>
    </w:p>
    <w:p w14:paraId="47DF8EFF"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MS Mincho" w:hAnsi="Times New Roman"/>
          <w:sz w:val="28"/>
          <w:szCs w:val="28"/>
          <w:shd w:val="clear" w:color="auto" w:fill="FFFFFF"/>
          <w:lang w:val="en-US" w:eastAsia="ja-JP"/>
        </w:rPr>
        <w:t xml:space="preserve">Lys – (Lysine) </w:t>
      </w:r>
      <w:r w:rsidRPr="00107040">
        <w:rPr>
          <w:rFonts w:ascii="Times New Roman" w:eastAsia="MS Mincho" w:hAnsi="Times New Roman"/>
          <w:sz w:val="28"/>
          <w:szCs w:val="28"/>
          <w:shd w:val="clear" w:color="auto" w:fill="FFFFFF"/>
          <w:lang w:val="ru-RU" w:eastAsia="ja-JP"/>
        </w:rPr>
        <w:t>Лизин</w:t>
      </w:r>
    </w:p>
    <w:p w14:paraId="667D9E88"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MacroD1/2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(MACRO Domain-Containing Protein 1/2) </w:t>
      </w:r>
      <w:r w:rsidRPr="00107040">
        <w:rPr>
          <w:rFonts w:ascii="Times New Roman" w:eastAsia="ArialMT" w:hAnsi="Times New Roman"/>
          <w:sz w:val="28"/>
          <w:szCs w:val="28"/>
          <w:lang w:val="ru-RU"/>
        </w:rPr>
        <w:t>Белки</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содержащие</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макродомены</w:t>
      </w:r>
      <w:r w:rsidRPr="00107040">
        <w:rPr>
          <w:rFonts w:ascii="Times New Roman" w:eastAsia="ArialMT" w:hAnsi="Times New Roman"/>
          <w:sz w:val="28"/>
          <w:szCs w:val="28"/>
          <w:lang w:val="en-US"/>
        </w:rPr>
        <w:t xml:space="preserve"> 1 </w:t>
      </w:r>
      <w:r w:rsidRPr="00107040">
        <w:rPr>
          <w:rFonts w:ascii="Times New Roman" w:eastAsia="ArialMT" w:hAnsi="Times New Roman"/>
          <w:sz w:val="28"/>
          <w:szCs w:val="28"/>
          <w:lang w:val="ru-RU"/>
        </w:rPr>
        <w:t>и</w:t>
      </w:r>
      <w:r w:rsidRPr="00107040">
        <w:rPr>
          <w:rFonts w:ascii="Times New Roman" w:eastAsia="ArialMT" w:hAnsi="Times New Roman"/>
          <w:sz w:val="28"/>
          <w:szCs w:val="28"/>
          <w:lang w:val="en-US"/>
        </w:rPr>
        <w:t xml:space="preserve"> 2</w:t>
      </w:r>
    </w:p>
    <w:p w14:paraId="7C37B5B3"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MS Mincho" w:hAnsi="Times New Roman"/>
          <w:bCs/>
          <w:sz w:val="28"/>
          <w:szCs w:val="28"/>
          <w:lang w:val="en-US" w:eastAsia="ja-JP"/>
        </w:rPr>
        <w:t xml:space="preserve">MALDI-TOF – (Matrix-assisted laser desorption/ionization-time of flight) </w:t>
      </w:r>
      <w:r w:rsidRPr="00107040">
        <w:rPr>
          <w:rFonts w:ascii="Times New Roman" w:eastAsia="MS Mincho" w:hAnsi="Times New Roman"/>
          <w:bCs/>
          <w:sz w:val="28"/>
          <w:szCs w:val="28"/>
          <w:lang w:val="ru-RU" w:eastAsia="ja-JP"/>
        </w:rPr>
        <w:t>Матричная</w:t>
      </w:r>
      <w:r w:rsidRPr="00107040">
        <w:rPr>
          <w:rFonts w:ascii="Times New Roman" w:eastAsia="MS Mincho" w:hAnsi="Times New Roman"/>
          <w:bCs/>
          <w:sz w:val="28"/>
          <w:szCs w:val="28"/>
          <w:lang w:val="en-US" w:eastAsia="ja-JP"/>
        </w:rPr>
        <w:t xml:space="preserve"> </w:t>
      </w:r>
      <w:r w:rsidRPr="00107040">
        <w:rPr>
          <w:rFonts w:ascii="Times New Roman" w:eastAsia="MS Mincho" w:hAnsi="Times New Roman"/>
          <w:bCs/>
          <w:sz w:val="28"/>
          <w:szCs w:val="28"/>
          <w:lang w:val="ru-RU" w:eastAsia="ja-JP"/>
        </w:rPr>
        <w:t>лазерная</w:t>
      </w:r>
      <w:r w:rsidRPr="00107040">
        <w:rPr>
          <w:rFonts w:ascii="Times New Roman" w:eastAsia="MS Mincho" w:hAnsi="Times New Roman"/>
          <w:bCs/>
          <w:sz w:val="28"/>
          <w:szCs w:val="28"/>
          <w:lang w:val="en-US" w:eastAsia="ja-JP"/>
        </w:rPr>
        <w:t xml:space="preserve"> </w:t>
      </w:r>
      <w:r w:rsidRPr="00107040">
        <w:rPr>
          <w:rFonts w:ascii="Times New Roman" w:eastAsia="MS Mincho" w:hAnsi="Times New Roman"/>
          <w:bCs/>
          <w:sz w:val="28"/>
          <w:szCs w:val="28"/>
          <w:lang w:val="ru-RU" w:eastAsia="ja-JP"/>
        </w:rPr>
        <w:t>десорбция</w:t>
      </w:r>
      <w:r w:rsidRPr="00107040">
        <w:rPr>
          <w:rFonts w:ascii="Times New Roman" w:eastAsia="MS Mincho" w:hAnsi="Times New Roman"/>
          <w:bCs/>
          <w:sz w:val="28"/>
          <w:szCs w:val="28"/>
          <w:lang w:val="en-US" w:eastAsia="ja-JP"/>
        </w:rPr>
        <w:t>/</w:t>
      </w:r>
      <w:r w:rsidRPr="00107040">
        <w:rPr>
          <w:rFonts w:ascii="Times New Roman" w:eastAsia="MS Mincho" w:hAnsi="Times New Roman"/>
          <w:bCs/>
          <w:sz w:val="28"/>
          <w:szCs w:val="28"/>
          <w:lang w:val="ru-RU" w:eastAsia="ja-JP"/>
        </w:rPr>
        <w:t>ионизация</w:t>
      </w:r>
    </w:p>
    <w:p w14:paraId="00427C42"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MAP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kk-KZ"/>
        </w:rPr>
        <w:t xml:space="preserve">Моно </w:t>
      </w:r>
      <w:r w:rsidRPr="00107040">
        <w:rPr>
          <w:rFonts w:ascii="Times New Roman" w:eastAsia="ArialMT" w:hAnsi="Times New Roman"/>
          <w:sz w:val="28"/>
          <w:szCs w:val="28"/>
          <w:lang w:val="en-US"/>
        </w:rPr>
        <w:t>(A</w:t>
      </w:r>
      <w:r w:rsidRPr="00107040">
        <w:rPr>
          <w:rFonts w:ascii="Times New Roman" w:eastAsia="ArialMT" w:hAnsi="Times New Roman"/>
          <w:sz w:val="28"/>
          <w:szCs w:val="28"/>
          <w:lang w:val="kk-KZ"/>
        </w:rPr>
        <w:t>ДФ</w:t>
      </w:r>
      <w:r w:rsidRPr="00107040">
        <w:rPr>
          <w:rFonts w:ascii="Times New Roman" w:eastAsia="ArialMT" w:hAnsi="Times New Roman"/>
          <w:sz w:val="28"/>
          <w:szCs w:val="28"/>
          <w:lang w:val="en-US"/>
        </w:rPr>
        <w:t>-</w:t>
      </w:r>
      <w:r w:rsidRPr="00107040">
        <w:rPr>
          <w:rFonts w:ascii="Times New Roman" w:eastAsia="ArialMT" w:hAnsi="Times New Roman"/>
          <w:sz w:val="28"/>
          <w:szCs w:val="28"/>
          <w:lang w:val="kk-KZ"/>
        </w:rPr>
        <w:t>рибоза</w:t>
      </w:r>
      <w:r w:rsidRPr="00107040">
        <w:rPr>
          <w:rFonts w:ascii="Times New Roman" w:eastAsia="ArialMT" w:hAnsi="Times New Roman"/>
          <w:sz w:val="28"/>
          <w:szCs w:val="28"/>
          <w:lang w:val="en-US"/>
        </w:rPr>
        <w:t>)</w:t>
      </w:r>
    </w:p>
    <w:p w14:paraId="11A59691"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MDC1 – (Mediator of DNA damage checkpoint 1)</w:t>
      </w:r>
      <w:r w:rsidRPr="00107040">
        <w:rPr>
          <w:rFonts w:ascii="Times New Roman" w:hAnsi="Times New Roman"/>
          <w:sz w:val="28"/>
          <w:szCs w:val="28"/>
        </w:rPr>
        <w:t xml:space="preserve"> </w:t>
      </w:r>
      <w:r w:rsidRPr="00107040">
        <w:rPr>
          <w:rFonts w:ascii="Times New Roman" w:eastAsia="ArialMT" w:hAnsi="Times New Roman"/>
          <w:sz w:val="28"/>
          <w:szCs w:val="28"/>
          <w:lang w:val="kk-KZ"/>
        </w:rPr>
        <w:t>М</w:t>
      </w:r>
      <w:r w:rsidRPr="00107040">
        <w:rPr>
          <w:rFonts w:ascii="Times New Roman" w:eastAsia="ArialMT" w:hAnsi="Times New Roman"/>
          <w:sz w:val="28"/>
          <w:szCs w:val="28"/>
          <w:lang w:val="ru-RU"/>
        </w:rPr>
        <w:t>едиатор</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контрольной</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точки</w:t>
      </w:r>
      <w:r w:rsidRPr="00107040">
        <w:rPr>
          <w:rFonts w:ascii="Times New Roman" w:eastAsia="ArialMT" w:hAnsi="Times New Roman"/>
          <w:sz w:val="28"/>
          <w:szCs w:val="28"/>
          <w:lang w:val="en-US"/>
        </w:rPr>
        <w:t xml:space="preserve"> 1 </w:t>
      </w:r>
      <w:r w:rsidRPr="00107040">
        <w:rPr>
          <w:rFonts w:ascii="Times New Roman" w:eastAsia="ArialMT" w:hAnsi="Times New Roman"/>
          <w:sz w:val="28"/>
          <w:szCs w:val="28"/>
          <w:lang w:val="ru-RU"/>
        </w:rPr>
        <w:t>повреждения</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ДНК</w:t>
      </w:r>
    </w:p>
    <w:p w14:paraId="188E0110" w14:textId="77777777" w:rsidR="000B103D" w:rsidRPr="00107040" w:rsidRDefault="000B103D" w:rsidP="000C16BB">
      <w:pPr>
        <w:spacing w:after="0" w:line="240" w:lineRule="auto"/>
        <w:jc w:val="both"/>
        <w:rPr>
          <w:rFonts w:ascii="Times New Roman" w:eastAsia="MS Mincho" w:hAnsi="Times New Roman"/>
          <w:sz w:val="28"/>
          <w:szCs w:val="28"/>
          <w:lang w:val="ru-RU" w:eastAsia="ja-JP"/>
        </w:rPr>
      </w:pPr>
      <w:r w:rsidRPr="00107040">
        <w:rPr>
          <w:rFonts w:ascii="Times New Roman" w:eastAsia="ArialMT" w:hAnsi="Times New Roman"/>
          <w:sz w:val="28"/>
          <w:szCs w:val="28"/>
          <w:lang w:val="en-US"/>
        </w:rPr>
        <w:t>MMR</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Mismatch</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repair</w:t>
      </w:r>
      <w:r w:rsidRPr="00107040">
        <w:rPr>
          <w:rFonts w:ascii="Times New Roman" w:eastAsia="ArialMT" w:hAnsi="Times New Roman"/>
          <w:sz w:val="28"/>
          <w:szCs w:val="28"/>
          <w:lang w:val="ru-RU"/>
        </w:rPr>
        <w:t xml:space="preserve">) </w:t>
      </w:r>
      <w:r w:rsidRPr="00107040">
        <w:rPr>
          <w:rFonts w:ascii="Times New Roman" w:hAnsi="Times New Roman"/>
          <w:sz w:val="28"/>
          <w:szCs w:val="28"/>
          <w:lang w:val="ru-RU"/>
        </w:rPr>
        <w:t>Репарация ошибочно спаренных нуклеотидов</w:t>
      </w:r>
    </w:p>
    <w:p w14:paraId="1ACB7021" w14:textId="77777777" w:rsidR="000B103D" w:rsidRPr="00107040" w:rsidRDefault="000B103D" w:rsidP="000C16BB">
      <w:pPr>
        <w:spacing w:after="0" w:line="240" w:lineRule="auto"/>
        <w:jc w:val="both"/>
        <w:rPr>
          <w:rFonts w:ascii="Times New Roman" w:hAnsi="Times New Roman"/>
          <w:sz w:val="28"/>
          <w:szCs w:val="28"/>
          <w:lang w:val="ru-RU"/>
        </w:rPr>
      </w:pPr>
      <w:r w:rsidRPr="00107040">
        <w:rPr>
          <w:rFonts w:ascii="Times New Roman" w:eastAsia="ArialMT" w:hAnsi="Times New Roman"/>
          <w:sz w:val="28"/>
          <w:szCs w:val="28"/>
          <w:lang w:val="en-US"/>
        </w:rPr>
        <w:t>Mut</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Белок репарации </w:t>
      </w:r>
      <w:r w:rsidRPr="00107040">
        <w:rPr>
          <w:rFonts w:ascii="Times New Roman" w:hAnsi="Times New Roman"/>
          <w:sz w:val="28"/>
          <w:szCs w:val="28"/>
          <w:lang w:val="ru-RU"/>
        </w:rPr>
        <w:t>ошибочно спаренных нуклеотидов</w:t>
      </w:r>
    </w:p>
    <w:p w14:paraId="09995932" w14:textId="77777777" w:rsidR="000B103D" w:rsidRPr="00107040" w:rsidRDefault="000B103D" w:rsidP="000C16BB">
      <w:pPr>
        <w:spacing w:after="0" w:line="240" w:lineRule="auto"/>
        <w:jc w:val="both"/>
        <w:rPr>
          <w:rFonts w:ascii="Times New Roman" w:eastAsia="MS Mincho" w:hAnsi="Times New Roman"/>
          <w:sz w:val="28"/>
          <w:szCs w:val="28"/>
          <w:lang w:val="kk-KZ" w:eastAsia="ja-JP"/>
        </w:rPr>
      </w:pPr>
      <w:r w:rsidRPr="00107040">
        <w:rPr>
          <w:rFonts w:ascii="Times New Roman" w:eastAsia="MS Mincho" w:hAnsi="Times New Roman"/>
          <w:sz w:val="28"/>
          <w:szCs w:val="28"/>
          <w:lang w:val="en-US" w:eastAsia="ja-JP"/>
        </w:rPr>
        <w:t xml:space="preserve">MS </w:t>
      </w:r>
      <w:r w:rsidRPr="00107040">
        <w:rPr>
          <w:rFonts w:ascii="Times New Roman" w:eastAsia="MS Mincho" w:hAnsi="Times New Roman"/>
          <w:sz w:val="28"/>
          <w:szCs w:val="28"/>
          <w:lang w:val="ru-RU" w:eastAsia="ja-JP"/>
        </w:rPr>
        <w:t>среда</w:t>
      </w:r>
      <w:r w:rsidRPr="00107040">
        <w:rPr>
          <w:rFonts w:ascii="Times New Roman" w:eastAsia="MS Mincho" w:hAnsi="Times New Roman"/>
          <w:sz w:val="28"/>
          <w:szCs w:val="28"/>
          <w:lang w:val="en-US" w:eastAsia="ja-JP"/>
        </w:rPr>
        <w:t xml:space="preserve"> – Murashige and Skoog </w:t>
      </w:r>
      <w:r w:rsidRPr="00107040">
        <w:rPr>
          <w:rFonts w:ascii="Times New Roman" w:eastAsia="MS Mincho" w:hAnsi="Times New Roman"/>
          <w:sz w:val="28"/>
          <w:szCs w:val="28"/>
          <w:lang w:val="kk-KZ" w:eastAsia="ja-JP"/>
        </w:rPr>
        <w:t>среда</w:t>
      </w:r>
    </w:p>
    <w:p w14:paraId="5AFF897C"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kk-KZ"/>
        </w:rPr>
      </w:pPr>
      <w:r w:rsidRPr="00107040">
        <w:rPr>
          <w:rFonts w:ascii="Times New Roman" w:eastAsia="ArialMT" w:hAnsi="Times New Roman"/>
          <w:sz w:val="28"/>
          <w:szCs w:val="28"/>
          <w:lang w:val="kk-KZ"/>
        </w:rPr>
        <w:t xml:space="preserve">NАД </w:t>
      </w:r>
      <w:r w:rsidRPr="00107040">
        <w:rPr>
          <w:rFonts w:ascii="Times New Roman" w:eastAsia="MS Mincho" w:hAnsi="Times New Roman"/>
          <w:sz w:val="28"/>
          <w:szCs w:val="28"/>
          <w:lang w:val="kk-KZ" w:eastAsia="fr-FR"/>
        </w:rPr>
        <w:t>–</w:t>
      </w:r>
      <w:r w:rsidRPr="00107040">
        <w:rPr>
          <w:rFonts w:ascii="Times New Roman" w:eastAsia="ArialMT" w:hAnsi="Times New Roman"/>
          <w:sz w:val="28"/>
          <w:szCs w:val="28"/>
          <w:lang w:val="kk-KZ"/>
        </w:rPr>
        <w:t xml:space="preserve"> Никотинамидадениндинуклеотид</w:t>
      </w:r>
    </w:p>
    <w:p w14:paraId="184A4E57"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kk-KZ"/>
        </w:rPr>
      </w:pPr>
      <w:r w:rsidRPr="00107040">
        <w:rPr>
          <w:rFonts w:ascii="Times New Roman" w:eastAsia="ArialMT" w:hAnsi="Times New Roman"/>
          <w:sz w:val="28"/>
          <w:szCs w:val="28"/>
          <w:lang w:val="kk-KZ"/>
        </w:rPr>
        <w:t xml:space="preserve">NER </w:t>
      </w:r>
      <w:r w:rsidRPr="00107040">
        <w:rPr>
          <w:rFonts w:ascii="Times New Roman" w:eastAsia="MS Mincho" w:hAnsi="Times New Roman"/>
          <w:sz w:val="28"/>
          <w:szCs w:val="28"/>
          <w:lang w:val="kk-KZ" w:eastAsia="fr-FR"/>
        </w:rPr>
        <w:t>–</w:t>
      </w:r>
      <w:r w:rsidRPr="00107040">
        <w:rPr>
          <w:rFonts w:ascii="Times New Roman" w:eastAsia="ArialMT" w:hAnsi="Times New Roman"/>
          <w:sz w:val="28"/>
          <w:szCs w:val="28"/>
          <w:lang w:val="kk-KZ"/>
        </w:rPr>
        <w:t xml:space="preserve"> (Nucleotide excision repair) Эксцизионная репарация нуклеотидов</w:t>
      </w:r>
    </w:p>
    <w:p w14:paraId="75AC0F7B" w14:textId="77777777" w:rsidR="000B103D" w:rsidRPr="00107040" w:rsidRDefault="000B103D" w:rsidP="000C16BB">
      <w:pPr>
        <w:spacing w:after="0" w:line="240" w:lineRule="auto"/>
        <w:jc w:val="both"/>
        <w:rPr>
          <w:rFonts w:ascii="Times New Roman" w:eastAsia="MS Mincho" w:hAnsi="Times New Roman"/>
          <w:sz w:val="28"/>
          <w:szCs w:val="28"/>
          <w:lang w:val="kk-KZ" w:eastAsia="fr-FR"/>
        </w:rPr>
      </w:pPr>
      <w:r w:rsidRPr="00107040">
        <w:rPr>
          <w:rFonts w:ascii="Times New Roman" w:eastAsia="MS Mincho" w:hAnsi="Times New Roman"/>
          <w:sz w:val="28"/>
          <w:szCs w:val="28"/>
          <w:lang w:val="kk-KZ" w:eastAsia="fr-FR"/>
        </w:rPr>
        <w:t>NHEJ – (Non-homologous DNA end joining) Негомологичное соединение концов</w:t>
      </w:r>
    </w:p>
    <w:p w14:paraId="64DAE482"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kk-KZ"/>
        </w:rPr>
      </w:pPr>
      <w:r w:rsidRPr="00107040">
        <w:rPr>
          <w:rFonts w:ascii="Times New Roman" w:eastAsia="ArialMT" w:hAnsi="Times New Roman"/>
          <w:sz w:val="28"/>
          <w:szCs w:val="28"/>
          <w:lang w:val="kk-KZ"/>
        </w:rPr>
        <w:t xml:space="preserve">НМН </w:t>
      </w:r>
      <w:r w:rsidRPr="00107040">
        <w:rPr>
          <w:rFonts w:ascii="Times New Roman" w:eastAsia="MS Mincho" w:hAnsi="Times New Roman"/>
          <w:sz w:val="28"/>
          <w:szCs w:val="28"/>
          <w:lang w:val="kk-KZ" w:eastAsia="fr-FR"/>
        </w:rPr>
        <w:t>–</w:t>
      </w:r>
      <w:r w:rsidRPr="00107040">
        <w:rPr>
          <w:rFonts w:ascii="Times New Roman" w:eastAsia="ArialMT" w:hAnsi="Times New Roman"/>
          <w:sz w:val="28"/>
          <w:szCs w:val="28"/>
          <w:lang w:val="kk-KZ"/>
        </w:rPr>
        <w:t xml:space="preserve"> Никотинамидмононуклеотид</w:t>
      </w:r>
    </w:p>
    <w:p w14:paraId="3C7D2EC3"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kk-KZ"/>
        </w:rPr>
      </w:pPr>
      <w:r w:rsidRPr="00107040">
        <w:rPr>
          <w:rFonts w:ascii="Times New Roman" w:eastAsia="ArialMT" w:hAnsi="Times New Roman"/>
          <w:sz w:val="28"/>
          <w:szCs w:val="28"/>
          <w:lang w:val="kk-KZ"/>
        </w:rPr>
        <w:t xml:space="preserve">Нд </w:t>
      </w:r>
      <w:r w:rsidRPr="00107040">
        <w:rPr>
          <w:rFonts w:ascii="Times New Roman" w:eastAsia="MS Mincho" w:hAnsi="Times New Roman"/>
          <w:sz w:val="28"/>
          <w:szCs w:val="28"/>
          <w:lang w:val="kk-KZ" w:eastAsia="fr-FR"/>
        </w:rPr>
        <w:t>–</w:t>
      </w:r>
      <w:r w:rsidRPr="00107040">
        <w:rPr>
          <w:rFonts w:ascii="Times New Roman" w:eastAsia="ArialMT" w:hAnsi="Times New Roman"/>
          <w:sz w:val="28"/>
          <w:szCs w:val="28"/>
          <w:lang w:val="kk-KZ"/>
        </w:rPr>
        <w:t xml:space="preserve"> Нуклеотид</w:t>
      </w:r>
    </w:p>
    <w:p w14:paraId="2977B905"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kk-KZ"/>
        </w:rPr>
      </w:pPr>
      <w:r w:rsidRPr="00107040">
        <w:rPr>
          <w:rFonts w:ascii="Times New Roman" w:eastAsia="ArialMT" w:hAnsi="Times New Roman"/>
          <w:sz w:val="28"/>
          <w:szCs w:val="28"/>
          <w:lang w:val="kk-KZ"/>
        </w:rPr>
        <w:t xml:space="preserve">NUDIX </w:t>
      </w:r>
      <w:r w:rsidRPr="00107040">
        <w:rPr>
          <w:rFonts w:ascii="Times New Roman" w:eastAsia="MS Mincho" w:hAnsi="Times New Roman"/>
          <w:sz w:val="28"/>
          <w:szCs w:val="28"/>
          <w:lang w:val="kk-KZ" w:eastAsia="fr-FR"/>
        </w:rPr>
        <w:t>–</w:t>
      </w:r>
      <w:r w:rsidRPr="00107040">
        <w:rPr>
          <w:rFonts w:ascii="Times New Roman" w:eastAsia="ArialMT" w:hAnsi="Times New Roman"/>
          <w:sz w:val="28"/>
          <w:szCs w:val="28"/>
          <w:lang w:val="kk-KZ"/>
        </w:rPr>
        <w:t xml:space="preserve"> (Nucleoside diphosphates linked to x) Нуклеозиддифосфаты, связанные с фрагментом-X</w:t>
      </w:r>
    </w:p>
    <w:p w14:paraId="7101C7E9"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kk-KZ"/>
        </w:rPr>
      </w:pPr>
      <w:r w:rsidRPr="00107040">
        <w:rPr>
          <w:rFonts w:ascii="Times New Roman" w:eastAsia="ArialMT" w:hAnsi="Times New Roman"/>
          <w:sz w:val="28"/>
          <w:szCs w:val="28"/>
          <w:lang w:val="kk-KZ"/>
        </w:rPr>
        <w:t xml:space="preserve">оцДНК </w:t>
      </w:r>
      <w:r w:rsidRPr="00107040">
        <w:rPr>
          <w:rFonts w:ascii="Times New Roman" w:eastAsia="MS Mincho" w:hAnsi="Times New Roman"/>
          <w:sz w:val="28"/>
          <w:szCs w:val="28"/>
          <w:lang w:val="kk-KZ" w:eastAsia="fr-FR"/>
        </w:rPr>
        <w:t>–</w:t>
      </w:r>
      <w:r w:rsidRPr="00107040">
        <w:rPr>
          <w:rFonts w:ascii="Times New Roman" w:eastAsia="ArialMT" w:hAnsi="Times New Roman"/>
          <w:sz w:val="28"/>
          <w:szCs w:val="28"/>
          <w:lang w:val="kk-KZ"/>
        </w:rPr>
        <w:t xml:space="preserve"> Одноцепочечная дезоксирибонуклеиновая кислота</w:t>
      </w:r>
    </w:p>
    <w:p w14:paraId="6C5F2057"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kk-KZ"/>
        </w:rPr>
      </w:pPr>
      <w:r w:rsidRPr="00107040">
        <w:rPr>
          <w:rFonts w:ascii="Times New Roman" w:eastAsia="ArialMT" w:hAnsi="Times New Roman"/>
          <w:sz w:val="28"/>
          <w:szCs w:val="28"/>
          <w:lang w:val="kk-KZ"/>
        </w:rPr>
        <w:t xml:space="preserve">P </w:t>
      </w:r>
      <w:r w:rsidRPr="00107040">
        <w:rPr>
          <w:rFonts w:ascii="Times New Roman" w:eastAsia="MS Mincho" w:hAnsi="Times New Roman"/>
          <w:sz w:val="28"/>
          <w:szCs w:val="28"/>
          <w:lang w:val="kk-KZ" w:eastAsia="fr-FR"/>
        </w:rPr>
        <w:t>–</w:t>
      </w:r>
      <w:r w:rsidRPr="00107040">
        <w:rPr>
          <w:rFonts w:ascii="Times New Roman" w:eastAsia="ArialMT" w:hAnsi="Times New Roman"/>
          <w:sz w:val="28"/>
          <w:szCs w:val="28"/>
          <w:lang w:val="kk-KZ"/>
        </w:rPr>
        <w:t xml:space="preserve"> (Phosphate) Фосфат</w:t>
      </w:r>
    </w:p>
    <w:p w14:paraId="18689CA0"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kk-KZ"/>
        </w:rPr>
        <w:t>ПААГ</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Электрофорез в полиакриламидном геле</w:t>
      </w:r>
    </w:p>
    <w:p w14:paraId="004D52B6"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kk-KZ"/>
        </w:rPr>
        <w:t>ПАР</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kk-KZ"/>
        </w:rPr>
        <w:t xml:space="preserve">Поли </w:t>
      </w:r>
      <w:r w:rsidRPr="00107040">
        <w:rPr>
          <w:rFonts w:ascii="Times New Roman" w:eastAsia="ArialMT" w:hAnsi="Times New Roman"/>
          <w:sz w:val="28"/>
          <w:szCs w:val="28"/>
          <w:lang w:val="ru-RU"/>
        </w:rPr>
        <w:t>(</w:t>
      </w:r>
      <w:r w:rsidRPr="00107040">
        <w:rPr>
          <w:rFonts w:ascii="Times New Roman" w:eastAsia="ArialMT" w:hAnsi="Times New Roman"/>
          <w:sz w:val="28"/>
          <w:szCs w:val="28"/>
          <w:lang w:val="en-US"/>
        </w:rPr>
        <w:t>A</w:t>
      </w:r>
      <w:r w:rsidRPr="00107040">
        <w:rPr>
          <w:rFonts w:ascii="Times New Roman" w:eastAsia="ArialMT" w:hAnsi="Times New Roman"/>
          <w:sz w:val="28"/>
          <w:szCs w:val="28"/>
          <w:lang w:val="kk-KZ"/>
        </w:rPr>
        <w:t>ДФ</w:t>
      </w:r>
      <w:r w:rsidRPr="00107040">
        <w:rPr>
          <w:rFonts w:ascii="Times New Roman" w:eastAsia="ArialMT" w:hAnsi="Times New Roman"/>
          <w:sz w:val="28"/>
          <w:szCs w:val="28"/>
          <w:lang w:val="ru-RU"/>
        </w:rPr>
        <w:t>-</w:t>
      </w:r>
      <w:r w:rsidRPr="00107040">
        <w:rPr>
          <w:rFonts w:ascii="Times New Roman" w:eastAsia="ArialMT" w:hAnsi="Times New Roman"/>
          <w:sz w:val="28"/>
          <w:szCs w:val="28"/>
          <w:lang w:val="kk-KZ"/>
        </w:rPr>
        <w:t>рибоза</w:t>
      </w:r>
      <w:r w:rsidRPr="00107040">
        <w:rPr>
          <w:rFonts w:ascii="Times New Roman" w:eastAsia="ArialMT" w:hAnsi="Times New Roman"/>
          <w:sz w:val="28"/>
          <w:szCs w:val="28"/>
          <w:lang w:val="ru-RU"/>
        </w:rPr>
        <w:t>)</w:t>
      </w:r>
    </w:p>
    <w:p w14:paraId="316AC684"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PARG</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en-US" w:eastAsia="fr-FR"/>
        </w:rPr>
        <w:t>Poly</w:t>
      </w:r>
      <w:r w:rsidRPr="00107040">
        <w:rPr>
          <w:rFonts w:ascii="Times New Roman" w:eastAsia="MS Mincho" w:hAnsi="Times New Roman"/>
          <w:sz w:val="28"/>
          <w:szCs w:val="28"/>
          <w:lang w:val="ru-RU" w:eastAsia="fr-FR"/>
        </w:rPr>
        <w:t xml:space="preserve"> (</w:t>
      </w:r>
      <w:r w:rsidRPr="00107040">
        <w:rPr>
          <w:rFonts w:ascii="Times New Roman" w:eastAsia="MS Mincho" w:hAnsi="Times New Roman"/>
          <w:sz w:val="28"/>
          <w:szCs w:val="28"/>
          <w:lang w:val="en-US" w:eastAsia="fr-FR"/>
        </w:rPr>
        <w:t>ADP</w:t>
      </w:r>
      <w:r w:rsidRPr="00107040">
        <w:rPr>
          <w:rFonts w:ascii="Times New Roman" w:eastAsia="MS Mincho" w:hAnsi="Times New Roman"/>
          <w:sz w:val="28"/>
          <w:szCs w:val="28"/>
          <w:lang w:val="ru-RU" w:eastAsia="fr-FR"/>
        </w:rPr>
        <w:t>-</w:t>
      </w:r>
      <w:r w:rsidRPr="00107040">
        <w:rPr>
          <w:rFonts w:ascii="Times New Roman" w:eastAsia="MS Mincho" w:hAnsi="Times New Roman"/>
          <w:sz w:val="28"/>
          <w:szCs w:val="28"/>
          <w:lang w:val="en-US" w:eastAsia="fr-FR"/>
        </w:rPr>
        <w:t>ribose</w:t>
      </w:r>
      <w:r w:rsidRPr="00107040">
        <w:rPr>
          <w:rFonts w:ascii="Times New Roman" w:eastAsia="MS Mincho" w:hAnsi="Times New Roman"/>
          <w:sz w:val="28"/>
          <w:szCs w:val="28"/>
          <w:lang w:val="ru-RU" w:eastAsia="fr-FR"/>
        </w:rPr>
        <w:t>) glycohydrolase</w:t>
      </w:r>
      <w:r w:rsidRPr="00107040">
        <w:rPr>
          <w:rFonts w:ascii="Times New Roman" w:eastAsia="ArialMT" w:hAnsi="Times New Roman"/>
          <w:sz w:val="28"/>
          <w:szCs w:val="28"/>
          <w:lang w:val="ru-RU"/>
        </w:rPr>
        <w:t>) Поли (АДФ-рибоза)гликогидролаза</w:t>
      </w:r>
    </w:p>
    <w:p w14:paraId="684E8AD9"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PARGi</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Ингибитор </w:t>
      </w:r>
      <w:r w:rsidRPr="00107040">
        <w:rPr>
          <w:rFonts w:ascii="Times New Roman" w:eastAsia="ArialMT" w:hAnsi="Times New Roman"/>
          <w:sz w:val="28"/>
          <w:szCs w:val="28"/>
          <w:lang w:val="en-US"/>
        </w:rPr>
        <w:t>PARG</w:t>
      </w:r>
    </w:p>
    <w:p w14:paraId="28318757"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PARP</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Poly</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ADP</w:t>
      </w:r>
      <w:r w:rsidRPr="00107040">
        <w:rPr>
          <w:rFonts w:ascii="Times New Roman" w:eastAsia="ArialMT" w:hAnsi="Times New Roman"/>
          <w:sz w:val="28"/>
          <w:szCs w:val="28"/>
          <w:lang w:val="ru-RU"/>
        </w:rPr>
        <w:t>-</w:t>
      </w:r>
      <w:r w:rsidRPr="00107040">
        <w:rPr>
          <w:rFonts w:ascii="Times New Roman" w:eastAsia="ArialMT" w:hAnsi="Times New Roman"/>
          <w:sz w:val="28"/>
          <w:szCs w:val="28"/>
          <w:lang w:val="en-US"/>
        </w:rPr>
        <w:t>ribose</w:t>
      </w:r>
      <w:r w:rsidRPr="00107040">
        <w:rPr>
          <w:rFonts w:ascii="Times New Roman" w:eastAsia="ArialMT" w:hAnsi="Times New Roman"/>
          <w:sz w:val="28"/>
          <w:szCs w:val="28"/>
          <w:lang w:val="ru-RU"/>
        </w:rPr>
        <w:t>)</w:t>
      </w:r>
      <w:r w:rsidRPr="00107040">
        <w:rPr>
          <w:rFonts w:ascii="Times New Roman" w:hAnsi="Times New Roman"/>
          <w:sz w:val="28"/>
          <w:szCs w:val="28"/>
          <w:lang w:val="ru-RU"/>
        </w:rPr>
        <w:t xml:space="preserve"> </w:t>
      </w:r>
      <w:r w:rsidRPr="00107040">
        <w:rPr>
          <w:rFonts w:ascii="Times New Roman" w:eastAsia="ArialMT" w:hAnsi="Times New Roman"/>
          <w:sz w:val="28"/>
          <w:szCs w:val="28"/>
          <w:lang w:val="ru-RU"/>
        </w:rPr>
        <w:t>polymerase) Поли (АДФ-рибоза) полимераза</w:t>
      </w:r>
    </w:p>
    <w:p w14:paraId="0F21ECA6"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PBS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(Phosphate buffered saline) </w:t>
      </w:r>
      <w:r w:rsidRPr="00107040">
        <w:rPr>
          <w:rFonts w:ascii="Times New Roman" w:eastAsia="ArialMT" w:hAnsi="Times New Roman"/>
          <w:sz w:val="28"/>
          <w:szCs w:val="28"/>
          <w:lang w:val="ru-RU"/>
        </w:rPr>
        <w:t>Фосфатно</w:t>
      </w:r>
      <w:r w:rsidRPr="00107040">
        <w:rPr>
          <w:rFonts w:ascii="Times New Roman" w:eastAsia="ArialMT" w:hAnsi="Times New Roman"/>
          <w:sz w:val="28"/>
          <w:szCs w:val="28"/>
          <w:lang w:val="en-US"/>
        </w:rPr>
        <w:t>-</w:t>
      </w:r>
      <w:r w:rsidRPr="00107040">
        <w:rPr>
          <w:rFonts w:ascii="Times New Roman" w:eastAsia="ArialMT" w:hAnsi="Times New Roman"/>
          <w:sz w:val="28"/>
          <w:szCs w:val="28"/>
          <w:lang w:val="ru-RU"/>
        </w:rPr>
        <w:t>солевой</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буфер</w:t>
      </w:r>
    </w:p>
    <w:p w14:paraId="23806031"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PBZ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(PAR-binding zinc finger) </w:t>
      </w:r>
      <w:r w:rsidRPr="00107040">
        <w:rPr>
          <w:rFonts w:ascii="Times New Roman" w:eastAsia="ArialMT" w:hAnsi="Times New Roman"/>
          <w:sz w:val="28"/>
          <w:szCs w:val="28"/>
          <w:lang w:val="kk-KZ"/>
        </w:rPr>
        <w:t>ПАР</w:t>
      </w:r>
      <w:r w:rsidRPr="00107040">
        <w:rPr>
          <w:rFonts w:ascii="Times New Roman" w:eastAsia="ArialMT" w:hAnsi="Times New Roman"/>
          <w:sz w:val="28"/>
          <w:szCs w:val="28"/>
          <w:lang w:val="en-US"/>
        </w:rPr>
        <w:t>-</w:t>
      </w:r>
      <w:r w:rsidRPr="00107040">
        <w:rPr>
          <w:rFonts w:ascii="Times New Roman" w:eastAsia="ArialMT" w:hAnsi="Times New Roman"/>
          <w:sz w:val="28"/>
          <w:szCs w:val="28"/>
          <w:lang w:val="ru-RU"/>
        </w:rPr>
        <w:t>связыв</w:t>
      </w:r>
      <w:r w:rsidRPr="00107040">
        <w:rPr>
          <w:rFonts w:ascii="Times New Roman" w:eastAsia="ArialMT" w:hAnsi="Times New Roman"/>
          <w:sz w:val="28"/>
          <w:szCs w:val="28"/>
          <w:lang w:val="kk-KZ"/>
        </w:rPr>
        <w:t>ающий</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цинковый</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палец</w:t>
      </w:r>
    </w:p>
    <w:p w14:paraId="0EF70102"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PEG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(Polyethylene glycol) </w:t>
      </w:r>
      <w:r w:rsidRPr="00107040">
        <w:rPr>
          <w:rFonts w:ascii="Times New Roman" w:eastAsia="ArialMT" w:hAnsi="Times New Roman"/>
          <w:sz w:val="28"/>
          <w:szCs w:val="28"/>
          <w:lang w:val="ru-RU"/>
        </w:rPr>
        <w:t>Полиэтиленгликоль</w:t>
      </w:r>
    </w:p>
    <w:p w14:paraId="34EE6EF6"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PK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(Proteinase K) </w:t>
      </w:r>
      <w:r w:rsidRPr="00107040">
        <w:rPr>
          <w:rFonts w:ascii="Times New Roman" w:eastAsia="ArialMT" w:hAnsi="Times New Roman"/>
          <w:sz w:val="28"/>
          <w:szCs w:val="28"/>
          <w:lang w:val="ru-RU"/>
        </w:rPr>
        <w:t>Протеиназа</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К</w:t>
      </w:r>
    </w:p>
    <w:p w14:paraId="3A23A6EA"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PNKP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(Polynucleotide kinase-phosphatase) </w:t>
      </w:r>
      <w:r w:rsidRPr="00107040">
        <w:rPr>
          <w:rFonts w:ascii="Times New Roman" w:eastAsia="ArialMT" w:hAnsi="Times New Roman"/>
          <w:sz w:val="28"/>
          <w:szCs w:val="28"/>
          <w:lang w:val="ru-RU"/>
        </w:rPr>
        <w:t>Полинуклеотидкиназа</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фосфат</w:t>
      </w:r>
    </w:p>
    <w:p w14:paraId="04C726CB" w14:textId="77777777" w:rsidR="000B103D" w:rsidRPr="00107040" w:rsidRDefault="000B103D" w:rsidP="000C16BB">
      <w:pPr>
        <w:autoSpaceDE w:val="0"/>
        <w:autoSpaceDN w:val="0"/>
        <w:adjustRightInd w:val="0"/>
        <w:spacing w:after="0" w:line="240" w:lineRule="auto"/>
        <w:jc w:val="both"/>
        <w:rPr>
          <w:rFonts w:ascii="Times New Roman" w:eastAsia="MS Mincho" w:hAnsi="Times New Roman"/>
          <w:sz w:val="28"/>
          <w:szCs w:val="28"/>
          <w:lang w:val="ru-RU" w:eastAsia="fr-FR"/>
        </w:rPr>
      </w:pPr>
      <w:r w:rsidRPr="00107040">
        <w:rPr>
          <w:rFonts w:ascii="Times New Roman" w:eastAsia="MS Mincho" w:hAnsi="Times New Roman"/>
          <w:sz w:val="28"/>
          <w:szCs w:val="28"/>
          <w:lang w:val="ru-RU" w:eastAsia="fr-FR"/>
        </w:rPr>
        <w:t>П.о. – Пара оснований</w:t>
      </w:r>
    </w:p>
    <w:p w14:paraId="6727EDAB"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ru-RU"/>
        </w:rPr>
        <w:t>РОТ – Реакция обратной транскрипции</w:t>
      </w:r>
    </w:p>
    <w:p w14:paraId="01D5B49B" w14:textId="77777777" w:rsidR="000B103D" w:rsidRPr="00107040" w:rsidRDefault="000B103D" w:rsidP="000C16BB">
      <w:pPr>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lastRenderedPageBreak/>
        <w:t>RAD</w:t>
      </w:r>
      <w:r w:rsidRPr="00107040">
        <w:rPr>
          <w:rFonts w:ascii="Times New Roman" w:eastAsia="ArialMT" w:hAnsi="Times New Roman"/>
          <w:sz w:val="28"/>
          <w:szCs w:val="28"/>
          <w:lang w:val="ru-RU"/>
        </w:rPr>
        <w:t xml:space="preserve">51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DNA</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repair</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protein</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RAD</w:t>
      </w:r>
      <w:r w:rsidRPr="00107040">
        <w:rPr>
          <w:rFonts w:ascii="Times New Roman" w:eastAsia="ArialMT" w:hAnsi="Times New Roman"/>
          <w:sz w:val="28"/>
          <w:szCs w:val="28"/>
          <w:lang w:val="ru-RU"/>
        </w:rPr>
        <w:t xml:space="preserve">51 </w:t>
      </w:r>
      <w:r w:rsidRPr="00107040">
        <w:rPr>
          <w:rFonts w:ascii="Times New Roman" w:eastAsia="ArialMT" w:hAnsi="Times New Roman"/>
          <w:sz w:val="28"/>
          <w:szCs w:val="28"/>
          <w:lang w:val="en-US"/>
        </w:rPr>
        <w:t>homolog</w:t>
      </w:r>
      <w:r w:rsidRPr="00107040">
        <w:rPr>
          <w:rFonts w:ascii="Times New Roman" w:eastAsia="ArialMT" w:hAnsi="Times New Roman"/>
          <w:sz w:val="28"/>
          <w:szCs w:val="28"/>
          <w:lang w:val="ru-RU"/>
        </w:rPr>
        <w:t xml:space="preserve"> 1) Гомолог 1 белка репарации ДНК </w:t>
      </w:r>
      <w:r w:rsidRPr="00107040">
        <w:rPr>
          <w:rFonts w:ascii="Times New Roman" w:eastAsia="ArialMT" w:hAnsi="Times New Roman"/>
          <w:sz w:val="28"/>
          <w:szCs w:val="28"/>
          <w:lang w:val="en-US"/>
        </w:rPr>
        <w:t>RAD</w:t>
      </w:r>
      <w:r w:rsidRPr="00107040">
        <w:rPr>
          <w:rFonts w:ascii="Times New Roman" w:eastAsia="ArialMT" w:hAnsi="Times New Roman"/>
          <w:sz w:val="28"/>
          <w:szCs w:val="28"/>
          <w:lang w:val="ru-RU"/>
        </w:rPr>
        <w:t>51</w:t>
      </w:r>
    </w:p>
    <w:p w14:paraId="7E7E5EF8"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kk-KZ"/>
        </w:rPr>
      </w:pPr>
      <w:r w:rsidRPr="00107040">
        <w:rPr>
          <w:rFonts w:ascii="Times New Roman" w:eastAsia="ArialMT" w:hAnsi="Times New Roman"/>
          <w:sz w:val="28"/>
          <w:szCs w:val="28"/>
          <w:lang w:val="en-US"/>
        </w:rPr>
        <w:t>Rib</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Ribose</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kk-KZ"/>
        </w:rPr>
        <w:t>Рибоза</w:t>
      </w:r>
    </w:p>
    <w:p w14:paraId="510E46EF"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kk-KZ"/>
        </w:rPr>
        <w:t>РНК</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Рибонуклеиновая кислота</w:t>
      </w:r>
    </w:p>
    <w:p w14:paraId="2BC40C87"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ru-RU"/>
        </w:rPr>
        <w:t>SAM – (</w:t>
      </w:r>
      <w:r w:rsidRPr="00107040">
        <w:rPr>
          <w:rFonts w:ascii="Times New Roman" w:eastAsia="ArialMT" w:hAnsi="Times New Roman"/>
          <w:sz w:val="28"/>
          <w:szCs w:val="28"/>
          <w:lang w:val="en-US"/>
        </w:rPr>
        <w:t>Sterile</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alpha</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motif</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kk-KZ"/>
        </w:rPr>
        <w:t>С</w:t>
      </w:r>
      <w:r w:rsidRPr="00107040">
        <w:rPr>
          <w:rFonts w:ascii="Times New Roman" w:eastAsia="ArialMT" w:hAnsi="Times New Roman"/>
          <w:sz w:val="28"/>
          <w:szCs w:val="28"/>
          <w:lang w:val="ru-RU"/>
        </w:rPr>
        <w:t>терильный альфа-мотив</w:t>
      </w:r>
    </w:p>
    <w:p w14:paraId="1B215862"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hAnsi="Times New Roman"/>
          <w:sz w:val="28"/>
          <w:szCs w:val="28"/>
          <w:lang w:val="en-US"/>
        </w:rPr>
        <w:t>SAP</w:t>
      </w:r>
      <w:r w:rsidRPr="00107040">
        <w:rPr>
          <w:rFonts w:ascii="Times New Roman" w:hAnsi="Times New Roman"/>
          <w:sz w:val="28"/>
          <w:szCs w:val="28"/>
          <w:lang w:val="ru-RU"/>
        </w:rPr>
        <w:t xml:space="preserve"> – (</w:t>
      </w:r>
      <w:r w:rsidRPr="00107040">
        <w:rPr>
          <w:rFonts w:ascii="Times New Roman" w:hAnsi="Times New Roman"/>
          <w:sz w:val="28"/>
          <w:szCs w:val="28"/>
          <w:lang w:val="en-US"/>
        </w:rPr>
        <w:t>P</w:t>
      </w:r>
      <w:r w:rsidRPr="00107040">
        <w:rPr>
          <w:rFonts w:ascii="Times New Roman" w:hAnsi="Times New Roman"/>
          <w:sz w:val="28"/>
          <w:szCs w:val="28"/>
          <w:lang w:val="ru-RU"/>
        </w:rPr>
        <w:t>utative DNA-binding motif) П редполагаемый ДНК-связывающий домен</w:t>
      </w:r>
    </w:p>
    <w:p w14:paraId="69486A10"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SDS</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Sodium</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dodecyl</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sulfate</w:t>
      </w:r>
      <w:r w:rsidRPr="00107040">
        <w:rPr>
          <w:rFonts w:ascii="Times New Roman" w:eastAsia="ArialMT" w:hAnsi="Times New Roman"/>
          <w:sz w:val="28"/>
          <w:szCs w:val="28"/>
          <w:lang w:val="ru-RU"/>
        </w:rPr>
        <w:t>) Додецилсульфат натрия</w:t>
      </w:r>
    </w:p>
    <w:p w14:paraId="1A19C613"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SOC – (Super Optimal broth with Catabolite repression) Супероптимальный бульон с катаболитной репрессией</w:t>
      </w:r>
    </w:p>
    <w:p w14:paraId="69D08DB5"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SSB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(Single stranded break) </w:t>
      </w:r>
      <w:r w:rsidRPr="00107040">
        <w:rPr>
          <w:rFonts w:ascii="Times New Roman" w:eastAsia="ArialMT" w:hAnsi="Times New Roman"/>
          <w:sz w:val="28"/>
          <w:szCs w:val="28"/>
          <w:lang w:val="ru-RU"/>
        </w:rPr>
        <w:t>Одноцепочечный</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разрыв</w:t>
      </w:r>
    </w:p>
    <w:p w14:paraId="00D94B8C"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SROs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(Similar to RCD-one) </w:t>
      </w:r>
      <w:r w:rsidRPr="00107040">
        <w:rPr>
          <w:rFonts w:ascii="Times New Roman" w:eastAsia="ArialMT" w:hAnsi="Times New Roman"/>
          <w:sz w:val="28"/>
          <w:szCs w:val="28"/>
          <w:lang w:val="ru-RU"/>
        </w:rPr>
        <w:t>Группа</w:t>
      </w:r>
      <w:r w:rsidRPr="00107040">
        <w:rPr>
          <w:rFonts w:ascii="Times New Roman" w:eastAsia="ArialMT" w:hAnsi="Times New Roman"/>
          <w:sz w:val="28"/>
          <w:szCs w:val="28"/>
          <w:lang w:val="en-US"/>
        </w:rPr>
        <w:t xml:space="preserve"> LIKE RCD-ONE</w:t>
      </w:r>
      <w:r w:rsidRPr="00107040">
        <w:rPr>
          <w:rFonts w:ascii="Times New Roman" w:eastAsia="ArialMT" w:hAnsi="Times New Roman"/>
          <w:sz w:val="28"/>
          <w:szCs w:val="28"/>
          <w:lang w:val="kk-KZ"/>
        </w:rPr>
        <w:t xml:space="preserve"> растений</w:t>
      </w:r>
    </w:p>
    <w:p w14:paraId="2B33F7D4"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SVPDE 1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(Snake venom phosphodiesterases) </w:t>
      </w:r>
      <w:r w:rsidRPr="00107040">
        <w:rPr>
          <w:rFonts w:ascii="Times New Roman" w:eastAsia="ArialMT" w:hAnsi="Times New Roman"/>
          <w:sz w:val="28"/>
          <w:szCs w:val="28"/>
          <w:lang w:val="ru-RU"/>
        </w:rPr>
        <w:t>Фосфодиэстераза</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змеиного</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яда</w:t>
      </w:r>
      <w:r w:rsidRPr="00107040">
        <w:rPr>
          <w:rFonts w:ascii="Times New Roman" w:eastAsia="ArialMT" w:hAnsi="Times New Roman"/>
          <w:sz w:val="28"/>
          <w:szCs w:val="28"/>
          <w:lang w:val="en-US"/>
        </w:rPr>
        <w:t xml:space="preserve"> 1</w:t>
      </w:r>
    </w:p>
    <w:p w14:paraId="03B73BD0"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TARG1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(Terminal ADP-ribose glycohydrolase 1) </w:t>
      </w:r>
      <w:r w:rsidRPr="00107040">
        <w:rPr>
          <w:rFonts w:ascii="Times New Roman" w:eastAsia="ArialMT" w:hAnsi="Times New Roman"/>
          <w:sz w:val="28"/>
          <w:szCs w:val="28"/>
          <w:lang w:val="ru-RU"/>
        </w:rPr>
        <w:t>Терминальная</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АД</w:t>
      </w:r>
      <w:r w:rsidRPr="00107040">
        <w:rPr>
          <w:rFonts w:ascii="Times New Roman" w:eastAsia="ArialMT" w:hAnsi="Times New Roman"/>
          <w:sz w:val="28"/>
          <w:szCs w:val="28"/>
          <w:lang w:val="kk-KZ"/>
        </w:rPr>
        <w:t>Ф</w:t>
      </w:r>
      <w:r w:rsidRPr="00107040">
        <w:rPr>
          <w:rFonts w:ascii="Times New Roman" w:eastAsia="ArialMT" w:hAnsi="Times New Roman"/>
          <w:sz w:val="28"/>
          <w:szCs w:val="28"/>
          <w:lang w:val="ru-RU"/>
        </w:rPr>
        <w:t>р</w:t>
      </w:r>
      <w:r w:rsidRPr="00107040">
        <w:rPr>
          <w:rFonts w:ascii="Times New Roman" w:eastAsia="ArialMT" w:hAnsi="Times New Roman"/>
          <w:sz w:val="28"/>
          <w:szCs w:val="28"/>
          <w:lang w:val="en-US"/>
        </w:rPr>
        <w:t>-</w:t>
      </w:r>
      <w:r w:rsidRPr="00107040">
        <w:rPr>
          <w:rFonts w:ascii="Times New Roman" w:eastAsia="ArialMT" w:hAnsi="Times New Roman"/>
          <w:sz w:val="28"/>
          <w:szCs w:val="28"/>
          <w:lang w:val="ru-RU"/>
        </w:rPr>
        <w:t>протеингликогидролаза</w:t>
      </w:r>
      <w:r w:rsidRPr="00107040">
        <w:rPr>
          <w:rFonts w:ascii="Times New Roman" w:eastAsia="ArialMT" w:hAnsi="Times New Roman"/>
          <w:sz w:val="28"/>
          <w:szCs w:val="28"/>
          <w:lang w:val="en-US"/>
        </w:rPr>
        <w:t xml:space="preserve"> 1</w:t>
      </w:r>
    </w:p>
    <w:p w14:paraId="277E5798"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TBS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(Tris buffered saline) </w:t>
      </w:r>
      <w:r w:rsidRPr="00107040">
        <w:rPr>
          <w:rFonts w:ascii="Times New Roman" w:eastAsia="ArialMT" w:hAnsi="Times New Roman"/>
          <w:sz w:val="28"/>
          <w:szCs w:val="28"/>
          <w:lang w:val="ru-RU"/>
        </w:rPr>
        <w:t>Трис</w:t>
      </w:r>
      <w:r w:rsidRPr="00107040">
        <w:rPr>
          <w:rFonts w:ascii="Times New Roman" w:eastAsia="ArialMT" w:hAnsi="Times New Roman"/>
          <w:sz w:val="28"/>
          <w:szCs w:val="28"/>
          <w:lang w:val="en-US"/>
        </w:rPr>
        <w:t>-</w:t>
      </w:r>
      <w:r w:rsidRPr="00107040">
        <w:rPr>
          <w:rFonts w:ascii="Times New Roman" w:eastAsia="ArialMT" w:hAnsi="Times New Roman"/>
          <w:sz w:val="28"/>
          <w:szCs w:val="28"/>
          <w:lang w:val="ru-RU"/>
        </w:rPr>
        <w:t>буферный</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раствор</w:t>
      </w:r>
    </w:p>
    <w:p w14:paraId="34F326D1"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TDG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(Thymine-DNA glycosylase) </w:t>
      </w:r>
      <w:r w:rsidRPr="00107040">
        <w:rPr>
          <w:rFonts w:ascii="Times New Roman" w:eastAsia="ArialMT" w:hAnsi="Times New Roman"/>
          <w:sz w:val="28"/>
          <w:szCs w:val="28"/>
          <w:lang w:val="ru-RU"/>
        </w:rPr>
        <w:t>Тимин</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ДНК</w:t>
      </w:r>
      <w:r w:rsidRPr="00107040">
        <w:rPr>
          <w:rFonts w:ascii="Times New Roman" w:eastAsia="ArialMT" w:hAnsi="Times New Roman"/>
          <w:sz w:val="28"/>
          <w:szCs w:val="28"/>
          <w:lang w:val="en-US"/>
        </w:rPr>
        <w:t>-</w:t>
      </w:r>
      <w:r w:rsidRPr="00107040">
        <w:rPr>
          <w:rFonts w:ascii="Times New Roman" w:eastAsia="ArialMT" w:hAnsi="Times New Roman"/>
          <w:sz w:val="28"/>
          <w:szCs w:val="28"/>
          <w:lang w:val="ru-RU"/>
        </w:rPr>
        <w:t>гликозилаза</w:t>
      </w:r>
    </w:p>
    <w:p w14:paraId="6F24F1C8"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TdP-1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(Tyrosyl-DNA phosphodiesterase 1) </w:t>
      </w:r>
      <w:r w:rsidRPr="00107040">
        <w:rPr>
          <w:rFonts w:ascii="Times New Roman" w:eastAsia="ArialMT" w:hAnsi="Times New Roman"/>
          <w:sz w:val="28"/>
          <w:szCs w:val="28"/>
          <w:lang w:val="ru-RU"/>
        </w:rPr>
        <w:t>Тирозил</w:t>
      </w:r>
      <w:r w:rsidRPr="00107040">
        <w:rPr>
          <w:rFonts w:ascii="Times New Roman" w:eastAsia="ArialMT" w:hAnsi="Times New Roman"/>
          <w:sz w:val="28"/>
          <w:szCs w:val="28"/>
          <w:lang w:val="en-US"/>
        </w:rPr>
        <w:t>-</w:t>
      </w:r>
      <w:r w:rsidRPr="00107040">
        <w:rPr>
          <w:rFonts w:ascii="Times New Roman" w:eastAsia="ArialMT" w:hAnsi="Times New Roman"/>
          <w:sz w:val="28"/>
          <w:szCs w:val="28"/>
          <w:lang w:val="ru-RU"/>
        </w:rPr>
        <w:t>ДНК</w:t>
      </w:r>
      <w:r w:rsidRPr="00107040">
        <w:rPr>
          <w:rFonts w:ascii="Times New Roman" w:eastAsia="ArialMT" w:hAnsi="Times New Roman"/>
          <w:sz w:val="28"/>
          <w:szCs w:val="28"/>
          <w:lang w:val="en-US"/>
        </w:rPr>
        <w:t>-</w:t>
      </w:r>
      <w:r w:rsidRPr="00107040">
        <w:rPr>
          <w:rFonts w:ascii="Times New Roman" w:eastAsia="ArialMT" w:hAnsi="Times New Roman"/>
          <w:sz w:val="28"/>
          <w:szCs w:val="28"/>
          <w:lang w:val="ru-RU"/>
        </w:rPr>
        <w:t>фосфодиэстераза</w:t>
      </w:r>
    </w:p>
    <w:p w14:paraId="775C83A5"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Tdt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(Terminal deoxynucleotidyl transferase) </w:t>
      </w:r>
      <w:r w:rsidRPr="00107040">
        <w:rPr>
          <w:rFonts w:ascii="Times New Roman" w:eastAsia="ArialMT" w:hAnsi="Times New Roman"/>
          <w:sz w:val="28"/>
          <w:szCs w:val="28"/>
          <w:lang w:val="ru-RU"/>
        </w:rPr>
        <w:t>Терминальная</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дезоксинуклеотидилтрансфераза</w:t>
      </w:r>
    </w:p>
    <w:p w14:paraId="33334E73"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tRNA – (Transfer RNA) </w:t>
      </w:r>
      <w:r w:rsidRPr="00107040">
        <w:rPr>
          <w:rFonts w:ascii="Times New Roman" w:eastAsia="ArialMT" w:hAnsi="Times New Roman"/>
          <w:sz w:val="28"/>
          <w:szCs w:val="28"/>
          <w:lang w:val="ru-RU"/>
        </w:rPr>
        <w:t>Транспортная</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РНК</w:t>
      </w:r>
    </w:p>
    <w:p w14:paraId="52554ED8"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Trp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(Tryptophan) </w:t>
      </w:r>
      <w:r w:rsidRPr="00107040">
        <w:rPr>
          <w:rFonts w:ascii="Times New Roman" w:eastAsia="ArialMT" w:hAnsi="Times New Roman"/>
          <w:sz w:val="28"/>
          <w:szCs w:val="28"/>
          <w:lang w:val="ru-RU"/>
        </w:rPr>
        <w:t>Триптофан</w:t>
      </w:r>
    </w:p>
    <w:p w14:paraId="2DBE8FBC"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UV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Ультрафиолетовый</w:t>
      </w:r>
    </w:p>
    <w:p w14:paraId="029CDBEB"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WB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(Western blot) </w:t>
      </w:r>
      <w:r w:rsidRPr="00107040">
        <w:rPr>
          <w:rFonts w:ascii="Times New Roman" w:eastAsia="ArialMT" w:hAnsi="Times New Roman"/>
          <w:sz w:val="28"/>
          <w:szCs w:val="28"/>
          <w:lang w:val="ru-RU"/>
        </w:rPr>
        <w:t>Вестерн</w:t>
      </w:r>
      <w:r w:rsidRPr="00107040">
        <w:rPr>
          <w:rFonts w:ascii="Times New Roman" w:eastAsia="ArialMT" w:hAnsi="Times New Roman"/>
          <w:sz w:val="28"/>
          <w:szCs w:val="28"/>
          <w:lang w:val="kk-KZ"/>
        </w:rPr>
        <w:t xml:space="preserve"> </w:t>
      </w:r>
      <w:r w:rsidRPr="00107040">
        <w:rPr>
          <w:rFonts w:ascii="Times New Roman" w:eastAsia="ArialMT" w:hAnsi="Times New Roman"/>
          <w:sz w:val="28"/>
          <w:szCs w:val="28"/>
          <w:lang w:val="ru-RU"/>
        </w:rPr>
        <w:t>блот</w:t>
      </w:r>
    </w:p>
    <w:p w14:paraId="56AD77D3"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WT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(Wild type) </w:t>
      </w:r>
      <w:r w:rsidRPr="00107040">
        <w:rPr>
          <w:rFonts w:ascii="Times New Roman" w:eastAsia="ArialMT" w:hAnsi="Times New Roman"/>
          <w:sz w:val="28"/>
          <w:szCs w:val="28"/>
          <w:lang w:val="ru-RU"/>
        </w:rPr>
        <w:t>Дикий</w:t>
      </w:r>
      <w:r w:rsidRPr="00107040">
        <w:rPr>
          <w:rFonts w:ascii="Times New Roman" w:eastAsia="ArialMT" w:hAnsi="Times New Roman"/>
          <w:sz w:val="28"/>
          <w:szCs w:val="28"/>
          <w:lang w:val="en-US"/>
        </w:rPr>
        <w:t xml:space="preserve"> </w:t>
      </w:r>
      <w:r w:rsidRPr="00107040">
        <w:rPr>
          <w:rFonts w:ascii="Times New Roman" w:eastAsia="ArialMT" w:hAnsi="Times New Roman"/>
          <w:sz w:val="28"/>
          <w:szCs w:val="28"/>
          <w:lang w:val="ru-RU"/>
        </w:rPr>
        <w:t>тип</w:t>
      </w:r>
    </w:p>
    <w:p w14:paraId="57DAAEFF"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en-US"/>
        </w:rPr>
      </w:pPr>
      <w:r w:rsidRPr="00107040">
        <w:rPr>
          <w:rFonts w:ascii="Times New Roman" w:eastAsia="ArialMT" w:hAnsi="Times New Roman"/>
          <w:sz w:val="28"/>
          <w:szCs w:val="28"/>
          <w:lang w:val="en-US"/>
        </w:rPr>
        <w:t xml:space="preserve">WWE </w:t>
      </w:r>
      <w:r w:rsidRPr="00107040">
        <w:rPr>
          <w:rFonts w:ascii="Times New Roman" w:eastAsia="MS Mincho" w:hAnsi="Times New Roman"/>
          <w:sz w:val="28"/>
          <w:szCs w:val="28"/>
          <w:lang w:val="en-US" w:eastAsia="fr-FR"/>
        </w:rPr>
        <w:t>–</w:t>
      </w:r>
      <w:r w:rsidRPr="00107040">
        <w:rPr>
          <w:rFonts w:ascii="Times New Roman" w:eastAsia="ArialMT" w:hAnsi="Times New Roman"/>
          <w:sz w:val="28"/>
          <w:szCs w:val="28"/>
          <w:lang w:val="en-US"/>
        </w:rPr>
        <w:t xml:space="preserve"> Trp-Trp-Glu</w:t>
      </w:r>
    </w:p>
    <w:p w14:paraId="7B785934" w14:textId="77777777" w:rsidR="000B103D" w:rsidRPr="00107040" w:rsidRDefault="000B103D" w:rsidP="000C16BB">
      <w:pPr>
        <w:autoSpaceDE w:val="0"/>
        <w:autoSpaceDN w:val="0"/>
        <w:adjustRightInd w:val="0"/>
        <w:spacing w:after="0" w:line="240" w:lineRule="auto"/>
        <w:jc w:val="both"/>
        <w:rPr>
          <w:rFonts w:ascii="Times New Roman" w:eastAsia="ArialMT" w:hAnsi="Times New Roman"/>
          <w:sz w:val="28"/>
          <w:szCs w:val="28"/>
          <w:lang w:val="ru-RU"/>
        </w:rPr>
      </w:pPr>
      <w:r w:rsidRPr="00107040">
        <w:rPr>
          <w:rFonts w:ascii="Times New Roman" w:eastAsia="ArialMT" w:hAnsi="Times New Roman"/>
          <w:sz w:val="28"/>
          <w:szCs w:val="28"/>
          <w:lang w:val="en-US"/>
        </w:rPr>
        <w:t>HEG</w:t>
      </w:r>
      <w:r w:rsidRPr="00107040">
        <w:rPr>
          <w:rFonts w:ascii="Times New Roman" w:eastAsia="ArialMT" w:hAnsi="Times New Roman"/>
          <w:sz w:val="28"/>
          <w:szCs w:val="28"/>
          <w:lang w:val="ru-RU"/>
        </w:rPr>
        <w:t xml:space="preserve"> </w:t>
      </w:r>
      <w:r w:rsidRPr="00107040">
        <w:rPr>
          <w:rFonts w:ascii="Times New Roman" w:eastAsia="MS Mincho" w:hAnsi="Times New Roman"/>
          <w:sz w:val="28"/>
          <w:szCs w:val="28"/>
          <w:lang w:val="ru-RU" w:eastAsia="fr-FR"/>
        </w:rPr>
        <w:t>–</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Hexaethylene</w:t>
      </w:r>
      <w:r w:rsidRPr="00107040">
        <w:rPr>
          <w:rFonts w:ascii="Times New Roman" w:eastAsia="ArialMT" w:hAnsi="Times New Roman"/>
          <w:sz w:val="28"/>
          <w:szCs w:val="28"/>
          <w:lang w:val="ru-RU"/>
        </w:rPr>
        <w:t xml:space="preserve"> </w:t>
      </w:r>
      <w:r w:rsidRPr="00107040">
        <w:rPr>
          <w:rFonts w:ascii="Times New Roman" w:eastAsia="ArialMT" w:hAnsi="Times New Roman"/>
          <w:sz w:val="28"/>
          <w:szCs w:val="28"/>
          <w:lang w:val="en-US"/>
        </w:rPr>
        <w:t>glycol</w:t>
      </w:r>
      <w:r w:rsidRPr="00107040">
        <w:rPr>
          <w:rFonts w:ascii="Times New Roman" w:eastAsia="ArialMT" w:hAnsi="Times New Roman"/>
          <w:sz w:val="28"/>
          <w:szCs w:val="28"/>
          <w:lang w:val="ru-RU"/>
        </w:rPr>
        <w:t>) Гексаэтиленгликоль</w:t>
      </w:r>
    </w:p>
    <w:p w14:paraId="1C6149AA" w14:textId="4733408C" w:rsidR="000B103D" w:rsidRPr="00107040" w:rsidRDefault="000B103D" w:rsidP="000C16BB">
      <w:pPr>
        <w:shd w:val="clear" w:color="auto" w:fill="FFFFFF"/>
        <w:spacing w:after="0" w:line="240" w:lineRule="auto"/>
        <w:ind w:firstLine="567"/>
        <w:jc w:val="both"/>
        <w:rPr>
          <w:rStyle w:val="jlqj4b"/>
          <w:rFonts w:ascii="Times New Roman" w:hAnsi="Times New Roman"/>
          <w:b/>
          <w:sz w:val="28"/>
          <w:szCs w:val="28"/>
          <w:shd w:val="clear" w:color="auto" w:fill="FFFFFF"/>
          <w:lang w:val="ru-RU"/>
        </w:rPr>
      </w:pPr>
      <w:r w:rsidRPr="00107040">
        <w:rPr>
          <w:rStyle w:val="jlqj4b"/>
          <w:rFonts w:ascii="Times New Roman" w:hAnsi="Times New Roman"/>
          <w:b/>
          <w:sz w:val="28"/>
          <w:szCs w:val="28"/>
          <w:shd w:val="clear" w:color="auto" w:fill="FFFFFF"/>
          <w:lang w:val="ru-RU"/>
        </w:rPr>
        <w:br w:type="page"/>
      </w:r>
    </w:p>
    <w:p w14:paraId="6E033EE3" w14:textId="77777777" w:rsidR="000B103D" w:rsidRPr="00107040" w:rsidRDefault="000B103D" w:rsidP="000C16BB">
      <w:pPr>
        <w:keepNext/>
        <w:spacing w:after="0" w:line="240" w:lineRule="auto"/>
        <w:jc w:val="center"/>
        <w:outlineLvl w:val="0"/>
        <w:rPr>
          <w:rFonts w:ascii="Times New Roman" w:eastAsia="MS Mincho" w:hAnsi="Times New Roman"/>
          <w:b/>
          <w:sz w:val="28"/>
          <w:szCs w:val="28"/>
          <w:lang w:val="ru-RU" w:eastAsia="ja-JP"/>
        </w:rPr>
      </w:pPr>
      <w:r w:rsidRPr="00107040">
        <w:rPr>
          <w:rFonts w:ascii="Times New Roman" w:eastAsia="MS Mincho" w:hAnsi="Times New Roman"/>
          <w:b/>
          <w:sz w:val="28"/>
          <w:szCs w:val="28"/>
          <w:lang w:val="ru-RU" w:eastAsia="ja-JP"/>
        </w:rPr>
        <w:lastRenderedPageBreak/>
        <w:t>ВВЕДЕНИЕ</w:t>
      </w:r>
    </w:p>
    <w:p w14:paraId="0D9072EB" w14:textId="77777777" w:rsidR="000B103D" w:rsidRPr="00107040" w:rsidRDefault="000B103D" w:rsidP="000C16BB">
      <w:pPr>
        <w:tabs>
          <w:tab w:val="left" w:pos="142"/>
        </w:tabs>
        <w:spacing w:after="0" w:line="240" w:lineRule="auto"/>
        <w:jc w:val="both"/>
        <w:rPr>
          <w:rFonts w:ascii="Times New Roman" w:eastAsia="MS Mincho" w:hAnsi="Times New Roman"/>
          <w:b/>
          <w:sz w:val="28"/>
          <w:szCs w:val="28"/>
          <w:lang w:val="ru-RU" w:eastAsia="ja-JP"/>
        </w:rPr>
      </w:pPr>
    </w:p>
    <w:p w14:paraId="79955CF0" w14:textId="77777777" w:rsidR="000B103D" w:rsidRPr="00107040" w:rsidRDefault="000B103D" w:rsidP="000C16BB">
      <w:pPr>
        <w:tabs>
          <w:tab w:val="left" w:pos="142"/>
        </w:tabs>
        <w:spacing w:after="0" w:line="240" w:lineRule="auto"/>
        <w:ind w:firstLine="567"/>
        <w:jc w:val="both"/>
        <w:rPr>
          <w:rFonts w:ascii="Times New Roman" w:eastAsia="MS Mincho" w:hAnsi="Times New Roman"/>
          <w:sz w:val="28"/>
          <w:szCs w:val="28"/>
          <w:lang w:val="ru-RU" w:eastAsia="ru-RU"/>
        </w:rPr>
      </w:pPr>
      <w:r w:rsidRPr="00107040">
        <w:rPr>
          <w:rFonts w:ascii="Times New Roman" w:eastAsia="MS Mincho" w:hAnsi="Times New Roman"/>
          <w:b/>
          <w:sz w:val="28"/>
          <w:szCs w:val="28"/>
          <w:lang w:val="ru-RU" w:eastAsia="ja-JP"/>
        </w:rPr>
        <w:t xml:space="preserve">Общая характеристика работы. </w:t>
      </w:r>
      <w:r w:rsidRPr="00107040">
        <w:rPr>
          <w:rFonts w:ascii="Times New Roman" w:eastAsia="MS Mincho" w:hAnsi="Times New Roman"/>
          <w:sz w:val="28"/>
          <w:szCs w:val="28"/>
          <w:lang w:val="ru-RU" w:eastAsia="ru-RU"/>
        </w:rPr>
        <w:t xml:space="preserve">Диссертационная работа посвящена исследованиям PARP зависимого ковалентного поли (АДФ-рибозил)ирования ДНК субстратов в условиях </w:t>
      </w:r>
      <w:r w:rsidRPr="00107040">
        <w:rPr>
          <w:rFonts w:ascii="Times New Roman" w:eastAsia="MS Mincho" w:hAnsi="Times New Roman"/>
          <w:i/>
          <w:sz w:val="28"/>
          <w:szCs w:val="28"/>
          <w:lang w:val="ru-RU" w:eastAsia="ru-RU"/>
        </w:rPr>
        <w:t>in vitro</w:t>
      </w:r>
      <w:r w:rsidRPr="00107040">
        <w:rPr>
          <w:rFonts w:ascii="Times New Roman" w:eastAsia="MS Mincho" w:hAnsi="Times New Roman"/>
          <w:sz w:val="28"/>
          <w:szCs w:val="28"/>
          <w:lang w:val="ru-RU" w:eastAsia="ru-RU"/>
        </w:rPr>
        <w:t xml:space="preserve"> и </w:t>
      </w:r>
      <w:r w:rsidRPr="00107040">
        <w:rPr>
          <w:rFonts w:ascii="Times New Roman" w:eastAsia="MS Mincho" w:hAnsi="Times New Roman"/>
          <w:i/>
          <w:sz w:val="28"/>
          <w:szCs w:val="28"/>
          <w:lang w:val="ru-RU" w:eastAsia="ru-RU"/>
        </w:rPr>
        <w:t>in vivo</w:t>
      </w:r>
      <w:r w:rsidRPr="00107040">
        <w:rPr>
          <w:rFonts w:ascii="Times New Roman" w:eastAsia="MS Mincho" w:hAnsi="Times New Roman"/>
          <w:sz w:val="28"/>
          <w:szCs w:val="28"/>
          <w:lang w:val="ru-RU" w:eastAsia="ru-RU"/>
        </w:rPr>
        <w:t>.</w:t>
      </w:r>
    </w:p>
    <w:p w14:paraId="721B4C89" w14:textId="77777777" w:rsidR="000B103D" w:rsidRPr="00107040" w:rsidRDefault="000B103D" w:rsidP="000C16BB">
      <w:pPr>
        <w:shd w:val="clear" w:color="auto" w:fill="FFFFFF"/>
        <w:tabs>
          <w:tab w:val="left" w:pos="709"/>
          <w:tab w:val="left" w:pos="851"/>
        </w:tabs>
        <w:spacing w:after="0" w:line="240" w:lineRule="auto"/>
        <w:ind w:firstLine="567"/>
        <w:contextualSpacing/>
        <w:jc w:val="both"/>
        <w:textAlignment w:val="baseline"/>
        <w:rPr>
          <w:rFonts w:ascii="Times New Roman" w:eastAsia="MS Mincho" w:hAnsi="Times New Roman"/>
          <w:sz w:val="28"/>
          <w:szCs w:val="28"/>
          <w:lang w:val="ru-RU" w:eastAsia="ja-JP"/>
        </w:rPr>
      </w:pPr>
      <w:r w:rsidRPr="00107040">
        <w:rPr>
          <w:rFonts w:ascii="Times New Roman" w:eastAsia="MS Mincho" w:hAnsi="Times New Roman"/>
          <w:b/>
          <w:sz w:val="28"/>
          <w:szCs w:val="28"/>
          <w:lang w:val="ru-RU" w:eastAsia="ja-JP"/>
        </w:rPr>
        <w:t xml:space="preserve">Актуальность исследования. </w:t>
      </w:r>
      <w:r w:rsidRPr="00107040">
        <w:rPr>
          <w:rFonts w:ascii="Times New Roman" w:eastAsia="MS Mincho" w:hAnsi="Times New Roman"/>
          <w:sz w:val="28"/>
          <w:szCs w:val="28"/>
          <w:lang w:val="ru-RU" w:eastAsia="ja-JP"/>
        </w:rPr>
        <w:t>Р</w:t>
      </w:r>
      <w:r w:rsidRPr="00107040">
        <w:rPr>
          <w:rFonts w:ascii="Times New Roman" w:eastAsia="MS Mincho" w:hAnsi="Times New Roman"/>
          <w:sz w:val="28"/>
          <w:szCs w:val="28"/>
          <w:shd w:val="clear" w:color="auto" w:fill="FFFFFF"/>
          <w:lang w:val="ru-RU" w:eastAsia="ja-JP"/>
        </w:rPr>
        <w:t xml:space="preserve">астения не могут изменять своё положение в грунте, и поэтому </w:t>
      </w:r>
      <w:r w:rsidRPr="00107040">
        <w:rPr>
          <w:rFonts w:ascii="Times New Roman" w:eastAsia="MS Mincho" w:hAnsi="Times New Roman"/>
          <w:sz w:val="28"/>
          <w:szCs w:val="28"/>
          <w:lang w:val="ru-RU" w:eastAsia="ja-JP"/>
        </w:rPr>
        <w:t>постоянно подвергаются воздействию экологических и генотоксических агентов, в том числе ультрафиолетовому и и</w:t>
      </w:r>
      <w:r w:rsidRPr="00107040">
        <w:rPr>
          <w:rFonts w:ascii="Times New Roman" w:eastAsia="MS Mincho" w:hAnsi="Times New Roman"/>
          <w:sz w:val="28"/>
          <w:szCs w:val="28"/>
          <w:lang w:val="ru-RU" w:eastAsia="ru-RU"/>
        </w:rPr>
        <w:t>онизирующе</w:t>
      </w:r>
      <w:r w:rsidRPr="00107040">
        <w:rPr>
          <w:rFonts w:ascii="Times New Roman" w:eastAsia="MS Mincho" w:hAnsi="Times New Roman"/>
          <w:sz w:val="28"/>
          <w:szCs w:val="28"/>
          <w:lang w:val="ru-RU" w:eastAsia="ja-JP"/>
        </w:rPr>
        <w:t>му излучению</w:t>
      </w:r>
      <w:r w:rsidRPr="00107040">
        <w:rPr>
          <w:rFonts w:ascii="Times New Roman" w:eastAsia="MS Mincho" w:hAnsi="Times New Roman"/>
          <w:sz w:val="28"/>
          <w:szCs w:val="28"/>
          <w:lang w:val="ru-RU" w:eastAsia="ru-RU"/>
        </w:rPr>
        <w:t xml:space="preserve">. Кроме этого, растения непрерывно генерирует радикалы кислорода (АФК) в качестве побочных продуктов метаболических реакций, которые </w:t>
      </w:r>
      <w:r w:rsidRPr="00107040">
        <w:rPr>
          <w:rFonts w:ascii="Times New Roman" w:eastAsia="MS Mincho" w:hAnsi="Times New Roman"/>
          <w:snapToGrid w:val="0"/>
          <w:sz w:val="28"/>
          <w:szCs w:val="28"/>
          <w:lang w:val="ru-RU" w:eastAsia="ja-JP"/>
        </w:rPr>
        <w:t>в относительно большом количестве синтезируются в митохондриях, хлоропластах, пероксисомах и на плазматических мембранах</w:t>
      </w:r>
      <w:r w:rsidRPr="00107040">
        <w:rPr>
          <w:rFonts w:ascii="Times New Roman" w:eastAsia="MS Mincho" w:hAnsi="Times New Roman"/>
          <w:sz w:val="28"/>
          <w:szCs w:val="28"/>
          <w:lang w:val="ru-RU" w:eastAsia="ru-RU"/>
        </w:rPr>
        <w:t xml:space="preserve">. Всё это, в первую очередь, действует на клеточную ДНК, вызывая её повреждения на уровне изменения азотистых оснований, сахаро-фосфатного остова и разрывов ДНК </w:t>
      </w:r>
      <w:r w:rsidRPr="00107040">
        <w:rPr>
          <w:rFonts w:ascii="Times New Roman" w:eastAsia="MS Mincho" w:hAnsi="Times New Roman"/>
          <w:sz w:val="28"/>
          <w:szCs w:val="28"/>
          <w:lang w:val="ru-RU" w:eastAsia="ru-RU"/>
        </w:rPr>
        <w:fldChar w:fldCharType="begin"/>
      </w:r>
      <w:r w:rsidRPr="00107040">
        <w:rPr>
          <w:rFonts w:ascii="Times New Roman" w:eastAsia="MS Mincho" w:hAnsi="Times New Roman"/>
          <w:sz w:val="28"/>
          <w:szCs w:val="28"/>
          <w:lang w:val="ru-RU" w:eastAsia="ru-RU"/>
        </w:rPr>
        <w:instrText xml:space="preserve"> ADDIN ZOTERO_ITEM CSL_CITATION {"citationID":"x6JvTxIW","properties":{"formattedCitation":"[1]","plainCitation":"[1]","noteIndex":0},"citationItems":[{"id":1228,"uris":["http://zotero.org/users/9078202/items/4H2AYE4R"],"itemData":{"id":1228,"type":"article-journal","abstract":"Chloroplasts and mitochondria are the powerhouses of photosynthetic cells. The oxidation-reduction (redox) cascades of the photosynthetic and respiratory electron transport chains not only provide the driving forces for metabolism but also generate redox signals, which participate in and regulate every aspect of plant biology from gene expression and translation to enzyme chemistry. Plastoquinone, thioredoxin and reactive oxygen have all been shown to have signalling functions. Moreover, the intrinsic involvement of molecular oxygen in electron transport processes with the inherent generation of superoxide, hydrogen peroxide and singlet oxygen provides a repertoire of additional extremely powerful signals. Accumulating evidence implicates the major redox buffers of plant cells, ascorbate and glutathione, in redox signal transduction. The network of redox signals from energy-generating organelles orchestrates metabolism to adjust energy production to utilization, interfacing with hormone signalling to respond to environmental change at every stage of plant development.","container-title":"Physiologia Plantarum","DOI":"10.1034/j.1399-3054.2003.00223.x","ISSN":"1399-3054","issue":"3","language":"en","note":"_eprint: https://onlinelibrary.wiley.com/doi/pdf/10.1034/j.1399-3054.2003.00223.x","page":"355-364","source":"Wiley Online Library","title":"Redox sensing and signalling associated with reactive oxygen in chloroplasts, peroxisomes and mitochondria","URL":"https://onlinelibrary.wiley.com/doi/abs/10.1034/j.1399-3054.2003.00223.x","volume":"119","author":[{"family":"Foyer","given":"Christine H."},{"family":"Noctor","given":"Graham"}],"accessed":{"date-parts":[["2022",4,20]]},"issued":{"date-parts":[["2003"]]}}}],"schema":"https://github.com/citation-style-language/schema/raw/master/csl-citation.json"} </w:instrText>
      </w:r>
      <w:r w:rsidRPr="00107040">
        <w:rPr>
          <w:rFonts w:ascii="Times New Roman" w:eastAsia="MS Mincho" w:hAnsi="Times New Roman"/>
          <w:sz w:val="28"/>
          <w:szCs w:val="28"/>
          <w:lang w:val="ru-RU" w:eastAsia="ru-RU"/>
        </w:rPr>
        <w:fldChar w:fldCharType="separate"/>
      </w:r>
      <w:r w:rsidRPr="00107040">
        <w:rPr>
          <w:rFonts w:ascii="Times New Roman" w:hAnsi="Times New Roman"/>
          <w:sz w:val="28"/>
          <w:szCs w:val="28"/>
          <w:lang w:val="ru-RU"/>
        </w:rPr>
        <w:t>[1]</w:t>
      </w:r>
      <w:r w:rsidRPr="00107040">
        <w:rPr>
          <w:rFonts w:ascii="Times New Roman" w:eastAsia="MS Mincho" w:hAnsi="Times New Roman"/>
          <w:sz w:val="28"/>
          <w:szCs w:val="28"/>
          <w:lang w:val="ru-RU" w:eastAsia="ru-RU"/>
        </w:rPr>
        <w:fldChar w:fldCharType="end"/>
      </w:r>
      <w:r w:rsidRPr="00107040">
        <w:rPr>
          <w:rFonts w:ascii="Times New Roman" w:eastAsia="MS Mincho" w:hAnsi="Times New Roman"/>
          <w:sz w:val="28"/>
          <w:szCs w:val="28"/>
          <w:lang w:val="ru-RU" w:eastAsia="ru-RU"/>
        </w:rPr>
        <w:t xml:space="preserve">. </w:t>
      </w:r>
      <w:r w:rsidRPr="00107040">
        <w:rPr>
          <w:rFonts w:ascii="Times New Roman" w:eastAsia="MS Mincho" w:hAnsi="Times New Roman"/>
          <w:sz w:val="28"/>
          <w:szCs w:val="28"/>
          <w:lang w:val="ru-RU" w:eastAsia="ja-JP"/>
        </w:rPr>
        <w:t xml:space="preserve">Если клетки неспособны обнаруживать и восстанавливать разрывы нитей ДНК, то это может привести к пагубным последствиям, таким как хромосомные аберрации, геномная нестабильность и гибель клеток. Сохранение целостности генома посредством восстановления повреждения ДНК имеет важное значение как в зародышевой, так и в соматических клетках </w:t>
      </w:r>
      <w:r w:rsidRPr="00107040">
        <w:rPr>
          <w:rFonts w:ascii="Times New Roman" w:eastAsia="MS Mincho" w:hAnsi="Times New Roman"/>
          <w:sz w:val="28"/>
          <w:szCs w:val="28"/>
          <w:highlight w:val="yellow"/>
          <w:lang w:val="ru-RU" w:eastAsia="ja-JP"/>
        </w:rPr>
        <w:fldChar w:fldCharType="begin"/>
      </w:r>
      <w:r w:rsidRPr="00107040">
        <w:rPr>
          <w:rFonts w:ascii="Times New Roman" w:eastAsia="MS Mincho" w:hAnsi="Times New Roman"/>
          <w:sz w:val="28"/>
          <w:szCs w:val="28"/>
          <w:highlight w:val="yellow"/>
          <w:lang w:val="ru-RU" w:eastAsia="ja-JP"/>
        </w:rPr>
        <w:instrText xml:space="preserve"> ADDIN ZOTERO_ITEM CSL_CITATION {"citationID":"l2FTSNi2","properties":{"unsorted":true,"formattedCitation":"[2\\uc0\\u8211{}5]","plainCitation":"[2–5]","noteIndex":0},"citationItems":[{"id":1231,"uris":["http://zotero.org/users/9078202/items/69YZIMV4"],"itemData":{"id":1231,"type":"article-journal","abstract":"Maintaining genome integrity and transmission of intact genomes is critical for cellular, organismal, and species survival. Cells can detect damaged DNA, activate checkpoints, and either enable DNA repair or trigger apoptosis to eliminate the damaged cell. Aberrations in these mechanisms lead to somatic mutations and genetic instability, which are hallmarks of cancer. Considering the long history of host-microbe coevolution, an impact of microbial infection on host genome integrity is not unexpected, and emerging links between microbial infections and oncogenesis further reinforce this idea. In this review, we compare strategies employed by viruses, bacteria, and parasites to alter, subvert, or otherwise manipulate host DNA damage and repair pathways. We highlight how microbes contribute to tumorigenesis by directly inducing DNA damage, inactivating checkpoint controls, or manipulating repair processes. We also discuss indirect effects resulting from inflammatory responses, changes in cellular metabolism, nuclear architecture, and epigenome integrity, and the associated evolutionary tradeoffs.","container-title":"Cell Host &amp; Microbe","DOI":"10.1016/j.chom.2014.02.010","ISSN":"1934-6069","issue":"3","journalAbbreviation":"Cell Host Microbe","language":"eng","note":"PMID: 24629335\nPMCID: PMC4501477","page":"283-294","source":"PubMed","title":"What's the damage? The impact of pathogens on pathways that maintain host genome integrity","title-short":"What's the damage?","volume":"15","author":[{"family":"Weitzman","given":"Matthew D."},{"family":"Weitzman","given":"Jonathan B."}],"issued":{"date-parts":[["2014",3,12]]}}},{"id":1234,"uris":["http://zotero.org/users/9078202/items/22BK6MWA"],"itemData":{"id":1234,"type":"article-journal","abstract":"The maintenance of genome integrity is essential for organism survival and for the inheritance of traits to offspring. Genomic instability is caused by DNA damage, aberrant DNA replication or uncoordinated cell division, which can lead to chromosomal aberrations and gene mutations. Recently, chromatin regulators that shape the epigenetic landscape have emerged as potential gatekeepers and signalling coordinators for the maintenance of genome integrity. Here, we review chromatin functions during the two major pathways that control genome integrity: namely, repair of DNA damage and DNA replication. We also discuss recent evidence that suggests a novel role for chromatin-remodelling factors in chromosome segregation and in the prevention of aneuploidy.","container-title":"Nature Reviews. Genetics","DOI":"10.1038/nrg3345","ISSN":"1471-0064","issue":"1","journalAbbreviation":"Nat Rev Genet","language":"eng","note":"PMID: 23247436\nPMCID: PMC3731064","page":"62-75","source":"PubMed","title":"Chromatin and the genome integrity network","volume":"14","author":[{"family":"Papamichos-Chronakis","given":"Manolis"},{"family":"Peterson","given":"Craig L."}],"issued":{"date-parts":[["2013",1]]}}},{"id":1237,"uris":["http://zotero.org/users/9078202/items/E68V7IPK"],"itemData":{"id":1237,"type":"article-journal","abstract":"DNA damage checkpoints are important tumor-suppressor mechanisms that halt cell cycle progression to allow time for DNA repair, or induce senescence and apoptosis to remove damaged cells permanently. Non-cell-autonomous DNA damage responses activate the innate immune system in multiple metazoan species. These responses not only enable clearance of damaged cells and contribute to tissue remodeling and regeneration but can also result in chronic inflammation and tissue damage. Germline DNA damage-induced systemic stress resistance (GDISR) is mediated by an ancestral innate immune response and results in organismal adjustments to the presence of damaged cells. We discuss GDISR as an organismal DNA damage checkpoint mechanism through which elevated somatic endurance can extend reproductive lifespan when germ cells require extended time for restoring genome stability.","container-title":"Trends in genetics: TIG","DOI":"10.1016/j.tig.2013.12.001","ISSN":"0168-9525","issue":"3","journalAbbreviation":"Trends Genet","language":"eng","note":"PMID: 24439457\nPMCID: PMC4248340","page":"95-102","source":"PubMed","title":"Systemic DNA damage responses: organismal adaptations to genome instability","title-short":"Systemic DNA damage responses","volume":"30","author":[{"family":"Ermolaeva","given":"Maria A."},{"family":"Schumacher","given":"Björn"}],"issued":{"date-parts":[["2014",3]]}}},{"id":1240,"uris":["http://zotero.org/users/9078202/items/ASLULSIG"],"itemData":{"id":1240,"type":"article-journal","abstract":"The addition to proteins of the negatively charged polymer of ADP-ribose (PAR), which is synthesized by PAR polymerases (PARPs) from NAD(+), is a unique post-translational modification. It regulates not only cell survival and cell-death programmes, but also an increasing number of other biological functions with which novel members of the PARP family have been associated. These functions include transcriptional regulation, telomere cohesion and mitotic spindle formation during cell division, intracellular trafficking and energy metabolism.","container-title":"Nature Reviews. Molecular Cell Biology","DOI":"10.1038/nrm1963","ISSN":"1471-0072","issue":"7","journalAbbreviation":"Nat Rev Mol Cell Biol","language":"eng","note":"PMID: 16829982","page":"517-528","source":"PubMed","title":"Poly(ADP-ribose): novel functions for an old molecule","title-short":"Poly(ADP-ribose)","volume":"7","author":[{"family":"Schreiber","given":"Valérie"},{"family":"Dantzer","given":"Françoise"},{"family":"Ame","given":"Jean-Christophe"},{"family":"Murcia","given":"Gilbert","non-dropping-particle":"de"}],"issued":{"date-parts":[["2006",7]]}}}],"schema":"https://github.com/citation-style-language/schema/raw/master/csl-citation.json"} </w:instrText>
      </w:r>
      <w:r w:rsidRPr="00107040">
        <w:rPr>
          <w:rFonts w:ascii="Times New Roman" w:eastAsia="MS Mincho" w:hAnsi="Times New Roman"/>
          <w:sz w:val="28"/>
          <w:szCs w:val="28"/>
          <w:highlight w:val="yellow"/>
          <w:lang w:val="ru-RU" w:eastAsia="ja-JP"/>
        </w:rPr>
        <w:fldChar w:fldCharType="separate"/>
      </w:r>
      <w:r w:rsidRPr="00107040">
        <w:rPr>
          <w:rFonts w:ascii="Times New Roman" w:hAnsi="Times New Roman"/>
          <w:sz w:val="28"/>
          <w:szCs w:val="28"/>
        </w:rPr>
        <w:t>[2–5]</w:t>
      </w:r>
      <w:r w:rsidRPr="00107040">
        <w:rPr>
          <w:rFonts w:ascii="Times New Roman" w:eastAsia="MS Mincho" w:hAnsi="Times New Roman"/>
          <w:sz w:val="28"/>
          <w:szCs w:val="28"/>
          <w:highlight w:val="yellow"/>
          <w:lang w:val="ru-RU" w:eastAsia="ja-JP"/>
        </w:rPr>
        <w:fldChar w:fldCharType="end"/>
      </w:r>
      <w:r w:rsidRPr="00107040">
        <w:rPr>
          <w:rFonts w:ascii="Times New Roman" w:eastAsia="MS Mincho" w:hAnsi="Times New Roman"/>
          <w:sz w:val="28"/>
          <w:szCs w:val="28"/>
          <w:lang w:val="ru-RU" w:eastAsia="ja-JP"/>
        </w:rPr>
        <w:t>.</w:t>
      </w:r>
    </w:p>
    <w:p w14:paraId="1C540C99" w14:textId="77777777" w:rsidR="000B103D" w:rsidRPr="00107040" w:rsidRDefault="000B103D" w:rsidP="000C16BB">
      <w:pPr>
        <w:autoSpaceDE w:val="0"/>
        <w:autoSpaceDN w:val="0"/>
        <w:adjustRightInd w:val="0"/>
        <w:spacing w:after="0" w:line="240" w:lineRule="auto"/>
        <w:ind w:firstLine="567"/>
        <w:jc w:val="both"/>
        <w:rPr>
          <w:rFonts w:ascii="Times New Roman" w:hAnsi="Times New Roman"/>
          <w:sz w:val="28"/>
          <w:szCs w:val="28"/>
          <w:lang w:val="ru-RU"/>
        </w:rPr>
      </w:pPr>
      <w:r w:rsidRPr="00107040">
        <w:rPr>
          <w:rFonts w:ascii="Times New Roman" w:eastAsia="MS Mincho" w:hAnsi="Times New Roman"/>
          <w:sz w:val="28"/>
          <w:szCs w:val="28"/>
          <w:lang w:val="ru-RU" w:eastAsia="ja-JP"/>
        </w:rPr>
        <w:t>Поли (АДФ-рибоза) полимераза (</w:t>
      </w:r>
      <w:r w:rsidRPr="00107040">
        <w:rPr>
          <w:rFonts w:ascii="Times New Roman" w:hAnsi="Times New Roman"/>
          <w:sz w:val="28"/>
          <w:szCs w:val="28"/>
          <w:lang w:val="en-US"/>
        </w:rPr>
        <w:t>PARP</w:t>
      </w:r>
      <w:r w:rsidRPr="00107040">
        <w:rPr>
          <w:rFonts w:ascii="Times New Roman" w:eastAsia="MS Mincho" w:hAnsi="Times New Roman"/>
          <w:sz w:val="28"/>
          <w:szCs w:val="28"/>
          <w:lang w:val="ru-RU" w:eastAsia="ja-JP"/>
        </w:rPr>
        <w:t>) катализирует синтез полимеров АДФ-рибозы ковалентно-прикрепленные к акцепторным белкам. При этом донором остатков АДФ-рибозы выступает НАД</w:t>
      </w:r>
      <w:r w:rsidRPr="00107040">
        <w:rPr>
          <w:rFonts w:ascii="Times New Roman" w:eastAsia="MS Mincho" w:hAnsi="Times New Roman"/>
          <w:sz w:val="28"/>
          <w:szCs w:val="28"/>
          <w:vertAlign w:val="superscript"/>
          <w:lang w:val="ru-RU" w:eastAsia="ja-JP"/>
        </w:rPr>
        <w:t xml:space="preserve">+ </w:t>
      </w:r>
      <w:r w:rsidRPr="00107040">
        <w:rPr>
          <w:rFonts w:ascii="Times New Roman" w:eastAsia="MS Mincho" w:hAnsi="Times New Roman"/>
          <w:sz w:val="28"/>
          <w:szCs w:val="28"/>
          <w:vertAlign w:val="superscript"/>
          <w:lang w:val="ru-RU" w:eastAsia="ja-JP"/>
        </w:rPr>
        <w:fldChar w:fldCharType="begin"/>
      </w:r>
      <w:r w:rsidRPr="00107040">
        <w:rPr>
          <w:rFonts w:ascii="Times New Roman" w:eastAsia="MS Mincho" w:hAnsi="Times New Roman"/>
          <w:sz w:val="28"/>
          <w:szCs w:val="28"/>
          <w:vertAlign w:val="superscript"/>
          <w:lang w:val="ru-RU" w:eastAsia="ja-JP"/>
        </w:rPr>
        <w:instrText xml:space="preserve"> ADDIN ZOTERO_ITEM CSL_CITATION {"citationID":"XOB6FbU7","properties":{"formattedCitation":"[6]","plainCitation":"[6]","noteIndex":0},"citationItems":[{"id":1242,"uris":["http://zotero.org/users/9078202/items/HSMB9N2H"],"itemData":{"id":1242,"type":"article-journal","abstract":"Poly(ADP-ribose) (PAR) and the PAR polymerases (PARPs) that catalyze its synthesis from donor nicotinamide adenine dinucleotide (NAD+) molecules have received considerable attention in the recent literature. Poly(ADP-ribosyl)ation (PARylation) plays diverse roles in many molecular and cellular processes, including DNA damage detection and repair, chromatin modification, transcription, cell death pathways, insulator function, and mitotic apparatus function. These processes are critical for many physiological and pathophysiological outcomes, including genome maintenance, carcinogenesis, aging, inflammation, and neuronal function. This review highlights recent work on the biochemistry, molecular biology, physiology, and pathophysiology of PARylation, focusing on the activity of PARP-1, the most abundantly expressed member of a family of PARP proteins. In addition, connections between nuclear NAD+ metabolism and nuclear signaling through PARP-1 are discussed.","container-title":"Genes &amp; Development","DOI":"10.1101/gad.1331805","ISSN":"0890-9369","issue":"17","journalAbbreviation":"Genes Dev","language":"eng","note":"PMID: 16140981","page":"1951-1967","source":"PubMed","title":"Poly(ADP-ribosyl)ation by PARP-1: 'PAR-laying' NAD+ into a nuclear signal","title-short":"Poly(ADP-ribosyl)ation by PARP-1","volume":"19","author":[{"family":"Kim","given":"Mi Young"},{"family":"Zhang","given":"Tong"},{"family":"Kraus","given":"W. Lee"}],"issued":{"date-parts":[["2005",9,1]]}}}],"schema":"https://github.com/citation-style-language/schema/raw/master/csl-citation.json"} </w:instrText>
      </w:r>
      <w:r w:rsidRPr="00107040">
        <w:rPr>
          <w:rFonts w:ascii="Times New Roman" w:eastAsia="MS Mincho" w:hAnsi="Times New Roman"/>
          <w:sz w:val="28"/>
          <w:szCs w:val="28"/>
          <w:vertAlign w:val="superscript"/>
          <w:lang w:val="ru-RU" w:eastAsia="ja-JP"/>
        </w:rPr>
        <w:fldChar w:fldCharType="separate"/>
      </w:r>
      <w:r w:rsidRPr="00107040">
        <w:rPr>
          <w:rFonts w:ascii="Times New Roman" w:hAnsi="Times New Roman"/>
          <w:sz w:val="28"/>
          <w:szCs w:val="28"/>
          <w:lang w:val="ru-RU"/>
        </w:rPr>
        <w:t>[6]</w:t>
      </w:r>
      <w:r w:rsidRPr="00107040">
        <w:rPr>
          <w:rFonts w:ascii="Times New Roman" w:eastAsia="MS Mincho" w:hAnsi="Times New Roman"/>
          <w:sz w:val="28"/>
          <w:szCs w:val="28"/>
          <w:vertAlign w:val="superscript"/>
          <w:lang w:val="ru-RU" w:eastAsia="ja-JP"/>
        </w:rPr>
        <w:fldChar w:fldCharType="end"/>
      </w:r>
      <w:r w:rsidRPr="00107040">
        <w:rPr>
          <w:rFonts w:ascii="Times New Roman" w:hAnsi="Times New Roman"/>
          <w:sz w:val="28"/>
          <w:szCs w:val="28"/>
          <w:lang w:val="ru-RU"/>
        </w:rPr>
        <w:t xml:space="preserve">. </w:t>
      </w:r>
      <w:r w:rsidRPr="00107040">
        <w:rPr>
          <w:rFonts w:ascii="Times New Roman" w:eastAsia="MS Mincho" w:hAnsi="Times New Roman"/>
          <w:sz w:val="28"/>
          <w:szCs w:val="28"/>
          <w:lang w:val="ru-RU" w:eastAsia="ja-JP"/>
        </w:rPr>
        <w:t xml:space="preserve">Использование биоинформационного подхода, позволило выявить ряд белков человека, имеющих очень высокую степень гомологии с каталитическим доменом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Все эти белки были объединены в семейство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которое сейчас у млекопитающих насчитывается </w:t>
      </w:r>
      <w:r w:rsidRPr="00107040">
        <w:rPr>
          <w:rFonts w:ascii="Times New Roman" w:eastAsia="MS Mincho" w:hAnsi="Times New Roman"/>
          <w:bCs/>
          <w:sz w:val="28"/>
          <w:szCs w:val="28"/>
          <w:lang w:val="ru-RU" w:eastAsia="ja-JP"/>
        </w:rPr>
        <w:t>17</w:t>
      </w:r>
      <w:r w:rsidRPr="00107040">
        <w:rPr>
          <w:rFonts w:ascii="Times New Roman" w:eastAsia="MS Mincho" w:hAnsi="Times New Roman"/>
          <w:b/>
          <w:bCs/>
          <w:sz w:val="28"/>
          <w:szCs w:val="28"/>
          <w:lang w:val="ru-RU" w:eastAsia="ja-JP"/>
        </w:rPr>
        <w:t xml:space="preserve"> </w:t>
      </w:r>
      <w:r w:rsidRPr="00107040">
        <w:rPr>
          <w:rFonts w:ascii="Times New Roman" w:eastAsia="MS Mincho" w:hAnsi="Times New Roman"/>
          <w:sz w:val="28"/>
          <w:szCs w:val="28"/>
          <w:lang w:val="ru-RU" w:eastAsia="ja-JP"/>
        </w:rPr>
        <w:t xml:space="preserve">представителей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{"citationID":"LWwHlFan","properties":{"formattedCitation":"[7]","plainCitation":"[7]","noteIndex":0},"citationItems":[{"id":344,"uris":["http://zotero.org/users/9078202/items/GSHAPDNI"],"itemData":{"id":344,"type":"article-journal","abstract":"Cellular stress responses are mediated through a series of regulatory processes that occur at the genomic, transcriptional, post-transcriptional, translational, and post-translational levels. These responses require a complex network of sensors and effectors from multiple signaling pathways, including the abundant and ubiquitous nuclear enzyme poly(ADP-ribose) (PAR) polymerase-1 (PARP-1). PARP-1 functions at the center of cellular stress responses, where it processes diverse signals and, in response, directs cells to specific fates (e.g., DNA repair vs. cell death) based on the type and strength of the stress stimulus. Many of PARP-1's functions in stress response pathways are mediated by its regulated synthesis of PAR, a negatively charged polymer, using NAD+ as a donor of ADP-ribose units. Thus, PARP-1's functions are intimately tied to nuclear NAD+ metabolism and the broader metabolic profile of the cell. Recent studies in cell and animal models have highlighted the roles of PARP-1 and PAR in the response to a wide variety of extrinsic and intrinsic stress signals, including those initiated by oxidative, nitrosative, genotoxic, oncogenic, thermal, inflammatory, and metabolic stresses. These responses underlie pathological conditions, including cancer, inflammation-related diseases, and metabolic dysregulation. The development of PARP inhibitors is being pursued as a therapeutic approach to these conditions. In this review, we highlight the newest findings about PARP-1's role in stress responses in the context of the historical data.","container-title":"Genes &amp; Development","DOI":"10.1101/gad.183509.111","ISSN":"0890-9369, 1549-5477","issue":"5","journalAbbreviation":"Genes Dev.","language":"en","note":"Company: Cold Spring Harbor Laboratory Press\nDistributor: Cold Spring Harbor Laboratory Press\nInstitution: Cold Spring Harbor Laboratory Press\nLabel: Cold Spring Harbor Laboratory Press\npublisher: Cold Spring Harbor Lab\nPMID: 22391446","page":"417-432","source":"genesdev.cshlp.org","title":"On PAR with PARP: cellular stress signaling through poly(ADP-ribose) and PARP-1","title-short":"On PAR with PARP","URL":"http://genesdev.cshlp.org/content/26/5/417","volume":"26","author":[{"family":"Luo","given":"Xin"},{"family":"Kraus","given":"W. Lee"}],"accessed":{"date-parts":[["2022",3,29]]},"issued":{"date-parts":[["2012",1,3]]}}}],"schema":"https://github.com/citation-style-language/schema/raw/master/csl-citation.json"}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[7]</w:t>
      </w:r>
      <w:r w:rsidRPr="00107040">
        <w:rPr>
          <w:rFonts w:ascii="Times New Roman" w:eastAsia="MS Mincho" w:hAnsi="Times New Roman"/>
          <w:sz w:val="28"/>
          <w:szCs w:val="28"/>
          <w:lang w:val="ru-RU" w:eastAsia="ja-JP"/>
        </w:rPr>
        <w:fldChar w:fldCharType="end"/>
      </w:r>
      <w:r w:rsidRPr="00107040">
        <w:rPr>
          <w:rFonts w:ascii="Times New Roman" w:hAnsi="Times New Roman"/>
          <w:sz w:val="28"/>
          <w:szCs w:val="28"/>
          <w:lang w:val="ru-RU"/>
        </w:rPr>
        <w:t xml:space="preserve">.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белки могут оказывать значительное влияние на различные клеточные процессы, такие как транскрипция, деление клеток, репарация ДНК и целостность теломеров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{"citationID":"CQsgY0vq","properties":{"formattedCitation":"[5]","plainCitation":"[5]","noteIndex":0},"citationItems":[{"id":1240,"uris":["http://zotero.org/users/9078202/items/ASLULSIG"],"itemData":{"id":1240,"type":"article-journal","abstract":"The addition to proteins of the negatively charged polymer of ADP-ribose (PAR), which is synthesized by PAR polymerases (PARPs) from NAD(+), is a unique post-translational modification. It regulates not only cell survival and cell-death programmes, but also an increasing number of other biological functions with which novel members of the PARP family have been associated. These functions include transcriptional regulation, telomere cohesion and mitotic spindle formation during cell division, intracellular trafficking and energy metabolism.","container-title":"Nature Reviews. Molecular Cell Biology","DOI":"10.1038/nrm1963","ISSN":"1471-0072","issue":"7","journalAbbreviation":"Nat Rev Mol Cell Biol","language":"eng","note":"PMID: 16829982","page":"517-528","source":"PubMed","title":"Poly(ADP-ribose): novel functions for an old molecule","title-short":"Poly(ADP-ribose)","volume":"7","author":[{"family":"Schreiber","given":"Valérie"},{"family":"Dantzer","given":"Françoise"},{"family":"Ame","given":"Jean-Christophe"},{"family":"Murcia","given":"Gilbert","non-dropping-particle":"de"}],"issued":{"date-parts":[["2006",7]]}}}],"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lang w:val="ru-RU"/>
        </w:rPr>
        <w:t>[5]</w:t>
      </w:r>
      <w:r w:rsidRPr="00107040">
        <w:rPr>
          <w:rFonts w:ascii="Times New Roman" w:eastAsia="MS Mincho" w:hAnsi="Times New Roman"/>
          <w:sz w:val="28"/>
          <w:szCs w:val="28"/>
          <w:lang w:val="ru-RU" w:eastAsia="ja-JP"/>
        </w:rPr>
        <w:fldChar w:fldCharType="end"/>
      </w:r>
      <w:r w:rsidRPr="00107040">
        <w:rPr>
          <w:rFonts w:ascii="Times New Roman" w:hAnsi="Times New Roman"/>
          <w:sz w:val="28"/>
          <w:szCs w:val="28"/>
          <w:lang w:val="ru-RU"/>
        </w:rPr>
        <w:t xml:space="preserve">.   Однако, показано, что только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2</w:t>
      </w:r>
      <w:r w:rsidRPr="00107040">
        <w:rPr>
          <w:rFonts w:ascii="Times New Roman" w:hAnsi="Times New Roman"/>
          <w:sz w:val="28"/>
          <w:szCs w:val="28"/>
          <w:lang w:val="ru-RU"/>
        </w:rPr>
        <w:t xml:space="preserve"> активируются в ответ на повреждения ДНК </w:t>
      </w:r>
      <w:r w:rsidRPr="00107040">
        <w:rPr>
          <w:rFonts w:ascii="Times New Roman" w:hAnsi="Times New Roman"/>
          <w:sz w:val="28"/>
          <w:szCs w:val="28"/>
          <w:lang w:val="ru-RU"/>
        </w:rPr>
        <w:fldChar w:fldCharType="begin"/>
      </w:r>
      <w:r w:rsidRPr="00107040">
        <w:rPr>
          <w:rFonts w:ascii="Times New Roman" w:hAnsi="Times New Roman"/>
          <w:sz w:val="28"/>
          <w:szCs w:val="28"/>
          <w:lang w:val="ru-RU"/>
        </w:rPr>
        <w:instrText xml:space="preserve"> ADDIN ZOTERO_ITEM CSL_CITATION {"citationID":"jHFTYVMd","properties":{"formattedCitation":"[8]","plainCitation":"[8]","noteIndex":0},"citationItems":[{"id":1245,"uris":["http://zotero.org/users/9078202/items/AI8Z9BY6"],"itemData":{"id":1245,"type":"article-journal","abstract":"Poly(ADP-ribose) polymerase-1 (PARP-1) is one of the most abundant proteins within mammalian cells. First described more than 45 years ago, PARP-1 has been the subject of many studies and was shown to be involved in multiple aspects of cellular metabolism. Despite many interesting studies that implicate PARP-1 in transcription, chromatin remodelling, apoptosis, DNA repair and several neurological disorders, its precise role is still unclear. This review will discuss the role of PARP-1 in DNA repair and propose a model whereby PARP-1 operates as a modulator of base excision repair capacity.","container-title":"DNA repair","DOI":"10.1016/j.dnarep.2008.03.009","ISSN":"1568-7864","issue":"7","journalAbbreviation":"DNA Repair (Amst)","language":"eng","note":"PMID: 18468963","page":"1077-1086","source":"PubMed","title":"Poly ADP-ribose polymerase-1: an international molecule of mystery","title-short":"Poly ADP-ribose polymerase-1","volume":"7","author":[{"family":"Woodhouse","given":"Bethany C."},{"family":"Dianov","given":"Grigory L."}],"issued":{"date-parts":[["2008",7,1]]}}}],"schema":"https://github.com/citation-style-language/schema/raw/master/csl-citation.json"} </w:instrText>
      </w:r>
      <w:r w:rsidRPr="00107040">
        <w:rPr>
          <w:rFonts w:ascii="Times New Roman" w:hAnsi="Times New Roman"/>
          <w:sz w:val="28"/>
          <w:szCs w:val="28"/>
          <w:lang w:val="ru-RU"/>
        </w:rPr>
        <w:fldChar w:fldCharType="separate"/>
      </w:r>
      <w:r w:rsidRPr="00107040">
        <w:rPr>
          <w:rFonts w:ascii="Times New Roman" w:hAnsi="Times New Roman"/>
          <w:sz w:val="28"/>
          <w:szCs w:val="28"/>
        </w:rPr>
        <w:t>[8]</w:t>
      </w:r>
      <w:r w:rsidRPr="00107040">
        <w:rPr>
          <w:rFonts w:ascii="Times New Roman" w:hAnsi="Times New Roman"/>
          <w:sz w:val="28"/>
          <w:szCs w:val="28"/>
          <w:lang w:val="ru-RU"/>
        </w:rPr>
        <w:fldChar w:fldCharType="end"/>
      </w:r>
      <w:r w:rsidRPr="00107040">
        <w:rPr>
          <w:rFonts w:ascii="Times New Roman" w:hAnsi="Times New Roman"/>
          <w:sz w:val="28"/>
          <w:szCs w:val="28"/>
          <w:lang w:val="ru-RU"/>
        </w:rPr>
        <w:t>.</w:t>
      </w:r>
    </w:p>
    <w:p w14:paraId="5F74018D" w14:textId="77777777" w:rsidR="000B103D" w:rsidRPr="00107040" w:rsidRDefault="000B103D" w:rsidP="000C16BB">
      <w:pPr>
        <w:autoSpaceDE w:val="0"/>
        <w:autoSpaceDN w:val="0"/>
        <w:adjustRightInd w:val="0"/>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Геном </w:t>
      </w:r>
      <w:r w:rsidRPr="00107040">
        <w:rPr>
          <w:rFonts w:ascii="Times New Roman" w:eastAsia="MS Mincho" w:hAnsi="Times New Roman"/>
          <w:i/>
          <w:sz w:val="28"/>
          <w:szCs w:val="28"/>
          <w:lang w:val="en-US" w:eastAsia="ja-JP"/>
        </w:rPr>
        <w:t>Arabidopsis</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thaliana</w:t>
      </w:r>
      <w:r w:rsidRPr="00107040">
        <w:rPr>
          <w:rFonts w:ascii="Times New Roman" w:eastAsia="MS Mincho" w:hAnsi="Times New Roman"/>
          <w:sz w:val="28"/>
          <w:szCs w:val="28"/>
          <w:lang w:val="ru-RU" w:eastAsia="ja-JP"/>
        </w:rPr>
        <w:t xml:space="preserve">, широко используемого модельного растительного организма, кодирует по меньшей мере три предполагаемых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фермента: А</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1 (</w:t>
      </w:r>
      <w:r w:rsidRPr="00107040">
        <w:rPr>
          <w:rFonts w:ascii="Times New Roman" w:eastAsia="MS Mincho" w:hAnsi="Times New Roman"/>
          <w:sz w:val="28"/>
          <w:szCs w:val="28"/>
          <w:lang w:val="en-US" w:eastAsia="ja-JP"/>
        </w:rPr>
        <w:t>At</w:t>
      </w:r>
      <w:r w:rsidRPr="00107040">
        <w:rPr>
          <w:rFonts w:ascii="Times New Roman" w:eastAsia="MS Mincho" w:hAnsi="Times New Roman"/>
          <w:sz w:val="28"/>
          <w:szCs w:val="28"/>
          <w:lang w:val="ru-RU" w:eastAsia="ja-JP"/>
        </w:rPr>
        <w:t>4</w:t>
      </w:r>
      <w:r w:rsidRPr="00107040">
        <w:rPr>
          <w:rFonts w:ascii="Times New Roman" w:eastAsia="MS Mincho" w:hAnsi="Times New Roman"/>
          <w:sz w:val="28"/>
          <w:szCs w:val="28"/>
          <w:lang w:val="en-US" w:eastAsia="ja-JP"/>
        </w:rPr>
        <w:t>g</w:t>
      </w:r>
      <w:r w:rsidRPr="00107040">
        <w:rPr>
          <w:rFonts w:ascii="Times New Roman" w:eastAsia="MS Mincho" w:hAnsi="Times New Roman"/>
          <w:sz w:val="28"/>
          <w:szCs w:val="28"/>
          <w:lang w:val="ru-RU" w:eastAsia="ja-JP"/>
        </w:rPr>
        <w:t xml:space="preserve">02390),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2 (</w:t>
      </w:r>
      <w:r w:rsidRPr="00107040">
        <w:rPr>
          <w:rFonts w:ascii="Times New Roman" w:eastAsia="MS Mincho" w:hAnsi="Times New Roman"/>
          <w:sz w:val="28"/>
          <w:szCs w:val="28"/>
          <w:lang w:val="en-US" w:eastAsia="ja-JP"/>
        </w:rPr>
        <w:t>At</w:t>
      </w:r>
      <w:r w:rsidRPr="00107040">
        <w:rPr>
          <w:rFonts w:ascii="Times New Roman" w:eastAsia="MS Mincho" w:hAnsi="Times New Roman"/>
          <w:sz w:val="28"/>
          <w:szCs w:val="28"/>
          <w:lang w:val="ru-RU" w:eastAsia="ja-JP"/>
        </w:rPr>
        <w:t>2</w:t>
      </w:r>
      <w:r w:rsidRPr="00107040">
        <w:rPr>
          <w:rFonts w:ascii="Times New Roman" w:eastAsia="MS Mincho" w:hAnsi="Times New Roman"/>
          <w:sz w:val="28"/>
          <w:szCs w:val="28"/>
          <w:lang w:val="en-US" w:eastAsia="ja-JP"/>
        </w:rPr>
        <w:t>g</w:t>
      </w:r>
      <w:r w:rsidRPr="00107040">
        <w:rPr>
          <w:rFonts w:ascii="Times New Roman" w:eastAsia="MS Mincho" w:hAnsi="Times New Roman"/>
          <w:sz w:val="28"/>
          <w:szCs w:val="28"/>
          <w:lang w:val="ru-RU" w:eastAsia="ja-JP"/>
        </w:rPr>
        <w:t xml:space="preserve">31320) 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3 (</w:t>
      </w:r>
      <w:r w:rsidRPr="00107040">
        <w:rPr>
          <w:rFonts w:ascii="Times New Roman" w:eastAsia="MS Mincho" w:hAnsi="Times New Roman"/>
          <w:sz w:val="28"/>
          <w:szCs w:val="28"/>
          <w:lang w:val="en-US" w:eastAsia="ja-JP"/>
        </w:rPr>
        <w:t>At</w:t>
      </w:r>
      <w:r w:rsidRPr="00107040">
        <w:rPr>
          <w:rFonts w:ascii="Times New Roman" w:eastAsia="MS Mincho" w:hAnsi="Times New Roman"/>
          <w:sz w:val="28"/>
          <w:szCs w:val="28"/>
          <w:lang w:val="ru-RU" w:eastAsia="ja-JP"/>
        </w:rPr>
        <w:t>5</w:t>
      </w:r>
      <w:r w:rsidRPr="00107040">
        <w:rPr>
          <w:rFonts w:ascii="Times New Roman" w:eastAsia="MS Mincho" w:hAnsi="Times New Roman"/>
          <w:sz w:val="28"/>
          <w:szCs w:val="28"/>
          <w:lang w:val="en-US" w:eastAsia="ja-JP"/>
        </w:rPr>
        <w:t>g</w:t>
      </w:r>
      <w:r w:rsidRPr="00107040">
        <w:rPr>
          <w:rFonts w:ascii="Times New Roman" w:eastAsia="MS Mincho" w:hAnsi="Times New Roman"/>
          <w:sz w:val="28"/>
          <w:szCs w:val="28"/>
          <w:lang w:val="ru-RU" w:eastAsia="ja-JP"/>
        </w:rPr>
        <w:t xml:space="preserve">22470)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{"citationID":"ULqBuN9j","properties":{"formattedCitation":"[9]","plainCitation":"[9]","noteIndex":0},"citationItems":[{"id":1247,"uris":["http://zotero.org/users/9078202/items/YHNZFVKW"],"itemData":{"id":1247,"type":"article-journal","abstract":"Poly(ADP-ribose) polymerases (PARPs) and poly(ADP-ribose) glycohydrolases (PARGs) are the main enzymes responsible for the post-translational modification known as poly(ADP-ribosyl)ation. These enzymes play important roles in genotoxic stress tolerance and DNA repair, programmed cell death, transcription, and cell cycle control in animals. Similar impacts are being discovered in plants, as well as roles in plant-specific processes. In particular, we review recent work that has revealed significant roles for poly(ADP-ribosyl)ation in plant responses to biotic and abiotic stress, as well as roles for ADP-ribose pyrophosphatases (a subset of the nucleoside diphosphate linked to some moiety-X or NUDX hydrolases). Future challenges include identification of poly(ADP-ribosyl)ation targets and interacting proteins, improved use of inhibitors and plant mutants, and field-based studies with economically valuable plant species.","container-title":"Trends in Plant Science","DOI":"10.1016/j.tplants.2011.03.008","ISSN":"1878-4372","issue":"7","journalAbbreviation":"Trends Plant Sci","language":"eng","note":"PMID: 21482174","page":"372-380","source":"PubMed","title":"Poly(ADP-ribosyl)ation in plants","volume":"16","author":[{"family":"Briggs","given":"Amy G."},{"family":"Bent","given":"Andrew F."}],"issued":{"date-parts":[["2011",7]]}}}],"schema":"https://github.com/citation-style-language/schema/raw/master/csl-citation.json"}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[9]</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Показано, что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растений являются структурно гомологичными к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белкам млекопитающих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{"citationID":"0moqxZUs","properties":{"formattedCitation":"[9,10]","plainCitation":"[9,10]","noteIndex":0},"citationItems":[{"id":1247,"uris":["http://zotero.org/users/9078202/items/YHNZFVKW"],"itemData":{"id":1247,"type":"article-journal","abstract":"Poly(ADP-ribose) polymerases (PARPs) and poly(ADP-ribose) glycohydrolases (PARGs) are the main enzymes responsible for the post-translational modification known as poly(ADP-ribosyl)ation. These enzymes play important roles in genotoxic stress tolerance and DNA repair, programmed cell death, transcription, and cell cycle control in animals. Similar impacts are being discovered in plants, as well as roles in plant-specific processes. In particular, we review recent work that has revealed significant roles for poly(ADP-ribosyl)ation in plant responses to biotic and abiotic stress, as well as roles for ADP-ribose pyrophosphatases (a subset of the nucleoside diphosphate linked to some moiety-X or NUDX hydrolases). Future challenges include identification of poly(ADP-ribosyl)ation targets and interacting proteins, improved use of inhibitors and plant mutants, and field-based studies with economically valuable plant species.","container-title":"Trends in Plant Science","DOI":"10.1016/j.tplants.2011.03.008","ISSN":"1878-4372","issue":"7","journalAbbreviation":"Trends Plant Sci","language":"eng","note":"PMID: 21482174","page":"372-380","source":"PubMed","title":"Poly(ADP-ribosyl)ation in plants","volume":"16","author":[{"family":"Briggs","given":"Amy G."},{"family":"Bent","given":"Andrew F."}],"issued":{"date-parts":[["2011",7]]}}},{"id":1249,"uris":["http://zotero.org/users/9078202/items/2WUWRXNB"],"itemData":{"id":1249,"type":"article-journal","abstract":"Poly(ADP-ribosyl)ation is the covalent attachment of ADP-ribose subunits from NAD(+) to target proteins and was first described in plants in the 1970s. This post-translational modification is mediated by poly(ADP-ribose) polymerases (PARPs) and removed by poly(ADP-ribose) glycohydrolases (PARGs). PARPs have important functions in many biological processes including DNA repair, epigenetic regulation and transcription. However, these roles are not always associated with enzymatic activity. The PARP superfamily has been well studied in animals, but remains under-investigated in plants. Although plants lack the variety of PARP superfamily members found in mammals, they do encode three different types of PARP superfamily proteins, including a group of PARP-like proteins, the SRO family, that are plant specific. In plants, members of the PARP family and/or poly(ADP-ribosyl)ation have been linked to DNA repair, mitosis, innate immunity and stress responses. In addition, members of the SRO family have been shown to be necessary for normal sporophytic development. In this review, we summarize the current state of plant research into poly(ADP-ribosyl)ation and the PARP superfamily in plants.","container-title":"Cellular and molecular life sciences: CMLS","DOI":"10.1007/s00018-011-0793-4","ISSN":"1420-9071","issue":"2","journalAbbreviation":"Cell Mol Life Sci","language":"eng","note":"PMID: 21861184","page":"175-189","source":"PubMed","title":"Functions of the poly(ADP-ribose) polymerase superfamily in plants","volume":"69","author":[{"family":"Lamb","given":"Rebecca S."},{"family":"Citarelli","given":"Matteo"},{"family":"Teotia","given":"Sachin"}],"issued":{"date-parts":[["2012",1]]}}}],"schema":"https://github.com/citation-style-language/schema/raw/master/csl-citation.json"}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[9,10]</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Высокая степень консервативности на уровне аминокислотной последовательности между ферментами арабидопсиса и млекопитающих позволяет предположить, что в растениях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выполняет аналогичные функции как в животных системах. Помимо структурных сходств,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растений также обладают ферментативной активностью функционально гомологичными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ферментам млекопитающих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{"citationID":"Jf17FOvU","properties":{"formattedCitation":"[9,10]","plainCitation":"[9,10]","noteIndex":0},"citationItems":[{"id":1247,"uris":["http://zotero.org/users/9078202/items/YHNZFVKW"],"itemData":{"id":1247,"type":"article-journal","abstract":"Poly(ADP-ribose) polymerases (PARPs) and poly(ADP-ribose) glycohydrolases (PARGs) are the main enzymes responsible for the post-translational modification known as poly(ADP-ribosyl)ation. These enzymes play important roles in genotoxic stress tolerance and DNA repair, programmed cell death, transcription, and cell cycle control in animals. Similar impacts are being discovered in plants, as well as roles in plant-specific processes. In particular, we review recent work that has revealed significant roles for poly(ADP-ribosyl)ation in plant responses to biotic and abiotic stress, as well as roles for ADP-ribose pyrophosphatases (a subset of the nucleoside diphosphate linked to some moiety-X or NUDX hydrolases). Future challenges include identification of poly(ADP-ribosyl)ation targets and interacting proteins, improved use of inhibitors and plant mutants, and field-based studies with economically valuable plant species.","container-title":"Trends in Plant Science","DOI":"10.1016/j.tplants.2011.03.008","ISSN":"1878-4372","issue":"7","journalAbbreviation":"Trends Plant Sci","language":"eng","note":"PMID: 21482174","page":"372-380","source":"PubMed","title":"Poly(ADP-ribosyl)ation in plants","volume":"16","author":[{"family":"Briggs","given":"Amy G."},{"family":"Bent","given":"Andrew F."}],"issued":{"date-parts":[["2011",7]]}}},{"id":1249,"uris":["http://zotero.org/users/9078202/items/2WUWRXNB"],"itemData":{"id":1249,"type":"article-journal","abstract":"Poly(ADP-ribosyl)ation is the covalent attachment of ADP-ribose subunits from NAD(+) to target proteins and was first described in plants in the 1970s. This post-translational modification is mediated by poly(ADP-ribose) polymerases (PARPs) and removed by poly(ADP-ribose) glycohydrolases (PARGs). PARPs have important functions in many biological processes including DNA repair, epigenetic regulation and transcription. However, these roles are not always associated with enzymatic activity. The PARP superfamily has been well studied in animals, but remains under-investigated in plants. Although plants lack the variety of PARP superfamily members found in mammals, they do encode three different types of PARP superfamily proteins, including a group of PARP-like proteins, the SRO family, that are plant specific. In plants, members of the PARP family and/or poly(ADP-ribosyl)ation have been linked to DNA repair, mitosis, innate immunity and stress responses. In addition, members of the SRO family have been shown to be necessary for normal sporophytic development. In this review, we summarize the current state of plant research into poly(ADP-ribosyl)ation and the PARP superfamily in plants.","container-title":"Cellular and molecular life sciences: CMLS","DOI":"10.1007/s00018-011-0793-4","ISSN":"1420-9071","issue":"2","journalAbbreviation":"Cell Mol Life Sci","language":"eng","note":"PMID: 21861184","page":"175-189","source":"PubMed","title":"Functions of the poly(ADP-ribose) polymerase superfamily in plants","volume":"69","author":[{"family":"Lamb","given":"Rebecca S."},{"family":"Citarelli","given":"Matteo"},{"family":"Teotia","given":"Sachin"}],"issued":{"date-parts":[["2012",1]]}}}],"schema":"https://github.com/citation-style-language/schema/raw/master/csl-citation.json"}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[9,10]</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gXxwyZHp","properties":{"formattedCitation":"[10]","plainCitation":"[10]","dontUpdate":true,"noteIndex":0},"citationItems":[{"id":1249,"uris":["http://zotero.org/users/9078202/items/2WUWRXNB"],"itemData":{"id":1249,"type":"article-journal","abstract":"Poly(ADP-ribosyl)ation is the covalent attachment of ADP-ribose subunits from NAD(+) to target proteins and was first described in plants in the 1970s. This post-translational modification is mediated by poly(ADP-ribose) polymerases (PARPs) and removed by poly(ADP-ribose) glycohydrolases (PARGs). PARPs have important functions in many biological processes including DNA repair, epigenetic regulation and transcription. However, these roles are not always associated with enzymatic activity. The PARP superfamily has been well studied in animals, but remains under-investigated in plants. Although plants lack the variety of PARP superfamily members found in mammals, they do encode three different types of PARP superfamily proteins, including a group of PARP-like proteins, the SRO family, that are plant specific. In plants, members of the PARP family and/or poly(ADP-ribosyl)ation have been linked to DNA repair, mitosis, innate immunity and stress responses. In addition, members of the SRO family have been shown to be necessary for normal sporophytic development. In this review, we summarize the current state of plant research into poly(ADP-ribosyl)ation and the PARP superfamily in plants.","container-title":"Cellular and molecular life sciences: CMLS","DOI":"10.1007/s00018-011-0793-4","ISSN":"1420-9071","issue":"2","journalAbbreviation":"Cell Mol Life Sci","language":"eng","note":"PMID: 21861184","page":"175-189","source":"PubMed","title":"Functions of the poly(ADP-ribose) polymerase superfamily in plants","volume":"69","author":[{"family":"Lamb","given":"Rebecca S."},{"family":"Citarelli","given":"Matteo"},{"family":"Teotia","given":"Sachin"}],"issued":{"date-parts":[["2012",1]]}}}],"schema":"https://github.com/citation-style-language/schema/raw/master/csl-citation.json"} </w:instrTex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Как А</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1, так 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локализован в ядре и в присутствии ДНК с разрывами, прикрепляет остатки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ДФ-рибоз от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к себе (автомодификация) и к акцепторным белкам в условиях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vitro</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vivo</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{"citationID":"KyC2XI2U","properties":{"formattedCitation":"[9]","plainCitation":"[9]","noteIndex":0},"citationItems":[{"id":1247,"uris":["http://zotero.org/users/9078202/items/YHNZFVKW"],"itemData":{"id":1247,"type":"article-journal","abstract":"Poly(ADP-ribose) polymerases (PARPs) and poly(ADP-ribose) glycohydrolases (PARGs) are the main enzymes responsible for the post-translational modification known as poly(ADP-ribosyl)ation. These enzymes play important roles in genotoxic stress tolerance and DNA repair, programmed cell death, transcription, and cell cycle control in animals. Similar impacts are being discovered in plants, as well as roles in plant-specific processes. In particular, we review recent work that has revealed significant roles for poly(ADP-ribosyl)ation in plant responses to biotic and abiotic stress, as well as roles for ADP-ribose pyrophosphatases (a subset of the nucleoside diphosphate linked to some moiety-X or NUDX hydrolases). Future challenges include identification of poly(ADP-ribosyl)ation targets and interacting proteins, improved use of inhibitors and plant mutants, and field-based studies with economically valuable plant species.","container-title":"Trends in Plant Science","DOI":"10.1016/j.tplants.2011.03.008","ISSN":"1878-4372","issue":"7","journalAbbreviation":"Trends Plant Sci","language":"eng","note":"PMID: 21482174","page":"372-380","source":"PubMed","title":"Poly(ADP-ribosyl)ation in plants","volume":"16","author":[{"family":"Briggs","given":"Amy G."},{"family":"Bent","given":"Andrew F."}],"issued":{"date-parts":[["2011",7]]}}}],"schema":"https://github.com/citation-style-language/schema/raw/master/csl-citation.json"}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[9]</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Подобно животным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ферментам, активность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растений ингибируется ингибиторами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фермента, такими как 3-аминобензамид (3</w:t>
      </w:r>
      <w:r w:rsidRPr="00107040">
        <w:rPr>
          <w:rFonts w:ascii="Times New Roman" w:eastAsia="MS Mincho" w:hAnsi="Times New Roman"/>
          <w:sz w:val="28"/>
          <w:szCs w:val="28"/>
          <w:lang w:val="en-US" w:eastAsia="ja-JP"/>
        </w:rPr>
        <w:t>AB</w:t>
      </w:r>
      <w:r w:rsidRPr="00107040">
        <w:rPr>
          <w:rFonts w:ascii="Times New Roman" w:eastAsia="MS Mincho" w:hAnsi="Times New Roman"/>
          <w:sz w:val="28"/>
          <w:szCs w:val="28"/>
          <w:lang w:val="ru-RU" w:eastAsia="ja-JP"/>
        </w:rPr>
        <w:t>) и 3-метоксибензамид (3</w:t>
      </w:r>
      <w:r w:rsidRPr="00107040">
        <w:rPr>
          <w:rFonts w:ascii="Times New Roman" w:eastAsia="MS Mincho" w:hAnsi="Times New Roman"/>
          <w:sz w:val="28"/>
          <w:szCs w:val="28"/>
          <w:lang w:val="en-US" w:eastAsia="ja-JP"/>
        </w:rPr>
        <w:t>MB</w:t>
      </w:r>
      <w:r w:rsidRPr="00107040">
        <w:rPr>
          <w:rFonts w:ascii="Times New Roman" w:eastAsia="MS Mincho" w:hAnsi="Times New Roman"/>
          <w:sz w:val="28"/>
          <w:szCs w:val="28"/>
          <w:lang w:val="ru-RU" w:eastAsia="ja-JP"/>
        </w:rPr>
        <w:t xml:space="preserve">), которые использовались во </w:t>
      </w:r>
      <w:r w:rsidRPr="00107040">
        <w:rPr>
          <w:rFonts w:ascii="Times New Roman" w:eastAsia="MS Mincho" w:hAnsi="Times New Roman"/>
          <w:sz w:val="28"/>
          <w:szCs w:val="28"/>
          <w:lang w:val="ru-RU" w:eastAsia="ja-JP"/>
        </w:rPr>
        <w:lastRenderedPageBreak/>
        <w:t xml:space="preserve">многих исследованиях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{"citationID":"h4jDq5Fs","properties":{"formattedCitation":"[9]","plainCitation":"[9]","noteIndex":0},"citationItems":[{"id":1247,"uris":["http://zotero.org/users/9078202/items/YHNZFVKW"],"itemData":{"id":1247,"type":"article-journal","abstract":"Poly(ADP-ribose) polymerases (PARPs) and poly(ADP-ribose) glycohydrolases (PARGs) are the main enzymes responsible for the post-translational modification known as poly(ADP-ribosyl)ation. These enzymes play important roles in genotoxic stress tolerance and DNA repair, programmed cell death, transcription, and cell cycle control in animals. Similar impacts are being discovered in plants, as well as roles in plant-specific processes. In particular, we review recent work that has revealed significant roles for poly(ADP-ribosyl)ation in plant responses to biotic and abiotic stress, as well as roles for ADP-ribose pyrophosphatases (a subset of the nucleoside diphosphate linked to some moiety-X or NUDX hydrolases). Future challenges include identification of poly(ADP-ribosyl)ation targets and interacting proteins, improved use of inhibitors and plant mutants, and field-based studies with economically valuable plant species.","container-title":"Trends in Plant Science","DOI":"10.1016/j.tplants.2011.03.008","ISSN":"1878-4372","issue":"7","journalAbbreviation":"Trends Plant Sci","language":"eng","note":"PMID: 21482174","page":"372-380","source":"PubMed","title":"Poly(ADP-ribosyl)ation in plants","volume":"16","author":[{"family":"Briggs","given":"Amy G."},{"family":"Bent","given":"Andrew F."}],"issued":{"date-parts":[["2011",7]]}}}],"schema":"https://github.com/citation-style-language/schema/raw/master/csl-citation.json"}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[9]</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Интересно что, в противоположность к животным, в арабидопсис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2 обладает более высокой ферментативной активностью, чем А</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1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{"citationID":"Ma24YksC","properties":{"formattedCitation":"[9]","plainCitation":"[9]","noteIndex":0},"citationItems":[{"id":1247,"uris":["http://zotero.org/users/9078202/items/YHNZFVKW"],"itemData":{"id":1247,"type":"article-journal","abstract":"Poly(ADP-ribose) polymerases (PARPs) and poly(ADP-ribose) glycohydrolases (PARGs) are the main enzymes responsible for the post-translational modification known as poly(ADP-ribosyl)ation. These enzymes play important roles in genotoxic stress tolerance and DNA repair, programmed cell death, transcription, and cell cycle control in animals. Similar impacts are being discovered in plants, as well as roles in plant-specific processes. In particular, we review recent work that has revealed significant roles for poly(ADP-ribosyl)ation in plant responses to biotic and abiotic stress, as well as roles for ADP-ribose pyrophosphatases (a subset of the nucleoside diphosphate linked to some moiety-X or NUDX hydrolases). Future challenges include identification of poly(ADP-ribosyl)ation targets and interacting proteins, improved use of inhibitors and plant mutants, and field-based studies with economically valuable plant species.","container-title":"Trends in Plant Science","DOI":"10.1016/j.tplants.2011.03.008","ISSN":"1878-4372","issue":"7","journalAbbreviation":"Trends Plant Sci","language":"eng","note":"PMID: 21482174","page":"372-380","source":"PubMed","title":"Poly(ADP-ribosyl)ation in plants","volume":"16","author":[{"family":"Briggs","given":"Amy G."},{"family":"Bent","given":"Andrew F."}],"issued":{"date-parts":[["2011",7]]}}}],"schema":"https://github.com/citation-style-language/schema/raw/master/csl-citation.json"}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[9]</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Нокаутные по генам </w:t>
      </w:r>
      <w:r w:rsidRPr="00107040">
        <w:rPr>
          <w:rFonts w:ascii="Times New Roman" w:eastAsia="MS Mincho" w:hAnsi="Times New Roman"/>
          <w:i/>
          <w:sz w:val="28"/>
          <w:szCs w:val="28"/>
          <w:lang w:val="en-US" w:eastAsia="ja-JP"/>
        </w:rPr>
        <w:t>parp</w:t>
      </w:r>
      <w:r w:rsidRPr="00107040">
        <w:rPr>
          <w:rFonts w:ascii="Times New Roman" w:eastAsia="MS Mincho" w:hAnsi="Times New Roman"/>
          <w:sz w:val="28"/>
          <w:szCs w:val="28"/>
          <w:lang w:val="ru-RU" w:eastAsia="ja-JP"/>
        </w:rPr>
        <w:t xml:space="preserve"> мутанты арабидопсиса жизнеспособны и имеют нормальный рост без каких-либо отклонений или аномальных побочных эффектов, которые затрудняли бы их использование для анализа физиологической роли поли(АДФ-рибозил)ирование </w:t>
      </w:r>
      <w:r w:rsidRPr="00107040">
        <w:rPr>
          <w:rFonts w:ascii="Times New Roman" w:eastAsia="MS Mincho" w:hAnsi="Times New Roman"/>
          <w:sz w:val="28"/>
          <w:szCs w:val="28"/>
          <w:shd w:val="clear" w:color="auto" w:fill="FFFFFF"/>
          <w:lang w:val="ru-RU" w:eastAsia="ja-JP"/>
        </w:rPr>
        <w:t>(</w:t>
      </w:r>
      <w:r w:rsidRPr="00107040">
        <w:rPr>
          <w:rFonts w:ascii="Times New Roman" w:eastAsia="MS Mincho" w:hAnsi="Times New Roman"/>
          <w:i/>
          <w:iCs/>
          <w:sz w:val="28"/>
          <w:szCs w:val="28"/>
          <w:shd w:val="clear" w:color="auto" w:fill="FFFFFF"/>
          <w:lang w:val="ru-RU" w:eastAsia="ja-JP"/>
        </w:rPr>
        <w:t>ПАРилирование</w:t>
      </w:r>
      <w:r w:rsidRPr="00107040">
        <w:rPr>
          <w:rFonts w:ascii="Times New Roman" w:eastAsia="MS Mincho" w:hAnsi="Times New Roman"/>
          <w:sz w:val="28"/>
          <w:szCs w:val="28"/>
          <w:shd w:val="clear" w:color="auto" w:fill="FFFFFF"/>
          <w:lang w:val="ru-RU" w:eastAsia="ja-JP"/>
        </w:rPr>
        <w:t>)</w:t>
      </w:r>
      <w:r w:rsidRPr="00107040">
        <w:rPr>
          <w:rFonts w:ascii="Times New Roman" w:eastAsia="MS Mincho" w:hAnsi="Times New Roman"/>
          <w:sz w:val="28"/>
          <w:szCs w:val="28"/>
          <w:lang w:val="ru-RU" w:eastAsia="ja-JP"/>
        </w:rPr>
        <w:t xml:space="preserve"> в растениях. Это, в дополнение к химическим ингибиторам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предоставляет возможность для понимания механизмов ПАРилирования белков и их роли в различных биологических процессах на уровне всего организма.</w:t>
      </w:r>
    </w:p>
    <w:p w14:paraId="006C725E" w14:textId="77777777" w:rsidR="000B103D" w:rsidRPr="00107040" w:rsidRDefault="000B103D" w:rsidP="000C16BB">
      <w:pPr>
        <w:autoSpaceDE w:val="0"/>
        <w:autoSpaceDN w:val="0"/>
        <w:adjustRightInd w:val="0"/>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В отличие от млекопитающих, значительно мало известно о ПАРилировании в растениях. Практически не известно об акцепторных белках поли(</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ДФ-рибозы) и белках, взаимодействующих с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ДФ-рибозой. В растениях не обнаружены ПАРилированные белки, кроме гистонов 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Идентификация новых акцепторных белков поможет понять регуляторную функцию ПАРилирования в развитии растений в стрессовых реакциях.</w:t>
      </w:r>
    </w:p>
    <w:p w14:paraId="5B6C2217" w14:textId="77777777" w:rsidR="000B103D" w:rsidRPr="00107040" w:rsidRDefault="000B103D" w:rsidP="000C16BB">
      <w:pPr>
        <w:autoSpaceDE w:val="0"/>
        <w:autoSpaceDN w:val="0"/>
        <w:adjustRightInd w:val="0"/>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Известно, что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-катализируемое ПАРилирование ядерных белков требуется для регуляции репарации ДНК и транскрипции в контексте хроматина в ядрах эукариотических клеток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{"citationID":"Phhe2gr3","properties":{"formattedCitation":"[5,11,12]","plainCitation":"[5,11,12]","noteIndex":0},"citationItems":[{"id":1240,"uris":["http://zotero.org/users/9078202/items/ASLULSIG"],"itemData":{"id":1240,"type":"article-journal","abstract":"The addition to proteins of the negatively charged polymer of ADP-ribose (PAR), which is synthesized by PAR polymerases (PARPs) from NAD(+), is a unique post-translational modification. It regulates not only cell survival and cell-death programmes, but also an increasing number of other biological functions with which novel members of the PARP family have been associated. These functions include transcriptional regulation, telomere cohesion and mitotic spindle formation during cell division, intracellular trafficking and energy metabolism.","container-title":"Nature Reviews. Molecular Cell Biology","DOI":"10.1038/nrm1963","ISSN":"1471-0072","issue":"7","journalAbbreviation":"Nat Rev Mol Cell Biol","language":"eng","note":"PMID: 16829982","page":"517-528","source":"PubMed","title":"Poly(ADP-ribose): novel functions for an old molecule","title-short":"Poly(ADP-ribose)","volume":"7","author":[{"family":"Schreiber","given":"Valérie"},{"family":"Dantzer","given":"Françoise"},{"family":"Ame","given":"Jean-Christophe"},{"family":"Murcia","given":"Gilbert","non-dropping-particle":"de"}],"issued":{"date-parts":[["2006",7]]}}},{"id":1251,"uris":["http://zotero.org/users/9078202/items/LL5CK36J"],"itemData":{"id":1251,"type":"article-journal","abstract":"Poly(ADP-ribose) polymerase-1 (PARP-1), also referred to as ADP-ribosyltransferase Diphtheria toxin-like 1 (ARTD1), is an abundant nuclear protein that plays key roles in a variety of nuclear processes, including the regulation of transcription. PARP-1 possesses an intrinsic enzymatic activity that catalyzes the transfer of ADP-ribose (ADPR) units from nicotinamide adenine dinucleotide (NAD(+)) onto target gene regulatory proteins, thereby modulating their activities. Although great strides have been made in the past decade in deciphering the seemingly opposing and varied roles of PARP-1 in gene regulation, many puzzles remain. In this review, we discuss the current state of understanding in this area, especially how PARP-1 interfaces with various components of gene regulatory pathways (e.g., the basal transcription machinery, DNA-binding transcription factors, coregulators, chromatin remodeling, histone modifications, and DNA methylation). In addition, we discuss some gene-specific, cell type-specific, and cell state-specific effects of PARP-1 on gene regulation, which might contribute to its biological functions. Finally, we review some of the recent progress targeting PARPs using chemical inhibitors, some of which may alter PARP-1-dependent gene regulatory programs to promote therapeutic outcomes.","container-title":"Molecular Aspects of Medicine","DOI":"10.1016/j.mam.2013.01.005","ISSN":"1872-9452","issue":"6","journalAbbreviation":"Mol Aspects Med","language":"eng","note":"PMID: 23357755","page":"1109-1123","source":"PubMed","title":"PARP-1 and gene regulation: progress and puzzles","title-short":"PARP-1 and gene regulation","volume":"34","author":[{"family":"Kraus","given":"W. Lee"},{"family":"Hottiger","given":"Michael O."}],"issued":{"date-parts":[["2013",12]]}}},{"id":398,"uris":["http://zotero.org/users/9078202/items/CUPP2ZS2"],"itemData":{"id":398,"type":"article-journal","abstract":"Each day tens of thousands of DNA single-strand breaks (SSBs) arise in every cell from the attack of deoxyribose and DNA bases by reactive oxygen species and other electrophilic molecules. DNA double-strand breaks (DSBs) also arise, albeit at a much lower frequency, from similar attacks and from the encounter of unrepaired SSBs and possibly other DNA structures by DNA replication forks. DSBs are also created during normal development of the immune system. Defects in the cellular response to DNA strand breaks underpin many human diseases, including disorders associated with cancer predisposition, immune dysfunction, radiosensitivity, and neurodegeneration. Here we provide an overview of the genetic diseases associated with defects in the repair/response to DNA strand breaks.","container-title":"Annual Review of Genomics and Human Genetics","DOI":"10.1146/annurev.genom.7.080505.115648","ISSN":"1527-8204","journalAbbreviation":"Annu Rev Genomics Hum Genet","language":"eng","note":"PMID: 17887919","page":"37-55","source":"PubMed","title":"DNA strand break repair and human genetic disease","volume":"8","author":[{"family":"McKinnon","given":"Peter J."},{"family":"Caldecott","given":"Keith W."}],"issued":{"date-parts":[["2007"]]}}}],"schema":"https://github.com/citation-style-language/schema/raw/master/csl-citation.json"}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[5,11,12]</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У млекопитающих на долю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1 приходится 80-90% синтеза поли(</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ДФ-рибозы) в клетке после повреждения ДНК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{"citationID":"Hqcpdh4P","properties":{"formattedCitation":"[13]","plainCitation":"[13]","noteIndex":0},"citationItems":[{"id":1255,"uris":["http://zotero.org/users/9078202/items/XBXBLCU7"],"itemData":{"id":1255,"type":"article-journal","abstract":"Poly(ADP-ribose) polymerase (PARP) participates in the intricate network of systems developed by the eukaryotic cell to cope with the numerous environmental and endogenous genotoxic agents. Cloning of the PARP gene has allowed the development of genetic and molecular approaches to elucidate the structure and function of this abundant and highly conserved enzyme.","container-title":"Trends in Biochemical Sciences","DOI":"10.1016/0968-0004(94)90280-1","ISSN":"0968-0004","issue":"4","journalAbbreviation":"Trends Biochem Sci","language":"eng","note":"PMID: 8016868","page":"172-176","source":"PubMed","title":"Poly(ADP-ribose) polymerase: a molecular nick-sensor","title-short":"Poly(ADP-ribose) polymerase","volume":"19","author":[{"family":"Murcia","given":"G.","non-dropping-particle":"de"},{"family":"Ménissier de Murcia","given":"J."}],"issued":{"date-parts":[["1994",4]]}}}],"schema":"https://github.com/citation-style-language/schema/raw/master/csl-citation.json"}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[13]</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В частности,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катализируемое ауто-поли(АДФ-рибозил)ирование и модификация ядерных белков значительно усиливаются под действием ДНК повреждающих агентов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{"citationID":"saj3As8F","properties":{"formattedCitation":"[13]","plainCitation":"[13]","noteIndex":0},"citationItems":[{"id":1255,"uris":["http://zotero.org/users/9078202/items/XBXBLCU7"],"itemData":{"id":1255,"type":"article-journal","abstract":"Poly(ADP-ribose) polymerase (PARP) participates in the intricate network of systems developed by the eukaryotic cell to cope with the numerous environmental and endogenous genotoxic agents. Cloning of the PARP gene has allowed the development of genetic and molecular approaches to elucidate the structure and function of this abundant and highly conserved enzyme.","container-title":"Trends in Biochemical Sciences","DOI":"10.1016/0968-0004(94)90280-1","ISSN":"0968-0004","issue":"4","journalAbbreviation":"Trends Biochem Sci","language":"eng","note":"PMID: 8016868","page":"172-176","source":"PubMed","title":"Poly(ADP-ribose) polymerase: a molecular nick-sensor","title-short":"Poly(ADP-ribose) polymerase","volume":"19","author":[{"family":"Murcia","given":"G.","non-dropping-particle":"de"},{"family":"Ménissier de Murcia","given":"J."}],"issued":{"date-parts":[["1994",4]]}}}],"schema":"https://github.com/citation-style-language/schema/raw/master/csl-citation.json"}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[13]</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Ковалентно прикрепленный полимер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ДФ-рибозы со сложной разветвленной структурой дает отрицательный заряд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ферменту и гистонам, что приводит к ослаблению связи с ДНК и электростатическому отталкиванию этих белков от ДНК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{"citationID":"HxBMq0rb","properties":{"formattedCitation":"[14]","plainCitation":"[14]","noteIndex":0},"citationItems":[{"id":1257,"uris":["http://zotero.org/users/9078202/items/WLPJ4WPR"],"itemData":{"id":1257,"type":"article-journal","abstract":"The activity of purified Ca2+, Mg2+-dependent endonuclease was inhibited when the enzyme was incubated in a system containing poly(ADP-ribose) synthetase, NAD+, Mg2+, and DNA. All four ingredients were essential to mediate ADP-ribosylation and to demonstrate inhibition of the endonuclease. In the absence of Mg2+, ADP-ribose transferring activity of poly(ADP-ribose) synthetase was stimulated by the addition of purified endonuclease to the reaction mixture in a dose-dependent manner. Analysis of the reaction product showed that the endonuclease was ADP-ribosylated. The average chain length of the initial oligo(ADP-ribose) attached to the enzyme was about 5.9 residues. The oligomer was found to be extensively elongated during the chase experiment using unlabeled NAD+ and Mg2+. The present finding suggests that Mg2+ is essential for the extensive elongation of the oligo(ADP-ribose). The DNA-binding affinity of the modified endonuclease was significantly lower than that of unmodified enzyme. Also, free poly(ADP-ribose) was not an effective inhibitor of the endonuclease. These findings suggest that the observed inhibition of the endonuclease induced by ADP-ribosylation is probably due to an electrostatic repulsion between the substrate (DNA) and poly(ADP-ribose) covalently linked to the endonuclease. Histone H1 and H2B stimulated endonuclease activity and were acceptors of ADP-ribose; however, their capacity to stimulate endonuclease activity remained unchanged after ADP-ribosylation.","container-title":"The Journal of Biological Chemistry","ISSN":"0021-9258","issue":"10","journalAbbreviation":"J Biol Chem","language":"eng","note":"PMID: 6327687","page":"6579-6585","source":"PubMed","title":"Mechanism of the inhibition of Ca2+, Mg2+-dependent endonuclease of bull seminal plasma induced by ADP-ribosylation","volume":"259","author":[{"family":"Tanaka","given":"Y."},{"family":"Yoshihara","given":"K."},{"family":"Itaya","given":"A."},{"family":"Kamiya","given":"T."},{"family":"Koide","given":"S. S."}],"issued":{"date-parts":[["1984",5,25]]}}}],"schema":"https://github.com/citation-style-language/schema/raw/master/csl-citation.json"}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[14]</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{"citationID":"evkXpU6f","properties":{"formattedCitation":"[15]","plainCitation":"[15]","noteIndex":0},"citationItems":[{"id":1259,"uris":["http://zotero.org/users/9078202/items/SMMYUX97"],"itemData":{"id":1259,"type":"article-journal","abstract":"Soluble extracts of human cells repair gamma-ray-induced single-strand breaks in DNA. Accompanying NAD-dependent automodification of poly(ADP-ribose) polymerase is required for effective DNA rejoining. The kinetics of poly(ADP-ribose) synthesis by this polymerase, and subsequent polymer degradation by poly(ADP-ribose) glycohydrolase, have been compared with the rate of DNA repair. The results agree with previous in vivo data. In response to addition of gamma-irradiated plasmid DNA, rapid and heavy automodification of poly(ADP-ribose) polymerase occurred in NAD-containing human cell extracts. After 2 min at 30 degrees C, when very little DNA rejoining had yet occurred, synthesis of long polymers essentially ceased, although only a minor fraction of the NAD had been consumed. Poly(ADP-ribose) chains were then reduced to oligomer size by poly(ADP-ribose) glycohydrolase. These short chains were present for longer times and were sufficient to permit DNA repair. Thus, most but not all poly(ADP-ribose) synthesis could be suppressed without marked inhibition of DNA repair, and prolonged occurrence of long poly(ADP-ribose) chains in consequence to glycohydrolase inhibition did not improve DNA repair. The temporary presence of short poly(ADP-ribose) chains on poly(ADP-ribose) polymerase avoids inhibition of excision-repair by that protein, but the initial very transient formation of long and branched chains of poly(ADP-ribose) in response to DNA damage apparently serves an entirely different purpose. Local poly(ADP-ribose) synthesis in the vicinity of a DNA strand interruption causes negative charge repulsion, and this may function to prevent accidental homologous recombination events within tandem repeat DNA sequences.","container-title":"Biochemistry","DOI":"10.1021/bi00189a012","ISSN":"0006-2960","issue":"23","journalAbbreviation":"Biochemistry","language":"eng","note":"PMID: 8003475","page":"7099-7106","source":"PubMed","title":"Dual function for poly(ADP-ribose) synthesis in response to DNA strand breakage","volume":"33","author":[{"family":"Satoh","given":"M. S."},{"family":"Poirier","given":"G. G."},{"family":"Lindahl","given":"T."}],"issued":{"date-parts":[["1994",6,14]]}}}],"schema":"https://github.com/citation-style-language/schema/raw/master/csl-citation.json"}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[15]</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Было высказано предположение, что при более низких уровнях повреждения клеточной ДНК,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регулируют репарацию ДНК путем рекрутирования белков в разрывы нитей и при более сильном повреждении ДНК, способствуют гибели клеток через процессы некроза, апоптоза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{"citationID":"pmzmPT50","properties":{"formattedCitation":"[5,16]","plainCitation":"[5,16]","noteIndex":0},"citationItems":[{"id":1240,"uris":["http://zotero.org/users/9078202/items/ASLULSIG"],"itemData":{"id":1240,"type":"article-journal","abstract":"The addition to proteins of the negatively charged polymer of ADP-ribose (PAR), which is synthesized by PAR polymerases (PARPs) from NAD(+), is a unique post-translational modification. It regulates not only cell survival and cell-death programmes, but also an increasing number of other biological functions with which novel members of the PARP family have been associated. These functions include transcriptional regulation, telomere cohesion and mitotic spindle formation during cell division, intracellular trafficking and energy metabolism.","container-title":"Nature Reviews. Molecular Cell Biology","DOI":"10.1038/nrm1963","ISSN":"1471-0072","issue":"7","journalAbbreviation":"Nat Rev Mol Cell Biol","language":"eng","note":"PMID: 16829982","page":"517-528","source":"PubMed","title":"Poly(ADP-ribose): novel functions for an old molecule","title-short":"Poly(ADP-ribose)","volume":"7","author":[{"family":"Schreiber","given":"Valérie"},{"family":"Dantzer","given":"Françoise"},{"family":"Ame","given":"Jean-Christophe"},{"family":"Murcia","given":"Gilbert","non-dropping-particle":"de"}],"issued":{"date-parts":[["2006",7]]}}},{"id":1263,"uris":["http://zotero.org/users/9078202/items/M289ESW6"],"itemData":{"id":1263,"type":"article-journal","abstract":"Histones play a crucial role in the organization of DNA in the nucleus, but their presence can prevent interactions with DNA binding proteins responsible for repair of DNA damage. Uracil is an abundant mutagenic lesion recognized by uracil DNA glycosylase (UDG) in the first step of base excision repair (BER). In nucleosome core particles (NCPs), we find substantial differences in UDG-directed cleavage at uracils rotationally positioned toward (U-In) or away from (U-Out) the histone core, or midway between these orientations (U-Mid). Whereas U-Out NCPs show a cleavage rate just below that of naked DNA, U-In and U-Mid NCPs have markedly slower rates of cleavage. Crosslinking of U-In DNA to histones in NCPs yields a greater reduction in cleavage rate but, surprisingly, yields a higher rate of cleavage in U-Out NCPs compared with uncrosslinked NCPs. Moreover, the next enzyme in BER, APE1, stimulates the activity of human UDG in U-Out NCPs, suggesting these enzymes interact on the surface of histones in orientations accessible to UDG. These data indicate that the activity of UDG likely requires \"trapping\" transiently exposed states arising from the rotational dynamics of DNA on histones.","container-title":"Proceedings of the National Academy of Sciences of the United States of America","DOI":"10.1073/pnas.0914443107","ISSN":"1091-6490","issue":"10","journalAbbreviation":"Proc Natl Acad Sci U S A","language":"eng","note":"PMID: 20176960\nPMCID: PMC2842065","page":"4646-4651","source":"PubMed","title":"Rotational dynamics of DNA on the nucleosome surface markedly impact accessibility to a DNA repair enzyme","volume":"107","author":[{"family":"Hinz","given":"John M."},{"family":"Rodriguez","given":"Yesenia"},{"family":"Smerdon","given":"Michael J."}],"issued":{"date-parts":[["2010",3,9]]}}}],"schema":"https://github.com/citation-style-language/schema/raw/master/csl-citation.json"}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[5,16]</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w:t>
      </w:r>
    </w:p>
    <w:p w14:paraId="5E64B10F" w14:textId="77777777" w:rsidR="000B103D" w:rsidRPr="00107040" w:rsidRDefault="000B103D" w:rsidP="000C16BB">
      <w:pPr>
        <w:autoSpaceDE w:val="0"/>
        <w:autoSpaceDN w:val="0"/>
        <w:adjustRightInd w:val="0"/>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Одной из наиболее известных ролей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является их функция в качестве сенсора повреждения ДНК.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1, в частности, связывается в ПАРилированной форме с одноцепочечными разрывами (</w:t>
      </w:r>
      <w:r w:rsidRPr="00107040">
        <w:rPr>
          <w:rFonts w:ascii="Times New Roman" w:eastAsia="MS Mincho" w:hAnsi="Times New Roman"/>
          <w:sz w:val="28"/>
          <w:szCs w:val="28"/>
          <w:lang w:val="en-US" w:eastAsia="ru-RU"/>
        </w:rPr>
        <w:t>SSB</w:t>
      </w:r>
      <w:r w:rsidRPr="00107040">
        <w:rPr>
          <w:rFonts w:ascii="Times New Roman" w:eastAsia="MS Mincho" w:hAnsi="Times New Roman"/>
          <w:sz w:val="28"/>
          <w:szCs w:val="28"/>
          <w:lang w:val="ru-RU" w:eastAsia="ru-RU"/>
        </w:rPr>
        <w:t>) и двуцепочечными разрывами ДНК (</w:t>
      </w:r>
      <w:r w:rsidRPr="00107040">
        <w:rPr>
          <w:rFonts w:ascii="Times New Roman" w:eastAsia="MS Mincho" w:hAnsi="Times New Roman"/>
          <w:sz w:val="28"/>
          <w:szCs w:val="28"/>
          <w:lang w:val="en-US" w:eastAsia="ru-RU"/>
        </w:rPr>
        <w:t>DSB</w:t>
      </w:r>
      <w:r w:rsidRPr="00107040">
        <w:rPr>
          <w:rFonts w:ascii="Times New Roman" w:eastAsia="MS Mincho" w:hAnsi="Times New Roman"/>
          <w:sz w:val="28"/>
          <w:szCs w:val="28"/>
          <w:lang w:val="ru-RU" w:eastAsia="ru-RU"/>
        </w:rPr>
        <w:t>),</w:t>
      </w:r>
      <w:r w:rsidRPr="00107040">
        <w:rPr>
          <w:rFonts w:ascii="Times New Roman" w:eastAsia="MS Mincho" w:hAnsi="Times New Roman"/>
          <w:sz w:val="28"/>
          <w:szCs w:val="28"/>
          <w:lang w:val="ru-RU" w:eastAsia="ja-JP"/>
        </w:rPr>
        <w:t xml:space="preserve"> и привлекает белковую машину репарации ДНК в места повреждения ДНК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{"citationID":"9jNv1WUJ","properties":{"formattedCitation":"[16,17]","plainCitation":"[16,17]","noteIndex":0},"citationItems":[{"id":1263,"uris":["http://zotero.org/users/9078202/items/M289ESW6"],"itemData":{"id":1263,"type":"article-journal","abstract":"Histones play a crucial role in the organization of DNA in the nucleus, but their presence can prevent interactions with DNA binding proteins responsible for repair of DNA damage. Uracil is an abundant mutagenic lesion recognized by uracil DNA glycosylase (UDG) in the first step of base excision repair (BER). In nucleosome core particles (NCPs), we find substantial differences in UDG-directed cleavage at uracils rotationally positioned toward (U-In) or away from (U-Out) the histone core, or midway between these orientations (U-Mid). Whereas U-Out NCPs show a cleavage rate just below that of naked DNA, U-In and U-Mid NCPs have markedly slower rates of cleavage. Crosslinking of U-In DNA to histones in NCPs yields a greater reduction in cleavage rate but, surprisingly, yields a higher rate of cleavage in U-Out NCPs compared with uncrosslinked NCPs. Moreover, the next enzyme in BER, APE1, stimulates the activity of human UDG in U-Out NCPs, suggesting these enzymes interact on the surface of histones in orientations accessible to UDG. These data indicate that the activity of UDG likely requires \"trapping\" transiently exposed states arising from the rotational dynamics of DNA on histones.","container-title":"Proceedings of the National Academy of Sciences of the United States of America","DOI":"10.1073/pnas.0914443107","ISSN":"1091-6490","issue":"10","journalAbbreviation":"Proc Natl Acad Sci U S A","language":"eng","note":"PMID: 20176960\nPMCID: PMC2842065","page":"4646-4651","source":"PubMed","title":"Rotational dynamics of DNA on the nucleosome surface markedly impact accessibility to a DNA repair enzyme","volume":"107","author":[{"family":"Hinz","given":"John M."},{"family":"Rodriguez","given":"Yesenia"},{"family":"Smerdon","given":"Michael J."}],"issued":{"date-parts":[["2010",3,9]]}}},{"id":1266,"uris":["http://zotero.org/users/9078202/items/S9M4LL6W"],"itemData":{"id":1266,"type":"article-journal","abstract":"Each day, approximately 20,000 oxidative lesions form in the DNA of every nucleated human cell. The base excision repair (BER) enzymes that repair these lesions must function in a chromatin milieu. We have determined that the DNA glycosylase hNTH1, apurinic endonuclease (APE), and DNA polymerase β (Pol β), which catalyze the first three steps in BER, are able to process their substrates in both 601- and 5S ribosomal DNA (rDNA)-based nucleosomes. hNTH1 formed a discrete ternary complex that was displaced by the addition of APE, suggesting an orderly handoff of substrates from one enzyme to the next. In contrast, DNA ligase IIIα-XRCC1, which completes BER, was appreciably active only at concentrations that led to nucleosome disruption. Ligase IIIα-XRCC1 was also able to bind and disrupt nucleosomes containing a single base gap and, because of this property, enhanced both its own activity and that of Pol β on nucleosome substrates. Collectively, these findings provide insights into rate-limiting steps that govern BER in chromatin and reveal a unique role for ligase IIIα-XRCC1 in enhancing the efficiency of the final two steps in the BER of lesions in nucleosomes.","container-title":"Molecular and Cellular Biology","DOI":"10.1128/MCB.05715-11","ISSN":"1098-5549","issue":"22","journalAbbreviation":"Mol Cell Biol","language":"eng","note":"PMID: 21930793\nPMCID: PMC3209256","page":"4623-4632","source":"PubMed","title":"Nucleosome disruption by DNA ligase III-XRCC1 promotes efficient base excision repair","volume":"31","author":[{"family":"Odell","given":"Ian D."},{"family":"Barbour","given":"Joy-El"},{"family":"Murphy","given":"Drew L."},{"family":"Della-Maria","given":"Julie A."},{"family":"Sweasy","given":"Joann B."},{"family":"Tomkinson","given":"Alan E."},{"family":"Wallace","given":"Susan S."},{"family":"Pederson","given":"David S."}],"issued":{"date-parts":[["2011",11]]}}}],"schema":"https://github.com/citation-style-language/schema/raw/master/csl-citation.json"}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[16,17]</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катализируемое ковалентное присоединение поли(АДФ-рибозы) (ПАР) к белкам является обратимым процессом, поскольку расщепление ПАР до мономеров АДФ-рибозы осуществляется ферментами поли(АДФ-рибоза)-гликогидролазами (</w:t>
      </w:r>
      <w:r w:rsidRPr="00107040">
        <w:rPr>
          <w:rFonts w:ascii="Times New Roman" w:eastAsia="MS Mincho" w:hAnsi="Times New Roman"/>
          <w:sz w:val="28"/>
          <w:szCs w:val="28"/>
          <w:lang w:val="en-US" w:eastAsia="ja-JP"/>
        </w:rPr>
        <w:t>PARG</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{"citationID":"CPQkOWFs","properties":{"formattedCitation":"[18]","plainCitation":"[18]","noteIndex":0},"citationItems":[{"id":168,"uris":["http://zotero.org/users/9078202/items/5LHETBDX"],"itemData":{"id":168,"type":"article-journal","abstract":"Poly(ADP-ribose) glycohydrolase (PARG) is a catabolic enzyme that cleaves ADP-ribose polymers formed by members of the PARP family of enzymes. Despite its discovery and subsequent partial purification in the 1970s and the cloning of its single gene in the late 1990s, little is known about the role of PARG in cell function. Because of its low abundance within cells and its extreme sensitivity to proteases, PARG has been difficult to study. The existence of several PARG isoforms with different subcellular localizations is still debated today after more than 30 years of intensive research. In this article, we want to summarize and discuss the current knowledge related to PARG, its different forms and subcellular distribution. We also examine the possible biological roles of PARG in modulating chromatin structure, transcription, DNA repair and apoptosis.","container-title":"Cellular and molecular life sciences: CMLS","DOI":"10.1007/s00018-004-4505-1","ISSN":"1420-682X","issue":"7-8","journalAbbreviation":"Cell Mol Life Sci","language":"eng","note":"PMID: 15868399","page":"739-750","source":"PubMed","title":"Regulation of poly(ADP-ribose) metabolism by poly(ADP-ribose) glycohydrolase: where and when?","title-short":"Regulation of poly(ADP-ribose) metabolism by poly(ADP-ribose) glycohydrolase","volume":"62","author":[{"family":"Bonicalzi","given":"M.-E."},{"family":"Haince","given":"J.-F."},{"family":"Droit","given":"A."},{"family":"Poirier","given":"G. G."}],"issued":{"date-parts":[["2005",4]]}}}],"schema":"https://github.com/citation-style-language/schema/raw/master/csl-citation.json"}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[18]</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АДФ-рибозиларгинин-гидролазой 3 (</w:t>
      </w:r>
      <w:r w:rsidRPr="00107040">
        <w:rPr>
          <w:rFonts w:ascii="Times New Roman" w:eastAsia="MS Mincho" w:hAnsi="Times New Roman"/>
          <w:sz w:val="28"/>
          <w:szCs w:val="28"/>
          <w:lang w:val="en-US" w:eastAsia="ja-JP"/>
        </w:rPr>
        <w:t>ARH</w:t>
      </w:r>
      <w:r w:rsidRPr="00107040">
        <w:rPr>
          <w:rFonts w:ascii="Times New Roman" w:eastAsia="MS Mincho" w:hAnsi="Times New Roman"/>
          <w:sz w:val="28"/>
          <w:szCs w:val="28"/>
          <w:lang w:val="ru-RU" w:eastAsia="ja-JP"/>
        </w:rPr>
        <w:t xml:space="preserve">3)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{"citationID":"jPXAjEYp","properties":{"formattedCitation":"[19]","plainCitation":"[19]","noteIndex":0},"citationItems":[{"id":1269,"uris":["http://zotero.org/users/9078202/items/YGT389RE"],"itemData":{"id":1269,"type":"article-journal","abstract":"The silent information regulator 2 (Sir2) family of NAD-dependent N-acetyl-protein deacetylases participates in the regulation of gene silencing, chromatin structure, and longevity. In the Sir2-catalyzed reaction, the acetyl moiety of N-acetyl-histone is transferred to the ADP-ribose of NAD, yielding O-acetyl-ADP-ribose and nicotinamide. We hypothesized that, if O-acetyl-ADP-ribose were an important signaling molecule, a specific hydrolase would cleave the (O-acetyl)-(ADP-ribose) linkage. We report here that the poly(ADP-ribose) glycohydrolase ARH3 hydrolyzed O-acetyl-ADP-ribose to produce ADP-ribose in a time- and Mg(2+)-dependent reaction and thus could participate in two signaling pathways. This O-acetyl-ADP-ribose hydrolase belongs to a family of three structurally related 39-kDa ADP-ribose-binding proteins (ARH1-ARH3). ARH1 was reported to hydrolyze ADP-ribosylarginine, whereas ARH3 degraded poly(ADP-ribose). ARH3-catalyzed generation of ADP-ribose from O-acetyl-ADP-ribose was significantly faster than from poly(ADP-ribose). Like the degradation of poly(ADP-ribose) by ARH3, hydrolysis of O-acetyl-ADP-ribose was abolished by replacement of the vicinal aspartates at positions 77 and 78 of ARH3 with asparagine. The rate of O-acetyl-ADP-ribose hydrolysis by recombinant ARH3 was 250-fold that observed with ARH1; ARH2 and poly(ADP-ribose) glycohydrolase were inactive. All data support the conclusion that the Sir2 reaction product O-acetyl-ADP-ribose is degraded by ARH3.","container-title":"Proceedings of the National Academy of Sciences of the United States of America","DOI":"10.1073/pnas.0607911103","ISSN":"0027-8424","issue":"45","journalAbbreviation":"Proc Natl Acad Sci U S A","language":"eng","note":"PMID: 17075046\nPMCID: PMC1636516","page":"16687-16691","source":"PubMed","title":"The 39-kDa poly(ADP-ribose) glycohydrolase ARH3 hydrolyzes O-acetyl-ADP-ribose, a product of the Sir2 family of acetyl-histone deacetylases","volume":"103","author":[{"family":"Ono","given":"Tohru"},{"family":"Kasamatsu","given":"Atsushi"},{"family":"Oka","given":"Shunya"},{"family":"Moss","given":"Joel"}],"issued":{"date-parts":[["2006",11,7]]}}}],"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[19]</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и терминальной АДФ-гликогидролазами (</w:t>
      </w:r>
      <w:r w:rsidRPr="00107040">
        <w:rPr>
          <w:rFonts w:ascii="Times New Roman" w:eastAsia="MS Mincho" w:hAnsi="Times New Roman"/>
          <w:sz w:val="28"/>
          <w:szCs w:val="28"/>
          <w:lang w:val="en-US" w:eastAsia="ja-JP"/>
        </w:rPr>
        <w:t>TARG</w:t>
      </w:r>
      <w:r w:rsidRPr="00107040">
        <w:rPr>
          <w:rFonts w:ascii="Times New Roman" w:eastAsia="MS Mincho" w:hAnsi="Times New Roman"/>
          <w:sz w:val="28"/>
          <w:szCs w:val="28"/>
          <w:lang w:val="ru-RU" w:eastAsia="ja-JP"/>
        </w:rPr>
        <w:t xml:space="preserve">1)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{"citationID":"bfS1jZBn","properties":{"formattedCitation":"[20]","plainCitation":"[20]","noteIndex":0},"citationItems":[{"id":320,"uris":["http://zotero.org/users/9078202/items/PQQI2R5F"],"itemData":{"id":320,"type":"article-journal","abstract":"Adenosine diphosphate (ADP)-ribosylation is a post-translational protein modification implicated in the regulation of a range of cellular processes. A family of proteins that catalyse ADP-ribosylation reactions are the poly(ADP-ribose) (PAR) polymerases (PARPs). PARPs covalently attach an ADP-ribose nucleotide to target proteins and some PARP family members can subsequently add additional ADP-ribose units to generate a PAR chain. The hydrolysis of PAR chains is catalysed by PAR glycohydrolase (PARG). PARG is unable to cleave the mono(ADP-ribose) unit directly linked to the protein and although the enzymatic activity that catalyses this reaction has been detected in mammalian cell extracts, the protein(s) responsible remain unknown. Here, we report the homozygous mutation of the c6orf130 gene in patients with severe neurodegeneration, and identify C6orf130 as a PARP-interacting protein that removes mono(ADP-ribosyl)ation on glutamate amino acid residues in PARP-modified proteins. X-ray structures and biochemical analysis of C6orf130 suggest a mechanism of catalytic reversal involving a transient C6orf130 lysyl-(ADP-ribose) intermediate. Furthermore, depletion of C6orf130 protein in cells leads to proliferation and DNA repair defects. Collectively, our data suggest that C6orf130 enzymatic activity has a role in the turnover and recycling of protein ADP-ribosylation, and we have implicated the importance of this protein in supporting normal cellular function in humans.","container-title":"The EMBO journal","DOI":"10.1038/emboj.2013.51","ISSN":"1460-2075","issue":"9","journalAbbreviation":"EMBO J","language":"eng","note":"PMID: 23481255\nPMCID: PMC3642678","page":"1225-1237","source":"PubMed","title":"Deficiency of terminal ADP-ribose protein glycohydrolase TARG1/C6orf130 in neurodegenerative disease","volume":"32","author":[{"family":"Sharifi","given":"Reza"},{"family":"Morra","given":"Rosa"},{"family":"Appel","given":"C. Denise"},{"family":"Tallis","given":"Michael"},{"family":"Chioza","given":"Barry"},{"family":"Jankevicius","given":"Gytis"},{"family":"Simpson","given":"Michael A."},{"family":"Matic","given":"Ivan"},{"family":"Ozkan","given":"Ege"},{"family":"Golia","given":"Barbara"},{"family":"Schellenberg","given":"Matthew J."},{"family":"Weston","given":"Ria"},{"family":"Williams","given":"Jason G."},{"family":"Rossi","given":"Marianna N."},{"family":"Galehdari","given":"Hamid"},{"family":"Krahn","given":"Juno"},{"family":"Wan","given":"Alexander"},{"family":"Trembath","given":"Richard C."},{"family":"Crosby","given":"Andrew H."},{"family":"Ahel","given":"Dragana"},{"family":"Hay","given":"Ron"},{"family":"Ladurner","given":"Andreas G."},{"family":"Timinszky","given":"Gyula"},{"family":"Williams","given":"R. Scott"},{"family":"Ahel","given":"Ivan"}],"issued":{"date-parts":[["2013",5,2]]}}}],"schema":"https://github.com/citation-style-language/schema/raw/master/csl-citation.json"}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[20]</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PARG</w:t>
      </w:r>
      <w:r w:rsidRPr="00107040">
        <w:rPr>
          <w:rFonts w:ascii="Times New Roman" w:eastAsia="MS Mincho" w:hAnsi="Times New Roman"/>
          <w:sz w:val="28"/>
          <w:szCs w:val="28"/>
          <w:lang w:val="ru-RU" w:eastAsia="ja-JP"/>
        </w:rPr>
        <w:t xml:space="preserve"> является основной гликогидролазой ПАР в клетках млекопитающих, которая удаляет большую часть полимера ПАР, но оставляет единственную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ДФ-рибозу, прикрепленную к белку. Этот остаток затем удаляется </w:t>
      </w:r>
      <w:r w:rsidRPr="00107040">
        <w:rPr>
          <w:rFonts w:ascii="Times New Roman" w:eastAsia="MS Mincho" w:hAnsi="Times New Roman"/>
          <w:sz w:val="28"/>
          <w:szCs w:val="28"/>
          <w:lang w:val="en-US" w:eastAsia="ja-JP"/>
        </w:rPr>
        <w:t>TARG</w:t>
      </w:r>
      <w:r w:rsidRPr="00107040">
        <w:rPr>
          <w:rFonts w:ascii="Times New Roman" w:eastAsia="MS Mincho" w:hAnsi="Times New Roman"/>
          <w:sz w:val="28"/>
          <w:szCs w:val="28"/>
          <w:lang w:val="ru-RU" w:eastAsia="ja-JP"/>
        </w:rPr>
        <w:t xml:space="preserve">1. Нокаутные по гену </w:t>
      </w:r>
      <w:r w:rsidRPr="00107040">
        <w:rPr>
          <w:rFonts w:ascii="Times New Roman" w:eastAsia="MS Mincho" w:hAnsi="Times New Roman"/>
          <w:i/>
          <w:sz w:val="28"/>
          <w:szCs w:val="28"/>
          <w:lang w:val="en-US" w:eastAsia="ja-JP"/>
        </w:rPr>
        <w:t>PARG</w:t>
      </w:r>
      <w:r w:rsidRPr="00107040">
        <w:rPr>
          <w:rFonts w:ascii="Times New Roman" w:eastAsia="MS Mincho" w:hAnsi="Times New Roman"/>
          <w:sz w:val="28"/>
          <w:szCs w:val="28"/>
          <w:lang w:val="ru-RU" w:eastAsia="ja-JP"/>
        </w:rPr>
        <w:t xml:space="preserve"> мыши погибали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{"citationID":"6n9cVTZa","properties":{"formattedCitation":"[21]","plainCitation":"[21]","noteIndex":0},"citationItems":[{"id":163,"uris":["http://zotero.org/users/9078202/items/MGBLUMH8"],"itemData":{"id":163,"type":"article-journal","abstract":"The metabolism of poly(ADP-ribose) (PAR) is critical for genomic stability in multicellular eukaryotes. Here, we show that the failure to degrade PAR by means of disruption of the murine poly(ADP-ribose) glycohydrolase (PARG) gene unexpectedly causes early embryonic lethality and enhanced sensitivity to genotoxic stress. This lethality results from the failure to hydrolyze PAR, because PARG null embryonic day (E) 3.5 blastocysts accumulate PAR and concurrently undergo apoptosis. Moreover, embryonic trophoblast stem cell lines established from early PARG null embryos are viable only when cultured in medium containing the poly(ADP-ribose) polymerase inhibitor benzamide. Cells lacking PARG also show reduced growth, accumulation of PAR, and increased sensitivity to cytotoxicity induced by N-methyl-N'-nitro-N-nitrosoguanidine and menadione after benzamide withdrawal. These results provide compelling evidence that the failure to degrade PAR has deleterious consequences. Further, they define a role for PARG in embryonic development and a protective role in the response to genotoxic stress.","container-title":"Proceedings of the National Academy of Sciences of the United States of America","DOI":"10.1073/pnas.0406182101","ISSN":"0027-8424","issue":"51","journalAbbreviation":"Proc Natl Acad Sci U S A","language":"eng","note":"PMID: 15591342\nPMCID: PMC539714","page":"17699-17704","source":"PubMed","title":"Failure to degrade poly(ADP-ribose) causes increased sensitivity to cytotoxicity and early embryonic lethality","volume":"101","author":[{"family":"Koh","given":"David W."},{"family":"Lawler","given":"Ann M."},{"family":"Poitras","given":"Marc F."},{"family":"Sasaki","given":"Masayuki"},{"family":"Wattler","given":"Sigrid"},{"family":"Nehls","given":"Michael C."},{"family":"Stöger","given":"Tobias"},{"family":"Poirier","given":"Guy G."},{"family":"Dawson","given":"Valina L."},{"family":"Dawson","given":"Ted M."}],"issued":{"date-parts":[["2004",12,21]]}}}],"schema":"https://github.com/citation-style-language/schema/raw/master/csl-citation.json"}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[21]</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а дефицитные по гену </w:t>
      </w:r>
      <w:r w:rsidRPr="00107040">
        <w:rPr>
          <w:rFonts w:ascii="Times New Roman" w:eastAsia="MS Mincho" w:hAnsi="Times New Roman"/>
          <w:i/>
          <w:sz w:val="28"/>
          <w:szCs w:val="28"/>
          <w:lang w:val="en-US" w:eastAsia="ja-JP"/>
        </w:rPr>
        <w:t>PARG</w:t>
      </w:r>
      <w:r w:rsidRPr="00107040">
        <w:rPr>
          <w:rFonts w:ascii="Times New Roman" w:eastAsia="MS Mincho" w:hAnsi="Times New Roman"/>
          <w:sz w:val="28"/>
          <w:szCs w:val="28"/>
          <w:lang w:val="ru-RU" w:eastAsia="ja-JP"/>
        </w:rPr>
        <w:t xml:space="preserve"> клетки проявляют повышенную гибель клеток и значительное нарушение процессов репарации повреждения ДНК и разрывов цепей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{"citationID":"ezyzxPUl","properties":{"formattedCitation":"[22]","plainCitation":"[22]","noteIndex":0},"citationItems":[{"id":1275,"uris":["http://zotero.org/users/9078202/items/3AMLH8QK"],"itemData":{"id":1275,"type":"article-journal","abstract":"Poly(ADP-ribosyl)ation is a post-translational modification of proteins involved in the regulation of chromatin structure, DNA metabolism, cell division and cell death. Through the hydrolysis of poly(ADP-ribose) (PAR), Poly(ADP-ribose) glycohydrolase (PARG) has a crucial role in the control of life-and-death balance following DNA insult. Comprehension of PARG function has been hindered by the existence of many PARG isoforms encoded by a single gene and displaying various subcellular localizations. To gain insight into the function of PARG in response to irradiation, we constitutively and stably knocked down expression of PARG isoforms in HeLa cells. PARG depletion leading to PAR accumulation was not deleterious to undamaged cells and was in fact rather beneficial, because it protected cells from spontaneous single-strand breaks and telomeric abnormalities. By contrast, PARG-deficient cells showed increased radiosensitivity, caused by defects in the repair of single- and double-strand breaks and in mitotic spindle checkpoint, leading to alteration of progression of mitosis. Irradiated PARG-deficient cells displayed centrosome amplification leading to mitotic supernumerary spindle poles, and accumulated aberrant mitotic figures, which induced either polyploidy or cell death by mitotic catastrophe. Our results suggest that PARG could be a novel potential therapeutic target for radiotherapy.","container-title":"Journal of Cell Science","DOI":"10.1242/jcs.039115","ISSN":"0021-9533","issue":"Pt 12","journalAbbreviation":"J Cell Sci","language":"eng","note":"PMID: 19454480","page":"1990-2002","source":"PubMed","title":"Radiation-induced mitotic catastrophe in PARG-deficient cells","volume":"122","author":[{"family":"Amé","given":"Jean-Christophe"},{"family":"Fouquerel","given":"Elise"},{"family":"Gauthier","given":"Laurent R."},{"family":"Biard","given":"Denis"},{"family":"Boussin","given":"François D."},{"family":"Dantzer","given":"Françoise"},{"family":"Murcia","given":"Gilbert","non-dropping-particle":"de"},{"family":"Schreiber","given":"Valérie"}],"issued":{"date-parts":[["2009",6,15]]}}}],"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[22]</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что указывает на </w:t>
      </w:r>
      <w:r w:rsidRPr="00107040">
        <w:rPr>
          <w:rFonts w:ascii="Times New Roman" w:eastAsia="MS Mincho" w:hAnsi="Times New Roman"/>
          <w:sz w:val="28"/>
          <w:szCs w:val="28"/>
          <w:lang w:val="ru-RU" w:eastAsia="ja-JP"/>
        </w:rPr>
        <w:lastRenderedPageBreak/>
        <w:t>то, что генерация ПАРилированых макромолекул является высокотоксичным для клетки.</w:t>
      </w:r>
    </w:p>
    <w:p w14:paraId="57E9768C" w14:textId="77777777" w:rsidR="000B103D" w:rsidRPr="00107040" w:rsidRDefault="000B103D" w:rsidP="000C16BB">
      <w:pPr>
        <w:autoSpaceDE w:val="0"/>
        <w:autoSpaceDN w:val="0"/>
        <w:adjustRightInd w:val="0"/>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растений играют аналогичную роль в реакциях клеток на генотоксический стресс. </w:t>
      </w:r>
      <w:r w:rsidRPr="00107040">
        <w:rPr>
          <w:rFonts w:ascii="Times New Roman" w:eastAsia="MS Mincho" w:hAnsi="Times New Roman"/>
          <w:i/>
          <w:sz w:val="28"/>
          <w:szCs w:val="28"/>
          <w:lang w:val="ru-RU" w:eastAsia="ja-JP"/>
        </w:rPr>
        <w:t>А</w:t>
      </w:r>
      <w:r w:rsidRPr="00107040">
        <w:rPr>
          <w:rFonts w:ascii="Times New Roman" w:eastAsia="MS Mincho" w:hAnsi="Times New Roman"/>
          <w:i/>
          <w:sz w:val="28"/>
          <w:szCs w:val="28"/>
          <w:lang w:val="en-US" w:eastAsia="ja-JP"/>
        </w:rPr>
        <w:t>tPARP</w:t>
      </w:r>
      <w:r w:rsidRPr="00107040">
        <w:rPr>
          <w:rFonts w:ascii="Times New Roman" w:eastAsia="MS Mincho" w:hAnsi="Times New Roman"/>
          <w:i/>
          <w:sz w:val="28"/>
          <w:szCs w:val="28"/>
          <w:lang w:val="ru-RU" w:eastAsia="ja-JP"/>
        </w:rPr>
        <w:t>1</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i/>
          <w:sz w:val="28"/>
          <w:szCs w:val="28"/>
          <w:lang w:val="en-US" w:eastAsia="ja-JP"/>
        </w:rPr>
        <w:t>AtPARP</w:t>
      </w:r>
      <w:r w:rsidRPr="00107040">
        <w:rPr>
          <w:rFonts w:ascii="Times New Roman" w:eastAsia="MS Mincho" w:hAnsi="Times New Roman"/>
          <w:i/>
          <w:sz w:val="28"/>
          <w:szCs w:val="28"/>
          <w:lang w:val="ru-RU" w:eastAsia="ja-JP"/>
        </w:rPr>
        <w:t>2</w:t>
      </w:r>
      <w:r w:rsidRPr="00107040">
        <w:rPr>
          <w:rFonts w:ascii="Times New Roman" w:eastAsia="MS Mincho" w:hAnsi="Times New Roman"/>
          <w:sz w:val="28"/>
          <w:szCs w:val="28"/>
          <w:lang w:val="ru-RU" w:eastAsia="ja-JP"/>
        </w:rPr>
        <w:t xml:space="preserve"> мРНК мгновенно накапливаются в ответ воздействию гамма-излучения и активных форм кислорода (АФК). Белки локализуются в ядре, а экспрессия А</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1 индуцируется в семязачатках </w:t>
      </w:r>
      <w:r w:rsidRPr="00107040">
        <w:rPr>
          <w:rFonts w:ascii="Times New Roman" w:eastAsia="MS Mincho" w:hAnsi="Times New Roman"/>
          <w:i/>
          <w:iCs/>
          <w:sz w:val="28"/>
          <w:szCs w:val="28"/>
          <w:lang w:val="en-US" w:eastAsia="ja-JP"/>
        </w:rPr>
        <w:t>dna</w:t>
      </w:r>
      <w:r w:rsidRPr="00107040">
        <w:rPr>
          <w:rFonts w:ascii="Times New Roman" w:eastAsia="MS Mincho" w:hAnsi="Times New Roman"/>
          <w:i/>
          <w:iCs/>
          <w:sz w:val="28"/>
          <w:szCs w:val="28"/>
          <w:lang w:val="ru-RU" w:eastAsia="ja-JP"/>
        </w:rPr>
        <w:t>-</w:t>
      </w:r>
      <w:r w:rsidRPr="00107040">
        <w:rPr>
          <w:rFonts w:ascii="Times New Roman" w:eastAsia="MS Mincho" w:hAnsi="Times New Roman"/>
          <w:i/>
          <w:iCs/>
          <w:sz w:val="28"/>
          <w:szCs w:val="28"/>
          <w:lang w:val="en-US" w:eastAsia="ja-JP"/>
        </w:rPr>
        <w:t>lig</w:t>
      </w:r>
      <w:r w:rsidRPr="00107040">
        <w:rPr>
          <w:rFonts w:ascii="Times New Roman" w:eastAsia="MS Mincho" w:hAnsi="Times New Roman"/>
          <w:i/>
          <w:iCs/>
          <w:sz w:val="28"/>
          <w:szCs w:val="28"/>
          <w:lang w:val="ru-RU" w:eastAsia="ja-JP"/>
        </w:rPr>
        <w:t>1</w:t>
      </w:r>
      <w:r w:rsidRPr="00107040">
        <w:rPr>
          <w:rFonts w:ascii="Times New Roman" w:eastAsia="MS Mincho" w:hAnsi="Times New Roman"/>
          <w:sz w:val="28"/>
          <w:szCs w:val="28"/>
          <w:lang w:val="ru-RU" w:eastAsia="ja-JP"/>
        </w:rPr>
        <w:t xml:space="preserve"> мутантов, с нарушенным механизмом репарации ДНК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{"citationID":"JRX2cq5h","properties":{"formattedCitation":"[23]","plainCitation":"[23]","noteIndex":0},"citationItems":[{"id":263,"uris":["http://zotero.org/users/9078202/items/7Y75U26X"],"itemData":{"id":263,"type":"article-journal","container-title":"Current Protein and Peptide Science","DOI":"10.2174/1389203717666160419144721","ISSN":"1389-2037","issue":"7","page":"713-723","source":"University of Helsinki","title":"Plant PARPs, PARGs and PARP-like Proteins","volume":"17","author":[{"family":"Vainonen","given":"Julia P."},{"family":"Shapiguzov","given":"Alexey"},{"family":"Vaattovaara","given":"Aleksia"},{"family":"Kangasjarvi","given":"Jaakko"}],"issued":{"date-parts":[["2016"]]}}}],"schema":"https://github.com/citation-style-language/schema/raw/master/csl-citation.json"}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[23]</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Показано, что сверхэкспрессия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2 приводила к снижению разрывов цепей ДНК в присутствии радикалов кислорода, тогда как подавление экспрессии А</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1 увеличивало количество разрывов цепей ДНК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{"citationID":"Q3G3Iy1b","properties":{"formattedCitation":"[24]","plainCitation":"[24]","noteIndex":0},"citationItems":[{"id":1278,"uris":["http://zotero.org/users/9078202/items/W6JPRRQR"],"itemData":{"id":1278,"type":"article-journal","abstract":"Plants contain two genes that code for poly(ADP-ribose) polymerase (PARP): parp1 and parp2. Both PARPs are activated by DNA damage caused by, example reactive oxygen species. Upon activation polymers of ADP-ribose are synthesized on a range of nuclear enzymes using NAD(+) as substrate. Here, we show that in plants stresses such as drought, high light and heat activate PARP causing NAD(+) breakdown and ATP consumption. When the PARP activity is reduced by means of chemical inhibitors or by gene silencing, cell death is inhibited and plants become tolerant to a broad range of abiotic stresses like high light, drought and heat. Plant lines with low poly(ADP-ribosyl)ation activity maintain under stress conditions their energy homeostasis by reducing NAD(+) breakdown and consequently energy consumption. The higher energy-use efficiency avoids the need for a too intense mitochondrial respiration and consequently reduces the formation of reactive oxygen species. From these results it can be concluded that breeding or engineering for a high energy-use efficiency under stress conditions is a valuable, but until today nearly unexploited, approach to enhance overall stress tolerance of crops.","container-title":"The Plant Journal: For Cell and Molecular Biology","DOI":"10.1111/j.1365-313X.2004.02277.x","ISSN":"0960-7412","issue":"1","journalAbbreviation":"Plant J","language":"eng","note":"PMID: 15610352","page":"95-106","source":"PubMed","title":"Poly(ADP-ribose) polymerase in plants affects energy homeostasis, cell death and stress tolerance","volume":"41","author":[{"family":"De Block","given":"Marc"},{"family":"Verduyn","given":"Christoph"},{"family":"De Brouwer","given":"Dirk"},{"family":"Cornelissen","given":"Marc"}],"issued":{"date-parts":[["2005",1]]}}}],"schema":"https://github.com/citation-style-language/schema/raw/master/csl-citation.json"}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[24]</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После воздействия ионизирующего излучения наблюдалась активная экспрессия гена </w:t>
      </w:r>
      <w:r w:rsidRPr="00107040">
        <w:rPr>
          <w:rFonts w:ascii="Times New Roman" w:eastAsia="MS Mincho" w:hAnsi="Times New Roman"/>
          <w:i/>
          <w:sz w:val="28"/>
          <w:szCs w:val="28"/>
          <w:lang w:val="ru-RU" w:eastAsia="ja-JP"/>
        </w:rPr>
        <w:t>А</w:t>
      </w:r>
      <w:r w:rsidRPr="00107040">
        <w:rPr>
          <w:rFonts w:ascii="Times New Roman" w:eastAsia="MS Mincho" w:hAnsi="Times New Roman"/>
          <w:i/>
          <w:sz w:val="28"/>
          <w:szCs w:val="28"/>
          <w:lang w:val="en-US" w:eastAsia="ja-JP"/>
        </w:rPr>
        <w:t>tPARP</w:t>
      </w:r>
      <w:r w:rsidRPr="00107040">
        <w:rPr>
          <w:rFonts w:ascii="Times New Roman" w:eastAsia="MS Mincho" w:hAnsi="Times New Roman"/>
          <w:i/>
          <w:sz w:val="28"/>
          <w:szCs w:val="28"/>
          <w:lang w:val="ru-RU" w:eastAsia="ja-JP"/>
        </w:rPr>
        <w:t>1</w:t>
      </w:r>
      <w:r w:rsidRPr="00107040">
        <w:rPr>
          <w:rFonts w:ascii="Times New Roman" w:eastAsia="MS Mincho" w:hAnsi="Times New Roman"/>
          <w:sz w:val="28"/>
          <w:szCs w:val="28"/>
          <w:lang w:val="ru-RU" w:eastAsia="ja-JP"/>
        </w:rPr>
        <w:t xml:space="preserve"> во всех органах растений. Однако количество белка  увеличивалась только в активно пролиферирующих тканях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{"citationID":"Lnql0yFw","properties":{"formattedCitation":"[9]","plainCitation":"[9]","noteIndex":0},"citationItems":[{"id":1247,"uris":["http://zotero.org/users/9078202/items/YHNZFVKW"],"itemData":{"id":1247,"type":"article-journal","abstract":"Poly(ADP-ribose) polymerases (PARPs) and poly(ADP-ribose) glycohydrolases (PARGs) are the main enzymes responsible for the post-translational modification known as poly(ADP-ribosyl)ation. These enzymes play important roles in genotoxic stress tolerance and DNA repair, programmed cell death, transcription, and cell cycle control in animals. Similar impacts are being discovered in plants, as well as roles in plant-specific processes. In particular, we review recent work that has revealed significant roles for poly(ADP-ribosyl)ation in plant responses to biotic and abiotic stress, as well as roles for ADP-ribose pyrophosphatases (a subset of the nucleoside diphosphate linked to some moiety-X or NUDX hydrolases). Future challenges include identification of poly(ADP-ribosyl)ation targets and interacting proteins, improved use of inhibitors and plant mutants, and field-based studies with economically valuable plant species.","container-title":"Trends in Plant Science","DOI":"10.1016/j.tplants.2011.03.008","ISSN":"1878-4372","issue":"7","journalAbbreviation":"Trends Plant Sci","language":"eng","note":"PMID: 21482174","page":"372-380","source":"PubMed","title":"Poly(ADP-ribosyl)ation in plants","volume":"16","author":[{"family":"Briggs","given":"Amy G."},{"family":"Bent","given":"Andrew F."}],"issued":{"date-parts":[["2011",7]]}}}],"schema":"https://github.com/citation-style-language/schema/raw/master/csl-citation.json"}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[9]</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Такая тканеспецифическая генерация А</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1 белка в ответ на повреждение ДНК указывает на важную роль этого фермента в поддержании целостности ДНК во время репликации. Показано, что мутантные растения по генам </w:t>
      </w:r>
      <w:r w:rsidRPr="00107040">
        <w:rPr>
          <w:rFonts w:ascii="Times New Roman" w:eastAsia="MS Mincho" w:hAnsi="Times New Roman"/>
          <w:i/>
          <w:sz w:val="28"/>
          <w:szCs w:val="28"/>
          <w:lang w:val="en-US" w:eastAsia="ja-JP"/>
        </w:rPr>
        <w:t>parp</w:t>
      </w:r>
      <w:r w:rsidRPr="00107040">
        <w:rPr>
          <w:rFonts w:ascii="Times New Roman" w:eastAsia="MS Mincho" w:hAnsi="Times New Roman"/>
          <w:i/>
          <w:sz w:val="28"/>
          <w:szCs w:val="28"/>
          <w:lang w:val="ru-RU" w:eastAsia="ja-JP"/>
        </w:rPr>
        <w:t>1</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i/>
          <w:sz w:val="28"/>
          <w:szCs w:val="28"/>
          <w:lang w:val="en-US" w:eastAsia="ja-JP"/>
        </w:rPr>
        <w:t>parp</w:t>
      </w:r>
      <w:r w:rsidRPr="00107040">
        <w:rPr>
          <w:rFonts w:ascii="Times New Roman" w:eastAsia="MS Mincho" w:hAnsi="Times New Roman"/>
          <w:i/>
          <w:sz w:val="28"/>
          <w:szCs w:val="28"/>
          <w:lang w:val="ru-RU" w:eastAsia="ja-JP"/>
        </w:rPr>
        <w:t>2</w:t>
      </w:r>
      <w:r w:rsidRPr="00107040">
        <w:rPr>
          <w:rFonts w:ascii="Times New Roman" w:eastAsia="MS Mincho" w:hAnsi="Times New Roman"/>
          <w:sz w:val="28"/>
          <w:szCs w:val="28"/>
          <w:lang w:val="ru-RU" w:eastAsia="ja-JP"/>
        </w:rPr>
        <w:t xml:space="preserve">, по отдельности, были слегка чувствительны к повреждению ДНК, тогда как у мутантов по обеим генам значительно усиливалась чувствительность к ДНК повреждающим агентам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{"citationID":"u83tuUPP","properties":{"formattedCitation":"[9]","plainCitation":"[9]","noteIndex":0},"citationItems":[{"id":1247,"uris":["http://zotero.org/users/9078202/items/YHNZFVKW"],"itemData":{"id":1247,"type":"article-journal","abstract":"Poly(ADP-ribose) polymerases (PARPs) and poly(ADP-ribose) glycohydrolases (PARGs) are the main enzymes responsible for the post-translational modification known as poly(ADP-ribosyl)ation. These enzymes play important roles in genotoxic stress tolerance and DNA repair, programmed cell death, transcription, and cell cycle control in animals. Similar impacts are being discovered in plants, as well as roles in plant-specific processes. In particular, we review recent work that has revealed significant roles for poly(ADP-ribosyl)ation in plant responses to biotic and abiotic stress, as well as roles for ADP-ribose pyrophosphatases (a subset of the nucleoside diphosphate linked to some moiety-X or NUDX hydrolases). Future challenges include identification of poly(ADP-ribosyl)ation targets and interacting proteins, improved use of inhibitors and plant mutants, and field-based studies with economically valuable plant species.","container-title":"Trends in Plant Science","DOI":"10.1016/j.tplants.2011.03.008","ISSN":"1878-4372","issue":"7","journalAbbreviation":"Trends Plant Sci","language":"eng","note":"PMID: 21482174","page":"372-380","source":"PubMed","title":"Poly(ADP-ribosyl)ation in plants","volume":"16","author":[{"family":"Briggs","given":"Amy G."},{"family":"Bent","given":"Andrew F."}],"issued":{"date-parts":[["2011",7]]}}}],"schema":"https://github.com/citation-style-language/schema/raw/master/csl-citation.json"}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[9]</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w:t>
      </w:r>
    </w:p>
    <w:p w14:paraId="3275BA7E" w14:textId="77777777" w:rsidR="000B103D" w:rsidRPr="00107040" w:rsidRDefault="000B103D"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Окислительное повреждение оснований ДНК, разрывы цепи ДНК с нелигируемыми концами и апуриновые/апиримидиновые (А</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сайты являются субстратом для двух пересекающихся путей репарации ДНК: эксцизионной репарации оснований (</w:t>
      </w:r>
      <w:r w:rsidRPr="00107040">
        <w:rPr>
          <w:rFonts w:ascii="Times New Roman" w:eastAsia="MS Mincho" w:hAnsi="Times New Roman"/>
          <w:sz w:val="28"/>
          <w:szCs w:val="28"/>
          <w:lang w:val="en-US" w:eastAsia="ja-JP"/>
        </w:rPr>
        <w:t>BER</w:t>
      </w:r>
      <w:r w:rsidRPr="00107040">
        <w:rPr>
          <w:rFonts w:ascii="Times New Roman" w:eastAsia="MS Mincho" w:hAnsi="Times New Roman"/>
          <w:sz w:val="28"/>
          <w:szCs w:val="28"/>
          <w:lang w:val="ru-RU" w:eastAsia="ja-JP"/>
        </w:rPr>
        <w:t>) и инцизионной репарации нуклеотидов (</w:t>
      </w:r>
      <w:r w:rsidRPr="00107040">
        <w:rPr>
          <w:rFonts w:ascii="Times New Roman" w:eastAsia="MS Mincho" w:hAnsi="Times New Roman"/>
          <w:sz w:val="28"/>
          <w:szCs w:val="28"/>
          <w:lang w:val="en-US" w:eastAsia="ja-JP"/>
        </w:rPr>
        <w:t>NIR</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{"citationID":"gLjCfvJw","properties":{"formattedCitation":"[20]","plainCitation":"[20]","noteIndex":0},"citationItems":[{"id":320,"uris":["http://zotero.org/users/9078202/items/PQQI2R5F"],"itemData":{"id":320,"type":"article-journal","abstract":"Adenosine diphosphate (ADP)-ribosylation is a post-translational protein modification implicated in the regulation of a range of cellular processes. A family of proteins that catalyse ADP-ribosylation reactions are the poly(ADP-ribose) (PAR) polymerases (PARPs). PARPs covalently attach an ADP-ribose nucleotide to target proteins and some PARP family members can subsequently add additional ADP-ribose units to generate a PAR chain. The hydrolysis of PAR chains is catalysed by PAR glycohydrolase (PARG). PARG is unable to cleave the mono(ADP-ribose) unit directly linked to the protein and although the enzymatic activity that catalyses this reaction has been detected in mammalian cell extracts, the protein(s) responsible remain unknown. Here, we report the homozygous mutation of the c6orf130 gene in patients with severe neurodegeneration, and identify C6orf130 as a PARP-interacting protein that removes mono(ADP-ribosyl)ation on glutamate amino acid residues in PARP-modified proteins. X-ray structures and biochemical analysis of C6orf130 suggest a mechanism of catalytic reversal involving a transient C6orf130 lysyl-(ADP-ribose) intermediate. Furthermore, depletion of C6orf130 protein in cells leads to proliferation and DNA repair defects. Collectively, our data suggest that C6orf130 enzymatic activity has a role in the turnover and recycling of protein ADP-ribosylation, and we have implicated the importance of this protein in supporting normal cellular function in humans.","container-title":"The EMBO journal","DOI":"10.1038/emboj.2013.51","ISSN":"1460-2075","issue":"9","journalAbbreviation":"EMBO J","language":"eng","note":"PMID: 23481255\nPMCID: PMC3642678","page":"1225-1237","source":"PubMed","title":"Deficiency of terminal ADP-ribose protein glycohydrolase TARG1/C6orf130 in neurodegenerative disease","volume":"32","author":[{"family":"Sharifi","given":"Reza"},{"family":"Morra","given":"Rosa"},{"family":"Appel","given":"C. Denise"},{"family":"Tallis","given":"Michael"},{"family":"Chioza","given":"Barry"},{"family":"Jankevicius","given":"Gytis"},{"family":"Simpson","given":"Michael A."},{"family":"Matic","given":"Ivan"},{"family":"Ozkan","given":"Ege"},{"family":"Golia","given":"Barbara"},{"family":"Schellenberg","given":"Matthew J."},{"family":"Weston","given":"Ria"},{"family":"Williams","given":"Jason G."},{"family":"Rossi","given":"Marianna N."},{"family":"Galehdari","given":"Hamid"},{"family":"Krahn","given":"Juno"},{"family":"Wan","given":"Alexander"},{"family":"Trembath","given":"Richard C."},{"family":"Crosby","given":"Andrew H."},{"family":"Ahel","given":"Dragana"},{"family":"Hay","given":"Ron"},{"family":"Ladurner","given":"Andreas G."},{"family":"Timinszky","given":"Gyula"},{"family":"Williams","given":"R. Scott"},{"family":"Ahel","given":"Ivan"}],"issued":{"date-parts":[["2013",5,2]]}}}],"schema":"https://github.com/citation-style-language/schema/raw/master/csl-citation.json"}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[20]</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В классическом </w:t>
      </w:r>
      <w:r w:rsidRPr="00107040">
        <w:rPr>
          <w:rFonts w:ascii="Times New Roman" w:eastAsia="MS Mincho" w:hAnsi="Times New Roman"/>
          <w:sz w:val="28"/>
          <w:szCs w:val="28"/>
          <w:lang w:val="en-US" w:eastAsia="ja-JP"/>
        </w:rPr>
        <w:t>BER</w:t>
      </w:r>
      <w:r w:rsidRPr="00107040">
        <w:rPr>
          <w:rFonts w:ascii="Times New Roman" w:eastAsia="MS Mincho" w:hAnsi="Times New Roman"/>
          <w:sz w:val="28"/>
          <w:szCs w:val="28"/>
          <w:lang w:val="ru-RU" w:eastAsia="ja-JP"/>
        </w:rPr>
        <w:t xml:space="preserve"> механизме репарации ДНК, ДНК-гликозилаза расщепляет </w:t>
      </w:r>
      <w:r w:rsidRPr="00107040">
        <w:rPr>
          <w:rFonts w:ascii="Times New Roman" w:eastAsia="MS Mincho" w:hAnsi="Times New Roman"/>
          <w:sz w:val="28"/>
          <w:szCs w:val="28"/>
          <w:lang w:val="en-US" w:eastAsia="ja-JP"/>
        </w:rPr>
        <w:t>N</w:t>
      </w:r>
      <w:r w:rsidRPr="00107040">
        <w:rPr>
          <w:rFonts w:ascii="Times New Roman" w:eastAsia="MS Mincho" w:hAnsi="Times New Roman"/>
          <w:sz w:val="28"/>
          <w:szCs w:val="28"/>
          <w:lang w:val="ru-RU" w:eastAsia="ja-JP"/>
        </w:rPr>
        <w:t>-гликозидную связь между поврежденным основанием и сахарофосфатным остовом, в результате образуются А</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-сайты и/или однонуклеотидные разрывы в ДНК с 3'- блокирующим группами и 5'-фосфатной группой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{"citationID":"muaoDNBu","properties":{"formattedCitation":"[21,22]","plainCitation":"[21,22]","noteIndex":0},"citationItems":[{"id":163,"uris":["http://zotero.org/users/9078202/items/MGBLUMH8"],"itemData":{"id":163,"type":"article-journal","abstract":"The metabolism of poly(ADP-ribose) (PAR) is critical for genomic stability in multicellular eukaryotes. Here, we show that the failure to degrade PAR by means of disruption of the murine poly(ADP-ribose) glycohydrolase (PARG) gene unexpectedly causes early embryonic lethality and enhanced sensitivity to genotoxic stress. This lethality results from the failure to hydrolyze PAR, because PARG null embryonic day (E) 3.5 blastocysts accumulate PAR and concurrently undergo apoptosis. Moreover, embryonic trophoblast stem cell lines established from early PARG null embryos are viable only when cultured in medium containing the poly(ADP-ribose) polymerase inhibitor benzamide. Cells lacking PARG also show reduced growth, accumulation of PAR, and increased sensitivity to cytotoxicity induced by N-methyl-N'-nitro-N-nitrosoguanidine and menadione after benzamide withdrawal. These results provide compelling evidence that the failure to degrade PAR has deleterious consequences. Further, they define a role for PARG in embryonic development and a protective role in the response to genotoxic stress.","container-title":"Proceedings of the National Academy of Sciences of the United States of America","DOI":"10.1073/pnas.0406182101","ISSN":"0027-8424","issue":"51","journalAbbreviation":"Proc Natl Acad Sci U S A","language":"eng","note":"PMID: 15591342\nPMCID: PMC539714","page":"17699-17704","source":"PubMed","title":"Failure to degrade poly(ADP-ribose) causes increased sensitivity to cytotoxicity and early embryonic lethality","volume":"101","author":[{"family":"Koh","given":"David W."},{"family":"Lawler","given":"Ann M."},{"family":"Poitras","given":"Marc F."},{"family":"Sasaki","given":"Masayuki"},{"family":"Wattler","given":"Sigrid"},{"family":"Nehls","given":"Michael C."},{"family":"Stöger","given":"Tobias"},{"family":"Poirier","given":"Guy G."},{"family":"Dawson","given":"Valina L."},{"family":"Dawson","given":"Ted M."}],"issued":{"date-parts":[["2004",12,21]]}}},{"id":1275,"uris":["http://zotero.org/users/9078202/items/3AMLH8QK"],"itemData":{"id":1275,"type":"article-journal","abstract":"Poly(ADP-ribosyl)ation is a post-translational modification of proteins involved in the regulation of chromatin structure, DNA metabolism, cell division and cell death. Through the hydrolysis of poly(ADP-ribose) (PAR), Poly(ADP-ribose) glycohydrolase (PARG) has a crucial role in the control of life-and-death balance following DNA insult. Comprehension of PARG function has been hindered by the existence of many PARG isoforms encoded by a single gene and displaying various subcellular localizations. To gain insight into the function of PARG in response to irradiation, we constitutively and stably knocked down expression of PARG isoforms in HeLa cells. PARG depletion leading to PAR accumulation was not deleterious to undamaged cells and was in fact rather beneficial, because it protected cells from spontaneous single-strand breaks and telomeric abnormalities. By contrast, PARG-deficient cells showed increased radiosensitivity, caused by defects in the repair of single- and double-strand breaks and in mitotic spindle checkpoint, leading to alteration of progression of mitosis. Irradiated PARG-deficient cells displayed centrosome amplification leading to mitotic supernumerary spindle poles, and accumulated aberrant mitotic figures, which induced either polyploidy or cell death by mitotic catastrophe. Our results suggest that PARG could be a novel potential therapeutic target for radiotherapy.","container-title":"Journal of Cell Science","DOI":"10.1242/jcs.039115","ISSN":"0021-9533","issue":"Pt 12","journalAbbreviation":"J Cell Sci","language":"eng","note":"PMID: 19454480","page":"1990-2002","source":"PubMed","title":"Radiation-induced mitotic catastrophe in PARG-deficient cells","volume":"122","author":[{"family":"Amé","given":"Jean-Christophe"},{"family":"Fouquerel","given":"Elise"},{"family":"Gauthier","given":"Laurent R."},{"family":"Biard","given":"Denis"},{"family":"Boussin","given":"François D."},{"family":"Dantzer","given":"Françoise"},{"family":"Murcia","given":"Gilbert","non-dropping-particle":"de"},{"family":"Schreiber","given":"Valérie"}],"issued":{"date-parts":[["2009",6,15]]}}}],"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[21,22]</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В </w:t>
      </w:r>
      <w:r w:rsidRPr="00107040">
        <w:rPr>
          <w:rFonts w:ascii="Times New Roman" w:eastAsia="MS Mincho" w:hAnsi="Times New Roman"/>
          <w:sz w:val="28"/>
          <w:szCs w:val="28"/>
          <w:lang w:val="en-US" w:eastAsia="ja-JP"/>
        </w:rPr>
        <w:t>NIR</w:t>
      </w:r>
      <w:r w:rsidRPr="00107040">
        <w:rPr>
          <w:rFonts w:ascii="Times New Roman" w:eastAsia="MS Mincho" w:hAnsi="Times New Roman"/>
          <w:sz w:val="28"/>
          <w:szCs w:val="28"/>
          <w:lang w:val="ru-RU" w:eastAsia="ja-JP"/>
        </w:rPr>
        <w:t xml:space="preserve"> механизме репарации ДНК, А</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-эндонуклеазы расщепляют сахорофосфатный остов ДНК с 5'-стороны от А</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-сайта в одной цепи с образованием одноцепочечного разрыва с 3'-ОН группой и 5'-модифицированным концом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{"citationID":"wBpeygJd","properties":{"formattedCitation":"[23]","plainCitation":"[23]","noteIndex":0},"citationItems":[{"id":263,"uris":["http://zotero.org/users/9078202/items/7Y75U26X"],"itemData":{"id":263,"type":"article-journal","container-title":"Current Protein and Peptide Science","DOI":"10.2174/1389203717666160419144721","ISSN":"1389-2037","issue":"7","page":"713-723","source":"University of Helsinki","title":"Plant PARPs, PARGs and PARP-like Proteins","volume":"17","author":[{"family":"Vainonen","given":"Julia P."},{"family":"Shapiguzov","given":"Alexey"},{"family":"Vaattovaara","given":"Aleksia"},{"family":"Kangasjarvi","given":"Jaakko"}],"issued":{"date-parts":[["2016"]]}}}],"schema":"https://github.com/citation-style-language/schema/raw/master/csl-citation.json"}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[23]</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Таким образом, </w:t>
      </w:r>
      <w:r w:rsidRPr="00107040">
        <w:rPr>
          <w:rFonts w:ascii="Times New Roman" w:eastAsia="MS Mincho" w:hAnsi="Times New Roman"/>
          <w:sz w:val="28"/>
          <w:szCs w:val="28"/>
          <w:lang w:val="ru-RU" w:eastAsia="ru-RU"/>
        </w:rPr>
        <w:t xml:space="preserve">разрывы цепей в ДНК могут быть генерированы под прямым действием АФК или как промежуточный продукт эксцизионной репарации оснований ДНК </w:t>
      </w:r>
      <w:r w:rsidRPr="00107040">
        <w:rPr>
          <w:rFonts w:ascii="Times New Roman" w:eastAsia="MS Mincho" w:hAnsi="Times New Roman"/>
          <w:sz w:val="28"/>
          <w:szCs w:val="28"/>
          <w:lang w:val="ru-RU" w:eastAsia="ru-RU"/>
        </w:rPr>
        <w:fldChar w:fldCharType="begin"/>
      </w:r>
      <w:r w:rsidRPr="00107040">
        <w:rPr>
          <w:rFonts w:ascii="Times New Roman" w:eastAsia="MS Mincho" w:hAnsi="Times New Roman"/>
          <w:sz w:val="28"/>
          <w:szCs w:val="28"/>
          <w:lang w:val="ru-RU" w:eastAsia="ru-RU"/>
        </w:rPr>
        <w:instrText xml:space="preserve"> ADDIN ZOTERO_ITEM CSL_CITATION {"citationID":"7stf56Gj","properties":{"formattedCitation":"[25]","plainCitation":"[25]","noteIndex":0},"citationItems":[{"id":1281,"uris":["http://zotero.org/users/9078202/items/9W2K6FMX"],"itemData":{"id":1281,"type":"article-journal","abstract":"DNA topoisomerases are the targets of important anticancer and antibacterial drugs. Camptothecins and novel noncamptothecins in clinical development (indenoisoquinolines and ARC-111) target eukaryotic type IB topoisomerases (Top1), whereas human type IIA topoisomerases (Top2alpha and Top2beta) are the targets of the widely used anticancer agents etoposide, anthracyclines (doxorubicin, daunorubicin), and mitoxantrone. Bacterial type II topoisomerases (gyrase and Topo IV) are the targets of quinolones and aminocoumarin antibiotics. This review focuses on the molecular and biochemical characteristics of topoisomerases and their inhibitors. We also discuss the common mechanism of action of topoisomerase poisons by interfacial inhibition and trapping of topoisomerase cleavage complexes.","container-title":"Chemistry &amp; Biology","DOI":"10.1016/j.chembiol.2010.04.012","ISSN":"1879-1301","issue":"5","journalAbbreviation":"Chem Biol","language":"eng","note":"PMID: 20534341\nPMCID: PMC7316379","page":"421-433","source":"PubMed","title":"DNA topoisomerases and their poisoning by anticancer and antibacterial drugs","volume":"17","author":[{"family":"Pommier","given":"Yves"},{"family":"Leo","given":"Elisabetta"},{"family":"Zhang","given":"HongLiang"},{"family":"Marchand","given":"Christophe"}],"issued":{"date-parts":[["2010",5,28]]}}}],"schema":"https://github.com/citation-style-language/schema/raw/master/csl-citation.json"} </w:instrText>
      </w:r>
      <w:r w:rsidRPr="00107040">
        <w:rPr>
          <w:rFonts w:ascii="Times New Roman" w:eastAsia="MS Mincho" w:hAnsi="Times New Roman"/>
          <w:sz w:val="28"/>
          <w:szCs w:val="28"/>
          <w:lang w:val="ru-RU" w:eastAsia="ru-RU"/>
        </w:rPr>
        <w:fldChar w:fldCharType="separate"/>
      </w:r>
      <w:r w:rsidRPr="00107040">
        <w:rPr>
          <w:rFonts w:ascii="Times New Roman" w:hAnsi="Times New Roman"/>
          <w:sz w:val="28"/>
          <w:szCs w:val="28"/>
        </w:rPr>
        <w:t>[25]</w:t>
      </w:r>
      <w:r w:rsidRPr="00107040">
        <w:rPr>
          <w:rFonts w:ascii="Times New Roman" w:eastAsia="MS Mincho" w:hAnsi="Times New Roman"/>
          <w:sz w:val="28"/>
          <w:szCs w:val="28"/>
          <w:lang w:val="ru-RU" w:eastAsia="ru-RU"/>
        </w:rPr>
        <w:fldChar w:fldCharType="end"/>
      </w:r>
      <w:r w:rsidRPr="00107040">
        <w:rPr>
          <w:rFonts w:ascii="Times New Roman" w:eastAsia="MS Mincho" w:hAnsi="Times New Roman"/>
          <w:sz w:val="28"/>
          <w:szCs w:val="28"/>
          <w:lang w:val="ru-RU" w:eastAsia="ru-RU"/>
        </w:rPr>
        <w:t xml:space="preserve">. </w:t>
      </w:r>
      <w:r w:rsidRPr="00107040">
        <w:rPr>
          <w:rFonts w:ascii="Times New Roman" w:eastAsia="MS Mincho" w:hAnsi="Times New Roman"/>
          <w:sz w:val="28"/>
          <w:szCs w:val="28"/>
          <w:lang w:val="ru-RU" w:eastAsia="ja-JP"/>
        </w:rPr>
        <w:t xml:space="preserve">Отделение каталитического домена от ДНК связывающего домена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привело к ингибированию репарации одноцепочечных разрывов ДНК и увеличению чувствительности клеток к ДНК-повреждающим агентам. Эти наблюдения свидетельствуют о важной роли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в репарации как прямых разрывов нитей, так и разрывов нитей ДНК, образуемых в качестве промежуточных продуктов эксцизионной и инцизионной репарации ДНК в условиях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vivo</w:t>
      </w:r>
      <w:r w:rsidRPr="00107040">
        <w:rPr>
          <w:rFonts w:ascii="Times New Roman" w:eastAsia="MS Mincho" w:hAnsi="Times New Roman"/>
          <w:sz w:val="28"/>
          <w:szCs w:val="28"/>
          <w:lang w:val="ru-RU" w:eastAsia="ja-JP"/>
        </w:rPr>
        <w:t>.</w:t>
      </w:r>
    </w:p>
    <w:p w14:paraId="6980413F" w14:textId="77777777" w:rsidR="000B103D" w:rsidRPr="00107040" w:rsidRDefault="000B103D" w:rsidP="000C16BB">
      <w:pPr>
        <w:autoSpaceDE w:val="0"/>
        <w:autoSpaceDN w:val="0"/>
        <w:adjustRightInd w:val="0"/>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Экзогенные и эндогенные оксидативные факторы в растениях (за счет фотосинтеза и аэробного дыхания) непрерывно вызывают повреждения в клеточной ДНК, следовательно, системы репарации ДНК должны быть в состоянии устранять повреждение клеточной ДНК в безошибочной манере и с большой эффективностью поддерживать стабильность генома. Оксидативный стресс в растениях помимо простых повреждений таких как окисленные основания ДНК, генерирует комплексные повреждения ДНК, которые включают </w:t>
      </w:r>
      <w:r w:rsidRPr="00107040">
        <w:rPr>
          <w:rFonts w:ascii="Times New Roman" w:eastAsia="MS Mincho" w:hAnsi="Times New Roman"/>
          <w:sz w:val="28"/>
          <w:szCs w:val="28"/>
          <w:lang w:val="ru-RU" w:eastAsia="ja-JP"/>
        </w:rPr>
        <w:lastRenderedPageBreak/>
        <w:t xml:space="preserve">аддукты ДНК (циклопурины, экзоциклические ДНК аддукты), кластерные повреждения ДНК и разрывы ДНК с нелигируемыми концами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{"citationID":"b2Psdq64","properties":{"formattedCitation":"[26]","plainCitation":"[26]","noteIndex":0},"citationItems":[{"id":1284,"uris":["http://zotero.org/users/9078202/items/JHLVSSPR"],"itemData":{"id":1284,"type":"article-journal","abstract":"Oxidative DNA damage is a major cause of cell death and mutagenesis in all aerobic organisms, and several new oxidative base lesions have been identified in recent years. Improved chemistry for the synthesis of oligonucleotides with modified base residues at defined positions has allowed detailed studies of repair, replication, transcription and mutagenesis at specific lesions in vitro and in vivo. The aim of this review is to present the structure of all the various known oxidised DNA base lesions known to date and to summarise the present knowledge about the mutagenic and toxic effects of oxidised base modifications and their repair.","container-title":"Mutation Research","DOI":"10.1016/j.mrfmmm.2003.07.002","ISSN":"0027-5107","issue":"1-2","journalAbbreviation":"Mutat Res","language":"eng","note":"PMID: 14637246","page":"37-80","source":"PubMed","title":"Mutagenicity, toxicity and repair of DNA base damage induced by oxidation","volume":"531","author":[{"family":"Bjelland","given":"Svein"},{"family":"Seeberg","given":"Erling"}],"issued":{"date-parts":[["2003",10,29]]}}}],"schema":"https://github.com/citation-style-language/schema/raw/master/csl-citation.json"}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[26]</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{"citationID":"HrZOfhvF","properties":{"formattedCitation":"[27]","plainCitation":"[27]","noteIndex":0},"citationItems":[{"id":1286,"uris":["http://zotero.org/users/9078202/items/UQG8B3Q2"],"itemData":{"id":1286,"type":"article-journal","abstract":"Emphasis is placed in the first part of this survey on mechanistic aspects of the formation of 8-oxo-7,8-dihydroguanine (8-oxoGua) as the result of exposure to z.rad;OH radical, one-electron oxidants and singlet oxygen (1O(2)) oxidation. It was found that 8-oxoGua, which is generated by either hydration of the guanine radical cation or .OH addition at C8 of the imidazole ring, is a preferential target for further reactions with 1O(2) and one-electron oxidants, including the highly oxidizing oxyl-type guanine radical. Interestingly, tandem base lesions that involve 8-oxoGua and a vicinal formylamine residue were found to be generated within DNA as the result of a single .OH radical hit. The likely mechanism of formation of the latter lesions involves the transient generation of 5-(6)-peroxy-6-(5)-hydroxy-5,6-dihydropyrimidyl radicals that may add to the C8 of a vicinal guanine base before undergoing rearrangement. Another major topic which is addressed deals with recent developments in the measurement of oxidative base damage to cellular DNA. This was mostly achieved using the accurate and highly specific HPLC method coupled with the tandem mass spectrometry detection technique. Interestingly, optimized conditions of DNA extraction and subsequent work-up allow the accurate measurement of 11 modified nucleosides and bases within cellular DNA upon exposure to oxidizing agents including UVA and ionizing radiations. Finally, recently available data on the substrate specificity of DNA repair enzymes belonging to the base excision and nucleotide excision pathways are briefly reviewed. For this purpose modified oligonucleotides in which cyclopurine, and cyclopyrimidine nucleosides were site-specifically inserted were synthesized.","container-title":"Mutation Research","DOI":"10.1016/j.mrfmmm.2003.09.001","ISSN":"0027-5107","issue":"1-2","journalAbbreviation":"Mutat Res","language":"eng","note":"PMID: 14637244","page":"5-23","source":"PubMed","title":"Oxidative damage to DNA: formation, measurement and biochemical features","title-short":"Oxidative damage to DNA","volume":"531","author":[{"family":"Cadet","given":"Jean"},{"family":"Douki","given":"Thierry"},{"family":"Gasparutto","given":"Didier"},{"family":"Ravanat","given":"Jean-Luc"}],"issued":{"date-parts":[["2003",10,29]]}}}],"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[27]</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Показано наличие А</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 эндонуклеазной активности, которая способна расщеплять олигонуклеотидные дуплексы, содержащие альфа-аномерный 2'дезоксиаденозин (</w:t>
      </w:r>
      <w:r w:rsidRPr="00107040">
        <w:rPr>
          <w:rFonts w:ascii="Times New Roman" w:eastAsia="MS Mincho" w:hAnsi="Times New Roman"/>
          <w:sz w:val="28"/>
          <w:szCs w:val="28"/>
          <w:lang w:val="en-US" w:eastAsia="ja-JP"/>
        </w:rPr>
        <w:t>αdA</w:t>
      </w:r>
      <w:r w:rsidRPr="00107040">
        <w:rPr>
          <w:rFonts w:ascii="Times New Roman" w:eastAsia="MS Mincho" w:hAnsi="Times New Roman"/>
          <w:sz w:val="28"/>
          <w:szCs w:val="28"/>
          <w:lang w:val="ru-RU" w:eastAsia="ja-JP"/>
        </w:rPr>
        <w:t xml:space="preserve">) остаток в клетках алейрона пшеницы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{"citationID":"5nY0WcX1","properties":{"formattedCitation":"[28]","plainCitation":"[28]","noteIndex":0},"citationItems":[{"id":1288,"uris":["http://zotero.org/users/9078202/items/JKAG6SJD"],"itemData":{"id":1288,"type":"article-journal","abstract":"Cereal aleurone cells are specialized endosperm cells that produce enzymes to hydrolyze the starchy endosperm during germination. Aleurone cells can undergo programmed cell death (PCD) when incubated in the presence of gibberellic acid (GA) in contrast to abscisic acid (ABA) which inhibits the process. The progression of PCD in aleurone layer cells of wheat grain is accompanied by an increase in deoxyribonuclease (DNase) activities and the internucleosomal degradation of nuclear DNA. Reactive oxygen species (ROS) are increased during PCD in the aleurone cells owing to the β-oxidation of triglycerides and inhibition of the antioxidant enzymes possibly leading to extensive oxidative damage to DNA. ROS generate mainly non-bulky DNA base lesions which are removed in the base excision repair (BER) pathway, initiated by the DNA glycosylases. At present, very little is known about oxidative DNA damage repair in cereals. Here, we study DNA repair in the cell-free extracts of wheat aleurone layer incubated or not with phytohormones. We show, for the first time, the presence of 8-oxoguanine-DNA and ethenoadenine-DNA glycosylase activities in wheat aleurone cells. Interestingly, the DNA glycosylase and AP endonuclease activities are strongly induced in the presence of GA. Based on these data we propose that GA in addition to activation of nuclear DNases also induces the DNA repair activities which remove oxidized DNA bases in the BER pathway. Potential roles of the wheat DNA glycosylases in GA-induced oligonucleosomal fragmentation of DNA and metabolic activation of aleurone layer cells via repair of transcribed regions are discussed.","container-title":"Plant physiology and biochemistry: PPB","DOI":"10.1016/j.plaphy.2011.07.017","ISSN":"1873-2690","issue":"10","journalAbbreviation":"Plant Physiol Biochem","language":"eng","note":"PMID: 21856164","page":"1155-1164","source":"PubMed","title":"Presence of base excision repair enzymes in the wheat aleurone and their activation in cells undergoing programmed cell death","volume":"49","author":[{"family":"Bissenbaev","given":"Amangeldy K."},{"family":"Ishchenko","given":"Alexander A."},{"family":"Taipakova","given":"Sabira M."},{"family":"Saparbaev","given":"Murat K."}],"issued":{"date-parts":[["2011",10]]}}}],"schema":"https://github.com/citation-style-language/schema/raw/master/csl-citation.json"}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[28]</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В нашей лабораторий впервые выделена и охарактеризована предполагаемая АР-эндонуклеаза </w:t>
      </w:r>
      <w:r w:rsidRPr="00107040">
        <w:rPr>
          <w:rFonts w:ascii="Times New Roman" w:eastAsia="MS Mincho" w:hAnsi="Times New Roman"/>
          <w:bCs/>
          <w:i/>
          <w:iCs/>
          <w:sz w:val="28"/>
          <w:szCs w:val="28"/>
          <w:lang w:val="en-US" w:eastAsia="ja-JP"/>
        </w:rPr>
        <w:t>T</w:t>
      </w:r>
      <w:r w:rsidRPr="00107040">
        <w:rPr>
          <w:rFonts w:ascii="Times New Roman" w:eastAsia="MS Mincho" w:hAnsi="Times New Roman"/>
          <w:bCs/>
          <w:i/>
          <w:iCs/>
          <w:sz w:val="28"/>
          <w:szCs w:val="28"/>
          <w:lang w:val="ru-RU" w:eastAsia="ja-JP"/>
        </w:rPr>
        <w:t xml:space="preserve">. </w:t>
      </w:r>
      <w:r w:rsidRPr="00107040">
        <w:rPr>
          <w:rFonts w:ascii="Times New Roman" w:eastAsia="MS Mincho" w:hAnsi="Times New Roman"/>
          <w:bCs/>
          <w:i/>
          <w:iCs/>
          <w:sz w:val="28"/>
          <w:szCs w:val="28"/>
          <w:lang w:val="en-US" w:eastAsia="ja-JP"/>
        </w:rPr>
        <w:t>aestivum</w:t>
      </w:r>
      <w:r w:rsidRPr="00107040">
        <w:rPr>
          <w:rFonts w:ascii="Times New Roman" w:eastAsia="MS Mincho" w:hAnsi="Times New Roman"/>
          <w:bCs/>
          <w:i/>
          <w:iCs/>
          <w:sz w:val="28"/>
          <w:szCs w:val="28"/>
          <w:lang w:val="ru-RU" w:eastAsia="ja-JP"/>
        </w:rPr>
        <w:t>,</w:t>
      </w:r>
      <w:r w:rsidRPr="00107040">
        <w:rPr>
          <w:rFonts w:ascii="Times New Roman" w:eastAsia="MS Mincho" w:hAnsi="Times New Roman"/>
          <w:bCs/>
          <w:iCs/>
          <w:sz w:val="28"/>
          <w:szCs w:val="28"/>
          <w:lang w:val="ru-RU" w:eastAsia="ja-JP"/>
        </w:rPr>
        <w:t xml:space="preserve"> обозначенная как </w:t>
      </w:r>
      <w:r w:rsidRPr="00107040">
        <w:rPr>
          <w:rFonts w:ascii="Times New Roman" w:eastAsia="MS Mincho" w:hAnsi="Times New Roman"/>
          <w:bCs/>
          <w:sz w:val="28"/>
          <w:szCs w:val="28"/>
          <w:lang w:val="en-US" w:eastAsia="ja-JP"/>
        </w:rPr>
        <w:t>TaApe</w:t>
      </w:r>
      <w:r w:rsidRPr="00107040">
        <w:rPr>
          <w:rFonts w:ascii="Times New Roman" w:eastAsia="MS Mincho" w:hAnsi="Times New Roman"/>
          <w:bCs/>
          <w:sz w:val="28"/>
          <w:szCs w:val="28"/>
          <w:lang w:val="ru-RU" w:eastAsia="ja-JP"/>
        </w:rPr>
        <w:t>1</w:t>
      </w:r>
      <w:r w:rsidRPr="00107040">
        <w:rPr>
          <w:rFonts w:ascii="Times New Roman" w:eastAsia="MS Mincho" w:hAnsi="Times New Roman"/>
          <w:bCs/>
          <w:sz w:val="28"/>
          <w:szCs w:val="28"/>
          <w:lang w:val="en-US" w:eastAsia="ja-JP"/>
        </w:rPr>
        <w:t>L</w:t>
      </w:r>
      <w:r w:rsidRPr="00107040">
        <w:rPr>
          <w:rFonts w:ascii="Times New Roman" w:eastAsia="MS Mincho" w:hAnsi="Times New Roman"/>
          <w:bCs/>
          <w:sz w:val="28"/>
          <w:szCs w:val="28"/>
          <w:lang w:val="ru-RU" w:eastAsia="ja-JP"/>
        </w:rPr>
        <w:t>, которая является гомологом АР-эндонуклезы человека (</w:t>
      </w:r>
      <w:r w:rsidRPr="00107040">
        <w:rPr>
          <w:rFonts w:ascii="Times New Roman" w:eastAsia="MS Mincho" w:hAnsi="Times New Roman"/>
          <w:bCs/>
          <w:sz w:val="28"/>
          <w:szCs w:val="28"/>
          <w:lang w:val="en-US" w:eastAsia="ja-JP"/>
        </w:rPr>
        <w:t>APE</w:t>
      </w:r>
      <w:r w:rsidRPr="00107040">
        <w:rPr>
          <w:rFonts w:ascii="Times New Roman" w:eastAsia="MS Mincho" w:hAnsi="Times New Roman"/>
          <w:bCs/>
          <w:sz w:val="28"/>
          <w:szCs w:val="28"/>
          <w:lang w:val="ru-RU" w:eastAsia="ja-JP"/>
        </w:rPr>
        <w:t xml:space="preserve">1) и </w:t>
      </w:r>
      <w:r w:rsidRPr="00107040">
        <w:rPr>
          <w:rFonts w:ascii="Times New Roman" w:eastAsia="MS Mincho" w:hAnsi="Times New Roman"/>
          <w:bCs/>
          <w:sz w:val="28"/>
          <w:szCs w:val="28"/>
          <w:lang w:val="en-US" w:eastAsia="ja-JP"/>
        </w:rPr>
        <w:t>AtApe</w:t>
      </w:r>
      <w:r w:rsidRPr="00107040">
        <w:rPr>
          <w:rFonts w:ascii="Times New Roman" w:eastAsia="MS Mincho" w:hAnsi="Times New Roman"/>
          <w:bCs/>
          <w:sz w:val="28"/>
          <w:szCs w:val="28"/>
          <w:lang w:val="ru-RU" w:eastAsia="ja-JP"/>
        </w:rPr>
        <w:t>1</w:t>
      </w:r>
      <w:r w:rsidRPr="00107040">
        <w:rPr>
          <w:rFonts w:ascii="Times New Roman" w:eastAsia="MS Mincho" w:hAnsi="Times New Roman"/>
          <w:bCs/>
          <w:sz w:val="28"/>
          <w:szCs w:val="28"/>
          <w:lang w:val="en-US" w:eastAsia="ja-JP"/>
        </w:rPr>
        <w:t>L</w:t>
      </w:r>
      <w:r w:rsidRPr="00107040">
        <w:rPr>
          <w:rFonts w:ascii="Times New Roman" w:eastAsia="MS Mincho" w:hAnsi="Times New Roman"/>
          <w:bCs/>
          <w:i/>
          <w:iCs/>
          <w:sz w:val="28"/>
          <w:szCs w:val="28"/>
          <w:lang w:val="ru-RU" w:eastAsia="ja-JP"/>
        </w:rPr>
        <w:t xml:space="preserve"> </w:t>
      </w:r>
      <w:r w:rsidRPr="00107040">
        <w:rPr>
          <w:rFonts w:ascii="Times New Roman" w:eastAsia="MS Mincho" w:hAnsi="Times New Roman"/>
          <w:bCs/>
          <w:i/>
          <w:iCs/>
          <w:sz w:val="28"/>
          <w:szCs w:val="28"/>
          <w:lang w:val="en-US" w:eastAsia="ja-JP"/>
        </w:rPr>
        <w:t>A</w:t>
      </w:r>
      <w:r w:rsidRPr="00107040">
        <w:rPr>
          <w:rFonts w:ascii="Times New Roman" w:eastAsia="MS Mincho" w:hAnsi="Times New Roman"/>
          <w:bCs/>
          <w:i/>
          <w:iCs/>
          <w:sz w:val="28"/>
          <w:szCs w:val="28"/>
          <w:lang w:val="ru-RU" w:eastAsia="ja-JP"/>
        </w:rPr>
        <w:t xml:space="preserve">. </w:t>
      </w:r>
      <w:r w:rsidRPr="00107040">
        <w:rPr>
          <w:rFonts w:ascii="Times New Roman" w:eastAsia="MS Mincho" w:hAnsi="Times New Roman"/>
          <w:bCs/>
          <w:i/>
          <w:iCs/>
          <w:sz w:val="28"/>
          <w:szCs w:val="28"/>
          <w:lang w:val="en-US" w:eastAsia="ja-JP"/>
        </w:rPr>
        <w:t>thaliana</w:t>
      </w:r>
      <w:r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ru-RU" w:eastAsia="ja-JP"/>
        </w:rPr>
        <w:fldChar w:fldCharType="begin"/>
      </w:r>
      <w:r w:rsidRPr="00107040">
        <w:rPr>
          <w:rFonts w:ascii="Times New Roman" w:eastAsia="MS Mincho" w:hAnsi="Times New Roman"/>
          <w:bCs/>
          <w:sz w:val="28"/>
          <w:szCs w:val="28"/>
          <w:lang w:val="ru-RU" w:eastAsia="ja-JP"/>
        </w:rPr>
        <w:instrText xml:space="preserve"> ADDIN ZOTERO_ITEM CSL_CITATION {"citationID":"2sbtbfdK","properties":{"formattedCitation":"[29]","plainCitation":"[29]","noteIndex":0},"citationItems":[{"id":1290,"uris":["http://zotero.org/users/9078202/items/MYF2TS3Z"],"itemData":{"id":1290,"type":"article-journal","abstract":"BACKGROUND: Apurinic/apyrimidinic (AP) endonucleases are key DNA repair enzymes involved in the base excision repair (BER) pathway. In BER, an AP endonuclease cleaves DNA at AP sites and 3'-blocking moieties generated by DNA glycosylases and/or oxidative damage. A Triticum aestivum cDNA encoding for a putative homologue of ExoIII family AP endonucleases which includes E. coli Xth, human APE1 and Arabidopsis thaliana AtApe1L has been isolated and its protein product purified and characterized.\nMETHODOLOGY/PRINCIPAL FINDINGS: We report that the putative wheat AP endonuclease, referred here as TaApe1L, contains AP endonuclease, 3'-repair phosphodiesterase, 3'-phosphatase and 3' → 5' exonuclease activities. Surprisingly, in contrast to bacterial and human AP endonucleases, addition of Mg(2+) and Ca(2+) (5-10 mM) to the reaction mixture inhibited TaApe1L whereas the presence of Mn(2+), Co(2+) and Fe(2+) cations (0.1-1.0 mM) strongly stimulated all its DNA repair activities. Optimization of the reaction conditions revealed that the wheat enzyme requires low divalent cation concentration (0.1 mM), mildly acidic pH (6-7), low ionic strength (20 mM KCl) and has a temperature optimum at around 20 °C. The steady-state kinetic parameters of enzymatic reactions indicate that TaApe1L removes 3'-blocking sugar-phosphate and 3'-phosphate groups with good efficiency (kcat/KM = 630 and 485 μM(-1) · min(-1), respectively) but possesses a very weak AP endonuclease activity as compared to the human homologue, APE1.\nCONCLUSIONS/SIGNIFICANCE: Taken together, these data establish the DNA substrate specificity of the wheat AP endonuclease and suggest its possible role in the repair of DNA damage generated by endogenous and environmental factors.","container-title":"PloS One","DOI":"10.1371/journal.pone.0092963","ISSN":"1932-6203","issue":"3","journalAbbreviation":"PLoS One","language":"eng","note":"PMID: 24667595\nPMCID: PMC3965494","page":"e92963","source":"PubMed","title":"Cloning and characterization of a wheat homologue of apurinic/apyrimidinic endonuclease Ape1L","volume":"9","author":[{"family":"Joldybayeva","given":"Botagoz"},{"family":"Prorok","given":"Paulina"},{"family":"Grin","given":"Inga R."},{"family":"Zharkov","given":"Dmitry O."},{"family":"Ishenko","given":"Alexander A."},{"family":"Tudek","given":"Barbara"},{"family":"Bissenbaev","given":"Amangeldy K."},{"family":"Saparbaev","given":"Murat"}],"issued":{"date-parts":[["2014"]]}}}],"schema":"https://github.com/citation-style-language/schema/raw/master/csl-citation.json"} </w:instrText>
      </w:r>
      <w:r w:rsidRPr="00107040">
        <w:rPr>
          <w:rFonts w:ascii="Times New Roman" w:eastAsia="MS Mincho" w:hAnsi="Times New Roman"/>
          <w:bCs/>
          <w:sz w:val="28"/>
          <w:szCs w:val="28"/>
          <w:lang w:val="ru-RU" w:eastAsia="ja-JP"/>
        </w:rPr>
        <w:fldChar w:fldCharType="separate"/>
      </w:r>
      <w:r w:rsidRPr="00107040">
        <w:rPr>
          <w:rFonts w:ascii="Times New Roman" w:hAnsi="Times New Roman"/>
          <w:sz w:val="28"/>
          <w:szCs w:val="28"/>
        </w:rPr>
        <w:t>[29]</w:t>
      </w:r>
      <w:r w:rsidRPr="00107040">
        <w:rPr>
          <w:rFonts w:ascii="Times New Roman" w:eastAsia="MS Mincho" w:hAnsi="Times New Roman"/>
          <w:bCs/>
          <w:sz w:val="28"/>
          <w:szCs w:val="28"/>
          <w:lang w:val="ru-RU" w:eastAsia="ja-JP"/>
        </w:rPr>
        <w:fldChar w:fldCharType="end"/>
      </w:r>
      <w:r w:rsidRPr="00107040">
        <w:rPr>
          <w:rFonts w:ascii="Times New Roman" w:eastAsia="MS Mincho" w:hAnsi="Times New Roman"/>
          <w:bCs/>
          <w:sz w:val="28"/>
          <w:szCs w:val="28"/>
          <w:lang w:val="ru-RU" w:eastAsia="ja-JP"/>
        </w:rPr>
        <w:t>. Кроме этого, также впервые установлена участие А</w:t>
      </w:r>
      <w:r w:rsidRPr="00107040">
        <w:rPr>
          <w:rFonts w:ascii="Times New Roman" w:eastAsia="MS Mincho" w:hAnsi="Times New Roman"/>
          <w:bCs/>
          <w:sz w:val="28"/>
          <w:szCs w:val="28"/>
          <w:lang w:val="en-US" w:eastAsia="ja-JP"/>
        </w:rPr>
        <w:t>P</w:t>
      </w:r>
      <w:r w:rsidRPr="00107040">
        <w:rPr>
          <w:rFonts w:ascii="Times New Roman" w:eastAsia="MS Mincho" w:hAnsi="Times New Roman"/>
          <w:bCs/>
          <w:sz w:val="28"/>
          <w:szCs w:val="28"/>
          <w:lang w:val="ru-RU" w:eastAsia="ja-JP"/>
        </w:rPr>
        <w:t xml:space="preserve">-эндонуклеазы </w:t>
      </w:r>
      <w:r w:rsidRPr="00107040">
        <w:rPr>
          <w:rFonts w:ascii="Times New Roman" w:eastAsia="MS Mincho" w:hAnsi="Times New Roman"/>
          <w:i/>
          <w:iCs/>
          <w:sz w:val="28"/>
          <w:szCs w:val="28"/>
          <w:lang w:val="en-US" w:eastAsia="ja-JP"/>
        </w:rPr>
        <w:t>A</w:t>
      </w:r>
      <w:r w:rsidRPr="00107040">
        <w:rPr>
          <w:rFonts w:ascii="Times New Roman" w:eastAsia="MS Mincho" w:hAnsi="Times New Roman"/>
          <w:i/>
          <w:iCs/>
          <w:sz w:val="28"/>
          <w:szCs w:val="28"/>
          <w:lang w:val="ru-RU" w:eastAsia="ja-JP"/>
        </w:rPr>
        <w:t xml:space="preserve">. </w:t>
      </w:r>
      <w:r w:rsidRPr="00107040">
        <w:rPr>
          <w:rFonts w:ascii="Times New Roman" w:eastAsia="MS Mincho" w:hAnsi="Times New Roman"/>
          <w:i/>
          <w:iCs/>
          <w:sz w:val="28"/>
          <w:szCs w:val="28"/>
          <w:lang w:val="en-US" w:eastAsia="ja-JP"/>
        </w:rPr>
        <w:t>thaliana</w:t>
      </w:r>
      <w:r w:rsidRPr="00107040">
        <w:rPr>
          <w:rFonts w:ascii="Times New Roman" w:eastAsia="MS Mincho" w:hAnsi="Times New Roman"/>
          <w:i/>
          <w:iCs/>
          <w:sz w:val="28"/>
          <w:szCs w:val="28"/>
          <w:lang w:val="ru-RU" w:eastAsia="ja-JP"/>
        </w:rPr>
        <w:t xml:space="preserve"> </w:t>
      </w:r>
      <w:r w:rsidRPr="00107040">
        <w:rPr>
          <w:rFonts w:ascii="Times New Roman" w:eastAsia="MS Mincho" w:hAnsi="Times New Roman"/>
          <w:iCs/>
          <w:sz w:val="28"/>
          <w:szCs w:val="28"/>
          <w:lang w:val="ru-RU" w:eastAsia="ja-JP"/>
        </w:rPr>
        <w:t>(</w:t>
      </w:r>
      <w:r w:rsidRPr="00107040">
        <w:rPr>
          <w:rFonts w:ascii="Times New Roman" w:eastAsia="MS Mincho" w:hAnsi="Times New Roman"/>
          <w:sz w:val="28"/>
          <w:szCs w:val="28"/>
          <w:lang w:val="en-US" w:eastAsia="ja-JP"/>
        </w:rPr>
        <w:t>ARP</w:t>
      </w:r>
      <w:r w:rsidRPr="00107040">
        <w:rPr>
          <w:rFonts w:ascii="Times New Roman" w:eastAsia="MS Mincho" w:hAnsi="Times New Roman"/>
          <w:sz w:val="28"/>
          <w:szCs w:val="28"/>
          <w:lang w:val="ru-RU" w:eastAsia="ja-JP"/>
        </w:rPr>
        <w:t>)</w:t>
      </w:r>
      <w:r w:rsidRPr="00107040">
        <w:rPr>
          <w:rFonts w:ascii="Times New Roman" w:eastAsia="MS Mincho" w:hAnsi="Times New Roman"/>
          <w:bCs/>
          <w:sz w:val="28"/>
          <w:szCs w:val="28"/>
          <w:lang w:val="ru-RU" w:eastAsia="ja-JP"/>
        </w:rPr>
        <w:t xml:space="preserve"> в механизме инцизионной репарации нуклеотидов </w:t>
      </w:r>
      <w:r w:rsidRPr="00107040">
        <w:rPr>
          <w:rFonts w:ascii="Times New Roman" w:eastAsia="MS Mincho" w:hAnsi="Times New Roman"/>
          <w:bCs/>
          <w:sz w:val="28"/>
          <w:szCs w:val="28"/>
          <w:lang w:val="ru-RU" w:eastAsia="ja-JP"/>
        </w:rPr>
        <w:fldChar w:fldCharType="begin"/>
      </w:r>
      <w:r w:rsidRPr="00107040">
        <w:rPr>
          <w:rFonts w:ascii="Times New Roman" w:eastAsia="MS Mincho" w:hAnsi="Times New Roman"/>
          <w:bCs/>
          <w:sz w:val="28"/>
          <w:szCs w:val="28"/>
          <w:lang w:val="ru-RU" w:eastAsia="ja-JP"/>
        </w:rPr>
        <w:instrText xml:space="preserve"> ADDIN ZOTERO_ITEM CSL_CITATION {"citationID":"xPEyx3uq","properties":{"formattedCitation":"[30]","plainCitation":"[30]","noteIndex":0},"citationItems":[{"id":1293,"uris":["http://zotero.org/users/9078202/items/AFXBPMPX"],"itemData":{"id":1293,"type":"article-journal","abstract":"Apurinic/apyrimidinic (AP) endonucleases are important DNA repair enzymes involved in two overlapping pathways: DNA glycosylase-initiated base excision (BER) and AP endonuclease-initiated nucleotide incision repair (NIR). In the BER pathway, AP endonucleases cleave DNA at AP sites and 3'-blocking moieties generated by DNA glycosylases, whereas in NIR, the same AP endonucleases incise DNA 5' to a wide variety of oxidized bases. The flowering plant Arabidopsis thaliana contains three genes encoding homologues of major human AP endonuclease 1 (APE1): Arp, Ape1L and Ape2. It has been shown that all three proteins contain AP site cleavage and 3'-repair phosphodiesterase activities; however, it was not known whether the plant AP endonucleases contain the NIR activity. Here, we report that ARP proteins from Arabidopsis and common wheat (Triticum aestivum) contain NIR and 3'→5' exonuclease activities in addition to their AP endonuclease and 3'-repair phosphodiesterase functions. The steady-state kinetic parameters of reactions indicate that Arabidopsis ARP cleaves oligonucleotide duplexes containing α-anomeric 2'-deoxyadenosine (αdA) and 5,6-dihydrouridine (DHU) with efficiencies (kcat/KM=134 and 7.3 μM-1·min-1, respectively) comparable to those of the human counterpart. However, the ARP-catalyzed 3'-repair phosphodiesterase and 3'→5' exonuclease activities (kcat/KM=314 and 34 μM-1·min-1, respectively) were about 10-fold less efficient as compared to those of APE1. Interestingly, homozygous A. thaliana arp-/- mutant exhibited high sensitivity to methyl methanesulfonate and tert-butyl hydroperoxide, but not to H2O2, suggesting that ARP is a major plant AP endonuclease that removes abasic sites and specific types of oxidative DNA base damage. Taken together, these data establish the presence of the NIR pathway in plants and suggest its possible role in the repair of DNA damage generated by oxidative stress.","container-title":"DNA repair","DOI":"10.1016/j.dnarep.2016.10.009","ISSN":"1568-7856","journalAbbreviation":"DNA Repair (Amst)","language":"eng","note":"PMID: 27836324","page":"30-42","source":"PubMed","title":"The major Arabidopsis thaliana apurinic/apyrimidinic endonuclease, ARP is involved in the plant nucleotide incision repair pathway","volume":"48","author":[{"family":"Akishev","given":"Zhiger"},{"family":"Taipakova","given":"Sabira"},{"family":"Joldybayeva","given":"Botagoz"},{"family":"Zutterling","given":"Caroline"},{"family":"Smekenov","given":"Izat"},{"family":"Ishchenko","given":"Alexander A."},{"family":"Zharkov","given":"Dmitry O."},{"family":"Bissenbaev","given":"Amangeldy K."},{"family":"Saparbaev","given":"Murat"}],"issued":{"date-parts":[["2016",12]]}}}],"schema":"https://github.com/citation-style-language/schema/raw/master/csl-citation.json"} </w:instrText>
      </w:r>
      <w:r w:rsidRPr="00107040">
        <w:rPr>
          <w:rFonts w:ascii="Times New Roman" w:eastAsia="MS Mincho" w:hAnsi="Times New Roman"/>
          <w:bCs/>
          <w:sz w:val="28"/>
          <w:szCs w:val="28"/>
          <w:lang w:val="ru-RU" w:eastAsia="ja-JP"/>
        </w:rPr>
        <w:fldChar w:fldCharType="separate"/>
      </w:r>
      <w:r w:rsidRPr="00107040">
        <w:rPr>
          <w:rFonts w:ascii="Times New Roman" w:hAnsi="Times New Roman"/>
          <w:sz w:val="28"/>
          <w:szCs w:val="28"/>
        </w:rPr>
        <w:t>[30]</w:t>
      </w:r>
      <w:r w:rsidRPr="00107040">
        <w:rPr>
          <w:rFonts w:ascii="Times New Roman" w:eastAsia="MS Mincho" w:hAnsi="Times New Roman"/>
          <w:bCs/>
          <w:sz w:val="28"/>
          <w:szCs w:val="28"/>
          <w:lang w:val="ru-RU" w:eastAsia="ja-JP"/>
        </w:rPr>
        <w:fldChar w:fldCharType="end"/>
      </w:r>
      <w:r w:rsidRPr="00107040">
        <w:rPr>
          <w:rFonts w:ascii="Times New Roman" w:eastAsia="MS Mincho" w:hAnsi="Times New Roman"/>
          <w:sz w:val="28"/>
          <w:szCs w:val="28"/>
          <w:lang w:val="ru-RU" w:eastAsia="ja-JP"/>
        </w:rPr>
        <w:t>. Эти А</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-эндонуклеазы в ходе репарации ДНК генерируют разрывы ДНК с</w:t>
      </w:r>
      <w:r w:rsidRPr="00107040">
        <w:rPr>
          <w:rFonts w:ascii="Times New Roman" w:eastAsia="MS Mincho" w:hAnsi="Times New Roman"/>
          <w:b/>
          <w:sz w:val="28"/>
          <w:szCs w:val="28"/>
          <w:lang w:val="ru-RU" w:eastAsia="ja-JP"/>
        </w:rPr>
        <w:t xml:space="preserve"> </w:t>
      </w:r>
      <w:r w:rsidRPr="00107040">
        <w:rPr>
          <w:rFonts w:ascii="Times New Roman" w:eastAsia="MS Mincho" w:hAnsi="Times New Roman"/>
          <w:sz w:val="28"/>
          <w:szCs w:val="28"/>
          <w:lang w:val="ru-RU" w:eastAsia="ja-JP"/>
        </w:rPr>
        <w:t xml:space="preserve">3'-ОН группой и 5'-модифицированным концом. Кроме этого, растительный геном подвергается значительному изменению в характере метилирования цитозина во время развития и в ответ на факторы окружающей среды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{"citationID":"iRzVEOGK","properties":{"formattedCitation":"[5,8]","plainCitation":"[5,8]","noteIndex":0},"citationItems":[{"id":1240,"uris":["http://zotero.org/users/9078202/items/ASLULSIG"],"itemData":{"id":1240,"type":"article-journal","abstract":"The addition to proteins of the negatively charged polymer of ADP-ribose (PAR), which is synthesized by PAR polymerases (PARPs) from NAD(+), is a unique post-translational modification. It regulates not only cell survival and cell-death programmes, but also an increasing number of other biological functions with which novel members of the PARP family have been associated. These functions include transcriptional regulation, telomere cohesion and mitotic spindle formation during cell division, intracellular trafficking and energy metabolism.","container-title":"Nature Reviews. Molecular Cell Biology","DOI":"10.1038/nrm1963","ISSN":"1471-0072","issue":"7","journalAbbreviation":"Nat Rev Mol Cell Biol","language":"eng","note":"PMID: 16829982","page":"517-528","source":"PubMed","title":"Poly(ADP-ribose): novel functions for an old molecule","title-short":"Poly(ADP-ribose)","volume":"7","author":[{"family":"Schreiber","given":"Valérie"},{"family":"Dantzer","given":"Françoise"},{"family":"Ame","given":"Jean-Christophe"},{"family":"Murcia","given":"Gilbert","non-dropping-particle":"de"}],"issued":{"date-parts":[["2006",7]]}}},{"id":1245,"uris":["http://zotero.org/users/9078202/items/AI8Z9BY6"],"itemData":{"id":1245,"type":"article-journal","abstract":"Poly(ADP-ribose) polymerase-1 (PARP-1) is one of the most abundant proteins within mammalian cells. First described more than 45 years ago, PARP-1 has been the subject of many studies and was shown to be involved in multiple aspects of cellular metabolism. Despite many interesting studies that implicate PARP-1 in transcription, chromatin remodelling, apoptosis, DNA repair and several neurological disorders, its precise role is still unclear. This review will discuss the role of PARP-1 in DNA repair and propose a model whereby PARP-1 operates as a modulator of base excision repair capacity.","container-title":"DNA repair","DOI":"10.1016/j.dnarep.2008.03.009","ISSN":"1568-7864","issue":"7","journalAbbreviation":"DNA Repair (Amst)","language":"eng","note":"PMID: 18468963","page":"1077-1086","source":"PubMed","title":"Poly ADP-ribose polymerase-1: an international molecule of mystery","title-short":"Poly ADP-ribose polymerase-1","volume":"7","author":[{"family":"Woodhouse","given":"Bethany C."},{"family":"Dianov","given":"Grigory L."}],"issued":{"date-parts":[["2008",7,1]]}}}],"schema":"https://github.com/citation-style-language/schema/raw/master/csl-citation.json"}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[5,8]</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У </w:t>
      </w:r>
      <w:r w:rsidRPr="00107040">
        <w:rPr>
          <w:rFonts w:ascii="Times New Roman" w:eastAsia="MS Mincho" w:hAnsi="Times New Roman"/>
          <w:i/>
          <w:iCs/>
          <w:sz w:val="28"/>
          <w:szCs w:val="28"/>
          <w:lang w:val="en-US" w:eastAsia="ja-JP"/>
        </w:rPr>
        <w:t>A</w:t>
      </w:r>
      <w:r w:rsidRPr="00107040">
        <w:rPr>
          <w:rFonts w:ascii="Times New Roman" w:eastAsia="MS Mincho" w:hAnsi="Times New Roman"/>
          <w:i/>
          <w:iCs/>
          <w:sz w:val="28"/>
          <w:szCs w:val="28"/>
          <w:lang w:val="ru-RU" w:eastAsia="ja-JP"/>
        </w:rPr>
        <w:t xml:space="preserve">. </w:t>
      </w:r>
      <w:r w:rsidRPr="00107040">
        <w:rPr>
          <w:rFonts w:ascii="Times New Roman" w:eastAsia="MS Mincho" w:hAnsi="Times New Roman"/>
          <w:i/>
          <w:iCs/>
          <w:sz w:val="28"/>
          <w:szCs w:val="28"/>
          <w:lang w:val="en-US" w:eastAsia="ja-JP"/>
        </w:rPr>
        <w:t>thaliana</w:t>
      </w:r>
      <w:r w:rsidRPr="00107040">
        <w:rPr>
          <w:rFonts w:ascii="Times New Roman" w:eastAsia="MS Mincho" w:hAnsi="Times New Roman"/>
          <w:i/>
          <w:iCs/>
          <w:sz w:val="28"/>
          <w:szCs w:val="28"/>
          <w:lang w:val="ru-RU" w:eastAsia="ja-JP"/>
        </w:rPr>
        <w:t xml:space="preserve"> </w:t>
      </w:r>
      <w:r w:rsidRPr="00107040">
        <w:rPr>
          <w:rFonts w:ascii="Times New Roman" w:eastAsia="MS Mincho" w:hAnsi="Times New Roman"/>
          <w:iCs/>
          <w:sz w:val="28"/>
          <w:szCs w:val="28"/>
          <w:lang w:val="ru-RU" w:eastAsia="ja-JP"/>
        </w:rPr>
        <w:t xml:space="preserve">ферменты семейства </w:t>
      </w:r>
      <w:r w:rsidRPr="00107040">
        <w:rPr>
          <w:rFonts w:ascii="Times New Roman" w:eastAsia="MS Mincho" w:hAnsi="Times New Roman"/>
          <w:sz w:val="28"/>
          <w:szCs w:val="28"/>
          <w:lang w:val="ru-RU" w:eastAsia="ja-JP"/>
        </w:rPr>
        <w:t>5</w:t>
      </w:r>
      <w:r w:rsidRPr="00107040">
        <w:rPr>
          <w:rFonts w:ascii="Times New Roman" w:eastAsia="MS Mincho" w:hAnsi="Times New Roman"/>
          <w:sz w:val="28"/>
          <w:szCs w:val="28"/>
          <w:lang w:val="en-US" w:eastAsia="ja-JP"/>
        </w:rPr>
        <w:t>mC</w:t>
      </w:r>
      <w:r w:rsidRPr="00107040">
        <w:rPr>
          <w:rFonts w:ascii="Times New Roman" w:eastAsia="MS Mincho" w:hAnsi="Times New Roman"/>
          <w:sz w:val="28"/>
          <w:szCs w:val="28"/>
          <w:lang w:val="ru-RU" w:eastAsia="ja-JP"/>
        </w:rPr>
        <w:t xml:space="preserve">-ДНК гликозилаз, </w:t>
      </w:r>
      <w:r w:rsidRPr="00107040">
        <w:rPr>
          <w:rFonts w:ascii="Times New Roman" w:eastAsia="MS Mincho" w:hAnsi="Times New Roman"/>
          <w:sz w:val="28"/>
          <w:szCs w:val="28"/>
          <w:lang w:val="en-US" w:eastAsia="ja-JP"/>
        </w:rPr>
        <w:t>ROS</w:t>
      </w:r>
      <w:r w:rsidRPr="00107040">
        <w:rPr>
          <w:rFonts w:ascii="Times New Roman" w:eastAsia="MS Mincho" w:hAnsi="Times New Roman"/>
          <w:sz w:val="28"/>
          <w:szCs w:val="28"/>
          <w:lang w:val="ru-RU" w:eastAsia="ja-JP"/>
        </w:rPr>
        <w:t xml:space="preserve">1, </w:t>
      </w:r>
      <w:r w:rsidRPr="00107040">
        <w:rPr>
          <w:rFonts w:ascii="Times New Roman" w:eastAsia="MS Mincho" w:hAnsi="Times New Roman"/>
          <w:sz w:val="28"/>
          <w:szCs w:val="28"/>
          <w:lang w:val="en-US" w:eastAsia="ja-JP"/>
        </w:rPr>
        <w:t>DME</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DML</w:t>
      </w:r>
      <w:r w:rsidRPr="00107040">
        <w:rPr>
          <w:rFonts w:ascii="Times New Roman" w:eastAsia="MS Mincho" w:hAnsi="Times New Roman"/>
          <w:sz w:val="28"/>
          <w:szCs w:val="28"/>
          <w:lang w:val="ru-RU" w:eastAsia="ja-JP"/>
        </w:rPr>
        <w:t xml:space="preserve">2, </w:t>
      </w:r>
      <w:r w:rsidRPr="00107040">
        <w:rPr>
          <w:rFonts w:ascii="Times New Roman" w:eastAsia="MS Mincho" w:hAnsi="Times New Roman"/>
          <w:sz w:val="28"/>
          <w:szCs w:val="28"/>
          <w:lang w:val="en-US" w:eastAsia="ja-JP"/>
        </w:rPr>
        <w:t>DML</w:t>
      </w:r>
      <w:r w:rsidRPr="00107040">
        <w:rPr>
          <w:rFonts w:ascii="Times New Roman" w:eastAsia="MS Mincho" w:hAnsi="Times New Roman"/>
          <w:sz w:val="28"/>
          <w:szCs w:val="28"/>
          <w:lang w:val="ru-RU" w:eastAsia="ja-JP"/>
        </w:rPr>
        <w:t xml:space="preserve">3 участвуют в регуляции импринтинга и сайленсинга генов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{"citationID":"o6mGxl4F","properties":{"formattedCitation":"[9]","plainCitation":"[9]","noteIndex":0},"citationItems":[{"id":1247,"uris":["http://zotero.org/users/9078202/items/YHNZFVKW"],"itemData":{"id":1247,"type":"article-journal","abstract":"Poly(ADP-ribose) polymerases (PARPs) and poly(ADP-ribose) glycohydrolases (PARGs) are the main enzymes responsible for the post-translational modification known as poly(ADP-ribosyl)ation. These enzymes play important roles in genotoxic stress tolerance and DNA repair, programmed cell death, transcription, and cell cycle control in animals. Similar impacts are being discovered in plants, as well as roles in plant-specific processes. In particular, we review recent work that has revealed significant roles for poly(ADP-ribosyl)ation in plant responses to biotic and abiotic stress, as well as roles for ADP-ribose pyrophosphatases (a subset of the nucleoside diphosphate linked to some moiety-X or NUDX hydrolases). Future challenges include identification of poly(ADP-ribosyl)ation targets and interacting proteins, improved use of inhibitors and plant mutants, and field-based studies with economically valuable plant species.","container-title":"Trends in Plant Science","DOI":"10.1016/j.tplants.2011.03.008","ISSN":"1878-4372","issue":"7","journalAbbreviation":"Trends Plant Sci","language":"eng","note":"PMID: 21482174","page":"372-380","source":"PubMed","title":"Poly(ADP-ribosyl)ation in plants","volume":"16","author":[{"family":"Briggs","given":"Amy G."},{"family":"Bent","given":"Andrew F."}],"issued":{"date-parts":[["2011",7]]}}}],"schema":"https://github.com/citation-style-language/schema/raw/master/csl-citation.json"}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[9]</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Эти ферменты являются бифункциональными ДНК гликозилазами, поэтому помимо ДНК-гликозилазной активности, они обладают А</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-лиазной активностью. Эти ферменты за счет ДНК гликозилазной активности вырезают метилированный цитозин (5</w:t>
      </w:r>
      <w:r w:rsidRPr="00107040">
        <w:rPr>
          <w:rFonts w:ascii="Times New Roman" w:eastAsia="MS Mincho" w:hAnsi="Times New Roman"/>
          <w:sz w:val="28"/>
          <w:szCs w:val="28"/>
          <w:lang w:val="en-US" w:eastAsia="ja-JP"/>
        </w:rPr>
        <w:t>mC</w:t>
      </w:r>
      <w:r w:rsidRPr="00107040">
        <w:rPr>
          <w:rFonts w:ascii="Times New Roman" w:eastAsia="MS Mincho" w:hAnsi="Times New Roman"/>
          <w:sz w:val="28"/>
          <w:szCs w:val="28"/>
          <w:lang w:val="ru-RU" w:eastAsia="ja-JP"/>
        </w:rPr>
        <w:t>), затем образованный в результате А</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-сайт расщепляют с помощью реакции элиминации межнуклеозидных фосфатов при реакциях </w:t>
      </w:r>
      <w:r w:rsidRPr="00107040">
        <w:rPr>
          <w:rFonts w:ascii="Times New Roman" w:eastAsia="MS Mincho" w:hAnsi="Times New Roman"/>
          <w:sz w:val="28"/>
          <w:szCs w:val="28"/>
          <w:lang w:val="en-US" w:eastAsia="ja-JP"/>
        </w:rPr>
        <w:t>β</w:t>
      </w:r>
      <w:r w:rsidRPr="00107040">
        <w:rPr>
          <w:rFonts w:ascii="Times New Roman" w:eastAsia="MS Mincho" w:hAnsi="Times New Roman"/>
          <w:sz w:val="28"/>
          <w:szCs w:val="28"/>
          <w:lang w:val="ru-RU" w:eastAsia="ja-JP"/>
        </w:rPr>
        <w:t xml:space="preserve">-элиминации и/или </w:t>
      </w:r>
      <w:r w:rsidRPr="00107040">
        <w:rPr>
          <w:rFonts w:ascii="Times New Roman" w:eastAsia="MS Mincho" w:hAnsi="Times New Roman"/>
          <w:sz w:val="28"/>
          <w:szCs w:val="28"/>
          <w:lang w:val="en-US" w:eastAsia="ja-JP"/>
        </w:rPr>
        <w:t>β</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δ</w:t>
      </w:r>
      <w:r w:rsidRPr="00107040">
        <w:rPr>
          <w:rFonts w:ascii="Times New Roman" w:eastAsia="MS Mincho" w:hAnsi="Times New Roman"/>
          <w:sz w:val="28"/>
          <w:szCs w:val="28"/>
          <w:lang w:val="ru-RU" w:eastAsia="ja-JP"/>
        </w:rPr>
        <w:t>-элиминации. Конечным продуктом действия 5</w:t>
      </w:r>
      <w:r w:rsidRPr="00107040">
        <w:rPr>
          <w:rFonts w:ascii="Times New Roman" w:eastAsia="MS Mincho" w:hAnsi="Times New Roman"/>
          <w:sz w:val="28"/>
          <w:szCs w:val="28"/>
          <w:lang w:val="en-US" w:eastAsia="ja-JP"/>
        </w:rPr>
        <w:t>mC</w:t>
      </w:r>
      <w:r w:rsidRPr="00107040">
        <w:rPr>
          <w:rFonts w:ascii="Times New Roman" w:eastAsia="MS Mincho" w:hAnsi="Times New Roman"/>
          <w:sz w:val="28"/>
          <w:szCs w:val="28"/>
          <w:lang w:val="ru-RU" w:eastAsia="ja-JP"/>
        </w:rPr>
        <w:t>-ДНК гликозилаз являются разрывы ДНК с 5'-концевым фосфатом и 3'- концевым фосфо-</w:t>
      </w:r>
      <w:r w:rsidRPr="00107040">
        <w:rPr>
          <w:rFonts w:ascii="Times New Roman" w:eastAsia="MS Mincho" w:hAnsi="Times New Roman"/>
          <w:sz w:val="28"/>
          <w:szCs w:val="28"/>
          <w:lang w:val="en-US" w:eastAsia="ja-JP"/>
        </w:rPr>
        <w:t>α</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β</w:t>
      </w:r>
      <w:r w:rsidRPr="00107040">
        <w:rPr>
          <w:rFonts w:ascii="Times New Roman" w:eastAsia="MS Mincho" w:hAnsi="Times New Roman"/>
          <w:sz w:val="28"/>
          <w:szCs w:val="28"/>
          <w:lang w:val="ru-RU" w:eastAsia="ja-JP"/>
        </w:rPr>
        <w:t>-ненасыщенным альдегидом (3'-РА), или образуется однонуклеотидный разрыв ДНК с 5'-концевым фосфатом и 3'-концевым фосфатом (3'-Р). Таким образом, активное деметилирование генома инициированное 5</w:t>
      </w:r>
      <w:r w:rsidRPr="00107040">
        <w:rPr>
          <w:rFonts w:ascii="Times New Roman" w:eastAsia="MS Mincho" w:hAnsi="Times New Roman"/>
          <w:sz w:val="28"/>
          <w:szCs w:val="28"/>
          <w:lang w:val="en-US" w:eastAsia="ja-JP"/>
        </w:rPr>
        <w:t>mC</w:t>
      </w:r>
      <w:r w:rsidRPr="00107040">
        <w:rPr>
          <w:rFonts w:ascii="Times New Roman" w:eastAsia="MS Mincho" w:hAnsi="Times New Roman"/>
          <w:sz w:val="28"/>
          <w:szCs w:val="28"/>
          <w:lang w:val="ru-RU" w:eastAsia="ja-JP"/>
        </w:rPr>
        <w:t>-ДНК гликозилазами в растениях приводит к образованию высоко генотоксичных разрывов цепей ДНК, содержащие нелигируемые 3'-блокирующие группы.</w:t>
      </w:r>
    </w:p>
    <w:p w14:paraId="7854070B" w14:textId="77777777" w:rsidR="000B103D" w:rsidRPr="00107040" w:rsidRDefault="000B103D"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Эти данные указывают на то, что в геноме растений разрывы ДНК постоянно генерируются не только под прямым действием АФК, но и как промежуточный продукт репарации ДНК, а также во время регуляции развития растений и экспрессии генов.</w:t>
      </w:r>
    </w:p>
    <w:p w14:paraId="4A9F262F" w14:textId="77777777" w:rsidR="000B103D" w:rsidRPr="00107040" w:rsidRDefault="000B103D" w:rsidP="000C16BB">
      <w:pPr>
        <w:autoSpaceDE w:val="0"/>
        <w:autoSpaceDN w:val="0"/>
        <w:adjustRightInd w:val="0"/>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Недавно, </w:t>
      </w:r>
      <w:r w:rsidRPr="00107040">
        <w:rPr>
          <w:rFonts w:ascii="Times New Roman" w:eastAsia="MS Mincho" w:hAnsi="Times New Roman"/>
          <w:sz w:val="28"/>
          <w:szCs w:val="28"/>
          <w:lang w:val="en-US" w:eastAsia="ja-JP"/>
        </w:rPr>
        <w:t>Talhaoui</w:t>
      </w:r>
      <w:r w:rsidRPr="00107040">
        <w:rPr>
          <w:rFonts w:ascii="Times New Roman" w:eastAsia="MS Mincho" w:hAnsi="Times New Roman"/>
          <w:sz w:val="28"/>
          <w:szCs w:val="28"/>
          <w:lang w:val="ru-RU" w:eastAsia="ja-JP"/>
        </w:rPr>
        <w:t xml:space="preserve"> и коллеги обнаружили ранее неизвестное явление пост-репликативной модификации ДНК с помощью ПАРилирования концов разрывов ДНК. Эта реакция катализируется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2 ферментами млекопитающих в условиях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vitro</w:t>
      </w:r>
      <w:r w:rsidRPr="00107040">
        <w:rPr>
          <w:rFonts w:ascii="Times New Roman" w:eastAsia="MS Mincho" w:hAnsi="Times New Roman"/>
          <w:sz w:val="28"/>
          <w:szCs w:val="28"/>
          <w:lang w:val="ru-RU" w:eastAsia="ja-JP"/>
        </w:rPr>
        <w:t xml:space="preserve">. Было обнаружено, что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ферменты млекопитающих могут непосредственно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ДФ-рибозилировать 5'- и 3'-концы ДНК-олигонуклеотидов.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предпочтительно катализирует ковалентное присоединяет остатки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ДФ-рибозы к концам ДНК-дуплексов с одно-цепочечным выступом, содержащих 3'-кордицепин, 5'- и 3'-фосфат, а также к 5'-фосфату одноцепочечного олигонуклеотида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{"citationID":"CiMXq8tG","properties":{"formattedCitation":"[31]","plainCitation":"[31]","noteIndex":0},"citationItems":[{"id":1295,"uris":["http://zotero.org/users/9078202/items/V43W7KVW"],"itemData":{"id":1295,"type":"article-journal","abstract":"Poly(ADP-ribose) polymerases (PARPs/ARTDs) use nicotinamide adenine dinucleotide (NAD+) to catalyse the synthesis of a long branched poly(ADP-ribose) polymer (PAR) attached to the acceptor amino acid residues of nuclear proteins. PARPs act on single- and double-stranded DNA breaks by recruiting DNA repair factors. Here, in in vitro biochemical experiments, we found that the mammalian PARP1 and PARP2 proteins can directly ADP-ribosylate the termini of DNA oligonucleotides. PARP1 preferentially catalysed covalent attachment of ADP-ribose units to the ends of recessed DNA duplexes containing 3'-cordycepin, 5'- and 3'-phosphate and also to 5'-phosphate of a single-stranded oligonucleotide. PARP2 preferentially ADP-ribosylated the nicked/gapped DNA duplexes containing 5'-phosphate at the double-stranded termini. PAR glycohydrolase (PARG) restored native DNA structure by hydrolysing PAR-DNA adducts generated by PARP1 and PARP2. Biochemical and mass spectrometry analyses of the adducts suggested that PARPs utilise DNA termini as an alternative to 2'-hydroxyl of ADP-ribose and protein acceptor residues to catalyse PAR chain initiation either via the 2',1″-O-glycosidic ribose-ribose bond or via phosphodiester bond formation between C1' of ADP-ribose and the phosphate of a terminal deoxyribonucleotide. This new type of post-replicative modification of DNA provides novel insights into the molecular mechanisms underlying biological phenomena of ADP-ribosylation mediated by PARPs.","container-title":"Nucleic Acids Research","DOI":"10.1093/nar/gkw675","ISSN":"1362-4962","issue":"19","journalAbbreviation":"Nucleic Acids Res","language":"eng","note":"PMID: 27471034\nPMCID: PMC5100588","page":"9279-9295","source":"PubMed","title":"Poly(ADP-ribose) polymerases covalently modify strand break termini in DNA fragments in vitro","volume":"44","author":[{"family":"Talhaoui","given":"Ibtissam"},{"family":"Lebedeva","given":"Natalia A."},{"family":"Zarkovic","given":"Gabriella"},{"family":"Saint-Pierre","given":"Christine"},{"family":"Kutuzov","given":"Mikhail M."},{"family":"Sukhanova","given":"Maria V."},{"family":"Matkarimov","given":"Bakhyt T."},{"family":"Gasparutto","given":"Didier"},{"family":"Saparbaev","given":"Murat K."},{"family":"Lavrik","given":"Olga I."},{"family":"Ishchenko","given":"Alexander A."}],"issued":{"date-parts":[["2016",11,2]]}}}],"schema":"https://github.com/citation-style-language/schema/raw/master/csl-citation.json"}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[31]</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2 предпочтительно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ДФ-рибозилирует ДНК дуплексы с разрывом и/или брешью, содержащие 5'-фосфат на двуцепочечных концах. ПАР-гликогидролаза (</w:t>
      </w:r>
      <w:r w:rsidRPr="00107040">
        <w:rPr>
          <w:rFonts w:ascii="Times New Roman" w:eastAsia="MS Mincho" w:hAnsi="Times New Roman"/>
          <w:sz w:val="28"/>
          <w:szCs w:val="28"/>
          <w:lang w:val="en-US" w:eastAsia="ja-JP"/>
        </w:rPr>
        <w:t>PARG</w:t>
      </w:r>
      <w:r w:rsidRPr="00107040">
        <w:rPr>
          <w:rFonts w:ascii="Times New Roman" w:eastAsia="MS Mincho" w:hAnsi="Times New Roman"/>
          <w:sz w:val="28"/>
          <w:szCs w:val="28"/>
          <w:lang w:val="ru-RU" w:eastAsia="ja-JP"/>
        </w:rPr>
        <w:t xml:space="preserve">) восстанавливает структуру нативной ДНК путем гидролиза ПАРилированных ДНК-аддуктов. Биохимические и масс-спектрометрические анализы ДНК-аддуктов показало, </w:t>
      </w:r>
      <w:r w:rsidRPr="00107040">
        <w:rPr>
          <w:rFonts w:ascii="Times New Roman" w:eastAsia="MS Mincho" w:hAnsi="Times New Roman"/>
          <w:sz w:val="28"/>
          <w:szCs w:val="28"/>
          <w:lang w:val="ru-RU" w:eastAsia="ja-JP"/>
        </w:rPr>
        <w:lastRenderedPageBreak/>
        <w:t xml:space="preserve">что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ферменты могут использовать 5'- и 3'-концы ДНК в качестве альтернативы к 2'-гидроксильной группе АДФ-рибозы и аминокислотным остаткам акцепторных белков для инициации ПАРилирования ДНК либо через 2',1''-</w:t>
      </w:r>
      <w:r w:rsidRPr="00107040">
        <w:rPr>
          <w:rFonts w:ascii="Times New Roman" w:eastAsia="MS Mincho" w:hAnsi="Times New Roman"/>
          <w:sz w:val="28"/>
          <w:szCs w:val="28"/>
          <w:lang w:val="en-US" w:eastAsia="ja-JP"/>
        </w:rPr>
        <w:t>O</w:t>
      </w:r>
      <w:r w:rsidRPr="00107040">
        <w:rPr>
          <w:rFonts w:ascii="Times New Roman" w:eastAsia="MS Mincho" w:hAnsi="Times New Roman"/>
          <w:sz w:val="28"/>
          <w:szCs w:val="28"/>
          <w:lang w:val="ru-RU" w:eastAsia="ja-JP"/>
        </w:rPr>
        <w:t xml:space="preserve">-гликозидную связь или через образование фосфодиэфирной связи между </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1' атомом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ДФ-рибозы и фосфором на конце ДНК-дуплекса.</w:t>
      </w:r>
    </w:p>
    <w:p w14:paraId="5688B636" w14:textId="77777777" w:rsidR="000B103D" w:rsidRPr="00107040" w:rsidRDefault="000B103D" w:rsidP="000C16BB">
      <w:pPr>
        <w:autoSpaceDE w:val="0"/>
        <w:autoSpaceDN w:val="0"/>
        <w:adjustRightInd w:val="0"/>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В настоящее время нет прямых доказательств наличия ПАРилированных ДНК-аддуктов в условиях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vivo</w:t>
      </w:r>
      <w:r w:rsidRPr="00107040">
        <w:rPr>
          <w:rFonts w:ascii="Times New Roman" w:eastAsia="MS Mincho" w:hAnsi="Times New Roman"/>
          <w:sz w:val="28"/>
          <w:szCs w:val="28"/>
          <w:lang w:val="ru-RU" w:eastAsia="ja-JP"/>
        </w:rPr>
        <w:t xml:space="preserve">. Тем не менее, эффективная ПАРилирование разрывов ДНК в условиях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vitro</w:t>
      </w:r>
      <w:r w:rsidRPr="00107040">
        <w:rPr>
          <w:rFonts w:ascii="Times New Roman" w:eastAsia="MS Mincho" w:hAnsi="Times New Roman"/>
          <w:sz w:val="28"/>
          <w:szCs w:val="28"/>
          <w:lang w:val="ru-RU" w:eastAsia="ja-JP"/>
        </w:rPr>
        <w:t xml:space="preserve"> очищенными рекомбинантными белками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указывает на то, что этот тип пост-репликативной модификации ДНК может также происходит в живых клетках. Авторы полагают, что в условиях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vivo</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-катализируемая модификация ДНК может оказывать значительное влияние на различные клеточные процессы, такие как транскрипция, деление клеток, репарацию ДНК и т. д. </w:t>
      </w:r>
      <w:r w:rsidRPr="00107040">
        <w:rPr>
          <w:rFonts w:ascii="Times New Roman" w:eastAsia="MS Mincho" w:hAnsi="Times New Roman"/>
          <w:sz w:val="28"/>
          <w:szCs w:val="28"/>
          <w:lang w:val="ru-RU" w:eastAsia="ja-JP"/>
        </w:rPr>
        <w:fldChar w:fldCharType="begin"/>
      </w:r>
      <w:r w:rsidRPr="00107040">
        <w:rPr>
          <w:rFonts w:ascii="Times New Roman" w:eastAsia="MS Mincho" w:hAnsi="Times New Roman"/>
          <w:sz w:val="28"/>
          <w:szCs w:val="28"/>
          <w:lang w:val="ru-RU" w:eastAsia="ja-JP"/>
        </w:rPr>
        <w:instrText xml:space="preserve"> ADDIN ZOTERO_ITEM CSL_CITATION {"citationID":"NWdxEouY","properties":{"formattedCitation":"[32]","plainCitation":"[32]","noteIndex":0},"citationItems":[{"id":348,"uris":["http://zotero.org/users/9078202/items/MK2LQJHU"],"itemData":{"id":348,"type":"article-journal","abstract":"Since the beginning of the last century, seminal discoveries have identified pyridine nucleotides as the major redox carriers in all organisms. Recent research has unravelled an unexpectedly wide array of signalling pathways that involve nicotinamide adenine dinucleotide (NAD) and its phosphorylated form, NADP. NAD serves as substrate for protein modification including protein deacetylation, and mono- and poly-ADP-ribosylation. Both NAD and NADP represent precursors of intracellular calcium-mobilizing molecules. It is now beyond doubt that NAD(P)-mediated signal transduction does not merely regulate metabolic pathways, but might hold a key position in the control of fundamental cellular processes. The comprehensive molecular characterization of NAD biosynthetic pathways over the past few years has further extended the understanding of the multiple roles of pyridine nucleotides in cell biology.","container-title":"Trends in Biochemical Sciences","DOI":"10.1016/j.tibs.2004.01.007","ISSN":"0968-0004","issue":"3","journalAbbreviation":"Trends Biochem Sci","language":"eng","note":"PMID: 15003268","page":"111-118","source":"PubMed","title":"The new life of a centenarian: signalling functions of NAD(P)","title-short":"The new life of a centenarian","volume":"29","author":[{"family":"Berger","given":"Felicitas"},{"family":"Ramírez-Hernández","given":"María H."},{"family":"Ziegler","given":"Mathias"}],"issued":{"date-parts":[["2004",3]]}}}],"schema":"https://github.com/citation-style-language/schema/raw/master/csl-citation.json"} </w:instrText>
      </w:r>
      <w:r w:rsidRPr="00107040">
        <w:rPr>
          <w:rFonts w:ascii="Times New Roman" w:eastAsia="MS Mincho" w:hAnsi="Times New Roman"/>
          <w:sz w:val="28"/>
          <w:szCs w:val="28"/>
          <w:lang w:val="ru-RU" w:eastAsia="ja-JP"/>
        </w:rPr>
        <w:fldChar w:fldCharType="separate"/>
      </w:r>
      <w:r w:rsidRPr="00107040">
        <w:rPr>
          <w:rFonts w:ascii="Times New Roman" w:hAnsi="Times New Roman"/>
          <w:sz w:val="28"/>
          <w:szCs w:val="28"/>
        </w:rPr>
        <w:t>[32]</w:t>
      </w:r>
      <w:r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Однако для уточнения этих предположении требуется дальнейшее исследование.</w:t>
      </w:r>
    </w:p>
    <w:p w14:paraId="55C306FD" w14:textId="77777777" w:rsidR="000B103D" w:rsidRPr="00107040" w:rsidRDefault="000B103D"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Учитывая высокую степень гомологии между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i/>
          <w:iCs/>
          <w:sz w:val="28"/>
          <w:szCs w:val="28"/>
          <w:lang w:val="en-GB" w:eastAsia="ja-JP"/>
        </w:rPr>
        <w:t>A</w:t>
      </w:r>
      <w:r w:rsidRPr="00107040">
        <w:rPr>
          <w:rFonts w:ascii="Times New Roman" w:eastAsia="MS Mincho" w:hAnsi="Times New Roman"/>
          <w:i/>
          <w:iCs/>
          <w:sz w:val="28"/>
          <w:szCs w:val="28"/>
          <w:lang w:val="ru-RU" w:eastAsia="ja-JP"/>
        </w:rPr>
        <w:t xml:space="preserve">. </w:t>
      </w:r>
      <w:r w:rsidRPr="00107040">
        <w:rPr>
          <w:rFonts w:ascii="Times New Roman" w:eastAsia="MS Mincho" w:hAnsi="Times New Roman"/>
          <w:i/>
          <w:iCs/>
          <w:sz w:val="28"/>
          <w:szCs w:val="28"/>
          <w:lang w:val="en-GB" w:eastAsia="ja-JP"/>
        </w:rPr>
        <w:t>thaliana</w:t>
      </w:r>
      <w:r w:rsidRPr="00107040">
        <w:rPr>
          <w:rFonts w:ascii="Times New Roman" w:eastAsia="MS Mincho" w:hAnsi="Times New Roman"/>
          <w:sz w:val="28"/>
          <w:szCs w:val="28"/>
          <w:lang w:val="ru-RU" w:eastAsia="ja-JP"/>
        </w:rPr>
        <w:t xml:space="preserve"> и млекопитающих, можно предположить, что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растений, так же как животные гомологи проявляют каталитическую активность по отношению к ДНК субстратам. Кроме этого, доступность генетических мутантов арабидопсиса дефицитных по генам </w:t>
      </w:r>
      <w:r w:rsidRPr="00107040">
        <w:rPr>
          <w:rFonts w:ascii="Times New Roman" w:eastAsia="MS Mincho" w:hAnsi="Times New Roman"/>
          <w:i/>
          <w:sz w:val="28"/>
          <w:szCs w:val="28"/>
          <w:lang w:val="en-US" w:eastAsia="ja-JP"/>
        </w:rPr>
        <w:t>PARP</w:t>
      </w:r>
      <w:r w:rsidRPr="00107040">
        <w:rPr>
          <w:rFonts w:ascii="Times New Roman" w:eastAsia="MS Mincho" w:hAnsi="Times New Roman"/>
          <w:i/>
          <w:sz w:val="28"/>
          <w:szCs w:val="28"/>
          <w:lang w:val="ru-RU" w:eastAsia="ja-JP"/>
        </w:rPr>
        <w:t>1</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i/>
          <w:sz w:val="28"/>
          <w:szCs w:val="28"/>
          <w:lang w:val="en-US" w:eastAsia="ja-JP"/>
        </w:rPr>
        <w:t>PARP</w:t>
      </w:r>
      <w:r w:rsidRPr="00107040">
        <w:rPr>
          <w:rFonts w:ascii="Times New Roman" w:eastAsia="MS Mincho" w:hAnsi="Times New Roman"/>
          <w:i/>
          <w:sz w:val="28"/>
          <w:szCs w:val="28"/>
          <w:lang w:val="ru-RU" w:eastAsia="ja-JP"/>
        </w:rPr>
        <w:t>2</w:t>
      </w:r>
      <w:r w:rsidRPr="00107040">
        <w:rPr>
          <w:rFonts w:ascii="Times New Roman" w:eastAsia="MS Mincho" w:hAnsi="Times New Roman"/>
          <w:sz w:val="28"/>
          <w:szCs w:val="28"/>
          <w:lang w:val="ru-RU" w:eastAsia="ja-JP"/>
        </w:rPr>
        <w:t xml:space="preserve"> предоставляет возможность исследовать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2 зависимое ПАРилирование геномной ДНК в условиях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vivo</w:t>
      </w:r>
      <w:r w:rsidRPr="00107040">
        <w:rPr>
          <w:rFonts w:ascii="Times New Roman" w:eastAsia="MS Mincho" w:hAnsi="Times New Roman"/>
          <w:sz w:val="28"/>
          <w:szCs w:val="28"/>
          <w:lang w:val="ru-RU" w:eastAsia="ja-JP"/>
        </w:rPr>
        <w:t>.</w:t>
      </w:r>
    </w:p>
    <w:p w14:paraId="35EFFBCA" w14:textId="77777777" w:rsidR="000B103D" w:rsidRPr="00107040" w:rsidRDefault="000B103D" w:rsidP="000C16BB">
      <w:pPr>
        <w:autoSpaceDE w:val="0"/>
        <w:autoSpaceDN w:val="0"/>
        <w:adjustRightInd w:val="0"/>
        <w:spacing w:after="0" w:line="240" w:lineRule="auto"/>
        <w:ind w:firstLine="567"/>
        <w:jc w:val="both"/>
        <w:rPr>
          <w:rFonts w:ascii="Times New Roman" w:eastAsia="MS Mincho" w:hAnsi="Times New Roman"/>
          <w:sz w:val="28"/>
          <w:szCs w:val="28"/>
          <w:lang w:val="ru-RU" w:eastAsia="ja-JP"/>
        </w:rPr>
      </w:pPr>
      <w:bookmarkStart w:id="5" w:name="_Hlk106273396"/>
      <w:r w:rsidRPr="00107040">
        <w:rPr>
          <w:rFonts w:ascii="Times New Roman" w:eastAsia="MS Mincho" w:hAnsi="Times New Roman"/>
          <w:sz w:val="28"/>
          <w:szCs w:val="28"/>
          <w:lang w:val="ru-RU" w:eastAsia="ja-JP"/>
        </w:rPr>
        <w:t xml:space="preserve">В представленной диссертационной работе впервые исследованы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2 зависимое ковалентное </w:t>
      </w:r>
      <w:bookmarkStart w:id="6" w:name="_Hlk106526707"/>
      <w:r w:rsidRPr="00107040">
        <w:rPr>
          <w:rFonts w:ascii="Times New Roman" w:eastAsia="MS Mincho" w:hAnsi="Times New Roman"/>
          <w:sz w:val="28"/>
          <w:szCs w:val="28"/>
          <w:lang w:val="ru-RU" w:eastAsia="ja-JP"/>
        </w:rPr>
        <w:t xml:space="preserve">Поли(АДФ-рибози)лирование </w:t>
      </w:r>
      <w:bookmarkEnd w:id="6"/>
      <w:r w:rsidRPr="00107040">
        <w:rPr>
          <w:rFonts w:ascii="Times New Roman" w:eastAsia="MS Mincho" w:hAnsi="Times New Roman"/>
          <w:sz w:val="28"/>
          <w:szCs w:val="28"/>
          <w:lang w:val="ru-RU" w:eastAsia="ja-JP"/>
        </w:rPr>
        <w:t xml:space="preserve">ДНК субстратов в условиях </w:t>
      </w:r>
      <w:r w:rsidRPr="00107040">
        <w:rPr>
          <w:rFonts w:ascii="Times New Roman" w:eastAsia="MS Mincho" w:hAnsi="Times New Roman"/>
          <w:i/>
          <w:iCs/>
          <w:sz w:val="28"/>
          <w:szCs w:val="28"/>
          <w:lang w:val="en-US" w:eastAsia="fr-FR"/>
        </w:rPr>
        <w:t>in</w:t>
      </w:r>
      <w:r w:rsidRPr="00107040">
        <w:rPr>
          <w:rFonts w:ascii="Times New Roman" w:eastAsia="MS Mincho" w:hAnsi="Times New Roman"/>
          <w:i/>
          <w:iCs/>
          <w:sz w:val="28"/>
          <w:szCs w:val="28"/>
          <w:lang w:val="ru-RU" w:eastAsia="fr-FR"/>
        </w:rPr>
        <w:t xml:space="preserve"> </w:t>
      </w:r>
      <w:r w:rsidRPr="00107040">
        <w:rPr>
          <w:rFonts w:ascii="Times New Roman" w:eastAsia="MS Mincho" w:hAnsi="Times New Roman"/>
          <w:i/>
          <w:iCs/>
          <w:sz w:val="28"/>
          <w:szCs w:val="28"/>
          <w:lang w:val="en-US" w:eastAsia="fr-FR"/>
        </w:rPr>
        <w:t>vitro</w:t>
      </w:r>
      <w:r w:rsidRPr="00107040">
        <w:rPr>
          <w:rFonts w:ascii="Times New Roman" w:eastAsia="MS Mincho" w:hAnsi="Times New Roman"/>
          <w:sz w:val="28"/>
          <w:szCs w:val="28"/>
          <w:lang w:val="ru-RU" w:eastAsia="fr-FR"/>
        </w:rPr>
        <w:t xml:space="preserve"> и </w:t>
      </w:r>
      <w:r w:rsidRPr="00107040">
        <w:rPr>
          <w:rFonts w:ascii="Times New Roman" w:eastAsia="MS Mincho" w:hAnsi="Times New Roman"/>
          <w:i/>
          <w:iCs/>
          <w:sz w:val="28"/>
          <w:szCs w:val="28"/>
          <w:lang w:val="en-US" w:eastAsia="fr-FR"/>
        </w:rPr>
        <w:t>in</w:t>
      </w:r>
      <w:r w:rsidRPr="00107040">
        <w:rPr>
          <w:rFonts w:ascii="Times New Roman" w:eastAsia="MS Mincho" w:hAnsi="Times New Roman"/>
          <w:i/>
          <w:iCs/>
          <w:sz w:val="28"/>
          <w:szCs w:val="28"/>
          <w:lang w:val="ru-RU" w:eastAsia="fr-FR"/>
        </w:rPr>
        <w:t xml:space="preserve"> </w:t>
      </w:r>
      <w:r w:rsidRPr="00107040">
        <w:rPr>
          <w:rFonts w:ascii="Times New Roman" w:eastAsia="MS Mincho" w:hAnsi="Times New Roman"/>
          <w:i/>
          <w:iCs/>
          <w:sz w:val="28"/>
          <w:szCs w:val="28"/>
          <w:lang w:val="en-US" w:eastAsia="fr-FR"/>
        </w:rPr>
        <w:t>vivo</w:t>
      </w:r>
      <w:r w:rsidRPr="00107040">
        <w:rPr>
          <w:rFonts w:ascii="Times New Roman" w:eastAsia="MS Mincho" w:hAnsi="Times New Roman"/>
          <w:sz w:val="28"/>
          <w:szCs w:val="28"/>
          <w:lang w:val="ru-RU" w:eastAsia="fr-FR"/>
        </w:rPr>
        <w:t xml:space="preserve"> у </w:t>
      </w:r>
      <w:r w:rsidRPr="00107040">
        <w:rPr>
          <w:rFonts w:ascii="Times New Roman" w:eastAsia="MS Mincho" w:hAnsi="Times New Roman"/>
          <w:i/>
          <w:sz w:val="28"/>
          <w:szCs w:val="28"/>
          <w:lang w:val="en-US" w:eastAsia="fr-FR"/>
        </w:rPr>
        <w:t>Arabidopsis</w:t>
      </w:r>
      <w:r w:rsidRPr="00107040">
        <w:rPr>
          <w:rFonts w:ascii="Times New Roman" w:eastAsia="MS Mincho" w:hAnsi="Times New Roman"/>
          <w:i/>
          <w:sz w:val="28"/>
          <w:szCs w:val="28"/>
          <w:lang w:val="ru-RU" w:eastAsia="fr-FR"/>
        </w:rPr>
        <w:t xml:space="preserve"> </w:t>
      </w:r>
      <w:r w:rsidRPr="00107040">
        <w:rPr>
          <w:rFonts w:ascii="Times New Roman" w:eastAsia="MS Mincho" w:hAnsi="Times New Roman"/>
          <w:i/>
          <w:sz w:val="28"/>
          <w:szCs w:val="28"/>
          <w:lang w:val="en-US" w:eastAsia="fr-FR"/>
        </w:rPr>
        <w:t>thaliana</w:t>
      </w:r>
      <w:r w:rsidRPr="00107040">
        <w:rPr>
          <w:rFonts w:ascii="Times New Roman" w:eastAsia="MS Mincho" w:hAnsi="Times New Roman"/>
          <w:sz w:val="28"/>
          <w:szCs w:val="28"/>
          <w:lang w:val="ru-RU" w:eastAsia="fr-FR"/>
        </w:rPr>
        <w:t xml:space="preserve">. </w:t>
      </w:r>
    </w:p>
    <w:bookmarkEnd w:id="5"/>
    <w:p w14:paraId="529B5317" w14:textId="77777777" w:rsidR="000B103D" w:rsidRPr="00107040" w:rsidRDefault="000B103D"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b/>
          <w:sz w:val="28"/>
          <w:szCs w:val="28"/>
          <w:lang w:val="ru-RU" w:eastAsia="ja-JP"/>
        </w:rPr>
        <w:t xml:space="preserve">Цель исследования. </w:t>
      </w:r>
      <w:r w:rsidRPr="00107040">
        <w:rPr>
          <w:rFonts w:ascii="Times New Roman" w:eastAsia="MS Mincho" w:hAnsi="Times New Roman"/>
          <w:sz w:val="28"/>
          <w:szCs w:val="28"/>
          <w:lang w:val="ru-RU" w:eastAsia="ja-JP"/>
        </w:rPr>
        <w:t xml:space="preserve">Выделение и характеристика кДНК генов поли(АДФ-рибоза) полимераз </w:t>
      </w:r>
      <w:r w:rsidRPr="00107040">
        <w:rPr>
          <w:rFonts w:ascii="Times New Roman" w:eastAsia="MS Mincho" w:hAnsi="Times New Roman"/>
          <w:i/>
          <w:sz w:val="28"/>
          <w:szCs w:val="28"/>
          <w:lang w:val="en-US" w:eastAsia="ja-JP"/>
        </w:rPr>
        <w:t>Arabidopsis</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thaliana</w:t>
      </w:r>
      <w:r w:rsidRPr="00107040">
        <w:rPr>
          <w:rFonts w:ascii="Times New Roman" w:eastAsia="MS Mincho" w:hAnsi="Times New Roman"/>
          <w:sz w:val="28"/>
          <w:szCs w:val="28"/>
          <w:lang w:val="ru-RU" w:eastAsia="ja-JP"/>
        </w:rPr>
        <w:t xml:space="preserve"> и детальное изучение субстратной специфичности рекомбинантных ферментов, а также изучение роли поли(АДФ-рибоза) полимераз </w:t>
      </w:r>
      <w:r w:rsidRPr="00107040">
        <w:rPr>
          <w:rFonts w:ascii="Times New Roman" w:eastAsia="MS Mincho" w:hAnsi="Times New Roman"/>
          <w:i/>
          <w:sz w:val="28"/>
          <w:szCs w:val="28"/>
          <w:lang w:val="en-US" w:eastAsia="ja-JP"/>
        </w:rPr>
        <w:t>A</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thaliana</w:t>
      </w:r>
      <w:r w:rsidRPr="00107040">
        <w:rPr>
          <w:rFonts w:ascii="Times New Roman" w:eastAsia="MS Mincho" w:hAnsi="Times New Roman"/>
          <w:sz w:val="28"/>
          <w:szCs w:val="28"/>
          <w:lang w:val="ru-RU" w:eastAsia="ja-JP"/>
        </w:rPr>
        <w:t xml:space="preserve"> в ковалентной модификации разрывов цепей ДНК в условиях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vitro</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vivo</w:t>
      </w:r>
      <w:r w:rsidRPr="00107040">
        <w:rPr>
          <w:rFonts w:ascii="Times New Roman" w:eastAsia="MS Mincho" w:hAnsi="Times New Roman"/>
          <w:sz w:val="28"/>
          <w:szCs w:val="28"/>
          <w:lang w:val="ru-RU" w:eastAsia="ja-JP"/>
        </w:rPr>
        <w:t>.</w:t>
      </w:r>
    </w:p>
    <w:p w14:paraId="2BCF89F9" w14:textId="77777777" w:rsidR="000B103D" w:rsidRPr="00107040" w:rsidRDefault="000B103D" w:rsidP="000C16BB">
      <w:pPr>
        <w:tabs>
          <w:tab w:val="left" w:pos="142"/>
        </w:tabs>
        <w:spacing w:after="0" w:line="240" w:lineRule="auto"/>
        <w:ind w:firstLine="567"/>
        <w:jc w:val="both"/>
        <w:rPr>
          <w:rFonts w:ascii="Times New Roman" w:eastAsia="MS Mincho" w:hAnsi="Times New Roman"/>
          <w:b/>
          <w:sz w:val="28"/>
          <w:szCs w:val="28"/>
          <w:lang w:val="ru-RU" w:eastAsia="ja-JP"/>
        </w:rPr>
      </w:pPr>
      <w:r w:rsidRPr="00107040">
        <w:rPr>
          <w:rFonts w:ascii="Times New Roman" w:eastAsia="MS Mincho" w:hAnsi="Times New Roman"/>
          <w:b/>
          <w:sz w:val="28"/>
          <w:szCs w:val="28"/>
          <w:lang w:val="ru-RU" w:eastAsia="ja-JP"/>
        </w:rPr>
        <w:t>Задачи исследования:</w:t>
      </w:r>
    </w:p>
    <w:p w14:paraId="53ECEF85" w14:textId="77777777" w:rsidR="000B103D" w:rsidRPr="00107040" w:rsidRDefault="000B103D" w:rsidP="00347CA9">
      <w:pPr>
        <w:widowControl w:val="0"/>
        <w:numPr>
          <w:ilvl w:val="0"/>
          <w:numId w:val="1"/>
        </w:numPr>
        <w:tabs>
          <w:tab w:val="left" w:pos="0"/>
        </w:tabs>
        <w:suppressAutoHyphens/>
        <w:spacing w:after="0" w:line="240" w:lineRule="auto"/>
        <w:ind w:left="0" w:firstLine="567"/>
        <w:jc w:val="both"/>
        <w:rPr>
          <w:rFonts w:ascii="Times New Roman" w:eastAsia="Arial Unicode MS" w:hAnsi="Times New Roman"/>
          <w:sz w:val="28"/>
          <w:szCs w:val="28"/>
          <w:lang w:val="ru-RU" w:bidi="en-US"/>
        </w:rPr>
      </w:pPr>
      <w:r w:rsidRPr="00107040">
        <w:rPr>
          <w:rFonts w:ascii="Times New Roman" w:eastAsia="Arial Unicode MS" w:hAnsi="Times New Roman"/>
          <w:sz w:val="28"/>
          <w:szCs w:val="28"/>
          <w:lang w:val="ru-RU" w:bidi="en-US"/>
        </w:rPr>
        <w:t xml:space="preserve">Выделение и функциональная экспрессия кДНК генов, кодирующих АtPARP1, АtPARP2 и АtPARP3 </w:t>
      </w:r>
      <w:r w:rsidRPr="00107040">
        <w:rPr>
          <w:rFonts w:ascii="Times New Roman" w:eastAsia="Arial Unicode MS" w:hAnsi="Times New Roman"/>
          <w:i/>
          <w:iCs/>
          <w:sz w:val="28"/>
          <w:szCs w:val="28"/>
          <w:lang w:val="ru-RU" w:bidi="en-US"/>
        </w:rPr>
        <w:t>Arabidopsis thaliana</w:t>
      </w:r>
      <w:r w:rsidRPr="00107040">
        <w:rPr>
          <w:rFonts w:ascii="Times New Roman" w:eastAsia="Arial Unicode MS" w:hAnsi="Times New Roman"/>
          <w:sz w:val="28"/>
          <w:szCs w:val="28"/>
          <w:lang w:val="ru-RU" w:bidi="en-US"/>
        </w:rPr>
        <w:t xml:space="preserve"> в </w:t>
      </w:r>
      <w:r w:rsidRPr="00107040">
        <w:rPr>
          <w:rFonts w:ascii="Times New Roman" w:eastAsia="Arial Unicode MS" w:hAnsi="Times New Roman"/>
          <w:i/>
          <w:iCs/>
          <w:sz w:val="28"/>
          <w:szCs w:val="28"/>
          <w:lang w:val="ru-RU" w:bidi="en-US"/>
        </w:rPr>
        <w:t>E. coli.</w:t>
      </w:r>
    </w:p>
    <w:p w14:paraId="43ADA7E5" w14:textId="77777777" w:rsidR="000B103D" w:rsidRPr="00107040" w:rsidRDefault="000B103D" w:rsidP="00347CA9">
      <w:pPr>
        <w:widowControl w:val="0"/>
        <w:numPr>
          <w:ilvl w:val="0"/>
          <w:numId w:val="1"/>
        </w:numPr>
        <w:tabs>
          <w:tab w:val="left" w:pos="0"/>
        </w:tabs>
        <w:suppressAutoHyphens/>
        <w:spacing w:after="0" w:line="240" w:lineRule="auto"/>
        <w:ind w:left="0" w:firstLine="567"/>
        <w:jc w:val="both"/>
        <w:rPr>
          <w:rFonts w:ascii="Times New Roman" w:eastAsia="Arial Unicode MS" w:hAnsi="Times New Roman"/>
          <w:sz w:val="28"/>
          <w:szCs w:val="28"/>
          <w:lang w:val="ru-RU" w:bidi="en-US"/>
        </w:rPr>
      </w:pPr>
      <w:r w:rsidRPr="00107040">
        <w:rPr>
          <w:rFonts w:ascii="Times New Roman" w:eastAsia="Arial Unicode MS" w:hAnsi="Times New Roman"/>
          <w:sz w:val="28"/>
          <w:szCs w:val="28"/>
          <w:lang w:val="ru-RU" w:bidi="en-US"/>
        </w:rPr>
        <w:t xml:space="preserve">Характеристика субстратной специфичности АtPARP1, AtPARP2 и АtPARP3 </w:t>
      </w:r>
      <w:r w:rsidRPr="00107040">
        <w:rPr>
          <w:rFonts w:ascii="Times New Roman" w:eastAsia="Arial Unicode MS" w:hAnsi="Times New Roman"/>
          <w:i/>
          <w:iCs/>
          <w:sz w:val="28"/>
          <w:szCs w:val="28"/>
          <w:lang w:val="ru-RU" w:bidi="en-US"/>
        </w:rPr>
        <w:t>A. thaliana</w:t>
      </w:r>
      <w:r w:rsidRPr="00107040">
        <w:rPr>
          <w:rFonts w:ascii="Times New Roman" w:eastAsia="Arial Unicode MS" w:hAnsi="Times New Roman"/>
          <w:sz w:val="28"/>
          <w:szCs w:val="28"/>
          <w:lang w:val="ru-RU" w:bidi="en-US"/>
        </w:rPr>
        <w:t xml:space="preserve"> к олигонуклеотидным субстратам с разными конфигурациями и структурой 5' и 3'-концов. Изучение НАД</w:t>
      </w:r>
      <w:r w:rsidRPr="00107040">
        <w:rPr>
          <w:rFonts w:ascii="Times New Roman" w:eastAsia="Arial Unicode MS" w:hAnsi="Times New Roman"/>
          <w:sz w:val="28"/>
          <w:szCs w:val="28"/>
          <w:vertAlign w:val="superscript"/>
          <w:lang w:val="ru-RU" w:bidi="en-US"/>
        </w:rPr>
        <w:t>+</w:t>
      </w:r>
      <w:r w:rsidRPr="00107040">
        <w:rPr>
          <w:rFonts w:ascii="Times New Roman" w:eastAsia="Arial Unicode MS" w:hAnsi="Times New Roman"/>
          <w:sz w:val="28"/>
          <w:szCs w:val="28"/>
          <w:lang w:val="ru-RU" w:bidi="en-US"/>
        </w:rPr>
        <w:t xml:space="preserve"> зависимости и чувствительности высокомолеклярных ПАР–ДНК аддуктов к обработке протеазе и ДНКазе.</w:t>
      </w:r>
    </w:p>
    <w:p w14:paraId="780EC937" w14:textId="77777777" w:rsidR="000B103D" w:rsidRPr="00107040" w:rsidRDefault="000B103D" w:rsidP="00347CA9">
      <w:pPr>
        <w:widowControl w:val="0"/>
        <w:numPr>
          <w:ilvl w:val="0"/>
          <w:numId w:val="1"/>
        </w:numPr>
        <w:tabs>
          <w:tab w:val="left" w:pos="0"/>
        </w:tabs>
        <w:suppressAutoHyphens/>
        <w:spacing w:after="0" w:line="240" w:lineRule="auto"/>
        <w:ind w:left="0" w:firstLine="567"/>
        <w:jc w:val="both"/>
        <w:rPr>
          <w:rFonts w:ascii="Times New Roman" w:eastAsia="Arial Unicode MS" w:hAnsi="Times New Roman"/>
          <w:sz w:val="28"/>
          <w:szCs w:val="28"/>
          <w:lang w:val="ru-RU" w:bidi="en-US"/>
        </w:rPr>
      </w:pPr>
      <w:r w:rsidRPr="00107040">
        <w:rPr>
          <w:rFonts w:ascii="Times New Roman" w:eastAsia="Arial Unicode MS" w:hAnsi="Times New Roman"/>
          <w:sz w:val="28"/>
          <w:szCs w:val="28"/>
          <w:lang w:val="ru-RU" w:bidi="en-US"/>
        </w:rPr>
        <w:t>Исследование роли консервативной триады «гистидин-тирозин-глутаминовая кислота (H-Y-E)» в каталитическом домене AtPARP в АДФ-рибозилирующей активности фермента.</w:t>
      </w:r>
    </w:p>
    <w:p w14:paraId="6A4A38B1" w14:textId="77777777" w:rsidR="000B103D" w:rsidRPr="00107040" w:rsidRDefault="000B103D" w:rsidP="00347CA9">
      <w:pPr>
        <w:widowControl w:val="0"/>
        <w:numPr>
          <w:ilvl w:val="0"/>
          <w:numId w:val="1"/>
        </w:numPr>
        <w:tabs>
          <w:tab w:val="left" w:pos="0"/>
        </w:tabs>
        <w:suppressAutoHyphens/>
        <w:spacing w:after="0" w:line="240" w:lineRule="auto"/>
        <w:ind w:left="0" w:firstLine="567"/>
        <w:jc w:val="both"/>
        <w:rPr>
          <w:rFonts w:ascii="Times New Roman" w:eastAsia="Arial Unicode MS" w:hAnsi="Times New Roman"/>
          <w:sz w:val="28"/>
          <w:szCs w:val="28"/>
          <w:lang w:val="ru-RU" w:bidi="en-US"/>
        </w:rPr>
      </w:pPr>
      <w:r w:rsidRPr="00107040">
        <w:rPr>
          <w:rFonts w:ascii="Times New Roman" w:eastAsia="Arial Unicode MS" w:hAnsi="Times New Roman"/>
          <w:sz w:val="28"/>
          <w:szCs w:val="28"/>
          <w:lang w:val="ru-RU" w:bidi="en-US"/>
        </w:rPr>
        <w:t>Изучение ауто (АДФ)-рибозилирующей активности AtPARP2.</w:t>
      </w:r>
    </w:p>
    <w:p w14:paraId="3C6DC5ED" w14:textId="77777777" w:rsidR="000B103D" w:rsidRPr="00107040" w:rsidRDefault="000B103D" w:rsidP="00347CA9">
      <w:pPr>
        <w:widowControl w:val="0"/>
        <w:numPr>
          <w:ilvl w:val="0"/>
          <w:numId w:val="1"/>
        </w:numPr>
        <w:tabs>
          <w:tab w:val="left" w:pos="0"/>
        </w:tabs>
        <w:suppressAutoHyphens/>
        <w:spacing w:after="0" w:line="240" w:lineRule="auto"/>
        <w:ind w:left="0" w:firstLine="567"/>
        <w:jc w:val="both"/>
        <w:rPr>
          <w:rFonts w:ascii="Times New Roman" w:eastAsia="Arial Unicode MS" w:hAnsi="Times New Roman"/>
          <w:sz w:val="28"/>
          <w:szCs w:val="28"/>
          <w:lang w:val="ru-RU" w:bidi="en-US"/>
        </w:rPr>
      </w:pPr>
      <w:r w:rsidRPr="00107040">
        <w:rPr>
          <w:rFonts w:ascii="Times New Roman" w:eastAsia="Arial Unicode MS" w:hAnsi="Times New Roman"/>
          <w:sz w:val="28"/>
          <w:szCs w:val="28"/>
          <w:lang w:val="ru-RU" w:bidi="en-US"/>
        </w:rPr>
        <w:t>Анализ структуры и состава ПАР–ДНК аддуктов обработкой разными ферментами и идентификация их природы с помощью MALDI-TOF MS</w:t>
      </w:r>
    </w:p>
    <w:p w14:paraId="5A4EF6F4" w14:textId="77777777" w:rsidR="000B103D" w:rsidRPr="00107040" w:rsidRDefault="000B103D" w:rsidP="00347CA9">
      <w:pPr>
        <w:widowControl w:val="0"/>
        <w:numPr>
          <w:ilvl w:val="0"/>
          <w:numId w:val="1"/>
        </w:numPr>
        <w:tabs>
          <w:tab w:val="left" w:pos="0"/>
        </w:tabs>
        <w:suppressAutoHyphens/>
        <w:spacing w:after="0" w:line="240" w:lineRule="auto"/>
        <w:ind w:left="0" w:firstLine="567"/>
        <w:jc w:val="both"/>
        <w:rPr>
          <w:rFonts w:ascii="Times New Roman" w:eastAsia="Arial Unicode MS" w:hAnsi="Times New Roman"/>
          <w:sz w:val="28"/>
          <w:szCs w:val="28"/>
          <w:lang w:val="ru-RU" w:bidi="en-US"/>
        </w:rPr>
      </w:pPr>
      <w:r w:rsidRPr="00107040">
        <w:rPr>
          <w:rFonts w:ascii="Times New Roman" w:eastAsia="Arial Unicode MS" w:hAnsi="Times New Roman"/>
          <w:sz w:val="28"/>
          <w:szCs w:val="28"/>
          <w:lang w:val="ru-RU" w:bidi="en-US"/>
        </w:rPr>
        <w:t>Исследование Поли-(АДФ-рибозил)ирования геномной ДНК растений под действием генотоксического агента – блеомицина.</w:t>
      </w:r>
    </w:p>
    <w:p w14:paraId="2264D106" w14:textId="77777777" w:rsidR="000B103D" w:rsidRPr="00107040" w:rsidRDefault="000B103D" w:rsidP="000C16BB">
      <w:pPr>
        <w:widowControl w:val="0"/>
        <w:tabs>
          <w:tab w:val="left" w:pos="142"/>
        </w:tabs>
        <w:suppressAutoHyphens/>
        <w:spacing w:after="0" w:line="240" w:lineRule="auto"/>
        <w:ind w:firstLine="567"/>
        <w:jc w:val="both"/>
        <w:rPr>
          <w:rFonts w:ascii="Times New Roman" w:eastAsia="Arial Unicode MS" w:hAnsi="Times New Roman"/>
          <w:sz w:val="28"/>
          <w:szCs w:val="28"/>
          <w:lang w:val="ru-RU" w:bidi="en-US"/>
        </w:rPr>
      </w:pPr>
      <w:r w:rsidRPr="00107040">
        <w:rPr>
          <w:rFonts w:ascii="Times New Roman" w:eastAsia="Arial Unicode MS" w:hAnsi="Times New Roman"/>
          <w:b/>
          <w:bCs/>
          <w:sz w:val="28"/>
          <w:szCs w:val="28"/>
          <w:lang w:val="ru-RU" w:bidi="en-US"/>
        </w:rPr>
        <w:lastRenderedPageBreak/>
        <w:t xml:space="preserve">Объект исследования. </w:t>
      </w:r>
      <w:r w:rsidRPr="00107040">
        <w:rPr>
          <w:rFonts w:ascii="Times New Roman" w:eastAsia="Arial Unicode MS" w:hAnsi="Times New Roman"/>
          <w:sz w:val="28"/>
          <w:szCs w:val="28"/>
          <w:lang w:val="ru-RU" w:bidi="en-US"/>
        </w:rPr>
        <w:t xml:space="preserve">АtPARP, </w:t>
      </w:r>
      <w:r w:rsidRPr="00107040">
        <w:rPr>
          <w:rFonts w:ascii="Times New Roman" w:eastAsia="Arial Unicode MS" w:hAnsi="Times New Roman"/>
          <w:i/>
          <w:sz w:val="28"/>
          <w:szCs w:val="28"/>
          <w:lang w:val="ru-RU" w:bidi="en-US"/>
        </w:rPr>
        <w:t>Arabidopsis thaliana</w:t>
      </w:r>
      <w:r w:rsidRPr="00107040">
        <w:rPr>
          <w:rFonts w:ascii="Times New Roman" w:eastAsia="Arial Unicode MS" w:hAnsi="Times New Roman"/>
          <w:sz w:val="28"/>
          <w:szCs w:val="28"/>
          <w:lang w:val="ru-RU" w:bidi="en-US"/>
        </w:rPr>
        <w:t>.</w:t>
      </w:r>
    </w:p>
    <w:p w14:paraId="10B3999E" w14:textId="77777777" w:rsidR="000B103D" w:rsidRPr="00107040" w:rsidRDefault="000B103D" w:rsidP="000C16BB">
      <w:pPr>
        <w:spacing w:after="0" w:line="240" w:lineRule="auto"/>
        <w:ind w:firstLine="567"/>
        <w:jc w:val="both"/>
        <w:rPr>
          <w:rFonts w:ascii="Times New Roman" w:eastAsia="Arial Unicode MS" w:hAnsi="Times New Roman"/>
          <w:sz w:val="28"/>
          <w:szCs w:val="28"/>
          <w:lang w:val="ru-RU" w:bidi="en-US"/>
        </w:rPr>
      </w:pPr>
      <w:r w:rsidRPr="00107040">
        <w:rPr>
          <w:rFonts w:ascii="Times New Roman" w:eastAsia="MS Mincho" w:hAnsi="Times New Roman"/>
          <w:b/>
          <w:bCs/>
          <w:sz w:val="28"/>
          <w:szCs w:val="28"/>
          <w:lang w:val="ru-RU" w:eastAsia="ja-JP"/>
        </w:rPr>
        <w:t xml:space="preserve">Предмет исследования. </w:t>
      </w:r>
      <w:r w:rsidRPr="00107040">
        <w:rPr>
          <w:rFonts w:ascii="Times New Roman" w:eastAsia="Arial Unicode MS" w:hAnsi="Times New Roman"/>
          <w:sz w:val="28"/>
          <w:szCs w:val="28"/>
          <w:lang w:val="ru-RU" w:bidi="en-US"/>
        </w:rPr>
        <w:t xml:space="preserve">Изучение ковалентного поли (АДФ-рибозил)ирования концов разрывов ДНК катализируемое PARP белками </w:t>
      </w:r>
      <w:r w:rsidRPr="00107040">
        <w:rPr>
          <w:rFonts w:ascii="Times New Roman" w:eastAsia="Arial Unicode MS" w:hAnsi="Times New Roman"/>
          <w:i/>
          <w:sz w:val="28"/>
          <w:szCs w:val="28"/>
          <w:lang w:val="ru-RU" w:bidi="en-US"/>
        </w:rPr>
        <w:t>Arabidopsis thaliana</w:t>
      </w:r>
      <w:r w:rsidRPr="00107040">
        <w:rPr>
          <w:rFonts w:ascii="Times New Roman" w:eastAsia="Arial Unicode MS" w:hAnsi="Times New Roman"/>
          <w:sz w:val="28"/>
          <w:szCs w:val="28"/>
          <w:lang w:val="ru-RU" w:bidi="en-US"/>
        </w:rPr>
        <w:t xml:space="preserve"> в условиях </w:t>
      </w:r>
      <w:r w:rsidRPr="00107040">
        <w:rPr>
          <w:rFonts w:ascii="Times New Roman" w:eastAsia="Arial Unicode MS" w:hAnsi="Times New Roman"/>
          <w:i/>
          <w:sz w:val="28"/>
          <w:szCs w:val="28"/>
          <w:lang w:val="ru-RU" w:bidi="en-US"/>
        </w:rPr>
        <w:t>in vitro</w:t>
      </w:r>
      <w:r w:rsidRPr="00107040">
        <w:rPr>
          <w:rFonts w:ascii="Times New Roman" w:eastAsia="Arial Unicode MS" w:hAnsi="Times New Roman"/>
          <w:sz w:val="28"/>
          <w:szCs w:val="28"/>
          <w:lang w:val="ru-RU" w:bidi="en-US"/>
        </w:rPr>
        <w:t xml:space="preserve"> и </w:t>
      </w:r>
      <w:r w:rsidRPr="00107040">
        <w:rPr>
          <w:rFonts w:ascii="Times New Roman" w:eastAsia="Arial Unicode MS" w:hAnsi="Times New Roman"/>
          <w:i/>
          <w:sz w:val="28"/>
          <w:szCs w:val="28"/>
          <w:lang w:val="ru-RU" w:bidi="en-US"/>
        </w:rPr>
        <w:t>in vivo.</w:t>
      </w:r>
    </w:p>
    <w:p w14:paraId="5518EBFC" w14:textId="77777777" w:rsidR="000B103D" w:rsidRPr="00107040" w:rsidRDefault="000B103D"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b/>
          <w:sz w:val="28"/>
          <w:szCs w:val="28"/>
          <w:lang w:val="ru-RU" w:eastAsia="ja-JP"/>
        </w:rPr>
        <w:t xml:space="preserve">Методы исследования. </w:t>
      </w:r>
      <w:r w:rsidRPr="00107040">
        <w:rPr>
          <w:rFonts w:ascii="Times New Roman" w:eastAsia="MS Mincho" w:hAnsi="Times New Roman"/>
          <w:sz w:val="28"/>
          <w:szCs w:val="28"/>
          <w:lang w:val="ru-RU" w:eastAsia="ja-JP"/>
        </w:rPr>
        <w:t>Выделение тотальных нуклеиновых кислот из арабидопсиса; Электрофорез нуклеиновых кислот в агарозном геле; Выделение мРНК; Обогащение мРНК на олиго-dT целлюлозе; Получения кДНК гена с помощью реакции обратной транскрипции (</w:t>
      </w:r>
      <w:bookmarkStart w:id="7" w:name="_Hlk104045225"/>
      <w:r w:rsidRPr="00107040">
        <w:rPr>
          <w:rFonts w:ascii="Times New Roman" w:eastAsia="MS Mincho" w:hAnsi="Times New Roman"/>
          <w:sz w:val="28"/>
          <w:szCs w:val="28"/>
          <w:lang w:val="ru-RU" w:eastAsia="ja-JP"/>
        </w:rPr>
        <w:t>РОТ</w:t>
      </w:r>
      <w:bookmarkEnd w:id="7"/>
      <w:r w:rsidRPr="00107040">
        <w:rPr>
          <w:rFonts w:ascii="Times New Roman" w:eastAsia="MS Mincho" w:hAnsi="Times New Roman"/>
          <w:sz w:val="28"/>
          <w:szCs w:val="28"/>
          <w:lang w:val="ru-RU" w:eastAsia="ja-JP"/>
        </w:rPr>
        <w:t>) и полимеразной цепной реакции (ПЦР); Амплифицикация кДНК генов методом  полимеразной цепной реакции (ПЦР) с применеием сайт специфических паймеров; Элюирование ДНК из агарозного геля; Рестрикция  наработанной ДНК и вектора; Лигирование вставляемого фрагмента ДНК и вектора; Приготовление компетентных дрожжевых клеток; Трансформация клеток бактерий; Скрининг трансформантов; Электрофорез белков в денатурирующих условиях в присутствии натрий додецилсульфата; Получение поликлональных антител; Иммуноблотинг с поликлональными антителами; Аффинная хроматография;  Обработка растений генотоксичными агентами.</w:t>
      </w:r>
    </w:p>
    <w:p w14:paraId="3821F51E" w14:textId="77777777" w:rsidR="000B103D" w:rsidRPr="00107040" w:rsidRDefault="000B103D" w:rsidP="000C16BB">
      <w:pPr>
        <w:tabs>
          <w:tab w:val="left" w:pos="142"/>
        </w:tabs>
        <w:spacing w:after="0" w:line="240" w:lineRule="auto"/>
        <w:ind w:firstLine="567"/>
        <w:jc w:val="both"/>
        <w:rPr>
          <w:rFonts w:ascii="Times New Roman" w:eastAsia="MS Mincho" w:hAnsi="Times New Roman"/>
          <w:b/>
          <w:sz w:val="28"/>
          <w:szCs w:val="28"/>
          <w:lang w:val="ru-RU" w:eastAsia="ja-JP"/>
        </w:rPr>
      </w:pPr>
      <w:r w:rsidRPr="00107040">
        <w:rPr>
          <w:rFonts w:ascii="Times New Roman" w:eastAsia="MS Mincho" w:hAnsi="Times New Roman"/>
          <w:b/>
          <w:sz w:val="28"/>
          <w:szCs w:val="28"/>
          <w:lang w:val="ru-RU" w:eastAsia="ja-JP"/>
        </w:rPr>
        <w:t>Научная новизна исследования</w:t>
      </w:r>
    </w:p>
    <w:p w14:paraId="09C5602F" w14:textId="77777777" w:rsidR="000B103D" w:rsidRPr="00107040" w:rsidRDefault="000B103D"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Выделена и дана характеристика кДНК генам </w:t>
      </w:r>
      <w:r w:rsidRPr="00107040">
        <w:rPr>
          <w:rFonts w:ascii="Times New Roman" w:eastAsia="MS Mincho" w:hAnsi="Times New Roman"/>
          <w:i/>
          <w:sz w:val="28"/>
          <w:szCs w:val="28"/>
          <w:lang w:val="ru-RU" w:eastAsia="ja-JP"/>
        </w:rPr>
        <w:t>AtPARP1, AtPARP2</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i/>
          <w:sz w:val="28"/>
          <w:szCs w:val="28"/>
          <w:lang w:val="ru-RU" w:eastAsia="ja-JP"/>
        </w:rPr>
        <w:t>AtPARP3</w:t>
      </w:r>
      <w:r w:rsidRPr="00107040">
        <w:rPr>
          <w:rFonts w:ascii="Times New Roman" w:eastAsia="MS Mincho" w:hAnsi="Times New Roman"/>
          <w:sz w:val="28"/>
          <w:szCs w:val="28"/>
          <w:lang w:val="ru-RU" w:eastAsia="ja-JP"/>
        </w:rPr>
        <w:t xml:space="preserve">. Проведена функциональная экспрессия AtPARP1, AtPARP2 и AtPARP3 с гистидиновым концом в </w:t>
      </w:r>
      <w:r w:rsidRPr="00107040">
        <w:rPr>
          <w:rFonts w:ascii="Times New Roman" w:eastAsia="MS Mincho" w:hAnsi="Times New Roman"/>
          <w:i/>
          <w:iCs/>
          <w:sz w:val="28"/>
          <w:szCs w:val="28"/>
          <w:lang w:val="ru-RU" w:eastAsia="ja-JP"/>
        </w:rPr>
        <w:t>E. coli</w:t>
      </w:r>
      <w:r w:rsidRPr="00107040">
        <w:rPr>
          <w:rFonts w:ascii="Times New Roman" w:eastAsia="MS Mincho" w:hAnsi="Times New Roman"/>
          <w:sz w:val="28"/>
          <w:szCs w:val="28"/>
          <w:lang w:val="ru-RU" w:eastAsia="ja-JP"/>
        </w:rPr>
        <w:t xml:space="preserve"> и очистка рекомбинантного белка. Впервые показано, что очищенные рекомбинантные AtPARP1 и AtPARP2 </w:t>
      </w:r>
      <w:r w:rsidRPr="00107040">
        <w:rPr>
          <w:rFonts w:ascii="Times New Roman" w:eastAsia="MS Mincho" w:hAnsi="Times New Roman"/>
          <w:i/>
          <w:sz w:val="28"/>
          <w:szCs w:val="28"/>
          <w:lang w:val="ru-RU" w:eastAsia="ja-JP"/>
        </w:rPr>
        <w:t>A. thaliana</w:t>
      </w:r>
      <w:r w:rsidRPr="00107040">
        <w:rPr>
          <w:rFonts w:ascii="Times New Roman" w:eastAsia="MS Mincho" w:hAnsi="Times New Roman"/>
          <w:sz w:val="28"/>
          <w:szCs w:val="28"/>
          <w:lang w:val="ru-RU" w:eastAsia="ja-JP"/>
        </w:rPr>
        <w:t xml:space="preserve"> превращают дуплексы олигонуклеотидов ДНК в высокомолекулярные продукты в присутствии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за счет АДФ-рибозил трансферазной активности. Показано, что AtPARP2 обладает высокой активностью АДФ-рибозилирования ДНК по сравнению с AtPARP1, но образует более короткие цепи, содержащие до 20 единиц АДФ-рибозы. Впервые показано, что AtPARP3 не проявляет типичный для PARP ферментов АДФ-рибозилирующую активность, несмотря на его структурное сходство с PARP3 и PARP1 млекопитающих. Впервые показано, что AtPARP1 предпочтительно модифицирует дуплексы с выступающей цепью, в меньшей степени, ДНК дуплексы с разрывом и брешью, тогда как AtPARP2 предпочитает дуплексы с разрывом и брешью по сравнению с ДНК субстратом c выступающей цепью. Установлено, что высококонсервативный остаток глутаминовой кислоты в каталитической триаде AtPARP1 и AtPARP2 необходим для проявления поли (АДФ-рибозил)ирующей ДНК активности. Биохимический анализ структуры и состава аддуктов ПАР-ДНК, генерируемых AtPARP1 и AtPARP2, показал, что, как и их аналоги у млекопитающих, AtPARP ферменты используют 5'-концевые фосфаты ДНК в качестве акцепторного остатка для ковалентного присоединения звена AДФ-рибозы для синтеза поли(АДФ-рибозы). Выявлен молекулярный механизм AtPARP катализируемого АДФ-рибозилирования ДНК, путем идентификации продуктов деградации ПАР-ДНК с помощью Nudix, NUDT16 гидролазы человека. Показано, что AtPARP ферменты переносят звено АДФ-рибозы к концевому фосфатному остатку ДНК на концах разрыва цепи для образования фосфодиэфирной связи между 5'P ДНК и C1' АДФ-рибозы. Предполагаемая молекулярная структура аддукта АДФ-</w:t>
      </w:r>
      <w:r w:rsidRPr="00107040">
        <w:rPr>
          <w:rFonts w:ascii="Times New Roman" w:eastAsia="MS Mincho" w:hAnsi="Times New Roman"/>
          <w:sz w:val="28"/>
          <w:szCs w:val="28"/>
          <w:lang w:val="ru-RU" w:eastAsia="ja-JP"/>
        </w:rPr>
        <w:lastRenderedPageBreak/>
        <w:t>рибоза-p-ДНК была дополнительно подтверждена с помощью MALDI-TOF MS-анализа AДФ-рибозилированных фрагментов ДНК.</w:t>
      </w:r>
    </w:p>
    <w:p w14:paraId="7407AE35" w14:textId="77777777" w:rsidR="000B103D" w:rsidRPr="00107040" w:rsidRDefault="000B103D" w:rsidP="000C16BB">
      <w:pPr>
        <w:tabs>
          <w:tab w:val="left" w:pos="142"/>
        </w:tabs>
        <w:spacing w:after="0" w:line="240" w:lineRule="auto"/>
        <w:ind w:firstLine="567"/>
        <w:jc w:val="both"/>
        <w:rPr>
          <w:rFonts w:ascii="Times New Roman" w:eastAsia="MS Mincho" w:hAnsi="Times New Roman"/>
          <w:b/>
          <w:sz w:val="28"/>
          <w:szCs w:val="28"/>
          <w:lang w:val="ru-RU" w:eastAsia="ja-JP"/>
        </w:rPr>
      </w:pPr>
      <w:r w:rsidRPr="00107040">
        <w:rPr>
          <w:rFonts w:ascii="Times New Roman" w:eastAsia="MS Mincho" w:hAnsi="Times New Roman"/>
          <w:b/>
          <w:sz w:val="28"/>
          <w:szCs w:val="28"/>
          <w:lang w:val="ru-RU" w:eastAsia="ja-JP"/>
        </w:rPr>
        <w:t>Теоретическое и практическое значение работы</w:t>
      </w:r>
    </w:p>
    <w:p w14:paraId="65B31DDD" w14:textId="77777777" w:rsidR="000B103D" w:rsidRPr="00107040" w:rsidRDefault="000B103D" w:rsidP="000C16BB">
      <w:pPr>
        <w:tabs>
          <w:tab w:val="left" w:pos="142"/>
        </w:tabs>
        <w:spacing w:after="0" w:line="240" w:lineRule="auto"/>
        <w:ind w:firstLine="567"/>
        <w:jc w:val="both"/>
        <w:rPr>
          <w:rFonts w:ascii="Times New Roman" w:hAnsi="Times New Roman"/>
          <w:sz w:val="28"/>
          <w:szCs w:val="28"/>
          <w:lang w:val="ru-RU"/>
        </w:rPr>
      </w:pPr>
      <w:r w:rsidRPr="00107040">
        <w:rPr>
          <w:rFonts w:ascii="Times New Roman" w:eastAsia="MS Mincho" w:hAnsi="Times New Roman"/>
          <w:sz w:val="28"/>
          <w:szCs w:val="28"/>
          <w:lang w:val="ru-RU" w:eastAsia="ja-JP"/>
        </w:rPr>
        <w:t xml:space="preserve">Выделение и характеристика кДНК генов поли (АДФ-рибоза) полимераз растения </w:t>
      </w:r>
      <w:r w:rsidRPr="00107040">
        <w:rPr>
          <w:rFonts w:ascii="Times New Roman" w:eastAsia="MS Mincho" w:hAnsi="Times New Roman"/>
          <w:i/>
          <w:sz w:val="28"/>
          <w:szCs w:val="28"/>
          <w:lang w:val="ru-RU" w:eastAsia="ja-JP"/>
        </w:rPr>
        <w:t>Arabidopsis thaliana</w:t>
      </w:r>
      <w:r w:rsidRPr="00107040">
        <w:rPr>
          <w:rFonts w:ascii="Times New Roman" w:eastAsia="MS Mincho" w:hAnsi="Times New Roman"/>
          <w:sz w:val="28"/>
          <w:szCs w:val="28"/>
          <w:lang w:val="ru-RU" w:eastAsia="ja-JP"/>
        </w:rPr>
        <w:t xml:space="preserve"> и изучение роли поли (АДФ-рибоза) полимераз </w:t>
      </w:r>
      <w:r w:rsidRPr="00107040">
        <w:rPr>
          <w:rFonts w:ascii="Times New Roman" w:eastAsia="MS Mincho" w:hAnsi="Times New Roman"/>
          <w:i/>
          <w:sz w:val="28"/>
          <w:szCs w:val="28"/>
          <w:lang w:val="ru-RU" w:eastAsia="ja-JP"/>
        </w:rPr>
        <w:t>A. thaliana</w:t>
      </w:r>
      <w:r w:rsidRPr="00107040">
        <w:rPr>
          <w:rFonts w:ascii="Times New Roman" w:eastAsia="MS Mincho" w:hAnsi="Times New Roman"/>
          <w:sz w:val="28"/>
          <w:szCs w:val="28"/>
          <w:lang w:val="ru-RU" w:eastAsia="ja-JP"/>
        </w:rPr>
        <w:t xml:space="preserve"> в ковалентной модификации разрывов цепей ДНК </w:t>
      </w:r>
      <w:r w:rsidRPr="00107040">
        <w:rPr>
          <w:rFonts w:ascii="Times New Roman" w:eastAsia="MS Mincho" w:hAnsi="Times New Roman"/>
          <w:i/>
          <w:sz w:val="28"/>
          <w:szCs w:val="28"/>
          <w:lang w:val="ru-RU" w:eastAsia="ja-JP"/>
        </w:rPr>
        <w:t>in vitro</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i/>
          <w:sz w:val="28"/>
          <w:szCs w:val="28"/>
          <w:lang w:val="ru-RU" w:eastAsia="ja-JP"/>
        </w:rPr>
        <w:t>in vivo</w:t>
      </w:r>
      <w:r w:rsidRPr="00107040">
        <w:rPr>
          <w:rFonts w:ascii="Times New Roman" w:eastAsia="MS Mincho" w:hAnsi="Times New Roman"/>
          <w:sz w:val="28"/>
          <w:szCs w:val="28"/>
          <w:lang w:val="ru-RU" w:eastAsia="ja-JP"/>
        </w:rPr>
        <w:t xml:space="preserve"> имеет огромное теоретическое значение для понимания механизмов репарации и пострепликативной модификации геномной ДНК растений.  </w:t>
      </w:r>
      <w:r w:rsidRPr="00107040">
        <w:rPr>
          <w:rFonts w:ascii="Times New Roman" w:hAnsi="Times New Roman"/>
          <w:sz w:val="28"/>
          <w:szCs w:val="28"/>
          <w:lang w:val="ru-RU"/>
        </w:rPr>
        <w:t>Идентификация ранее неизвестного явления пост-репликативной модификации ДНК с помощью ПАРилирования концов разрыва нитей ДНК в растениях обеспечит лучшее понимание механизмов иммунитета растений и стрессовых реакций, а также процессов развития растительного организма.</w:t>
      </w:r>
    </w:p>
    <w:p w14:paraId="238D95CE" w14:textId="77777777" w:rsidR="000B103D" w:rsidRPr="00107040" w:rsidRDefault="000B103D" w:rsidP="000C16BB">
      <w:pPr>
        <w:tabs>
          <w:tab w:val="left" w:pos="142"/>
        </w:tabs>
        <w:spacing w:after="0" w:line="240" w:lineRule="auto"/>
        <w:ind w:firstLine="567"/>
        <w:jc w:val="both"/>
        <w:rPr>
          <w:rFonts w:ascii="Times New Roman" w:eastAsia="MS Mincho" w:hAnsi="Times New Roman"/>
          <w:b/>
          <w:sz w:val="28"/>
          <w:szCs w:val="28"/>
          <w:lang w:val="ru-RU" w:eastAsia="ja-JP"/>
        </w:rPr>
      </w:pPr>
      <w:r w:rsidRPr="00107040">
        <w:rPr>
          <w:rFonts w:ascii="Times New Roman" w:eastAsia="MS Mincho" w:hAnsi="Times New Roman"/>
          <w:b/>
          <w:sz w:val="28"/>
          <w:szCs w:val="28"/>
          <w:lang w:val="ru-RU" w:eastAsia="ja-JP"/>
        </w:rPr>
        <w:t>Основные положения, выносимые на защиту:</w:t>
      </w:r>
    </w:p>
    <w:p w14:paraId="09B8D69B" w14:textId="77777777" w:rsidR="000B103D" w:rsidRPr="00107040" w:rsidRDefault="000B103D" w:rsidP="000C16BB">
      <w:pPr>
        <w:tabs>
          <w:tab w:val="left" w:pos="0"/>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 </w:t>
      </w:r>
      <w:bookmarkStart w:id="8" w:name="_Hlk106534561"/>
      <w:r w:rsidRPr="00107040">
        <w:rPr>
          <w:rFonts w:ascii="Times New Roman" w:eastAsia="MS Mincho" w:hAnsi="Times New Roman"/>
          <w:sz w:val="28"/>
          <w:szCs w:val="28"/>
          <w:lang w:val="ru-RU" w:eastAsia="ja-JP"/>
        </w:rPr>
        <w:t xml:space="preserve">Поли (АДФ-рибоза) полимеразы AtPARP1 и AtPARP2 </w:t>
      </w:r>
      <w:r w:rsidRPr="00107040">
        <w:rPr>
          <w:rFonts w:ascii="Times New Roman" w:eastAsia="MS Mincho" w:hAnsi="Times New Roman"/>
          <w:i/>
          <w:sz w:val="28"/>
          <w:szCs w:val="28"/>
          <w:lang w:val="ru-RU" w:eastAsia="ja-JP"/>
        </w:rPr>
        <w:t>Arabidopsis thaliana</w:t>
      </w:r>
      <w:r w:rsidRPr="00107040">
        <w:rPr>
          <w:rFonts w:ascii="Times New Roman" w:eastAsia="MS Mincho" w:hAnsi="Times New Roman"/>
          <w:sz w:val="28"/>
          <w:szCs w:val="28"/>
          <w:lang w:val="ru-RU" w:eastAsia="ja-JP"/>
        </w:rPr>
        <w:t xml:space="preserve"> осуществляют AДФ-рибозилирование концевых фосфатных остатков разрывов цепи ДНК.</w:t>
      </w:r>
    </w:p>
    <w:p w14:paraId="130DB8D3" w14:textId="77777777" w:rsidR="000B103D" w:rsidRPr="00107040" w:rsidRDefault="000B103D" w:rsidP="000C16BB">
      <w:pPr>
        <w:tabs>
          <w:tab w:val="left" w:pos="0"/>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Поли (АДФ-рибоза) полимераза 1 предпочтительно ПАРилирует углубленный дуплекс ДНК с предпочтением дуплексов Rec&gt; Nick&gt; Gap, в то время как Поли (АДФ-рибоза) полимераза 2 эффективнее  ПАРилирует дуплексы с разрывом и брешью с предпочтением дуплексов Nick&gt; Gap&gt; Rec.</w:t>
      </w:r>
    </w:p>
    <w:p w14:paraId="10783931" w14:textId="77777777" w:rsidR="000B103D" w:rsidRPr="00107040" w:rsidRDefault="000B103D" w:rsidP="000C16BB">
      <w:pPr>
        <w:tabs>
          <w:tab w:val="left" w:pos="0"/>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Ферменты AtPARP1 и AtPARP2 используют 5'-концевые фосфаты ДНК в качестве акцепторного остатка для ковалентного присоединения звена AДФ-рибозы для синтеза полимера ПАР с образованием фосфодиэфирной связи между 5'P ДНК и C1' АДФ-рибозы.</w:t>
      </w:r>
    </w:p>
    <w:p w14:paraId="6F36CBAA" w14:textId="77777777" w:rsidR="000B103D" w:rsidRPr="00107040" w:rsidRDefault="000B103D" w:rsidP="000C16BB">
      <w:pPr>
        <w:tabs>
          <w:tab w:val="left" w:pos="0"/>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 Белки </w:t>
      </w:r>
      <w:r w:rsidRPr="00107040">
        <w:rPr>
          <w:rFonts w:ascii="Times New Roman" w:hAnsi="Times New Roman"/>
          <w:sz w:val="28"/>
          <w:szCs w:val="28"/>
        </w:rPr>
        <w:t>AtPARP име</w:t>
      </w:r>
      <w:r w:rsidRPr="00107040">
        <w:rPr>
          <w:rFonts w:ascii="Times New Roman" w:hAnsi="Times New Roman"/>
          <w:sz w:val="28"/>
          <w:szCs w:val="28"/>
          <w:lang w:val="ru-RU"/>
        </w:rPr>
        <w:t>ю</w:t>
      </w:r>
      <w:r w:rsidRPr="00107040">
        <w:rPr>
          <w:rFonts w:ascii="Times New Roman" w:hAnsi="Times New Roman"/>
          <w:sz w:val="28"/>
          <w:szCs w:val="28"/>
        </w:rPr>
        <w:t>т структурное сходство с другими членами семейства PARP и содержит высококонсервативную каталитическую триаду «H-Y-E» в своих доменах ART, в которой остаток глутаминовой кислоты необходим для ПАРилирования ДНК</w:t>
      </w:r>
      <w:r w:rsidRPr="00107040">
        <w:rPr>
          <w:rFonts w:ascii="Times New Roman" w:hAnsi="Times New Roman"/>
          <w:sz w:val="28"/>
          <w:szCs w:val="28"/>
          <w:lang w:val="ru-RU"/>
        </w:rPr>
        <w:t>.</w:t>
      </w:r>
    </w:p>
    <w:p w14:paraId="243021CF" w14:textId="77777777" w:rsidR="000B103D" w:rsidRPr="00107040" w:rsidRDefault="000B103D" w:rsidP="000C16BB">
      <w:pPr>
        <w:tabs>
          <w:tab w:val="left" w:pos="0"/>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AtPARP3 не проявляет АДФ-рибозилирующую активность.</w:t>
      </w:r>
    </w:p>
    <w:bookmarkEnd w:id="8"/>
    <w:p w14:paraId="658DCF26" w14:textId="77777777" w:rsidR="000B103D" w:rsidRPr="00107040" w:rsidRDefault="000B103D"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b/>
          <w:sz w:val="28"/>
          <w:szCs w:val="28"/>
          <w:lang w:val="ru-RU" w:eastAsia="ja-JP"/>
        </w:rPr>
        <w:t xml:space="preserve">Связь с планом основных научных работ. </w:t>
      </w:r>
      <w:r w:rsidRPr="00107040">
        <w:rPr>
          <w:rFonts w:ascii="Times New Roman" w:eastAsia="MS Mincho" w:hAnsi="Times New Roman"/>
          <w:sz w:val="28"/>
          <w:szCs w:val="28"/>
          <w:lang w:val="ru-RU" w:eastAsia="ja-JP"/>
        </w:rPr>
        <w:t xml:space="preserve">Диссертационная работа выполнена в рамках научных проекта AP05131478 «Изучение роли поли (АДФ-рибоза) полимераз </w:t>
      </w:r>
      <w:r w:rsidRPr="00107040">
        <w:rPr>
          <w:rFonts w:ascii="Times New Roman" w:eastAsia="MS Mincho" w:hAnsi="Times New Roman"/>
          <w:i/>
          <w:sz w:val="28"/>
          <w:szCs w:val="28"/>
          <w:lang w:val="ru-RU" w:eastAsia="ja-JP"/>
        </w:rPr>
        <w:t>Arabidopsis thaliana</w:t>
      </w:r>
      <w:r w:rsidRPr="00107040">
        <w:rPr>
          <w:rFonts w:ascii="Times New Roman" w:eastAsia="MS Mincho" w:hAnsi="Times New Roman"/>
          <w:sz w:val="28"/>
          <w:szCs w:val="28"/>
          <w:lang w:val="ru-RU" w:eastAsia="ja-JP"/>
        </w:rPr>
        <w:t xml:space="preserve"> в ковалентной модификации концов разрывов в цепи днк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vitro</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vivo</w:t>
      </w:r>
      <w:r w:rsidRPr="00107040">
        <w:rPr>
          <w:rFonts w:ascii="Times New Roman" w:eastAsia="MS Mincho" w:hAnsi="Times New Roman"/>
          <w:sz w:val="28"/>
          <w:szCs w:val="28"/>
          <w:lang w:val="ru-RU" w:eastAsia="ja-JP"/>
        </w:rPr>
        <w:t>» Министерства образования и науки Республики Казахстан.</w:t>
      </w:r>
    </w:p>
    <w:p w14:paraId="0C50D38D" w14:textId="77777777" w:rsidR="000B103D" w:rsidRPr="00107040" w:rsidRDefault="000B103D"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b/>
          <w:sz w:val="28"/>
          <w:szCs w:val="28"/>
          <w:lang w:val="ru-RU" w:eastAsia="ja-JP"/>
        </w:rPr>
        <w:t xml:space="preserve">Апробация работы. </w:t>
      </w:r>
      <w:r w:rsidRPr="00107040">
        <w:rPr>
          <w:rFonts w:ascii="Times New Roman" w:eastAsia="MS Mincho" w:hAnsi="Times New Roman"/>
          <w:sz w:val="28"/>
          <w:szCs w:val="28"/>
          <w:lang w:val="ru-RU" w:eastAsia="ja-JP"/>
        </w:rPr>
        <w:t>Материалы диссертационной работы доложены:</w:t>
      </w:r>
    </w:p>
    <w:p w14:paraId="13D08D89" w14:textId="77777777" w:rsidR="000B103D" w:rsidRPr="00107040" w:rsidRDefault="000B103D"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ru-RU" w:eastAsia="ja-JP"/>
        </w:rPr>
        <w:tab/>
        <w:t>на международных научных конференциях студентов и молодых учёных «Фараби әлемі», КазНУ им. аль-Фараби, Алматы, 2018-2020 гг.;</w:t>
      </w:r>
    </w:p>
    <w:p w14:paraId="42D274EB" w14:textId="77777777" w:rsidR="000B103D" w:rsidRPr="00107040" w:rsidRDefault="000B103D"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на международной конференции «</w:t>
      </w:r>
      <w:r w:rsidRPr="00107040">
        <w:rPr>
          <w:rFonts w:ascii="Times New Roman" w:eastAsia="MS Mincho" w:hAnsi="Times New Roman"/>
          <w:sz w:val="28"/>
          <w:szCs w:val="28"/>
          <w:shd w:val="clear" w:color="auto" w:fill="FFFFFF"/>
          <w:lang w:val="en-US" w:eastAsia="ja-JP"/>
        </w:rPr>
        <w:t>European </w:t>
      </w:r>
      <w:r w:rsidRPr="00107040">
        <w:rPr>
          <w:rFonts w:ascii="Times New Roman" w:eastAsia="MS Mincho" w:hAnsi="Times New Roman"/>
          <w:i/>
          <w:iCs/>
          <w:sz w:val="28"/>
          <w:szCs w:val="28"/>
          <w:shd w:val="clear" w:color="auto" w:fill="FFFFFF"/>
          <w:lang w:val="en-US" w:eastAsia="ja-JP"/>
        </w:rPr>
        <w:t>Biotechnology</w:t>
      </w:r>
      <w:r w:rsidRPr="00107040">
        <w:rPr>
          <w:rFonts w:ascii="Times New Roman" w:eastAsia="MS Mincho" w:hAnsi="Times New Roman"/>
          <w:i/>
          <w:iCs/>
          <w:sz w:val="28"/>
          <w:szCs w:val="28"/>
          <w:shd w:val="clear" w:color="auto" w:fill="FFFFFF"/>
          <w:lang w:val="ru-RU" w:eastAsia="ja-JP"/>
        </w:rPr>
        <w:t xml:space="preserve"> </w:t>
      </w:r>
      <w:r w:rsidRPr="00107040">
        <w:rPr>
          <w:rFonts w:ascii="Times New Roman" w:eastAsia="MS Mincho" w:hAnsi="Times New Roman"/>
          <w:i/>
          <w:iCs/>
          <w:sz w:val="28"/>
          <w:szCs w:val="28"/>
          <w:shd w:val="clear" w:color="auto" w:fill="FFFFFF"/>
          <w:lang w:val="en-US" w:eastAsia="ja-JP"/>
        </w:rPr>
        <w:t>Congress</w:t>
      </w:r>
      <w:r w:rsidRPr="00107040">
        <w:rPr>
          <w:rFonts w:ascii="Times New Roman" w:eastAsia="MS Mincho" w:hAnsi="Times New Roman"/>
          <w:sz w:val="28"/>
          <w:szCs w:val="28"/>
          <w:lang w:val="ru-RU" w:eastAsia="ja-JP"/>
        </w:rPr>
        <w:t>» (2018 г., Афины, Греция);</w:t>
      </w:r>
    </w:p>
    <w:p w14:paraId="1EDC4566" w14:textId="77777777" w:rsidR="000B103D" w:rsidRPr="00107040" w:rsidRDefault="000B103D"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en-US" w:eastAsia="ja-JP"/>
        </w:rPr>
        <w:t xml:space="preserve">- </w:t>
      </w:r>
      <w:r w:rsidRPr="00107040">
        <w:rPr>
          <w:rFonts w:ascii="Times New Roman" w:eastAsia="MS Mincho" w:hAnsi="Times New Roman"/>
          <w:sz w:val="28"/>
          <w:szCs w:val="28"/>
          <w:lang w:val="ru-RU" w:eastAsia="ja-JP"/>
        </w:rPr>
        <w:t>на</w:t>
      </w:r>
      <w:r w:rsidRPr="00107040">
        <w:rPr>
          <w:rFonts w:ascii="Times New Roman" w:eastAsia="MS Mincho" w:hAnsi="Times New Roman"/>
          <w:sz w:val="28"/>
          <w:szCs w:val="28"/>
          <w:lang w:val="en-US" w:eastAsia="ja-JP"/>
        </w:rPr>
        <w:t xml:space="preserve"> </w:t>
      </w:r>
      <w:r w:rsidRPr="00107040">
        <w:rPr>
          <w:rFonts w:ascii="Times New Roman" w:eastAsia="MS Mincho" w:hAnsi="Times New Roman"/>
          <w:sz w:val="28"/>
          <w:szCs w:val="28"/>
          <w:lang w:val="ru-RU" w:eastAsia="ja-JP"/>
        </w:rPr>
        <w:t>международной</w:t>
      </w:r>
      <w:r w:rsidRPr="00107040">
        <w:rPr>
          <w:rFonts w:ascii="Times New Roman" w:eastAsia="MS Mincho" w:hAnsi="Times New Roman"/>
          <w:sz w:val="28"/>
          <w:szCs w:val="28"/>
          <w:lang w:val="en-US" w:eastAsia="ja-JP"/>
        </w:rPr>
        <w:t xml:space="preserve"> </w:t>
      </w:r>
      <w:r w:rsidRPr="00107040">
        <w:rPr>
          <w:rFonts w:ascii="Times New Roman" w:eastAsia="MS Mincho" w:hAnsi="Times New Roman"/>
          <w:sz w:val="28"/>
          <w:szCs w:val="28"/>
          <w:lang w:val="kk-KZ" w:eastAsia="ja-JP"/>
        </w:rPr>
        <w:t xml:space="preserve">виртуальной </w:t>
      </w:r>
      <w:r w:rsidRPr="00107040">
        <w:rPr>
          <w:rFonts w:ascii="Times New Roman" w:eastAsia="MS Mincho" w:hAnsi="Times New Roman"/>
          <w:sz w:val="28"/>
          <w:szCs w:val="28"/>
          <w:lang w:val="ru-RU" w:eastAsia="ja-JP"/>
        </w:rPr>
        <w:t>конференции</w:t>
      </w:r>
      <w:r w:rsidRPr="00107040">
        <w:rPr>
          <w:rFonts w:ascii="Times New Roman" w:eastAsia="MS Mincho" w:hAnsi="Times New Roman"/>
          <w:sz w:val="28"/>
          <w:szCs w:val="28"/>
          <w:lang w:val="en-US" w:eastAsia="ja-JP"/>
        </w:rPr>
        <w:t xml:space="preserve"> «THE PARP FAMILY &amp; ADP-RIBOSYLATION </w:t>
      </w:r>
      <w:r w:rsidRPr="00107040">
        <w:rPr>
          <w:rFonts w:ascii="Times New Roman" w:eastAsia="MS Mincho" w:hAnsi="Times New Roman"/>
          <w:sz w:val="28"/>
          <w:szCs w:val="28"/>
          <w:lang w:val="kk-KZ" w:eastAsia="ja-JP"/>
        </w:rPr>
        <w:t>(</w:t>
      </w:r>
      <w:r w:rsidRPr="00107040">
        <w:rPr>
          <w:rFonts w:ascii="Times New Roman" w:eastAsia="MS Mincho" w:hAnsi="Times New Roman"/>
          <w:sz w:val="28"/>
          <w:szCs w:val="28"/>
          <w:lang w:val="en-US" w:eastAsia="ja-JP"/>
        </w:rPr>
        <w:t>Cold Spring Harbor Laboratory</w:t>
      </w:r>
      <w:r w:rsidRPr="00107040">
        <w:rPr>
          <w:rFonts w:ascii="Times New Roman" w:eastAsia="MS Mincho" w:hAnsi="Times New Roman"/>
          <w:sz w:val="28"/>
          <w:szCs w:val="28"/>
          <w:lang w:val="kk-KZ" w:eastAsia="ja-JP"/>
        </w:rPr>
        <w:t>)</w:t>
      </w:r>
      <w:r w:rsidRPr="00107040">
        <w:rPr>
          <w:rFonts w:ascii="Times New Roman" w:eastAsia="MS Mincho" w:hAnsi="Times New Roman"/>
          <w:sz w:val="28"/>
          <w:szCs w:val="28"/>
          <w:lang w:val="en-US" w:eastAsia="ja-JP"/>
        </w:rPr>
        <w:t xml:space="preserve">» (2020 </w:t>
      </w:r>
      <w:r w:rsidRPr="00107040">
        <w:rPr>
          <w:rFonts w:ascii="Times New Roman" w:eastAsia="MS Mincho" w:hAnsi="Times New Roman"/>
          <w:sz w:val="28"/>
          <w:szCs w:val="28"/>
          <w:lang w:val="kk-KZ" w:eastAsia="ja-JP"/>
        </w:rPr>
        <w:t>г.</w:t>
      </w:r>
      <w:r w:rsidRPr="00107040">
        <w:rPr>
          <w:rFonts w:ascii="Times New Roman" w:eastAsia="MS Mincho" w:hAnsi="Times New Roman"/>
          <w:sz w:val="28"/>
          <w:szCs w:val="28"/>
          <w:lang w:val="en-US" w:eastAsia="ja-JP"/>
        </w:rPr>
        <w:t xml:space="preserve"> </w:t>
      </w:r>
      <w:r w:rsidRPr="00107040">
        <w:rPr>
          <w:rFonts w:ascii="Times New Roman" w:eastAsia="MS Mincho" w:hAnsi="Times New Roman"/>
          <w:sz w:val="28"/>
          <w:szCs w:val="28"/>
          <w:lang w:val="kk-KZ" w:eastAsia="ja-JP"/>
        </w:rPr>
        <w:t>Нью Йорк, США</w:t>
      </w:r>
      <w:r w:rsidRPr="00107040">
        <w:rPr>
          <w:rFonts w:ascii="Times New Roman" w:eastAsia="MS Mincho" w:hAnsi="Times New Roman"/>
          <w:sz w:val="28"/>
          <w:szCs w:val="28"/>
          <w:lang w:val="ru-RU" w:eastAsia="ja-JP"/>
        </w:rPr>
        <w:t>).</w:t>
      </w:r>
    </w:p>
    <w:p w14:paraId="035F0E5C" w14:textId="77777777" w:rsidR="000B103D" w:rsidRPr="00107040" w:rsidRDefault="000B103D"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b/>
          <w:sz w:val="28"/>
          <w:szCs w:val="28"/>
          <w:lang w:val="ru-RU" w:eastAsia="ja-JP"/>
        </w:rPr>
        <w:t xml:space="preserve">Публикации. </w:t>
      </w:r>
      <w:r w:rsidRPr="00107040">
        <w:rPr>
          <w:rFonts w:ascii="Times New Roman" w:eastAsia="MS Mincho" w:hAnsi="Times New Roman"/>
          <w:sz w:val="28"/>
          <w:szCs w:val="28"/>
          <w:lang w:val="ru-RU" w:eastAsia="ja-JP"/>
        </w:rPr>
        <w:t xml:space="preserve">Основное содержание диссертации отражено в 10 печатных работах, в том числе 1 статья и 2 тезиса в журналах с ненулевым импакт-фактором входящим в базу данных </w:t>
      </w:r>
      <w:r w:rsidRPr="00107040">
        <w:rPr>
          <w:rFonts w:ascii="Times New Roman" w:eastAsia="MS Mincho" w:hAnsi="Times New Roman"/>
          <w:sz w:val="28"/>
          <w:szCs w:val="28"/>
          <w:lang w:val="en-US" w:eastAsia="ja-JP"/>
        </w:rPr>
        <w:t>Web</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of</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Science</w:t>
      </w:r>
      <w:r w:rsidRPr="00107040">
        <w:rPr>
          <w:rFonts w:ascii="Times New Roman" w:eastAsia="MS Mincho" w:hAnsi="Times New Roman"/>
          <w:sz w:val="28"/>
          <w:szCs w:val="28"/>
          <w:lang w:val="ru-RU" w:eastAsia="ja-JP"/>
        </w:rPr>
        <w:t xml:space="preserve"> или </w:t>
      </w:r>
      <w:r w:rsidRPr="00107040">
        <w:rPr>
          <w:rFonts w:ascii="Times New Roman" w:eastAsia="MS Mincho" w:hAnsi="Times New Roman"/>
          <w:sz w:val="28"/>
          <w:szCs w:val="28"/>
          <w:lang w:val="en-US" w:eastAsia="ja-JP"/>
        </w:rPr>
        <w:t>Scopus</w:t>
      </w:r>
      <w:r w:rsidRPr="00107040">
        <w:rPr>
          <w:rFonts w:ascii="Times New Roman" w:eastAsia="MS Mincho" w:hAnsi="Times New Roman"/>
          <w:sz w:val="28"/>
          <w:szCs w:val="28"/>
          <w:lang w:val="ru-RU" w:eastAsia="ja-JP"/>
        </w:rPr>
        <w:t xml:space="preserve">, 4 статей в </w:t>
      </w:r>
      <w:r w:rsidRPr="00107040">
        <w:rPr>
          <w:rFonts w:ascii="Times New Roman" w:eastAsia="MS Mincho" w:hAnsi="Times New Roman"/>
          <w:sz w:val="28"/>
          <w:szCs w:val="28"/>
          <w:lang w:val="ru-RU" w:eastAsia="ja-JP"/>
        </w:rPr>
        <w:lastRenderedPageBreak/>
        <w:t>республиканских научных изданиях, рекомендуемых ККСОН МОН РК, и 3 тезисов в материалах международных конференций.</w:t>
      </w:r>
    </w:p>
    <w:p w14:paraId="70B68AA7" w14:textId="42050206" w:rsidR="000B103D" w:rsidRPr="00107040" w:rsidRDefault="000B103D"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b/>
          <w:sz w:val="28"/>
          <w:szCs w:val="28"/>
          <w:lang w:val="ru-RU" w:eastAsia="ja-JP"/>
        </w:rPr>
        <w:t xml:space="preserve">Структура диссертации. </w:t>
      </w:r>
      <w:r w:rsidRPr="00107040">
        <w:rPr>
          <w:rFonts w:ascii="Times New Roman" w:eastAsia="MS Mincho" w:hAnsi="Times New Roman"/>
          <w:sz w:val="28"/>
          <w:szCs w:val="28"/>
          <w:lang w:val="ru-RU" w:eastAsia="ja-JP"/>
        </w:rPr>
        <w:t>Диссертация изложена на 1</w:t>
      </w:r>
      <w:r w:rsidR="00FE67DE">
        <w:rPr>
          <w:rFonts w:ascii="Times New Roman" w:eastAsia="MS Mincho" w:hAnsi="Times New Roman"/>
          <w:sz w:val="28"/>
          <w:szCs w:val="28"/>
          <w:lang w:val="ru-RU" w:eastAsia="ja-JP"/>
        </w:rPr>
        <w:t>41</w:t>
      </w:r>
      <w:r w:rsidRPr="00107040">
        <w:rPr>
          <w:rFonts w:ascii="Times New Roman" w:eastAsia="MS Mincho" w:hAnsi="Times New Roman"/>
          <w:sz w:val="28"/>
          <w:szCs w:val="28"/>
          <w:lang w:val="ru-RU" w:eastAsia="ja-JP"/>
        </w:rPr>
        <w:t xml:space="preserve"> страницах и состоит из обозначений и сокращений, введения, обзора литературы, материалов и методов, результатов и обсуждения, заключения, списка использованных источников литературы из 4</w:t>
      </w:r>
      <w:r w:rsidR="00371014">
        <w:rPr>
          <w:rFonts w:ascii="Times New Roman" w:eastAsia="MS Mincho" w:hAnsi="Times New Roman"/>
          <w:sz w:val="28"/>
          <w:szCs w:val="28"/>
          <w:lang w:val="ru-RU" w:eastAsia="ja-JP"/>
        </w:rPr>
        <w:t>64</w:t>
      </w:r>
      <w:r w:rsidRPr="00107040">
        <w:rPr>
          <w:rFonts w:ascii="Times New Roman" w:eastAsia="MS Mincho" w:hAnsi="Times New Roman"/>
          <w:sz w:val="28"/>
          <w:szCs w:val="28"/>
          <w:lang w:val="ru-RU" w:eastAsia="ja-JP"/>
        </w:rPr>
        <w:t xml:space="preserve"> наименований из них 4</w:t>
      </w:r>
      <w:r w:rsidR="00371014">
        <w:rPr>
          <w:rFonts w:ascii="Times New Roman" w:eastAsia="MS Mincho" w:hAnsi="Times New Roman"/>
          <w:sz w:val="28"/>
          <w:szCs w:val="28"/>
          <w:lang w:val="ru-RU" w:eastAsia="ja-JP"/>
        </w:rPr>
        <w:t>64</w:t>
      </w:r>
      <w:r w:rsidRPr="00107040">
        <w:rPr>
          <w:rFonts w:ascii="Times New Roman" w:eastAsia="MS Mincho" w:hAnsi="Times New Roman"/>
          <w:sz w:val="28"/>
          <w:szCs w:val="28"/>
          <w:lang w:val="ru-RU" w:eastAsia="ja-JP"/>
        </w:rPr>
        <w:t xml:space="preserve"> на английс</w:t>
      </w:r>
      <w:r w:rsidR="004F7934" w:rsidRPr="00107040">
        <w:rPr>
          <w:rFonts w:ascii="Times New Roman" w:eastAsia="MS Mincho" w:hAnsi="Times New Roman"/>
          <w:sz w:val="28"/>
          <w:szCs w:val="28"/>
          <w:lang w:val="ru-RU" w:eastAsia="ja-JP"/>
        </w:rPr>
        <w:t xml:space="preserve">ком языке; содержит </w:t>
      </w:r>
      <w:r w:rsidR="00371014">
        <w:rPr>
          <w:rFonts w:ascii="Times New Roman" w:eastAsia="MS Mincho" w:hAnsi="Times New Roman"/>
          <w:sz w:val="28"/>
          <w:szCs w:val="28"/>
          <w:lang w:val="ru-RU" w:eastAsia="ja-JP"/>
        </w:rPr>
        <w:t>5</w:t>
      </w:r>
      <w:r w:rsidR="004F7934" w:rsidRPr="00107040">
        <w:rPr>
          <w:rFonts w:ascii="Times New Roman" w:eastAsia="MS Mincho" w:hAnsi="Times New Roman"/>
          <w:sz w:val="28"/>
          <w:szCs w:val="28"/>
          <w:lang w:val="ru-RU" w:eastAsia="ja-JP"/>
        </w:rPr>
        <w:t xml:space="preserve"> таблиц, 3</w:t>
      </w:r>
      <w:r w:rsidR="00371014">
        <w:rPr>
          <w:rFonts w:ascii="Times New Roman" w:eastAsia="MS Mincho" w:hAnsi="Times New Roman"/>
          <w:sz w:val="28"/>
          <w:szCs w:val="28"/>
          <w:lang w:val="ru-RU" w:eastAsia="ja-JP"/>
        </w:rPr>
        <w:t>7</w:t>
      </w:r>
      <w:r w:rsidRPr="00107040">
        <w:rPr>
          <w:rFonts w:ascii="Times New Roman" w:eastAsia="MS Mincho" w:hAnsi="Times New Roman"/>
          <w:sz w:val="28"/>
          <w:szCs w:val="28"/>
          <w:lang w:val="ru-RU" w:eastAsia="ja-JP"/>
        </w:rPr>
        <w:t xml:space="preserve"> рисунков.</w:t>
      </w:r>
    </w:p>
    <w:p w14:paraId="69B0B82C" w14:textId="50DD592E" w:rsidR="000B103D" w:rsidRPr="00107040" w:rsidRDefault="000B103D" w:rsidP="000C16BB">
      <w:pPr>
        <w:shd w:val="clear" w:color="auto" w:fill="FFFFFF"/>
        <w:spacing w:after="0" w:line="240" w:lineRule="auto"/>
        <w:ind w:firstLine="567"/>
        <w:jc w:val="both"/>
        <w:rPr>
          <w:rStyle w:val="jlqj4b"/>
          <w:rFonts w:ascii="Times New Roman" w:hAnsi="Times New Roman"/>
          <w:b/>
          <w:sz w:val="28"/>
          <w:szCs w:val="28"/>
          <w:shd w:val="clear" w:color="auto" w:fill="FFFFFF"/>
          <w:lang w:val="ru-RU"/>
        </w:rPr>
      </w:pPr>
      <w:r w:rsidRPr="00107040">
        <w:rPr>
          <w:rStyle w:val="jlqj4b"/>
          <w:rFonts w:ascii="Times New Roman" w:hAnsi="Times New Roman"/>
          <w:b/>
          <w:sz w:val="28"/>
          <w:szCs w:val="28"/>
          <w:shd w:val="clear" w:color="auto" w:fill="FFFFFF"/>
          <w:lang w:val="ru-RU"/>
        </w:rPr>
        <w:br w:type="page"/>
      </w:r>
    </w:p>
    <w:p w14:paraId="02B5B0AE" w14:textId="47CB9F72" w:rsidR="008B458E" w:rsidRPr="00107040" w:rsidRDefault="008B458E" w:rsidP="000C16BB">
      <w:pPr>
        <w:shd w:val="clear" w:color="auto" w:fill="FFFFFF"/>
        <w:spacing w:after="0" w:line="240" w:lineRule="auto"/>
        <w:ind w:firstLine="567"/>
        <w:jc w:val="both"/>
        <w:rPr>
          <w:rStyle w:val="jlqj4b"/>
          <w:rFonts w:ascii="Times New Roman" w:hAnsi="Times New Roman"/>
          <w:b/>
          <w:sz w:val="28"/>
          <w:szCs w:val="28"/>
          <w:shd w:val="clear" w:color="auto" w:fill="FFFFFF"/>
          <w:lang w:val="ru-RU"/>
        </w:rPr>
      </w:pPr>
      <w:r w:rsidRPr="00107040">
        <w:rPr>
          <w:rStyle w:val="jlqj4b"/>
          <w:rFonts w:ascii="Times New Roman" w:hAnsi="Times New Roman"/>
          <w:b/>
          <w:sz w:val="28"/>
          <w:szCs w:val="28"/>
          <w:shd w:val="clear" w:color="auto" w:fill="FFFFFF"/>
          <w:lang w:val="ru-RU"/>
        </w:rPr>
        <w:lastRenderedPageBreak/>
        <w:t>1. ОБЗОР</w:t>
      </w:r>
      <w:r w:rsidR="000B1002" w:rsidRPr="00107040">
        <w:rPr>
          <w:rStyle w:val="jlqj4b"/>
          <w:rFonts w:ascii="Times New Roman" w:hAnsi="Times New Roman"/>
          <w:b/>
          <w:sz w:val="28"/>
          <w:szCs w:val="28"/>
          <w:shd w:val="clear" w:color="auto" w:fill="FFFFFF"/>
          <w:lang w:val="ru-RU"/>
        </w:rPr>
        <w:t xml:space="preserve"> ЛИТЕРАТУРЫ</w:t>
      </w:r>
    </w:p>
    <w:p w14:paraId="14155F21" w14:textId="77777777" w:rsidR="00107040" w:rsidRPr="00107040" w:rsidRDefault="00107040" w:rsidP="00107040">
      <w:pPr>
        <w:spacing w:after="0" w:line="240" w:lineRule="auto"/>
        <w:ind w:firstLine="567"/>
        <w:jc w:val="both"/>
        <w:rPr>
          <w:rFonts w:ascii="Times New Roman" w:hAnsi="Times New Roman"/>
          <w:b/>
          <w:sz w:val="28"/>
          <w:szCs w:val="28"/>
        </w:rPr>
      </w:pPr>
      <w:bookmarkStart w:id="9" w:name="_Hlk113267532"/>
      <w:r w:rsidRPr="00107040">
        <w:rPr>
          <w:rFonts w:ascii="Times New Roman" w:hAnsi="Times New Roman"/>
          <w:b/>
          <w:sz w:val="28"/>
          <w:szCs w:val="28"/>
          <w:lang w:val="kk-KZ"/>
        </w:rPr>
        <w:t xml:space="preserve">1.1 </w:t>
      </w:r>
      <w:r w:rsidRPr="00107040">
        <w:rPr>
          <w:rFonts w:ascii="Times New Roman" w:hAnsi="Times New Roman"/>
          <w:b/>
          <w:sz w:val="28"/>
          <w:szCs w:val="28"/>
        </w:rPr>
        <w:t xml:space="preserve">Ответ на повреждения ДНК </w:t>
      </w:r>
    </w:p>
    <w:bookmarkEnd w:id="9"/>
    <w:p w14:paraId="12EF3D4C" w14:textId="3E80385F"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Клеточная ДНК живых организмов </w:t>
      </w:r>
      <w:r w:rsidRPr="00107040">
        <w:rPr>
          <w:rFonts w:ascii="Times New Roman" w:hAnsi="Times New Roman"/>
          <w:sz w:val="28"/>
          <w:szCs w:val="28"/>
          <w:lang w:val="kk-KZ"/>
        </w:rPr>
        <w:t xml:space="preserve">подвержена к различного рода </w:t>
      </w:r>
      <w:r w:rsidRPr="00107040">
        <w:rPr>
          <w:rFonts w:ascii="Times New Roman" w:hAnsi="Times New Roman"/>
          <w:sz w:val="28"/>
          <w:szCs w:val="28"/>
        </w:rPr>
        <w:t>повреждени</w:t>
      </w:r>
      <w:r w:rsidRPr="00107040">
        <w:rPr>
          <w:rFonts w:ascii="Times New Roman" w:hAnsi="Times New Roman"/>
          <w:sz w:val="28"/>
          <w:szCs w:val="28"/>
          <w:lang w:val="kk-KZ"/>
        </w:rPr>
        <w:t>ям</w:t>
      </w:r>
      <w:r w:rsidRPr="00107040">
        <w:rPr>
          <w:rFonts w:ascii="Times New Roman" w:hAnsi="Times New Roman"/>
          <w:sz w:val="28"/>
          <w:szCs w:val="28"/>
        </w:rPr>
        <w:t>, которые могут возникать эндогенно или индуцироваться различными внешними генотокси</w:t>
      </w:r>
      <w:r w:rsidRPr="00107040">
        <w:rPr>
          <w:rFonts w:ascii="Times New Roman" w:hAnsi="Times New Roman"/>
          <w:sz w:val="28"/>
          <w:szCs w:val="28"/>
          <w:lang w:val="kk-KZ"/>
        </w:rPr>
        <w:t>чными агентами</w:t>
      </w:r>
      <w:r w:rsidRPr="00107040">
        <w:rPr>
          <w:rFonts w:ascii="Times New Roman" w:hAnsi="Times New Roman"/>
          <w:sz w:val="28"/>
          <w:szCs w:val="28"/>
        </w:rPr>
        <w:t xml:space="preserve">, включая ультрафиолетовый свет, ионизирующее излучение и химические мутагены. Наиболее часто встречающиеся повреждения ДНК, часто вызванные неизбежными ошибками внутреннего метаболизма, — это модификации нуклеотидов, внутри- или межцепочечные поперечные связи и разрывы фосфодиэфирных связей. Если поврежденная ДНК не восстанавливается, у нее могут возникнуть трудности с правильной организацией, репликацией или транскрипцией. Нарушение таких важных молекулярных процессов влияет на функциональность клеток и может нарушать нормальное развитие всего организма </w:t>
      </w:r>
      <w:r w:rsidRPr="00107040">
        <w:rPr>
          <w:rFonts w:ascii="Times New Roman" w:hAnsi="Times New Roman"/>
          <w:sz w:val="28"/>
          <w:szCs w:val="28"/>
        </w:rPr>
        <w:fldChar w:fldCharType="begin"/>
      </w:r>
      <w:r>
        <w:rPr>
          <w:rFonts w:ascii="Times New Roman" w:hAnsi="Times New Roman"/>
          <w:sz w:val="28"/>
          <w:szCs w:val="28"/>
        </w:rPr>
        <w:instrText xml:space="preserve"> ADDIN ZOTERO_ITEM CSL_CITATION {"citationID":"4v8jKM43","properties":{"formattedCitation":"[33,34]","plainCitation":"[33,34]","noteIndex":0},"citationItems":[{"id":1465,"uris":["http://zotero.org/users/9078202/items/E6W28CJ8"],"itemData":{"id":1465,"type":"article-journal","container-title":"Plant Physiology","DOI":"10.1104/pp.108.3.891","ISSN":"0032-0889","issue":"3","journalAbbreviation":"Plant Physiol","language":"eng","note":"PMID: 7630970\nPMCID: PMC157437","page":"891-896","source":"PubMed","title":"Repair of DNA damage induced by ultraviolet radiation","volume":"108","author":[{"family":"Britt","given":"A. B."}],"issued":{"date-parts":[["1995",7]]}}},{"id":1468,"uris":["http://zotero.org/users/9078202/items/NFF54KI9"],"itemData":{"id":1468,"type":"article-journal","abstract":"Growth and development of plants are driven by the continuous production of new cells at the meristems; hence, it is of pivotal importance for plants to precisely regulate the timing and extent of cell proliferation. Although over the past decades the molecular components underlying cell cycle progression have been the subject of intensive research, knowledge remains scarce on how the various elements connect with developmental pathways. Recently, advances have been made that link cell cycle entry with nutrient availability, cell division maintenance with stem cell organization, and cell cycle exit with reactive oxygen species and developmental programs.","container-title":"Current Opinion in Plant Biology","DOI":"10.1016/j.pbi.2014.09.012","ISSN":"1879-0356","journalAbbreviation":"Curr Opin Plant Biol","language":"eng","note":"PMID: 25449720","page":"1-7","source":"PubMed","title":"Cell cycle entry, maintenance, and exit during plant development","volume":"23","author":[{"family":"Polyn","given":"Stefanie"},{"family":"Willems","given":"Alex"},{"family":"De Veylder","given":"Lieven"}],"issued":{"date-parts":[["2015",2]]}}}],"schema":"https://github.com/citation-style-language/schema/raw/master/csl-citation.json"} </w:instrText>
      </w:r>
      <w:r w:rsidRPr="00107040">
        <w:rPr>
          <w:rFonts w:ascii="Times New Roman" w:hAnsi="Times New Roman"/>
          <w:sz w:val="28"/>
          <w:szCs w:val="28"/>
        </w:rPr>
        <w:fldChar w:fldCharType="separate"/>
      </w:r>
      <w:r w:rsidRPr="00107040">
        <w:rPr>
          <w:rFonts w:ascii="Times New Roman" w:hAnsi="Times New Roman"/>
          <w:sz w:val="28"/>
        </w:rPr>
        <w:t>[33,34]</w:t>
      </w:r>
      <w:r w:rsidRPr="00107040">
        <w:rPr>
          <w:rFonts w:ascii="Times New Roman" w:hAnsi="Times New Roman"/>
          <w:sz w:val="28"/>
          <w:szCs w:val="28"/>
        </w:rPr>
        <w:fldChar w:fldCharType="end"/>
      </w:r>
      <w:r w:rsidRPr="00107040">
        <w:rPr>
          <w:rFonts w:ascii="Times New Roman" w:hAnsi="Times New Roman"/>
          <w:sz w:val="28"/>
          <w:szCs w:val="28"/>
        </w:rPr>
        <w:t xml:space="preserve">. Живые организмы развили сложную сеть механизмов обнаружения и восстановления повреждений ДНК, предназначенных для обеспечения их геномной стабильности за счет удаления повреждений ДНК и восстановления исходной генетической информации </w:t>
      </w:r>
      <w:r w:rsidRPr="00107040">
        <w:rPr>
          <w:rFonts w:ascii="Times New Roman" w:hAnsi="Times New Roman"/>
          <w:sz w:val="28"/>
          <w:szCs w:val="28"/>
        </w:rPr>
        <w:fldChar w:fldCharType="begin"/>
      </w:r>
      <w:r>
        <w:rPr>
          <w:rFonts w:ascii="Times New Roman" w:hAnsi="Times New Roman"/>
          <w:sz w:val="28"/>
          <w:szCs w:val="28"/>
        </w:rPr>
        <w:instrText xml:space="preserve"> ADDIN ZOTERO_ITEM CSL_CITATION {"citationID":"UYubNtnJ","properties":{"formattedCitation":"[35,36]","plainCitation":"[35,36]","noteIndex":0},"citationItems":[{"id":1470,"uris":["http://zotero.org/users/9078202/items/D55WZ83C"],"itemData":{"id":1470,"type":"article-journal","abstract":"As obligate phototrophs, plants harness energy from sunlight to split water, producing oxygen and reducing power. This lifestyle exposes plants to particularly high levels of genotoxic stress that threatens genomic integrity, leading to mutation, developmental arrest and cell death. Plants, which with algae are the only photosynthetic eukaryotes, have evolved very effective pathways for DNA damage signalling and repair, and this review summarises our current understanding of these processes in the responses of plants to genotoxic stress. We also identify how the use of new and emerging technologies can complement established physiological and ecological studies to progress the application of this knowledge in biotechnology.","container-title":"The New Phytologist","DOI":"10.1111/j.1469-8137.2005.01548.x","ISSN":"0028-646X","issue":"3","journalAbbreviation":"New Phytol","language":"eng","note":"PMID: 16313635","page":"511-528","source":"PubMed","title":"DNA repair mechanisms in plants: crucial sensors and effectors for the maintenance of genome integrity","title-short":"DNA repair mechanisms in plants","volume":"168","author":[{"family":"Bray","given":"Clifford M."},{"family":"West","given":"Christopher E."}],"issued":{"date-parts":[["2005",12]]}}},{"id":1472,"uris":["http://zotero.org/users/9078202/items/NZTVLPJQ"],"itemData":{"id":1472,"type":"article-journal","abstract":"The genome of an organism is under constant attack from endogenous and exogenous DNA damaging factors, such as reactive radicals, radiation, and genotoxins. Therefore, DNA damage response systems to sense DNA damage, arrest cell cycle, repair DNA lesions, and/or induce programmed cell death are crucial for maintenance of genomic integrity and survival of the organism. Genome sequences revealed that, although plants possess many of the DNA damage response factors that are present in the animal systems, they are missing some of the important regulators, such as the p53 tumor suppressor. These observations suggest differences in the DNA damage response mechanisms between plants and animals. In this review the DNA damage responses in plants and animals are compared and contrasted. In addition, the function of SUPPRESSOR OF GAMMA RESPONSE 1 (SOG1), a plant-specific transcription factor that governs the robust response to DNA damage, is discussed.","container-title":"Biology","DOI":"10.3390/biology2041338","ISSN":"2079-7737","issue":"4","journalAbbreviation":"Biology (Basel)","language":"eng","note":"PMID: 24833228\nPMCID: PMC4009792","page":"1338-1356","source":"PubMed","title":"DNA damage response in plants: conserved and variable response compared to animals","title-short":"DNA damage response in plants","volume":"2","author":[{"family":"Yoshiyama","given":"Kaoru Okamoto"},{"family":"Sakaguchi","given":"Kengo"},{"family":"Kimura","given":"Seisuke"}],"issued":{"date-parts":[["2013",11,21]]}}}],"schema":"https://github.com/citation-style-language/schema/raw/master/csl-citation.json"} </w:instrText>
      </w:r>
      <w:r w:rsidRPr="00107040">
        <w:rPr>
          <w:rFonts w:ascii="Times New Roman" w:hAnsi="Times New Roman"/>
          <w:sz w:val="28"/>
          <w:szCs w:val="28"/>
        </w:rPr>
        <w:fldChar w:fldCharType="separate"/>
      </w:r>
      <w:r w:rsidRPr="00107040">
        <w:rPr>
          <w:rFonts w:ascii="Times New Roman" w:hAnsi="Times New Roman"/>
          <w:sz w:val="28"/>
        </w:rPr>
        <w:t>[35,36]</w:t>
      </w:r>
      <w:r w:rsidRPr="00107040">
        <w:rPr>
          <w:rFonts w:ascii="Times New Roman" w:hAnsi="Times New Roman"/>
          <w:sz w:val="28"/>
          <w:szCs w:val="28"/>
        </w:rPr>
        <w:fldChar w:fldCharType="end"/>
      </w:r>
      <w:r w:rsidRPr="00107040">
        <w:rPr>
          <w:rFonts w:ascii="Times New Roman" w:hAnsi="Times New Roman"/>
          <w:sz w:val="28"/>
          <w:szCs w:val="28"/>
        </w:rPr>
        <w:t xml:space="preserve">. </w:t>
      </w:r>
    </w:p>
    <w:p w14:paraId="7F0F4AF2" w14:textId="4C7BED9C"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Принято считать, что выбор пути репарации и его действие в первую очередь зависят от типа клетки, статуса ее пролиферации, стадии клеточного цикла, а также от типа повреждения и его геномного контекста </w:t>
      </w:r>
      <w:r w:rsidRPr="00107040">
        <w:rPr>
          <w:rFonts w:ascii="Times New Roman" w:hAnsi="Times New Roman"/>
          <w:sz w:val="28"/>
          <w:szCs w:val="28"/>
        </w:rPr>
        <w:fldChar w:fldCharType="begin"/>
      </w:r>
      <w:r>
        <w:rPr>
          <w:rFonts w:ascii="Times New Roman" w:hAnsi="Times New Roman"/>
          <w:sz w:val="28"/>
          <w:szCs w:val="28"/>
        </w:rPr>
        <w:instrText xml:space="preserve"> ADDIN ZOTERO_ITEM CSL_CITATION {"citationID":"rHui5QGx","properties":{"formattedCitation":"[37]","plainCitation":"[37]","noteIndex":0},"citationItems":[{"id":1475,"uris":["http://zotero.org/users/9078202/items/PWPFLJB3"],"itemData":{"id":1475,"type":"article-journal","container-title":"Trends in Plant Science","DOI":"10.1016/S1360-1385(98)01355-7","ISSN":"1360-1385","issue":"1","journalAbbreviation":"Trends in Plant Science","language":"English","note":"publisher: Elsevier\nPMID: 10234266","page":"20-25","source":"www.cell.com","title":"Molecular genetics of DNA repair in higher plants","URL":"https://www.cell.com/trends/plant-science/abstract/S1360-1385(98)01355-7","volume":"4","author":[{"family":"Britt","given":"Anne B."}],"accessed":{"date-parts":[["2022",8,30]]},"issued":{"date-parts":[["1999",1,1]]}}}],"schema":"https://github.com/citation-style-language/schema/raw/master/csl-citation.json"} </w:instrText>
      </w:r>
      <w:r w:rsidRPr="00107040">
        <w:rPr>
          <w:rFonts w:ascii="Times New Roman" w:hAnsi="Times New Roman"/>
          <w:sz w:val="28"/>
          <w:szCs w:val="28"/>
        </w:rPr>
        <w:fldChar w:fldCharType="separate"/>
      </w:r>
      <w:r w:rsidRPr="00107040">
        <w:rPr>
          <w:rFonts w:ascii="Times New Roman" w:hAnsi="Times New Roman"/>
          <w:sz w:val="28"/>
        </w:rPr>
        <w:t>[37]</w:t>
      </w:r>
      <w:r w:rsidRPr="00107040">
        <w:rPr>
          <w:rFonts w:ascii="Times New Roman" w:hAnsi="Times New Roman"/>
          <w:sz w:val="28"/>
          <w:szCs w:val="28"/>
        </w:rPr>
        <w:fldChar w:fldCharType="end"/>
      </w:r>
      <w:r w:rsidRPr="00107040">
        <w:rPr>
          <w:rFonts w:ascii="Times New Roman" w:hAnsi="Times New Roman"/>
          <w:sz w:val="28"/>
          <w:szCs w:val="28"/>
        </w:rPr>
        <w:t xml:space="preserve">. Действительно, было показано, что общие внешние факторы, такие как световой режим, температура или доступность воды, определяют специфическую активацию и эффективность определенных путей репарации ДНК </w:t>
      </w:r>
      <w:r w:rsidRPr="00107040">
        <w:rPr>
          <w:rFonts w:ascii="Times New Roman" w:hAnsi="Times New Roman"/>
          <w:sz w:val="28"/>
          <w:szCs w:val="28"/>
        </w:rPr>
        <w:fldChar w:fldCharType="begin"/>
      </w:r>
      <w:r>
        <w:rPr>
          <w:rFonts w:ascii="Times New Roman" w:hAnsi="Times New Roman"/>
          <w:sz w:val="28"/>
          <w:szCs w:val="28"/>
        </w:rPr>
        <w:instrText xml:space="preserve"> ADDIN ZOTERO_ITEM CSL_CITATION {"citationID":"N548pXZL","properties":{"formattedCitation":"[38\\uc0\\u8211{}40]","plainCitation":"[38–40]","noteIndex":0},"citationItems":[{"id":1478,"uris":["http://zotero.org/users/9078202/items/FVS67ZZ8"],"itemData":{"id":1478,"type":"article-journal","abstract":"Two photoproducts of DNA damage, i.e. cyclobutane pyrimidine dimers (CPDs) and 6-4 photoproducts (6-4PPs), induced by UV-B radiation in suspension-cultured tobacco cells were quantified by enzyme-linked immunosorbent assay (ELISA) with monoclonal antibodies. CPDs and 6-4PPs were induced in tobacco cells by UV-B radiation. Photorepair of CPDs was faster than that of 6-4PPs. UV-B radiation induces formation of CPDs and 6-4PPs even at 0 degrees C, but low temperature significantly decreases the UV-B-induced (in contrast to UV-C-induced) formation of CPDs and 6-4PPs. Low temperature also retarded the removal of CPDs and 6-4PPs under white light, and almost no photorepair of CPDs and 6-4PPs was detected at 0 degrees C. When purified DNA from tobacco cells grown in darkness was irradiated with UV-B, formation of CPDs and 6-4PPs took place at the same speed at different temperatures. It indicated that formation of CPDs and 6-4PPs induced by UV-B was temperature-independent in a non-cellular system. Based on our results for suspension-cultured tobacco cells, not only the photorepair but also UV-B-induced formation of CPDs and 6-4PPs are temperature-dependent.","container-title":"Journal of Photochemistry and Photobiology. B, Biology","DOI":"10.1016/s1011-1344(01)00277-9","ISSN":"1011-1344","issue":"1","journalAbbreviation":"J Photochem Photobiol B","language":"eng","note":"PMID: 11849985","page":"67-72","source":"PubMed","title":"Temperature-dependent formation and photorepair of DNA damage induced by UV-B radiation in suspension-cultured tobacco cells","volume":"66","author":[{"family":"Li","given":"Shaoshan"},{"family":"Paulsson","given":"Markus"},{"family":"Björn","given":"Lars Olof"}],"issued":{"date-parts":[["2002",2]]}}},{"id":1481,"uris":["http://zotero.org/users/9078202/items/MGC6KKCH"],"itemData":{"id":1481,"type":"article-journal","abstract":"Homologous recombination (HR) as a strand break repair mechanism was shown to be influenced by various factors. The balance of different vitamins, macro- and microelements, light spectrum, sodium chloride concentration as well as various environmental mutagens were shown to influence the frequency of HR. In this paper we analysed the influence of temperature (4, 22, and 32 degrees C) and day/night duration on the genome stability of plants. We analyzed the HR frequency in transgenic Arabidopsis thaliana plants carrying beta-glucuronidase based homologous recombination substrate. To find the recombination rate (RR), we related the HR frequency to the number of genomes present in plants grown under different conditions. The RR was also standardized to the transcription activity of the transgene. We found RR to be higher in plants grown at suboptimal temperatures (either 4 or 32 degrees C) as compared to plants grown at 22 degrees C. This negatively correlated with the plant metabolic rate and positively correlated with concentration of peroxide produced by plant. In contrast, the RR in plants grown at different day length (8-24 h) was the lowest in plants grown at the longest day (24 h) and highest in the plants grown at the shortest day (8 h). Over 15-fold difference in the RR between plants grown at the shortest and the longest day was observed. Such a difference in recombination rate was primarily due to the higher transgene activity and higher endoreduplication levels in plants grown at longer days. Our data suggests that even \"moderate\" changes of environmental conditions may have a significant effect on plant genome stability.","container-title":"Mutation Research","DOI":"10.1016/j.mrfmmm.2004.12.011","ISSN":"0027-5107","issue":"1-2","journalAbbreviation":"Mutat Res","language":"eng","note":"PMID: 15790491","page":"73-83","source":"PubMed","title":"Homologous recombination in plants is temperature and day-length dependent","volume":"572","author":[{"family":"Boyko","given":"Alexander"},{"family":"Filkowski","given":"Jody"},{"family":"Kovalchuk","given":"Igor"}],"issued":{"date-parts":[["2005",5,2]]}}},{"id":1483,"uris":["http://zotero.org/users/9078202/items/BS6CQ7UG"],"itemData":{"id":1483,"type":"article-journal","abstract":"The Ku70/Ku80 heterodimer plays a crucial role in non-homologous end-joining during DNA repair, and is also involved in multiple cellular processes such as telomere maintenance, transcription, and apoptosis. In this study, we investigate the regulation of AtKu genes in higher plants. Promoters of the AtKu70 and AtKu80 were isolated from Arabidopsis and their activities characterised using GUS reporter constructs. AtKu promoter activities were relatively higher in hypocotyls and cotyledons upon germination and in stigma and siliques as well at their early developing stages. Furthermore, AtKu promoter activities could be enhanced by gibberellic acid, auxins, and jasmonic acid, but repressed by abscisic acid, salicylic acid, heat, drought and cold, respectively. Deletion analysis demonstrates minimal lengths of ~400 bp and 600 bp upstream of transcription start site for functional promoters of AtKu70 and AtKu80, respectively. Taken together, expressions of Ku genes are regulated both by developmental programs as well as by plant hormones and environmental stresses.","container-title":"Functional plant biology: FPB","DOI":"10.1071/FP07249","ISSN":"1445-4416","issue":"4","journalAbbreviation":"Funct Plant Biol","language":"eng","note":"PMID: 32688782","page":"265-280","source":"PubMed","title":"Regulation of Ku gene promoters in Arabidopsis by hormones and stress","volume":"35","author":[{"family":"Chang","given":"Wen-Chi"},{"family":"Wang","given":"Yung-Kai"},{"family":"Liu","given":"Pei-Feng"},{"family":"Tsai","given":"Yu-Fang"},{"family":"Kong","given":"Lih-Ren"},{"family":"Lin","given":"Chi-Kai"},{"family":"Yang","given":"Chang-Hsien"},{"family":"Pan","given":"Rong-Long"}],"issued":{"date-parts":[["2008",6]]}}}],"schema":"https://github.com/citation-style-language/schema/raw/master/csl-citation.json"} </w:instrText>
      </w:r>
      <w:r w:rsidRPr="00107040">
        <w:rPr>
          <w:rFonts w:ascii="Times New Roman" w:hAnsi="Times New Roman"/>
          <w:sz w:val="28"/>
          <w:szCs w:val="28"/>
        </w:rPr>
        <w:fldChar w:fldCharType="separate"/>
      </w:r>
      <w:r w:rsidRPr="00107040">
        <w:rPr>
          <w:rFonts w:ascii="Times New Roman" w:hAnsi="Times New Roman"/>
          <w:sz w:val="28"/>
          <w:szCs w:val="24"/>
        </w:rPr>
        <w:t>[38–40]</w:t>
      </w:r>
      <w:r w:rsidRPr="00107040">
        <w:rPr>
          <w:rFonts w:ascii="Times New Roman" w:hAnsi="Times New Roman"/>
          <w:sz w:val="28"/>
          <w:szCs w:val="28"/>
        </w:rPr>
        <w:fldChar w:fldCharType="end"/>
      </w:r>
      <w:r w:rsidRPr="00107040">
        <w:rPr>
          <w:rFonts w:ascii="Times New Roman" w:hAnsi="Times New Roman"/>
          <w:sz w:val="28"/>
          <w:szCs w:val="28"/>
        </w:rPr>
        <w:t xml:space="preserve">. </w:t>
      </w:r>
    </w:p>
    <w:p w14:paraId="08BB2AEA" w14:textId="77777777" w:rsidR="00107040" w:rsidRPr="00107040" w:rsidRDefault="00107040" w:rsidP="00107040">
      <w:pPr>
        <w:spacing w:after="0" w:line="240" w:lineRule="auto"/>
        <w:ind w:firstLine="567"/>
        <w:jc w:val="both"/>
        <w:rPr>
          <w:rFonts w:ascii="Times New Roman" w:hAnsi="Times New Roman"/>
          <w:sz w:val="28"/>
          <w:szCs w:val="28"/>
        </w:rPr>
      </w:pPr>
    </w:p>
    <w:p w14:paraId="0F6A165F" w14:textId="7777777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kk-KZ"/>
        </w:rPr>
        <w:t xml:space="preserve">1.1.1 </w:t>
      </w:r>
      <w:r w:rsidRPr="00107040">
        <w:rPr>
          <w:rFonts w:ascii="Times New Roman" w:hAnsi="Times New Roman"/>
          <w:sz w:val="28"/>
          <w:szCs w:val="28"/>
        </w:rPr>
        <w:t>Повреждения ДНК, вызванные эндогенными и экзогенными факторами</w:t>
      </w:r>
    </w:p>
    <w:p w14:paraId="73E8F94C" w14:textId="2A54E935" w:rsidR="00107040" w:rsidRPr="00107040" w:rsidRDefault="00107040" w:rsidP="00107040">
      <w:pPr>
        <w:spacing w:after="0" w:line="240" w:lineRule="auto"/>
        <w:ind w:firstLine="567"/>
        <w:jc w:val="both"/>
        <w:rPr>
          <w:rFonts w:ascii="Times New Roman" w:hAnsi="Times New Roman"/>
          <w:sz w:val="28"/>
          <w:szCs w:val="28"/>
          <w:lang w:val="kk-KZ"/>
        </w:rPr>
      </w:pPr>
      <w:r w:rsidRPr="00107040">
        <w:rPr>
          <w:rFonts w:ascii="Times New Roman" w:hAnsi="Times New Roman"/>
          <w:sz w:val="28"/>
          <w:szCs w:val="28"/>
          <w:lang w:val="kk-KZ"/>
        </w:rPr>
        <w:t xml:space="preserve">С момента своего происхождения геномы всех организмов подвергаются вредному воздействию нескольких факторов окружающей среды и метаболизма. Повреждения ДНК можно разделить на два типа в зависимости от их происхождения: эндогенные и экзогенные. Эндогенные повреждения ДНК в основном происходят из-за ошибок, возникающих во время репликации ДНК, из-за ошибок в распределении хромосом в мейозе или митозе или из-за старения ДНК, вызванного алкилированием или активными формами кислорода, полученными в результате клеточного метаболизма </w:t>
      </w:r>
      <w:r w:rsidRPr="00107040">
        <w:rPr>
          <w:rFonts w:ascii="Times New Roman" w:hAnsi="Times New Roman"/>
          <w:sz w:val="28"/>
          <w:szCs w:val="28"/>
        </w:rPr>
        <w:fldChar w:fldCharType="begin"/>
      </w:r>
      <w:r>
        <w:rPr>
          <w:rFonts w:ascii="Times New Roman" w:hAnsi="Times New Roman"/>
          <w:sz w:val="28"/>
          <w:szCs w:val="28"/>
        </w:rPr>
        <w:instrText xml:space="preserve"> ADDIN ZOTERO_ITEM CSL_CITATION {"citationID":"sRmogfDg","properties":{"formattedCitation":"[41]","plainCitation":"[41]","noteIndex":0},"citationItems":[{"id":131,"uris":["http://zotero.org/users/9078202/items/W3HPB277"],"itemData":{"id":131,"type":"article-journal","container-title":"Cold Spring Harbor Symposia on Quantitative Biology","DOI":"10.1101/sqb.2000.65.127","ISSN":"0091-7451","journalAbbreviation":"Cold Spring Harb Symp Quant Biol","language":"eng","note":"PMID: 12760027","page":"127-133","source":"PubMed","title":"Repair of endogenous DNA damage","volume":"65","author":[{"family":"Lindahl","given":"T."},{"family":"Barnes","given":"D. E."}],"issued":{"date-parts":[["2000"]]}}}],"schema":"https://github.com/citation-style-language/schema/raw/master/csl-citation.json"} </w:instrText>
      </w:r>
      <w:r w:rsidRPr="00107040">
        <w:rPr>
          <w:rFonts w:ascii="Times New Roman" w:hAnsi="Times New Roman"/>
          <w:sz w:val="28"/>
          <w:szCs w:val="28"/>
        </w:rPr>
        <w:fldChar w:fldCharType="separate"/>
      </w:r>
      <w:r w:rsidRPr="00107040">
        <w:rPr>
          <w:rFonts w:ascii="Times New Roman" w:hAnsi="Times New Roman"/>
          <w:sz w:val="28"/>
        </w:rPr>
        <w:t>[41]</w:t>
      </w:r>
      <w:r w:rsidRPr="00107040">
        <w:rPr>
          <w:rFonts w:ascii="Times New Roman" w:hAnsi="Times New Roman"/>
          <w:sz w:val="28"/>
          <w:szCs w:val="28"/>
        </w:rPr>
        <w:fldChar w:fldCharType="end"/>
      </w:r>
      <w:r w:rsidRPr="00107040">
        <w:rPr>
          <w:rFonts w:ascii="Times New Roman" w:hAnsi="Times New Roman"/>
          <w:sz w:val="28"/>
          <w:szCs w:val="28"/>
          <w:lang w:val="kk-KZ"/>
        </w:rPr>
        <w:t xml:space="preserve">. С другой стороны, экзогенное повреждение ДНК возникает, когда экологические, физические и химические агенты, такие как ультрафиолетовое и ионизирующее излучения, алкилирующие агенты и сшивающие агенты, повреждают молекулы ДНК </w:t>
      </w:r>
      <w:r w:rsidRPr="00107040">
        <w:rPr>
          <w:rFonts w:ascii="Times New Roman" w:hAnsi="Times New Roman"/>
          <w:sz w:val="28"/>
          <w:szCs w:val="28"/>
        </w:rPr>
        <w:fldChar w:fldCharType="begin"/>
      </w:r>
      <w:r>
        <w:rPr>
          <w:rFonts w:ascii="Times New Roman" w:hAnsi="Times New Roman"/>
          <w:sz w:val="28"/>
          <w:szCs w:val="28"/>
        </w:rPr>
        <w:instrText xml:space="preserve"> ADDIN ZOTERO_ITEM CSL_CITATION {"citationID":"SGtpDSLL","properties":{"formattedCitation":"[42]","plainCitation":"[42]","noteIndex":0},"citationItems":[{"id":1507,"uris":["http://zotero.org/users/9078202/items/VQ75Y85R"],"itemData":{"id":1507,"type":"article-journal","container-title":"The New England Journal of Medicine","DOI":"10.1056/NEJMra0804615","ISSN":"1533-4406","issue":"15","journalAbbreviation":"N Engl J Med","language":"eng","note":"PMID: 19812404","page":"1475-1485","source":"PubMed","title":"DNA damage, aging, and cancer","volume":"361","author":[{"family":"Hoeijmakers","given":"Jan H. J."}],"issued":{"date-parts":[["2009",10,8]]}}}],"schema":"https://github.com/citation-style-language/schema/raw/master/csl-citation.json"} </w:instrText>
      </w:r>
      <w:r w:rsidRPr="00107040">
        <w:rPr>
          <w:rFonts w:ascii="Times New Roman" w:hAnsi="Times New Roman"/>
          <w:sz w:val="28"/>
          <w:szCs w:val="28"/>
        </w:rPr>
        <w:fldChar w:fldCharType="separate"/>
      </w:r>
      <w:r w:rsidRPr="00107040">
        <w:rPr>
          <w:rFonts w:ascii="Times New Roman" w:hAnsi="Times New Roman"/>
          <w:sz w:val="28"/>
        </w:rPr>
        <w:t>[42]</w:t>
      </w:r>
      <w:r w:rsidRPr="00107040">
        <w:rPr>
          <w:rFonts w:ascii="Times New Roman" w:hAnsi="Times New Roman"/>
          <w:sz w:val="28"/>
          <w:szCs w:val="28"/>
        </w:rPr>
        <w:fldChar w:fldCharType="end"/>
      </w:r>
      <w:r w:rsidRPr="00107040">
        <w:rPr>
          <w:rFonts w:ascii="Times New Roman" w:hAnsi="Times New Roman"/>
          <w:sz w:val="28"/>
          <w:szCs w:val="28"/>
          <w:lang w:val="kk-KZ"/>
        </w:rPr>
        <w:t xml:space="preserve">. </w:t>
      </w:r>
    </w:p>
    <w:p w14:paraId="4BB0E10E" w14:textId="7777777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kk-KZ"/>
        </w:rPr>
        <w:t>В зависимости от факторов воздействующих на организм, повреждения</w:t>
      </w:r>
      <w:r w:rsidRPr="00107040">
        <w:rPr>
          <w:rFonts w:ascii="Times New Roman" w:hAnsi="Times New Roman"/>
          <w:sz w:val="28"/>
          <w:szCs w:val="28"/>
        </w:rPr>
        <w:t xml:space="preserve"> ДНК делятся на две основные категории: одноцепочечные и двухцепочечные. Первая категория состоит из повреждений, нарушающих только одну цепь ДНК, таких как окисление или алкилирование оснований, потеря оснований, аддукты ДНК, внутрицепочечные поперечные связи, фотопродукты ДНК и одноцепочечные разрывы ДНК (SSB). Вторая категория включает повреждения, поражающие обе</w:t>
      </w:r>
      <w:r w:rsidRPr="00107040">
        <w:rPr>
          <w:rFonts w:ascii="Times New Roman" w:hAnsi="Times New Roman"/>
          <w:sz w:val="28"/>
          <w:szCs w:val="28"/>
          <w:lang w:val="kk-KZ"/>
        </w:rPr>
        <w:t xml:space="preserve"> нити</w:t>
      </w:r>
      <w:r w:rsidRPr="00107040">
        <w:rPr>
          <w:rFonts w:ascii="Times New Roman" w:hAnsi="Times New Roman"/>
          <w:sz w:val="28"/>
          <w:szCs w:val="28"/>
        </w:rPr>
        <w:t xml:space="preserve"> ДНК, такие как межцепочечные поперечные связи и </w:t>
      </w:r>
      <w:r w:rsidRPr="00107040">
        <w:rPr>
          <w:rFonts w:ascii="Times New Roman" w:hAnsi="Times New Roman"/>
          <w:sz w:val="28"/>
          <w:szCs w:val="28"/>
        </w:rPr>
        <w:lastRenderedPageBreak/>
        <w:t>двухцепочечные разрывы ДНК (DSB), причем последние являются наиболее тяжелым типом повреждения ДНК в эукариотическом геноме (рис</w:t>
      </w:r>
      <w:r w:rsidRPr="00107040">
        <w:rPr>
          <w:rFonts w:ascii="Times New Roman" w:hAnsi="Times New Roman"/>
          <w:sz w:val="28"/>
          <w:szCs w:val="28"/>
          <w:lang w:val="kk-KZ"/>
        </w:rPr>
        <w:t>унок</w:t>
      </w:r>
      <w:r w:rsidRPr="00107040">
        <w:rPr>
          <w:rFonts w:ascii="Times New Roman" w:hAnsi="Times New Roman"/>
          <w:sz w:val="28"/>
          <w:szCs w:val="28"/>
        </w:rPr>
        <w:t xml:space="preserve"> 1).</w:t>
      </w:r>
    </w:p>
    <w:p w14:paraId="5BB6A715" w14:textId="77777777" w:rsidR="00107040" w:rsidRPr="00107040" w:rsidRDefault="00107040" w:rsidP="00107040">
      <w:pPr>
        <w:spacing w:after="0" w:line="240" w:lineRule="auto"/>
        <w:ind w:firstLine="567"/>
        <w:jc w:val="both"/>
        <w:rPr>
          <w:rFonts w:ascii="Times New Roman" w:hAnsi="Times New Roman"/>
          <w:sz w:val="28"/>
          <w:szCs w:val="28"/>
        </w:rPr>
      </w:pPr>
    </w:p>
    <w:p w14:paraId="0934B809" w14:textId="77777777" w:rsidR="00107040" w:rsidRPr="00107040" w:rsidRDefault="00107040" w:rsidP="00107040">
      <w:pPr>
        <w:spacing w:after="0" w:line="240" w:lineRule="auto"/>
        <w:jc w:val="center"/>
        <w:rPr>
          <w:rFonts w:ascii="Times New Roman" w:hAnsi="Times New Roman"/>
          <w:sz w:val="28"/>
          <w:szCs w:val="28"/>
        </w:rPr>
      </w:pPr>
      <w:r w:rsidRPr="00107040">
        <w:rPr>
          <w:rFonts w:ascii="Times New Roman" w:hAnsi="Times New Roman"/>
          <w:noProof/>
          <w:sz w:val="28"/>
          <w:szCs w:val="28"/>
          <w:lang w:val="ru-RU" w:eastAsia="ru-RU"/>
        </w:rPr>
        <w:drawing>
          <wp:inline distT="0" distB="0" distL="0" distR="0" wp14:anchorId="297B9D4B" wp14:editId="064E1E11">
            <wp:extent cx="6120130" cy="44983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498340"/>
                    </a:xfrm>
                    <a:prstGeom prst="rect">
                      <a:avLst/>
                    </a:prstGeom>
                    <a:noFill/>
                    <a:ln>
                      <a:noFill/>
                    </a:ln>
                  </pic:spPr>
                </pic:pic>
              </a:graphicData>
            </a:graphic>
          </wp:inline>
        </w:drawing>
      </w:r>
    </w:p>
    <w:p w14:paraId="4684D7DC" w14:textId="77777777" w:rsidR="00107040" w:rsidRPr="00107040" w:rsidRDefault="00107040" w:rsidP="00107040">
      <w:pPr>
        <w:spacing w:after="0" w:line="240" w:lineRule="auto"/>
        <w:jc w:val="center"/>
        <w:rPr>
          <w:rFonts w:ascii="Times New Roman" w:hAnsi="Times New Roman"/>
          <w:sz w:val="28"/>
          <w:szCs w:val="28"/>
        </w:rPr>
      </w:pPr>
    </w:p>
    <w:p w14:paraId="7159DB4D" w14:textId="77777777" w:rsidR="00107040" w:rsidRPr="00107040" w:rsidRDefault="00107040" w:rsidP="00107040">
      <w:pPr>
        <w:spacing w:after="0" w:line="240" w:lineRule="auto"/>
        <w:ind w:firstLine="567"/>
        <w:jc w:val="center"/>
        <w:rPr>
          <w:rFonts w:ascii="Times New Roman" w:hAnsi="Times New Roman"/>
          <w:sz w:val="28"/>
          <w:szCs w:val="28"/>
          <w:lang w:val="kk-KZ"/>
        </w:rPr>
      </w:pPr>
      <w:r w:rsidRPr="00107040">
        <w:rPr>
          <w:rFonts w:ascii="Times New Roman" w:hAnsi="Times New Roman"/>
          <w:sz w:val="28"/>
          <w:szCs w:val="28"/>
          <w:lang w:val="kk-KZ"/>
        </w:rPr>
        <w:t>Рисунок 1 – Схематическое изображение основных повреждений ДНК, вызванных различными внешними и эндогенными факторами, и типов механизмов репарации ДНК, используемых для их удаления из эукариотического генома.</w:t>
      </w:r>
    </w:p>
    <w:p w14:paraId="1F3F04A6" w14:textId="77777777" w:rsidR="00107040" w:rsidRPr="00107040" w:rsidRDefault="00107040" w:rsidP="00107040">
      <w:pPr>
        <w:spacing w:after="0" w:line="240" w:lineRule="auto"/>
        <w:ind w:firstLine="567"/>
        <w:jc w:val="center"/>
        <w:rPr>
          <w:rFonts w:ascii="Times New Roman" w:hAnsi="Times New Roman"/>
          <w:sz w:val="28"/>
          <w:szCs w:val="28"/>
          <w:lang w:val="kk-KZ"/>
        </w:rPr>
      </w:pPr>
    </w:p>
    <w:p w14:paraId="00C373D1" w14:textId="77777777" w:rsidR="00107040" w:rsidRPr="00107040" w:rsidRDefault="00107040" w:rsidP="00107040">
      <w:pPr>
        <w:spacing w:after="0" w:line="240" w:lineRule="auto"/>
        <w:ind w:firstLine="567"/>
        <w:jc w:val="both"/>
        <w:rPr>
          <w:rFonts w:ascii="Times New Roman" w:hAnsi="Times New Roman"/>
          <w:sz w:val="28"/>
          <w:szCs w:val="28"/>
        </w:rPr>
      </w:pPr>
      <w:bookmarkStart w:id="10" w:name="_Hlk113267576"/>
      <w:r w:rsidRPr="00107040">
        <w:rPr>
          <w:rFonts w:ascii="Times New Roman" w:hAnsi="Times New Roman"/>
          <w:sz w:val="28"/>
          <w:szCs w:val="28"/>
          <w:lang w:val="kk-KZ"/>
        </w:rPr>
        <w:t xml:space="preserve">1.1.2 </w:t>
      </w:r>
      <w:r w:rsidRPr="00107040">
        <w:rPr>
          <w:rFonts w:ascii="Times New Roman" w:hAnsi="Times New Roman"/>
          <w:sz w:val="28"/>
          <w:szCs w:val="28"/>
        </w:rPr>
        <w:t xml:space="preserve">Окислительное повреждение ДНК </w:t>
      </w:r>
    </w:p>
    <w:p w14:paraId="653EC488" w14:textId="7777777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kk-KZ"/>
        </w:rPr>
        <w:t xml:space="preserve">1.1.2.1 </w:t>
      </w:r>
      <w:r w:rsidRPr="00107040">
        <w:rPr>
          <w:rFonts w:ascii="Times New Roman" w:hAnsi="Times New Roman"/>
          <w:sz w:val="28"/>
          <w:szCs w:val="28"/>
        </w:rPr>
        <w:t xml:space="preserve">Источники окислительного повреждения ДНК </w:t>
      </w:r>
    </w:p>
    <w:bookmarkEnd w:id="10"/>
    <w:p w14:paraId="34068AAC" w14:textId="1DD95A83"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kk-KZ"/>
        </w:rPr>
        <w:t xml:space="preserve">Повреждение ДНК, вызванное воздействием активных форм кислорода, является одной из основных причин распада ДНК у большинства организмов. В результате метаболических процессов, происходящих в хлоропластах, митохондриях и пероксисомах, растения постоянно продуцируют АФК </w:t>
      </w:r>
      <w:r w:rsidRPr="00107040">
        <w:rPr>
          <w:rFonts w:ascii="Times New Roman" w:hAnsi="Times New Roman"/>
          <w:sz w:val="28"/>
          <w:szCs w:val="28"/>
        </w:rPr>
        <w:fldChar w:fldCharType="begin"/>
      </w:r>
      <w:r>
        <w:rPr>
          <w:rFonts w:ascii="Times New Roman" w:hAnsi="Times New Roman"/>
          <w:sz w:val="28"/>
          <w:szCs w:val="28"/>
        </w:rPr>
        <w:instrText xml:space="preserve"> ADDIN ZOTERO_ITEM CSL_CITATION {"citationID":"0MTEg5TA","properties":{"formattedCitation":"[1]","plainCitation":"[1]","noteIndex":0},"citationItems":[{"id":1228,"uris":["http://zotero.org/users/9078202/items/4H2AYE4R"],"itemData":{"id":1228,"type":"article-journal","abstract":"Chloroplasts and mitochondria are the powerhouses of photosynthetic cells. The oxidation-reduction (redox) cascades of the photosynthetic and respiratory electron transport chains not only provide the driving forces for metabolism but also generate redox signals, which participate in and regulate every aspect of plant biology from gene expression and translation to enzyme chemistry. Plastoquinone, thioredoxin and reactive oxygen have all been shown to have signalling functions. Moreover, the intrinsic involvement of molecular oxygen in electron transport processes with the inherent generation of superoxide, hydrogen peroxide and singlet oxygen provides a repertoire of additional extremely powerful signals. Accumulating evidence implicates the major redox buffers of plant cells, ascorbate and glutathione, in redox signal transduction. The network of redox signals from energy-generating organelles orchestrates metabolism to adjust energy production to utilization, interfacing with hormone signalling to respond to environmental change at every stage of plant development.","container-title":"Physiologia Plantarum","DOI":"10.1034/j.1399-3054.2003.00223.x","ISSN":"1399-3054","issue":"3","language":"en","note":"_eprint: https://onlinelibrary.wiley.com/doi/pdf/10.1034/j.1399-3054.2003.00223.x","page":"355-364","source":"Wiley Online Library","title":"Redox sensing and signalling associated with reactive oxygen in chloroplasts, peroxisomes and mitochondria","URL":"https://onlinelibrary.wiley.com/doi/abs/10.1034/j.1399-3054.2003.00223.x","volume":"119","author":[{"family":"Foyer","given":"Christine H."},{"family":"Noctor","given":"Graham"}],"accessed":{"date-parts":[["2022",4,20]]},"issued":{"date-parts":[["2003"]]}}}],"schema":"https://github.com/citation-style-language/schema/raw/master/csl-citation.json"} </w:instrText>
      </w:r>
      <w:r w:rsidRPr="00107040">
        <w:rPr>
          <w:rFonts w:ascii="Times New Roman" w:hAnsi="Times New Roman"/>
          <w:sz w:val="28"/>
          <w:szCs w:val="28"/>
        </w:rPr>
        <w:fldChar w:fldCharType="separate"/>
      </w:r>
      <w:r w:rsidRPr="00107040">
        <w:rPr>
          <w:rFonts w:ascii="Times New Roman" w:hAnsi="Times New Roman"/>
          <w:sz w:val="28"/>
        </w:rPr>
        <w:t>[1]</w:t>
      </w:r>
      <w:r w:rsidRPr="00107040">
        <w:rPr>
          <w:rFonts w:ascii="Times New Roman" w:hAnsi="Times New Roman"/>
          <w:sz w:val="28"/>
          <w:szCs w:val="28"/>
        </w:rPr>
        <w:fldChar w:fldCharType="end"/>
      </w:r>
      <w:r w:rsidRPr="00107040">
        <w:rPr>
          <w:rFonts w:ascii="Times New Roman" w:hAnsi="Times New Roman"/>
          <w:sz w:val="28"/>
          <w:szCs w:val="28"/>
          <w:lang w:val="kk-KZ"/>
        </w:rPr>
        <w:t>. Синглетный кислород (</w:t>
      </w:r>
      <w:r w:rsidRPr="00107040">
        <w:rPr>
          <w:rFonts w:ascii="Times New Roman" w:hAnsi="Times New Roman"/>
          <w:sz w:val="28"/>
          <w:szCs w:val="28"/>
          <w:vertAlign w:val="superscript"/>
        </w:rPr>
        <w:t>1</w:t>
      </w:r>
      <w:r w:rsidRPr="00107040">
        <w:rPr>
          <w:rFonts w:ascii="Times New Roman" w:hAnsi="Times New Roman"/>
          <w:sz w:val="28"/>
          <w:szCs w:val="28"/>
        </w:rPr>
        <w:t>O</w:t>
      </w:r>
      <w:r w:rsidRPr="00107040">
        <w:rPr>
          <w:rFonts w:ascii="Times New Roman" w:hAnsi="Times New Roman"/>
          <w:sz w:val="28"/>
          <w:szCs w:val="28"/>
          <w:vertAlign w:val="subscript"/>
        </w:rPr>
        <w:t>2</w:t>
      </w:r>
      <w:r w:rsidRPr="00107040">
        <w:rPr>
          <w:rFonts w:ascii="Times New Roman" w:hAnsi="Times New Roman"/>
          <w:sz w:val="28"/>
          <w:szCs w:val="28"/>
          <w:lang w:val="kk-KZ"/>
        </w:rPr>
        <w:t>) и радикал супероксида (</w:t>
      </w:r>
      <w:r w:rsidRPr="00107040">
        <w:rPr>
          <w:rFonts w:ascii="Times New Roman" w:hAnsi="Times New Roman"/>
          <w:sz w:val="28"/>
          <w:szCs w:val="28"/>
        </w:rPr>
        <w:t>О</w:t>
      </w:r>
      <w:r w:rsidRPr="00107040">
        <w:rPr>
          <w:rFonts w:ascii="Times New Roman" w:hAnsi="Times New Roman"/>
          <w:sz w:val="28"/>
          <w:szCs w:val="28"/>
          <w:vertAlign w:val="subscript"/>
        </w:rPr>
        <w:t>2</w:t>
      </w:r>
      <w:r w:rsidRPr="00107040">
        <w:rPr>
          <w:rFonts w:ascii="Times New Roman" w:hAnsi="Times New Roman"/>
          <w:sz w:val="28"/>
          <w:szCs w:val="28"/>
          <w:vertAlign w:val="superscript"/>
        </w:rPr>
        <w:t>•</w:t>
      </w:r>
      <w:r w:rsidRPr="00107040">
        <w:rPr>
          <w:rFonts w:ascii="Times New Roman" w:hAnsi="Times New Roman"/>
          <w:sz w:val="28"/>
          <w:szCs w:val="28"/>
          <w:vertAlign w:val="superscript"/>
          <w:lang w:val="kk-KZ"/>
        </w:rPr>
        <w:t>-</w:t>
      </w:r>
      <w:r w:rsidRPr="00107040">
        <w:rPr>
          <w:rFonts w:ascii="Times New Roman" w:hAnsi="Times New Roman"/>
          <w:sz w:val="28"/>
          <w:szCs w:val="28"/>
          <w:lang w:val="kk-KZ"/>
        </w:rPr>
        <w:t>) являются двумя побочными продуктами АФК, продуцируемыми хлоропластами во время фотосинтеза, тогда как перекись водорода (H</w:t>
      </w:r>
      <w:r w:rsidRPr="00107040">
        <w:rPr>
          <w:rFonts w:ascii="Times New Roman" w:hAnsi="Times New Roman"/>
          <w:sz w:val="28"/>
          <w:szCs w:val="28"/>
          <w:vertAlign w:val="subscript"/>
          <w:lang w:val="kk-KZ"/>
        </w:rPr>
        <w:t>2</w:t>
      </w:r>
      <w:r w:rsidRPr="00107040">
        <w:rPr>
          <w:rFonts w:ascii="Times New Roman" w:hAnsi="Times New Roman"/>
          <w:sz w:val="28"/>
          <w:szCs w:val="28"/>
          <w:lang w:val="kk-KZ"/>
        </w:rPr>
        <w:t>O</w:t>
      </w:r>
      <w:r w:rsidRPr="00107040">
        <w:rPr>
          <w:rFonts w:ascii="Times New Roman" w:hAnsi="Times New Roman"/>
          <w:sz w:val="28"/>
          <w:szCs w:val="28"/>
          <w:vertAlign w:val="subscript"/>
          <w:lang w:val="kk-KZ"/>
        </w:rPr>
        <w:t>2</w:t>
      </w:r>
      <w:r w:rsidRPr="00107040">
        <w:rPr>
          <w:rFonts w:ascii="Times New Roman" w:hAnsi="Times New Roman"/>
          <w:sz w:val="28"/>
          <w:szCs w:val="28"/>
          <w:lang w:val="kk-KZ"/>
        </w:rPr>
        <w:t xml:space="preserve">) и </w:t>
      </w:r>
      <w:r w:rsidRPr="00107040">
        <w:rPr>
          <w:rFonts w:ascii="Times New Roman" w:hAnsi="Times New Roman"/>
          <w:sz w:val="28"/>
          <w:szCs w:val="28"/>
        </w:rPr>
        <w:t>О</w:t>
      </w:r>
      <w:r w:rsidRPr="00107040">
        <w:rPr>
          <w:rFonts w:ascii="Times New Roman" w:hAnsi="Times New Roman"/>
          <w:sz w:val="28"/>
          <w:szCs w:val="28"/>
          <w:vertAlign w:val="subscript"/>
        </w:rPr>
        <w:t>2</w:t>
      </w:r>
      <w:r w:rsidRPr="00107040">
        <w:rPr>
          <w:rFonts w:ascii="Times New Roman" w:hAnsi="Times New Roman"/>
          <w:sz w:val="28"/>
          <w:szCs w:val="28"/>
          <w:vertAlign w:val="superscript"/>
        </w:rPr>
        <w:t>•</w:t>
      </w:r>
      <w:r w:rsidRPr="00107040">
        <w:rPr>
          <w:rFonts w:ascii="Times New Roman" w:hAnsi="Times New Roman"/>
          <w:sz w:val="28"/>
          <w:szCs w:val="28"/>
          <w:vertAlign w:val="superscript"/>
          <w:lang w:val="kk-KZ"/>
        </w:rPr>
        <w:t>-</w:t>
      </w:r>
      <w:r w:rsidRPr="00107040">
        <w:rPr>
          <w:rFonts w:ascii="Times New Roman" w:hAnsi="Times New Roman"/>
          <w:sz w:val="28"/>
          <w:szCs w:val="28"/>
        </w:rPr>
        <w:t xml:space="preserve"> </w:t>
      </w:r>
      <w:r w:rsidRPr="00107040">
        <w:rPr>
          <w:rFonts w:ascii="Times New Roman" w:hAnsi="Times New Roman"/>
          <w:sz w:val="28"/>
          <w:szCs w:val="28"/>
          <w:lang w:val="kk-KZ"/>
        </w:rPr>
        <w:t xml:space="preserve">являются основными видами, продуцируемыми пероксисомами </w:t>
      </w:r>
      <w:r w:rsidRPr="00107040">
        <w:rPr>
          <w:rFonts w:ascii="Times New Roman" w:hAnsi="Times New Roman"/>
          <w:sz w:val="28"/>
          <w:szCs w:val="28"/>
        </w:rPr>
        <w:fldChar w:fldCharType="begin"/>
      </w:r>
      <w:r w:rsidR="00D67182">
        <w:rPr>
          <w:rFonts w:ascii="Times New Roman" w:hAnsi="Times New Roman"/>
          <w:sz w:val="28"/>
          <w:szCs w:val="28"/>
        </w:rPr>
        <w:instrText xml:space="preserve"> ADDIN ZOTERO_ITEM CSL_CITATION {"citationID":"DAG88TgD","properties":{"formattedCitation":"[43,44]","plainCitation":"[43,44]","noteIndex":0},"citationItems":[{"id":1515,"uris":["http://zotero.org/users/9078202/items/3XV967YX"],"itemData":{"id":1515,"type":"article-journal","container-title":"Plant Physiology","DOI":"10.1104/pp.106.078204","ISSN":"0032-0889","issue":"2","journalAbbreviation":"Plant Physiol","language":"eng","note":"PMID: 16760483\nPMCID: PMC1475433","page":"330-335","source":"PubMed","title":"Reactive oxygen species and reactive nitrogen species in peroxisomes. Production, scavenging, and role in cell signaling","volume":"141","author":[{"family":"Río","given":"Luis A.","non-dropping-particle":"del"},{"family":"Sandalio","given":"Luisa M."},{"family":"Corpas","given":"Francisco J."},{"family":"Palma","given":"José M."},{"family":"Barroso","given":"Juan B."}],"issued":{"date-parts":[["2006",6]]}}},{"id":1959,"uris":["http://zotero.org/users/9078202/items/T75M3SLL"],"itemData":{"id":1959,"type":"article-journal","container-title":"Plant Physiology","DOI":"10.1104/pp.106.082040","ISSN":"0032-0889","issue":"2","journalAbbreviation":"Plant Physiol","language":"eng","note":"PMID: 16760493\nPMCID: PMC1475469","page":"391-396","source":"PubMed","title":"Production and scavenging of reactive oxygen species in chloroplasts and their functions","volume":"141","author":[{"family":"Asada","given":"Kozi"}],"issued":{"date-parts":[["2006",6]]}}}],"schema":"https://github.com/citation-style-language/schema/raw/master/csl-citation.json"} </w:instrText>
      </w:r>
      <w:r w:rsidRPr="00107040">
        <w:rPr>
          <w:rFonts w:ascii="Times New Roman" w:hAnsi="Times New Roman"/>
          <w:sz w:val="28"/>
          <w:szCs w:val="28"/>
        </w:rPr>
        <w:fldChar w:fldCharType="separate"/>
      </w:r>
      <w:r w:rsidR="00D67182" w:rsidRPr="00D67182">
        <w:rPr>
          <w:rFonts w:ascii="Times New Roman" w:hAnsi="Times New Roman"/>
          <w:sz w:val="28"/>
        </w:rPr>
        <w:t>[43,44]</w:t>
      </w:r>
      <w:r w:rsidRPr="00107040">
        <w:rPr>
          <w:rFonts w:ascii="Times New Roman" w:hAnsi="Times New Roman"/>
          <w:sz w:val="28"/>
          <w:szCs w:val="28"/>
        </w:rPr>
        <w:fldChar w:fldCharType="end"/>
      </w:r>
      <w:r w:rsidRPr="00107040">
        <w:rPr>
          <w:rFonts w:ascii="Times New Roman" w:hAnsi="Times New Roman"/>
          <w:sz w:val="28"/>
          <w:szCs w:val="28"/>
        </w:rPr>
        <w:t xml:space="preserve">. </w:t>
      </w:r>
      <w:r w:rsidRPr="00107040">
        <w:rPr>
          <w:rFonts w:ascii="Times New Roman" w:hAnsi="Times New Roman"/>
          <w:sz w:val="28"/>
          <w:szCs w:val="28"/>
          <w:lang w:val="kk-KZ"/>
        </w:rPr>
        <w:t xml:space="preserve">Большая часть синтеза АФК происходит в темное время суток в митохондриях, которые в основном продуцируют </w:t>
      </w:r>
      <w:r w:rsidRPr="00107040">
        <w:rPr>
          <w:rFonts w:ascii="Times New Roman" w:hAnsi="Times New Roman"/>
          <w:sz w:val="28"/>
          <w:szCs w:val="28"/>
        </w:rPr>
        <w:t>О</w:t>
      </w:r>
      <w:r w:rsidRPr="00107040">
        <w:rPr>
          <w:rFonts w:ascii="Times New Roman" w:hAnsi="Times New Roman"/>
          <w:sz w:val="28"/>
          <w:szCs w:val="28"/>
          <w:vertAlign w:val="subscript"/>
        </w:rPr>
        <w:t>2</w:t>
      </w:r>
      <w:r w:rsidRPr="00107040">
        <w:rPr>
          <w:rFonts w:ascii="Times New Roman" w:hAnsi="Times New Roman"/>
          <w:sz w:val="28"/>
          <w:szCs w:val="28"/>
          <w:vertAlign w:val="superscript"/>
        </w:rPr>
        <w:t>•</w:t>
      </w:r>
      <w:r w:rsidRPr="00107040">
        <w:rPr>
          <w:rFonts w:ascii="Times New Roman" w:hAnsi="Times New Roman"/>
          <w:sz w:val="28"/>
          <w:szCs w:val="28"/>
          <w:vertAlign w:val="superscript"/>
          <w:lang w:val="kk-KZ"/>
        </w:rPr>
        <w:t>-</w:t>
      </w:r>
      <w:r w:rsidRPr="00107040">
        <w:rPr>
          <w:rFonts w:ascii="Times New Roman" w:hAnsi="Times New Roman"/>
          <w:sz w:val="28"/>
          <w:szCs w:val="28"/>
        </w:rPr>
        <w:t xml:space="preserve"> </w:t>
      </w:r>
      <w:r w:rsidRPr="00107040">
        <w:rPr>
          <w:rFonts w:ascii="Times New Roman" w:hAnsi="Times New Roman"/>
          <w:sz w:val="28"/>
          <w:szCs w:val="28"/>
          <w:lang w:val="kk-KZ"/>
        </w:rPr>
        <w:t>за счет чрезмерного восстановления электрон-транспортной цепи</w:t>
      </w:r>
      <w:r w:rsidRPr="00107040">
        <w:rPr>
          <w:rFonts w:ascii="Times New Roman" w:hAnsi="Times New Roman"/>
          <w:sz w:val="28"/>
          <w:szCs w:val="28"/>
        </w:rPr>
        <w:t xml:space="preserve"> </w:t>
      </w:r>
      <w:r w:rsidRPr="00107040">
        <w:rPr>
          <w:rFonts w:ascii="Times New Roman" w:hAnsi="Times New Roman"/>
          <w:sz w:val="28"/>
          <w:szCs w:val="28"/>
        </w:rPr>
        <w:fldChar w:fldCharType="begin"/>
      </w:r>
      <w:r w:rsidR="00D67182">
        <w:rPr>
          <w:rFonts w:ascii="Times New Roman" w:hAnsi="Times New Roman"/>
          <w:sz w:val="28"/>
          <w:szCs w:val="28"/>
        </w:rPr>
        <w:instrText xml:space="preserve"> ADDIN ZOTERO_ITEM CSL_CITATION {"citationID":"VMGVtSfv","properties":{"formattedCitation":"[45]","plainCitation":"[45]","noteIndex":0},"citationItems":[{"id":1518,"uris":["http://zotero.org/users/9078202/items/NGEC2E28"],"itemData":{"id":1518,"type":"article-journal","abstract":"Besides the cytochrome c pathway, plant mitochondria have an alternative respiratory pathway that is comprised of a single homodimeric protein, alternative oxidase (AOX). Transgenic cultured tobacco cells with altered levels of AOX were used to test the hypothesis that the alternative pathway in plant mitochondria functions as a mechanism to decrease the formation of reactive oxygen species (ROS) produced during respiratory electron transport. Using the ROS-sensitive probe 2',7'-dichlorofluorescein diacetate, we found that antisense suppression of AOX resulted in cells with a significantly higher level of ROS compared with wild-type cells, whereas the overexpression of AOX resulted in cells with lower ROS abundance. Laser-scanning confocal microscopy showed that the difference in ROS abundance among wild-type and AOX transgenic cells was caused by changes in mitochondrial-specific ROS formation. Mitochondrial ROS production was exacerbated by the use of antimycin A, which inhibited normal cytochrome electron transport. In addition, cells overexpressing AOX were found to have consistently lower expression of genes encoding ROS-scavenging enzymes, including the superoxide dismutase genes SodA and SodB, as well as glutathione peroxidase. Also, the abundance of mRNAs encoding salicylic acid-binding catalase and a pathogenesis-related protein were significantly higher in cells deficient in AOX. These results are evidence that AOX plays a role in lowering mitochondrial ROS formation in plant cells.","container-title":"Proceedings of the National Academy of Sciences of the United States of America","DOI":"10.1073/pnas.96.14.8271","ISSN":"0027-8424","issue":"14","journalAbbreviation":"Proc Natl Acad Sci U S A","language":"eng","note":"PMID: 10393984\nPMCID: PMC22224","page":"8271-8276","source":"PubMed","title":"The alternative oxidase lowers mitochondrial reactive oxygen production in plant cells","volume":"96","author":[{"family":"Maxwell","given":"D. P."},{"family":"Wang","given":"Y."},{"family":"McIntosh","given":"L."}],"issued":{"date-parts":[["1999",7,6]]}}}],"schema":"https://github.com/citation-style-language/schema/raw/master/csl-citation.json"} </w:instrText>
      </w:r>
      <w:r w:rsidRPr="00107040">
        <w:rPr>
          <w:rFonts w:ascii="Times New Roman" w:hAnsi="Times New Roman"/>
          <w:sz w:val="28"/>
          <w:szCs w:val="28"/>
        </w:rPr>
        <w:fldChar w:fldCharType="separate"/>
      </w:r>
      <w:r w:rsidR="00D67182" w:rsidRPr="00D67182">
        <w:rPr>
          <w:rFonts w:ascii="Times New Roman" w:hAnsi="Times New Roman"/>
          <w:sz w:val="28"/>
        </w:rPr>
        <w:t>[45]</w:t>
      </w:r>
      <w:r w:rsidRPr="00107040">
        <w:rPr>
          <w:rFonts w:ascii="Times New Roman" w:hAnsi="Times New Roman"/>
          <w:sz w:val="28"/>
          <w:szCs w:val="28"/>
        </w:rPr>
        <w:fldChar w:fldCharType="end"/>
      </w:r>
      <w:r w:rsidRPr="00107040">
        <w:rPr>
          <w:rFonts w:ascii="Times New Roman" w:hAnsi="Times New Roman"/>
          <w:sz w:val="28"/>
          <w:szCs w:val="28"/>
          <w:lang w:val="kk-KZ"/>
        </w:rPr>
        <w:t>.</w:t>
      </w:r>
      <w:r w:rsidRPr="00107040">
        <w:rPr>
          <w:rFonts w:ascii="Times New Roman" w:hAnsi="Times New Roman"/>
          <w:sz w:val="28"/>
          <w:szCs w:val="28"/>
        </w:rPr>
        <w:t xml:space="preserve"> Один из первичных механизмов образования АФК, НАДФН-оксидазная система в плазматической мембране, генерирует О</w:t>
      </w:r>
      <w:r w:rsidRPr="00107040">
        <w:rPr>
          <w:rFonts w:ascii="Times New Roman" w:hAnsi="Times New Roman"/>
          <w:sz w:val="28"/>
          <w:szCs w:val="28"/>
          <w:vertAlign w:val="subscript"/>
        </w:rPr>
        <w:t>2</w:t>
      </w:r>
      <w:r w:rsidRPr="00107040">
        <w:rPr>
          <w:rFonts w:ascii="Times New Roman" w:hAnsi="Times New Roman"/>
          <w:sz w:val="28"/>
          <w:szCs w:val="28"/>
          <w:vertAlign w:val="superscript"/>
        </w:rPr>
        <w:t>•</w:t>
      </w:r>
      <w:r w:rsidRPr="00107040">
        <w:rPr>
          <w:rFonts w:ascii="Times New Roman" w:hAnsi="Times New Roman"/>
          <w:sz w:val="28"/>
          <w:szCs w:val="28"/>
          <w:vertAlign w:val="superscript"/>
          <w:lang w:val="kk-KZ"/>
        </w:rPr>
        <w:t>-</w:t>
      </w:r>
      <w:r w:rsidRPr="00107040">
        <w:rPr>
          <w:rFonts w:ascii="Times New Roman" w:hAnsi="Times New Roman"/>
          <w:sz w:val="28"/>
          <w:szCs w:val="28"/>
        </w:rPr>
        <w:t xml:space="preserve">, который </w:t>
      </w:r>
      <w:r w:rsidRPr="00107040">
        <w:rPr>
          <w:rFonts w:ascii="Times New Roman" w:hAnsi="Times New Roman"/>
          <w:sz w:val="28"/>
          <w:szCs w:val="28"/>
        </w:rPr>
        <w:lastRenderedPageBreak/>
        <w:t xml:space="preserve">участвует в ряде физиологических событий, включая «окислительный взрыв», происходящий во время </w:t>
      </w:r>
      <w:r w:rsidRPr="00107040">
        <w:rPr>
          <w:rFonts w:ascii="Times New Roman" w:hAnsi="Times New Roman"/>
          <w:sz w:val="28"/>
          <w:szCs w:val="28"/>
          <w:lang w:val="kk-KZ"/>
        </w:rPr>
        <w:t>воздействий</w:t>
      </w:r>
      <w:r w:rsidRPr="00107040">
        <w:rPr>
          <w:rFonts w:ascii="Times New Roman" w:hAnsi="Times New Roman"/>
          <w:sz w:val="28"/>
          <w:szCs w:val="28"/>
        </w:rPr>
        <w:t xml:space="preserve"> патогенов </w:t>
      </w:r>
      <w:r w:rsidRPr="00107040">
        <w:rPr>
          <w:rFonts w:ascii="Times New Roman" w:hAnsi="Times New Roman"/>
          <w:sz w:val="28"/>
          <w:szCs w:val="28"/>
          <w:lang w:val="kk-KZ"/>
        </w:rPr>
        <w:t xml:space="preserve">на организм </w:t>
      </w:r>
      <w:r w:rsidRPr="00107040">
        <w:rPr>
          <w:rFonts w:ascii="Times New Roman" w:hAnsi="Times New Roman"/>
          <w:sz w:val="28"/>
          <w:szCs w:val="28"/>
        </w:rPr>
        <w:fldChar w:fldCharType="begin"/>
      </w:r>
      <w:r w:rsidR="00D67182">
        <w:rPr>
          <w:rFonts w:ascii="Times New Roman" w:hAnsi="Times New Roman"/>
          <w:sz w:val="28"/>
          <w:szCs w:val="28"/>
        </w:rPr>
        <w:instrText xml:space="preserve"> ADDIN ZOTERO_ITEM CSL_CITATION {"citationID":"9MhzzFqZ","properties":{"formattedCitation":"[46]","plainCitation":"[46]","noteIndex":0},"citationItems":[{"id":1521,"uris":["http://zotero.org/users/9078202/items/3PVAIFTP"],"itemData":{"id":1521,"type":"article-journal","abstract":"Several reactive oxygen species (ROS) are continuously produced in plants as byproducts of aerobic metabolism. Depending on the nature of the ROS species, some are highly toxic and rapidly detoxified by various cellular enzymatic and nonenzymatic mechanisms. Whereas plants are surfeited with mechanisms to combat increased ROS levels during abiotic stress conditions, in other circumstances plants appear to purposefully generate ROS as signaling molecules to control various processes including pathogen defense, programmed cell death, and stomatal behavior. This review describes the mechanisms of ROS generation and removal in plants during development and under biotic and abiotic stress conditions. New insights into the complexity and roles that ROS play in plants have come from genetic analyses of ROS detoxifying and signaling mutants. Considering recent ROS-induced genome-wide expression analyses, the possible functions and mechanisms for ROS sensing and signaling in plants are compared with those in animals and yeast.","container-title":"Annual Review of Plant Biology","DOI":"10.1146/annurev.arplant.55.031903.141701","ISSN":"1543-5008","journalAbbreviation":"Annu Rev Plant Biol","language":"eng","note":"PMID: 15377225","page":"373-399","source":"PubMed","title":"Reactive oxygen species: metabolism, oxidative stress, and signal transduction","title-short":"Reactive oxygen species","volume":"55","author":[{"family":"Apel","given":"Klaus"},{"family":"Hirt","given":"Heribert"}],"issued":{"date-parts":[["2004"]]}}}],"schema":"https://github.com/citation-style-language/schema/raw/master/csl-citation.json"} </w:instrText>
      </w:r>
      <w:r w:rsidRPr="00107040">
        <w:rPr>
          <w:rFonts w:ascii="Times New Roman" w:hAnsi="Times New Roman"/>
          <w:sz w:val="28"/>
          <w:szCs w:val="28"/>
        </w:rPr>
        <w:fldChar w:fldCharType="separate"/>
      </w:r>
      <w:r w:rsidR="00D67182" w:rsidRPr="00D67182">
        <w:rPr>
          <w:rFonts w:ascii="Times New Roman" w:hAnsi="Times New Roman"/>
          <w:sz w:val="28"/>
        </w:rPr>
        <w:t>[46]</w:t>
      </w:r>
      <w:r w:rsidRPr="00107040">
        <w:rPr>
          <w:rFonts w:ascii="Times New Roman" w:hAnsi="Times New Roman"/>
          <w:sz w:val="28"/>
          <w:szCs w:val="28"/>
        </w:rPr>
        <w:fldChar w:fldCharType="end"/>
      </w:r>
      <w:r w:rsidRPr="00107040">
        <w:rPr>
          <w:rFonts w:ascii="Times New Roman" w:hAnsi="Times New Roman"/>
          <w:sz w:val="28"/>
          <w:szCs w:val="28"/>
        </w:rPr>
        <w:t xml:space="preserve">. В дополнение к эндогенным механизмам воздействие внешних загрязнителей, включая озон </w:t>
      </w:r>
      <w:r w:rsidRPr="00107040">
        <w:rPr>
          <w:rFonts w:ascii="Times New Roman" w:hAnsi="Times New Roman"/>
          <w:sz w:val="28"/>
          <w:szCs w:val="28"/>
        </w:rPr>
        <w:fldChar w:fldCharType="begin"/>
      </w:r>
      <w:r w:rsidR="00D67182">
        <w:rPr>
          <w:rFonts w:ascii="Times New Roman" w:hAnsi="Times New Roman"/>
          <w:sz w:val="28"/>
          <w:szCs w:val="28"/>
        </w:rPr>
        <w:instrText xml:space="preserve"> ADDIN ZOTERO_ITEM CSL_CITATION {"citationID":"PlRZSAIB","properties":{"formattedCitation":"[47]","plainCitation":"[47]","noteIndex":0},"citationItems":[{"id":1523,"uris":["http://zotero.org/users/9078202/items/CZ7TK9AA"],"itemData":{"id":1523,"type":"article-journal","abstract":"Electron spin resonance (ESR) spectroscopy was used to demonstrate that free radicals are formed in O3-fumigated plant leaves prior to the formation of visible leaf injury. ESR signals with a g-value of 2.0037 to 2.0043, were observed in pea (Pisum sativum L. cv. Feltham first) and bean (Phaseolus vulgaris L. cv. Pinto) plants that had been fumigated for 4 h with 70–300 nl l−1 of ozone after they had been treated with the spin-trap N-t-butyl-α-phenylnitrone (PBN). The size of the ESR signals increased with the concentration of ozone used but the nature of the trapped radicals could not be identified. However, further experiments using an inhibitor of ethylene biosynthesis, arninoethoxyvinyl glycine (AVG), showed that the reaction between ozone and ethylene is the cause for ozone toxicity.","container-title":"Physiologia Plantarum","DOI":"10.1111/j.1399-3054.1990.tb06756.x","ISSN":"1399-3054","issue":"2","language":"en","note":"_eprint: https://onlinelibrary.wiley.com/doi/pdf/10.1111/j.1399-3054.1990.tb06756.x","page":"377-383","source":"Wiley Online Library","title":"Electron spin resonance evidence for the formation of free radicals in plants exposed to ozone","URL":"https://onlinelibrary.wiley.com/doi/abs/10.1111/j.1399-3054.1990.tb06756.x","volume":"79","author":[{"family":"Mehlhorn","given":"Horst"},{"family":"Tabner","given":"Brian J."},{"family":"Wellburn","given":"Alan R."}],"accessed":{"date-parts":[["2022",8,30]]},"issued":{"date-parts":[["1990"]]}}}],"schema":"https://github.com/citation-style-language/schema/raw/master/csl-citation.json"} </w:instrText>
      </w:r>
      <w:r w:rsidRPr="00107040">
        <w:rPr>
          <w:rFonts w:ascii="Times New Roman" w:hAnsi="Times New Roman"/>
          <w:sz w:val="28"/>
          <w:szCs w:val="28"/>
        </w:rPr>
        <w:fldChar w:fldCharType="separate"/>
      </w:r>
      <w:r w:rsidR="00D67182" w:rsidRPr="00D67182">
        <w:rPr>
          <w:rFonts w:ascii="Times New Roman" w:hAnsi="Times New Roman"/>
          <w:sz w:val="28"/>
        </w:rPr>
        <w:t>[47]</w:t>
      </w:r>
      <w:r w:rsidRPr="00107040">
        <w:rPr>
          <w:rFonts w:ascii="Times New Roman" w:hAnsi="Times New Roman"/>
          <w:sz w:val="28"/>
          <w:szCs w:val="28"/>
        </w:rPr>
        <w:fldChar w:fldCharType="end"/>
      </w:r>
      <w:r w:rsidRPr="00107040">
        <w:rPr>
          <w:rFonts w:ascii="Times New Roman" w:hAnsi="Times New Roman"/>
          <w:sz w:val="28"/>
          <w:szCs w:val="28"/>
        </w:rPr>
        <w:t xml:space="preserve">, ультрафиолетовый свет </w:t>
      </w:r>
      <w:r w:rsidRPr="00107040">
        <w:rPr>
          <w:rFonts w:ascii="Times New Roman" w:hAnsi="Times New Roman"/>
          <w:sz w:val="28"/>
          <w:szCs w:val="28"/>
        </w:rPr>
        <w:fldChar w:fldCharType="begin"/>
      </w:r>
      <w:r w:rsidR="00D67182">
        <w:rPr>
          <w:rFonts w:ascii="Times New Roman" w:hAnsi="Times New Roman"/>
          <w:sz w:val="28"/>
          <w:szCs w:val="28"/>
        </w:rPr>
        <w:instrText xml:space="preserve"> ADDIN ZOTERO_ITEM CSL_CITATION {"citationID":"GuP1MWev","properties":{"formattedCitation":"[48]","plainCitation":"[48]","noteIndex":0},"citationItems":[{"id":1525,"uris":["http://zotero.org/users/9078202/items/V4YX9FGI"],"itemData":{"id":1525,"type":"article-journal","abstract":"We have assessed ultraviolet-B (UV-B)-induced injury in wild-type Arabidopsis thaliana and two mutants with altered aromatic secondary product biosynthesis. Arabidopsis mutants defective in the ability to synthesize UV-B-absorbing compounds (flavonoids in transparent testa 5 [tt5] and sinapate esters in ferulic acid hydroxylase 1 [fah1]) are more sensitive to UV-B than is the wild-type Landsberg erecta. Despite its ability to accumulate UV-absorptive flavonoid compounds, the ferulic acid hydroxylase mutant fah1 exhibits more physiological injury (growth inhibition and foliar lesions) than either wild type or tt5. The extreme UV-B sensitivity of fah1 demonstrates the importance of hydroxycinnamate esters as UV-B protectants. Consistent with the whole-plant response, the highest levels of lipid and protein oxidation products were seen in fah1. Ascorbate peroxidase enzyme activity was also increased in the leaves of UV-B-treated plants in a dose- and genotype-dependent manner. These results demonstrate that, in A. thaliana, hydroxycinnamates are more effective UV-B protectants than flavonoids. The data also indicate that A. thaliana responds to UV-B as an oxidative stress, and sunscreen compounds reduce the oxidative damage caused by UV-B.","container-title":"Plant Physiology","DOI":"10.1104/pp.109.4.1159","ISSN":"0032-0889","issue":"4","journalAbbreviation":"Plant Physiol","language":"eng","note":"PMID: 8539286\nPMCID: PMC157646","page":"1159-1166","source":"PubMed","title":"Arabidopsis mutants lacking phenolic sunscreens exhibit enhanced ultraviolet-B injury and oxidative damage","volume":"109","author":[{"family":"Landry","given":"L. G."},{"family":"Chapple","given":"C. C."},{"family":"Last","given":"R. L."}],"issued":{"date-parts":[["1995",12]]}}}],"schema":"https://github.com/citation-style-language/schema/raw/master/csl-citation.json"} </w:instrText>
      </w:r>
      <w:r w:rsidRPr="00107040">
        <w:rPr>
          <w:rFonts w:ascii="Times New Roman" w:hAnsi="Times New Roman"/>
          <w:sz w:val="28"/>
          <w:szCs w:val="28"/>
        </w:rPr>
        <w:fldChar w:fldCharType="separate"/>
      </w:r>
      <w:r w:rsidR="00D67182" w:rsidRPr="00D67182">
        <w:rPr>
          <w:rFonts w:ascii="Times New Roman" w:hAnsi="Times New Roman"/>
          <w:sz w:val="28"/>
        </w:rPr>
        <w:t>[48]</w:t>
      </w:r>
      <w:r w:rsidRPr="00107040">
        <w:rPr>
          <w:rFonts w:ascii="Times New Roman" w:hAnsi="Times New Roman"/>
          <w:sz w:val="28"/>
          <w:szCs w:val="28"/>
        </w:rPr>
        <w:fldChar w:fldCharType="end"/>
      </w:r>
      <w:r w:rsidRPr="00107040">
        <w:rPr>
          <w:rFonts w:ascii="Times New Roman" w:hAnsi="Times New Roman"/>
          <w:sz w:val="28"/>
          <w:szCs w:val="28"/>
        </w:rPr>
        <w:t xml:space="preserve"> и небольшое количество ионизирующего излучения </w:t>
      </w:r>
      <w:r w:rsidRPr="00107040">
        <w:rPr>
          <w:rFonts w:ascii="Times New Roman" w:hAnsi="Times New Roman"/>
          <w:sz w:val="28"/>
          <w:szCs w:val="28"/>
        </w:rPr>
        <w:fldChar w:fldCharType="begin"/>
      </w:r>
      <w:r w:rsidR="00D67182">
        <w:rPr>
          <w:rFonts w:ascii="Times New Roman" w:hAnsi="Times New Roman"/>
          <w:sz w:val="28"/>
          <w:szCs w:val="28"/>
        </w:rPr>
        <w:instrText xml:space="preserve"> ADDIN ZOTERO_ITEM CSL_CITATION {"citationID":"t7mBllBI","properties":{"formattedCitation":"[49]","plainCitation":"[49]","noteIndex":0},"citationItems":[{"id":1528,"uris":["http://zotero.org/users/9078202/items/AH4U5Z2X"],"itemData":{"id":1528,"type":"article-journal","container-title":"Progress in Nucleic Acid Research and Molecular Biology","DOI":"10.1016/s0079-6603(08)60611-x","ISSN":"0079-6603","journalAbbreviation":"Prog Nucleic Acid Res Mol Biol","language":"eng","note":"PMID: 3065826","page":"95-125","source":"PubMed","title":"DNA damage produced by ionizing radiation in mammalian cells: identities, mechanisms of formation, and reparability","title-short":"DNA damage produced by ionizing radiation in mammalian cells","volume":"35","author":[{"family":"Ward","given":"J. F."}],"issued":{"date-parts":[["1988"]]}}}],"schema":"https://github.com/citation-style-language/schema/raw/master/csl-citation.json"} </w:instrText>
      </w:r>
      <w:r w:rsidRPr="00107040">
        <w:rPr>
          <w:rFonts w:ascii="Times New Roman" w:hAnsi="Times New Roman"/>
          <w:sz w:val="28"/>
          <w:szCs w:val="28"/>
        </w:rPr>
        <w:fldChar w:fldCharType="separate"/>
      </w:r>
      <w:r w:rsidR="00D67182" w:rsidRPr="00D67182">
        <w:rPr>
          <w:rFonts w:ascii="Times New Roman" w:hAnsi="Times New Roman"/>
          <w:sz w:val="28"/>
        </w:rPr>
        <w:t>[49]</w:t>
      </w:r>
      <w:r w:rsidRPr="00107040">
        <w:rPr>
          <w:rFonts w:ascii="Times New Roman" w:hAnsi="Times New Roman"/>
          <w:sz w:val="28"/>
          <w:szCs w:val="28"/>
        </w:rPr>
        <w:fldChar w:fldCharType="end"/>
      </w:r>
      <w:r w:rsidRPr="00107040">
        <w:rPr>
          <w:rFonts w:ascii="Times New Roman" w:hAnsi="Times New Roman"/>
          <w:sz w:val="28"/>
          <w:szCs w:val="28"/>
        </w:rPr>
        <w:t>, может вызывать образование АФК.</w:t>
      </w:r>
    </w:p>
    <w:p w14:paraId="7A02B1B0" w14:textId="51652B40" w:rsidR="00107040" w:rsidRPr="00107040" w:rsidRDefault="00107040" w:rsidP="00107040">
      <w:pPr>
        <w:spacing w:after="0" w:line="240" w:lineRule="auto"/>
        <w:ind w:firstLine="567"/>
        <w:jc w:val="both"/>
        <w:rPr>
          <w:rFonts w:ascii="Times New Roman" w:hAnsi="Times New Roman"/>
          <w:sz w:val="28"/>
          <w:szCs w:val="28"/>
          <w:lang w:val="kk-KZ"/>
        </w:rPr>
      </w:pPr>
      <w:r w:rsidRPr="00107040">
        <w:rPr>
          <w:rFonts w:ascii="Times New Roman" w:hAnsi="Times New Roman"/>
          <w:sz w:val="28"/>
          <w:szCs w:val="28"/>
          <w:lang w:val="kk-KZ"/>
        </w:rPr>
        <w:t>Способность различных АФК вызывать клеточное повреждение в значительной степени зависит от их периода полувыведения, реактивности и диффузионной способности. Остальные АФК имеют невероятно короткие периоды полураспада, в отличие от H</w:t>
      </w:r>
      <w:r w:rsidRPr="00107040">
        <w:rPr>
          <w:rFonts w:ascii="Times New Roman" w:hAnsi="Times New Roman"/>
          <w:sz w:val="28"/>
          <w:szCs w:val="28"/>
          <w:vertAlign w:val="subscript"/>
          <w:lang w:val="kk-KZ"/>
        </w:rPr>
        <w:t>2</w:t>
      </w:r>
      <w:r w:rsidRPr="00107040">
        <w:rPr>
          <w:rFonts w:ascii="Times New Roman" w:hAnsi="Times New Roman"/>
          <w:sz w:val="28"/>
          <w:szCs w:val="28"/>
          <w:lang w:val="kk-KZ"/>
        </w:rPr>
        <w:t>O</w:t>
      </w:r>
      <w:r w:rsidRPr="00107040">
        <w:rPr>
          <w:rFonts w:ascii="Times New Roman" w:hAnsi="Times New Roman"/>
          <w:sz w:val="28"/>
          <w:szCs w:val="28"/>
          <w:vertAlign w:val="subscript"/>
          <w:lang w:val="kk-KZ"/>
        </w:rPr>
        <w:t>2</w:t>
      </w:r>
      <w:r w:rsidRPr="00107040">
        <w:rPr>
          <w:rFonts w:ascii="Times New Roman" w:hAnsi="Times New Roman"/>
          <w:sz w:val="28"/>
          <w:szCs w:val="28"/>
          <w:lang w:val="kk-KZ"/>
        </w:rPr>
        <w:t xml:space="preserve">, концентрация которого в растительных клетках может достигать микромолярной концентрации </w:t>
      </w:r>
      <w:r w:rsidRPr="00107040">
        <w:rPr>
          <w:rFonts w:ascii="Times New Roman" w:hAnsi="Times New Roman"/>
          <w:sz w:val="28"/>
          <w:szCs w:val="28"/>
          <w:lang w:val="kk-KZ"/>
        </w:rPr>
        <w:fldChar w:fldCharType="begin"/>
      </w:r>
      <w:r w:rsidR="00D67182">
        <w:rPr>
          <w:rFonts w:ascii="Times New Roman" w:hAnsi="Times New Roman"/>
          <w:sz w:val="28"/>
          <w:szCs w:val="28"/>
          <w:lang w:val="kk-KZ"/>
        </w:rPr>
        <w:instrText xml:space="preserve"> ADDIN ZOTERO_ITEM CSL_CITATION {"citationID":"LapwVYb1","properties":{"formattedCitation":"[50]","plainCitation":"[50]","noteIndex":0},"citationItems":[{"id":1530,"uris":["http://zotero.org/users/9078202/items/ALHTNJY6"],"itemData":{"id":1530,"type":"article-journal","abstract":"While H2O2 has been implicated in numerous plant environmental responses, normal levels and variabilities are poorly established, and estimates of leaf tissue concentrations span more than three orders of magnitude, even in a single species under similar conditions. Here, leaf tissue H2O2 contents under natural conditions are reported after determining (i) that H2O2 in extracts was stable with time, (ii) that H2O2 added to the extract was recovered quantitatively, and (iii) that the H2O2 calibration curve was unaffected (or quantifiably affected) by the extract. The broad applicability of the protocol and variability in leaf concentrations were demonstrated using tissue collected from several habitats in association with three, more extensive, experiments. The first involved nychthemeral studies of the mangrove, Rhizophora mangle L. Lowest H2O2 levels occurred in the early morning and near sunset, with higher levels both at midday and at night. Second, using five temperate species in Spring, concentrations were compared on a warm, sunny day and a cool, cloudy day. Higher concentrations were found on the warm day for Aesculus glabra Willd., Glechoma hederacea L., Plantago major L., and Viola soraria Willd., while there were no differences in Quercus macrocarpa Michx. Finally, the effects of elevated CO2 and ozone were examined in soybean, Glycine max L. Pioneer 93B15 under Free Air gas Concentration Enrichment (FACE) conditions. Both supplements led to elevated H2O2. Overall, mean leaf, midday, and mid-summer H2O2 concentrations ranged from 0.67 micromol (gFW)(-1) in mangrove to 3.6 micromol (gFW)(-1) in A. glabra Willd. Greatest within-species differences were only 2.5-fold in any of the studies.","container-title":"Journal of Experimental Botany","DOI":"10.1093/jxb/erl004","ISSN":"0022-0957","issue":"10","journalAbbreviation":"J Exp Bot","language":"eng","note":"PMID: 16766599","page":"2435-2444","source":"PubMed","title":"Hydrogen peroxide concentrations in leaves under natural conditions","volume":"57","author":[{"family":"Cheeseman","given":"John M."}],"issued":{"date-parts":[["2006"]]}}}],"schema":"https://github.com/citation-style-language/schema/raw/master/csl-citation.json"} </w:instrText>
      </w:r>
      <w:r w:rsidRPr="00107040">
        <w:rPr>
          <w:rFonts w:ascii="Times New Roman" w:hAnsi="Times New Roman"/>
          <w:sz w:val="28"/>
          <w:szCs w:val="28"/>
          <w:lang w:val="kk-KZ"/>
        </w:rPr>
        <w:fldChar w:fldCharType="separate"/>
      </w:r>
      <w:r w:rsidR="00D67182" w:rsidRPr="00D67182">
        <w:rPr>
          <w:rFonts w:ascii="Times New Roman" w:hAnsi="Times New Roman"/>
          <w:sz w:val="28"/>
        </w:rPr>
        <w:t>[50]</w:t>
      </w:r>
      <w:r w:rsidRPr="00107040">
        <w:rPr>
          <w:rFonts w:ascii="Times New Roman" w:hAnsi="Times New Roman"/>
          <w:sz w:val="28"/>
          <w:szCs w:val="28"/>
          <w:lang w:val="kk-KZ"/>
        </w:rPr>
        <w:fldChar w:fldCharType="end"/>
      </w:r>
      <w:r w:rsidRPr="00107040">
        <w:rPr>
          <w:rFonts w:ascii="Times New Roman" w:hAnsi="Times New Roman"/>
          <w:sz w:val="28"/>
          <w:szCs w:val="28"/>
          <w:lang w:val="kk-KZ"/>
        </w:rPr>
        <w:t xml:space="preserve">. Супероксиддисмутазы могут катализировать превращение </w:t>
      </w:r>
      <w:r w:rsidRPr="00107040">
        <w:rPr>
          <w:rFonts w:ascii="Times New Roman" w:hAnsi="Times New Roman"/>
          <w:sz w:val="28"/>
          <w:szCs w:val="28"/>
        </w:rPr>
        <w:t>О</w:t>
      </w:r>
      <w:r w:rsidRPr="00107040">
        <w:rPr>
          <w:rFonts w:ascii="Times New Roman" w:hAnsi="Times New Roman"/>
          <w:sz w:val="28"/>
          <w:szCs w:val="28"/>
          <w:vertAlign w:val="subscript"/>
        </w:rPr>
        <w:t>2</w:t>
      </w:r>
      <w:r w:rsidRPr="00107040">
        <w:rPr>
          <w:rFonts w:ascii="Times New Roman" w:hAnsi="Times New Roman"/>
          <w:sz w:val="28"/>
          <w:szCs w:val="28"/>
          <w:vertAlign w:val="superscript"/>
        </w:rPr>
        <w:t>•</w:t>
      </w:r>
      <w:r w:rsidRPr="00107040">
        <w:rPr>
          <w:rFonts w:ascii="Times New Roman" w:hAnsi="Times New Roman"/>
          <w:sz w:val="28"/>
          <w:szCs w:val="28"/>
          <w:vertAlign w:val="superscript"/>
          <w:lang w:val="kk-KZ"/>
        </w:rPr>
        <w:t>-</w:t>
      </w:r>
      <w:r w:rsidRPr="00107040">
        <w:rPr>
          <w:rFonts w:ascii="Times New Roman" w:hAnsi="Times New Roman"/>
          <w:sz w:val="28"/>
          <w:szCs w:val="28"/>
          <w:lang w:val="kk-KZ"/>
        </w:rPr>
        <w:t xml:space="preserve"> в H</w:t>
      </w:r>
      <w:r w:rsidRPr="00107040">
        <w:rPr>
          <w:rFonts w:ascii="Times New Roman" w:hAnsi="Times New Roman"/>
          <w:sz w:val="28"/>
          <w:szCs w:val="28"/>
          <w:vertAlign w:val="subscript"/>
          <w:lang w:val="kk-KZ"/>
        </w:rPr>
        <w:t>2</w:t>
      </w:r>
      <w:r w:rsidRPr="00107040">
        <w:rPr>
          <w:rFonts w:ascii="Times New Roman" w:hAnsi="Times New Roman"/>
          <w:sz w:val="28"/>
          <w:szCs w:val="28"/>
          <w:lang w:val="kk-KZ"/>
        </w:rPr>
        <w:t>O</w:t>
      </w:r>
      <w:r w:rsidRPr="00107040">
        <w:rPr>
          <w:rFonts w:ascii="Times New Roman" w:hAnsi="Times New Roman"/>
          <w:sz w:val="28"/>
          <w:szCs w:val="28"/>
          <w:vertAlign w:val="subscript"/>
          <w:lang w:val="kk-KZ"/>
        </w:rPr>
        <w:t>2</w:t>
      </w:r>
      <w:r w:rsidRPr="00107040">
        <w:rPr>
          <w:rFonts w:ascii="Times New Roman" w:hAnsi="Times New Roman"/>
          <w:sz w:val="28"/>
          <w:szCs w:val="28"/>
          <w:lang w:val="kk-KZ"/>
        </w:rPr>
        <w:t>, и вполне вероятно, что H</w:t>
      </w:r>
      <w:r w:rsidRPr="00107040">
        <w:rPr>
          <w:rFonts w:ascii="Times New Roman" w:hAnsi="Times New Roman"/>
          <w:sz w:val="28"/>
          <w:szCs w:val="28"/>
          <w:vertAlign w:val="subscript"/>
          <w:lang w:val="kk-KZ"/>
        </w:rPr>
        <w:t>2</w:t>
      </w:r>
      <w:r w:rsidRPr="00107040">
        <w:rPr>
          <w:rFonts w:ascii="Times New Roman" w:hAnsi="Times New Roman"/>
          <w:sz w:val="28"/>
          <w:szCs w:val="28"/>
          <w:lang w:val="kk-KZ"/>
        </w:rPr>
        <w:t>O</w:t>
      </w:r>
      <w:r w:rsidRPr="00107040">
        <w:rPr>
          <w:rFonts w:ascii="Times New Roman" w:hAnsi="Times New Roman"/>
          <w:sz w:val="28"/>
          <w:szCs w:val="28"/>
          <w:vertAlign w:val="subscript"/>
          <w:lang w:val="kk-KZ"/>
        </w:rPr>
        <w:t>2</w:t>
      </w:r>
      <w:r w:rsidRPr="00107040">
        <w:rPr>
          <w:rFonts w:ascii="Times New Roman" w:hAnsi="Times New Roman"/>
          <w:sz w:val="28"/>
          <w:szCs w:val="28"/>
          <w:lang w:val="kk-KZ"/>
        </w:rPr>
        <w:t xml:space="preserve"> действует как инертная диффундирующая молекула, которая может производить реакционноспособный </w:t>
      </w:r>
      <w:r w:rsidRPr="00107040">
        <w:rPr>
          <w:rFonts w:ascii="Times New Roman" w:hAnsi="Times New Roman"/>
          <w:sz w:val="28"/>
          <w:szCs w:val="28"/>
          <w:vertAlign w:val="superscript"/>
        </w:rPr>
        <w:t>•</w:t>
      </w:r>
      <w:r w:rsidRPr="00107040">
        <w:rPr>
          <w:rFonts w:ascii="Times New Roman" w:hAnsi="Times New Roman"/>
          <w:sz w:val="28"/>
          <w:szCs w:val="28"/>
          <w:lang w:val="kk-KZ"/>
        </w:rPr>
        <w:t xml:space="preserve">OH посредством катализа свободных ионов переходных металлов </w:t>
      </w:r>
      <w:r w:rsidRPr="00107040">
        <w:rPr>
          <w:rFonts w:ascii="Times New Roman" w:hAnsi="Times New Roman"/>
          <w:sz w:val="28"/>
          <w:szCs w:val="28"/>
          <w:lang w:val="kk-KZ"/>
        </w:rPr>
        <w:fldChar w:fldCharType="begin"/>
      </w:r>
      <w:r w:rsidR="00D67182">
        <w:rPr>
          <w:rFonts w:ascii="Times New Roman" w:hAnsi="Times New Roman"/>
          <w:sz w:val="28"/>
          <w:szCs w:val="28"/>
          <w:lang w:val="kk-KZ"/>
        </w:rPr>
        <w:instrText xml:space="preserve"> ADDIN ZOTERO_ITEM CSL_CITATION {"citationID":"VgcR5jQr","properties":{"formattedCitation":"[51]","plainCitation":"[51]","noteIndex":0},"citationItems":[{"id":1956,"uris":["http://zotero.org/users/9078202/items/S8YGB95M"],"itemData":{"id":1956,"type":"article-journal","abstract":"[\n              Note by Dr. O. H. Wansbrough-Jones\n              —Shortly before Professor Haber died, he gave the manuscript of this paper to Professor Sir William Pope. The final revision for the press had not been made and in its original from the paper was not suitable for publication in an English journal. Considerable alterations in the wording have accordingly been made; but since, Professor Haber had considered carefully how he wished to present the results embodied in it, the form and sequence of the paper remain unmodified. The paper is, further, a sequel to some communications in German periodicals which may not be familiar to its readers. In an attempt to make it more quickly understandable, while keeping it as far as possible as it was left by Professor Haber, the following summary has been added.","container-title":"Proceedings of the Royal Society of London. Series A - Mathematical and Physical Sciences","DOI":"10.1098/rspa.1934.0221","ISSN":"0080-4630, 2053-9169","issue":"861","journalAbbreviation":"Proc. R. Soc. Lond. A","language":"en","page":"332-351","source":"DOI.org (Crossref)","title":"The catalytic decomposition of hydrogen peroxide by iron salts","URL":"https://royalsocietypublishing.org/doi/10.1098/rspa.1934.0221","volume":"147","accessed":{"date-parts":[["2022",9,14]]},"issued":{"date-parts":[["1934",11,15]]}}}],"schema":"https://github.com/citation-style-language/schema/raw/master/csl-citation.json"} </w:instrText>
      </w:r>
      <w:r w:rsidRPr="00107040">
        <w:rPr>
          <w:rFonts w:ascii="Times New Roman" w:hAnsi="Times New Roman"/>
          <w:sz w:val="28"/>
          <w:szCs w:val="28"/>
          <w:lang w:val="kk-KZ"/>
        </w:rPr>
        <w:fldChar w:fldCharType="separate"/>
      </w:r>
      <w:r w:rsidR="00D67182" w:rsidRPr="00D67182">
        <w:rPr>
          <w:rFonts w:ascii="Times New Roman" w:hAnsi="Times New Roman"/>
          <w:sz w:val="28"/>
        </w:rPr>
        <w:t>[51]</w:t>
      </w:r>
      <w:r w:rsidRPr="00107040">
        <w:rPr>
          <w:rFonts w:ascii="Times New Roman" w:hAnsi="Times New Roman"/>
          <w:sz w:val="28"/>
          <w:szCs w:val="28"/>
          <w:lang w:val="kk-KZ"/>
        </w:rPr>
        <w:fldChar w:fldCharType="end"/>
      </w:r>
      <w:r w:rsidRPr="00107040">
        <w:rPr>
          <w:rFonts w:ascii="Times New Roman" w:hAnsi="Times New Roman"/>
          <w:sz w:val="28"/>
          <w:szCs w:val="28"/>
          <w:lang w:val="kk-KZ"/>
        </w:rPr>
        <w:t xml:space="preserve">. Наиболее реакционноспособная первичная АФК, гидроксильный радикал, окисляет все известные биомолекулы со скоростью, ограниченной диффузией. Было подсчитано, что среднее расстояние диффузии до того, как </w:t>
      </w:r>
      <w:r w:rsidRPr="00107040">
        <w:rPr>
          <w:rFonts w:ascii="Times New Roman" w:hAnsi="Times New Roman"/>
          <w:sz w:val="28"/>
          <w:szCs w:val="28"/>
          <w:vertAlign w:val="superscript"/>
        </w:rPr>
        <w:t>•</w:t>
      </w:r>
      <w:r w:rsidRPr="00107040">
        <w:rPr>
          <w:rFonts w:ascii="Times New Roman" w:hAnsi="Times New Roman"/>
          <w:sz w:val="28"/>
          <w:szCs w:val="28"/>
          <w:lang w:val="kk-KZ"/>
        </w:rPr>
        <w:t xml:space="preserve">ОН воздействует с клеточным компонентом, составляет всего 3 нм </w:t>
      </w:r>
      <w:r w:rsidRPr="00107040">
        <w:rPr>
          <w:rFonts w:ascii="Times New Roman" w:hAnsi="Times New Roman"/>
          <w:sz w:val="28"/>
          <w:szCs w:val="28"/>
          <w:lang w:val="kk-KZ"/>
        </w:rPr>
        <w:fldChar w:fldCharType="begin"/>
      </w:r>
      <w:r w:rsidR="00D67182">
        <w:rPr>
          <w:rFonts w:ascii="Times New Roman" w:hAnsi="Times New Roman"/>
          <w:sz w:val="28"/>
          <w:szCs w:val="28"/>
          <w:lang w:val="kk-KZ"/>
        </w:rPr>
        <w:instrText xml:space="preserve"> ADDIN ZOTERO_ITEM CSL_CITATION {"citationID":"h9iqp6XC","properties":{"formattedCitation":"[52]","plainCitation":"[52]","noteIndex":0},"citationItems":[{"id":1535,"uris":["http://zotero.org/users/9078202/items/CDEKGZYN"],"itemData":{"id":1535,"type":"article-journal","container-title":"Radiation Research","ISSN":"0033-7587","issue":"5","journalAbbreviation":"Radiat Res","language":"eng","note":"PMID: 13485388","page":"473-483","source":"PubMed","title":"The distance that a radical formed by ionizing radiation can diffuse in a yeast cell","volume":"7","author":[{"family":"Hutchinson","given":"F."}],"issued":{"date-parts":[["1957",11]]}}}],"schema":"https://github.com/citation-style-language/schema/raw/master/csl-citation.json"} </w:instrText>
      </w:r>
      <w:r w:rsidRPr="00107040">
        <w:rPr>
          <w:rFonts w:ascii="Times New Roman" w:hAnsi="Times New Roman"/>
          <w:sz w:val="28"/>
          <w:szCs w:val="28"/>
          <w:lang w:val="kk-KZ"/>
        </w:rPr>
        <w:fldChar w:fldCharType="separate"/>
      </w:r>
      <w:r w:rsidR="00D67182" w:rsidRPr="00D67182">
        <w:rPr>
          <w:rFonts w:ascii="Times New Roman" w:hAnsi="Times New Roman"/>
          <w:sz w:val="28"/>
        </w:rPr>
        <w:t>[52]</w:t>
      </w:r>
      <w:r w:rsidRPr="00107040">
        <w:rPr>
          <w:rFonts w:ascii="Times New Roman" w:hAnsi="Times New Roman"/>
          <w:sz w:val="28"/>
          <w:szCs w:val="28"/>
          <w:lang w:val="kk-KZ"/>
        </w:rPr>
        <w:fldChar w:fldCharType="end"/>
      </w:r>
      <w:r w:rsidRPr="00107040">
        <w:rPr>
          <w:rFonts w:ascii="Times New Roman" w:hAnsi="Times New Roman"/>
          <w:sz w:val="28"/>
          <w:szCs w:val="28"/>
          <w:lang w:val="kk-KZ"/>
        </w:rPr>
        <w:t xml:space="preserve">. В результате чтобы окислить ДНК, </w:t>
      </w:r>
      <w:r w:rsidRPr="00107040">
        <w:rPr>
          <w:rFonts w:ascii="Times New Roman" w:hAnsi="Times New Roman"/>
          <w:sz w:val="28"/>
          <w:szCs w:val="28"/>
          <w:vertAlign w:val="superscript"/>
        </w:rPr>
        <w:t>•</w:t>
      </w:r>
      <w:r w:rsidRPr="00107040">
        <w:rPr>
          <w:rFonts w:ascii="Times New Roman" w:hAnsi="Times New Roman"/>
          <w:sz w:val="28"/>
          <w:szCs w:val="28"/>
          <w:lang w:val="kk-KZ"/>
        </w:rPr>
        <w:t xml:space="preserve">ОН должен находиться в непосредственной близости от нее. </w:t>
      </w:r>
    </w:p>
    <w:p w14:paraId="54679889" w14:textId="7C59F0C1" w:rsidR="00107040" w:rsidRPr="00107040" w:rsidRDefault="00107040" w:rsidP="00107040">
      <w:pPr>
        <w:spacing w:after="0" w:line="240" w:lineRule="auto"/>
        <w:ind w:firstLine="567"/>
        <w:jc w:val="both"/>
        <w:rPr>
          <w:rFonts w:ascii="Times New Roman" w:hAnsi="Times New Roman"/>
          <w:sz w:val="28"/>
          <w:szCs w:val="28"/>
          <w:lang w:val="kk-KZ"/>
        </w:rPr>
      </w:pPr>
      <w:r w:rsidRPr="00107040">
        <w:rPr>
          <w:rFonts w:ascii="Times New Roman" w:hAnsi="Times New Roman"/>
          <w:sz w:val="28"/>
          <w:szCs w:val="28"/>
          <w:lang w:val="kk-KZ"/>
        </w:rPr>
        <w:t xml:space="preserve">В конце концов, баланс между продукцией АФК в клетке и процессами детоксикации определяет величину цитотоксического повреждения, вызванного АФК. L-аскорбиновая кислота (витамин С), глутатион, а-токоферол (витамин Е) и каротиноиды — это лишь некоторые из многочисленных низкомолекулярных антиоксидантов, которые растения производят в изобилии в дополнение к ферментативной защите от АФК </w:t>
      </w:r>
      <w:r w:rsidRPr="00107040">
        <w:rPr>
          <w:rFonts w:ascii="Times New Roman" w:hAnsi="Times New Roman"/>
          <w:sz w:val="28"/>
          <w:szCs w:val="28"/>
          <w:lang w:val="kk-KZ"/>
        </w:rPr>
        <w:fldChar w:fldCharType="begin"/>
      </w:r>
      <w:r w:rsidR="00D67182">
        <w:rPr>
          <w:rFonts w:ascii="Times New Roman" w:hAnsi="Times New Roman"/>
          <w:sz w:val="28"/>
          <w:szCs w:val="28"/>
          <w:lang w:val="kk-KZ"/>
        </w:rPr>
        <w:instrText xml:space="preserve"> ADDIN ZOTERO_ITEM CSL_CITATION {"citationID":"otE2cm2q","properties":{"formattedCitation":"[53]","plainCitation":"[53]","noteIndex":0},"citationItems":[{"id":1952,"uris":["http://zotero.org/users/9078202/items/NJYMUSZR"],"itemData":{"id":1952,"type":"book","abstract":"Antioxidants in Higher Plants provides a unique blend of molecular and biochemical approaches to cover the state of the art in antioxidant function. The chemistry and protective potential of sulfhydryl and hydroxyl compounds are emphasized. Interesting perspectives are presented regarding the response of antioxidant metabolism to interactions among environmental pollutants, illumination, temperature, and water availability.  The book also discusses how tools of molecular biology may further clarify antioxidant function and response to stress. Antioxidants in Higher Plants will be an excellent reference for plant physiologists, biochemists, molecular biologists, ecologists, and students.","event-place":"Boca Raton","ISBN":"978-1-315-14989-9","note":"DOI: 10.1201/9781315149899","number-of-pages":"192","publisher":"CRC Press","publisher-place":"Boca Raton","title":"Antioxidants in Higher Plants","author":[{"family":"Alscher","given":"Ruth G."},{"family":"Foyer","given":"Christine H."},{"family":"Hess","given":"John L."},{"family":"Lewis","given":"Norman G."},{"family":"Pallett","given":"Kenneth E."},{"family":"Young","given":"Andrew J."},{"family":"Adams","given":"William W."},{"family":"III","given":""},{"family":"Demmig-Adams","given":"Barbara"}],"issued":{"date-parts":[["2017",8,31]]}}}],"schema":"https://github.com/citation-style-language/schema/raw/master/csl-citation.json"} </w:instrText>
      </w:r>
      <w:r w:rsidRPr="00107040">
        <w:rPr>
          <w:rFonts w:ascii="Times New Roman" w:hAnsi="Times New Roman"/>
          <w:sz w:val="28"/>
          <w:szCs w:val="28"/>
          <w:lang w:val="kk-KZ"/>
        </w:rPr>
        <w:fldChar w:fldCharType="separate"/>
      </w:r>
      <w:r w:rsidR="00D67182" w:rsidRPr="00D67182">
        <w:rPr>
          <w:rFonts w:ascii="Times New Roman" w:hAnsi="Times New Roman"/>
          <w:sz w:val="28"/>
        </w:rPr>
        <w:t>[53]</w:t>
      </w:r>
      <w:r w:rsidRPr="00107040">
        <w:rPr>
          <w:rFonts w:ascii="Times New Roman" w:hAnsi="Times New Roman"/>
          <w:sz w:val="28"/>
          <w:szCs w:val="28"/>
          <w:lang w:val="kk-KZ"/>
        </w:rPr>
        <w:fldChar w:fldCharType="end"/>
      </w:r>
      <w:r w:rsidRPr="00107040">
        <w:rPr>
          <w:rFonts w:ascii="Times New Roman" w:hAnsi="Times New Roman"/>
          <w:sz w:val="28"/>
          <w:szCs w:val="28"/>
          <w:lang w:val="kk-KZ"/>
        </w:rPr>
        <w:t xml:space="preserve">. Для сбалансированного ответа на образование АФК эти крошечные антиоксиданты могут иметь решающее значение. В результате мутанты арабидопсис с дефицитом аскорбиновой кислоты имели гиперчувствительность к озону, диоксиду серы и УФ-В излучению </w:t>
      </w:r>
      <w:r w:rsidRPr="00107040">
        <w:rPr>
          <w:rFonts w:ascii="Times New Roman" w:hAnsi="Times New Roman"/>
          <w:sz w:val="28"/>
          <w:szCs w:val="28"/>
          <w:lang w:val="kk-KZ"/>
        </w:rPr>
        <w:fldChar w:fldCharType="begin"/>
      </w:r>
      <w:r w:rsidR="00D67182">
        <w:rPr>
          <w:rFonts w:ascii="Times New Roman" w:hAnsi="Times New Roman"/>
          <w:sz w:val="28"/>
          <w:szCs w:val="28"/>
          <w:lang w:val="kk-KZ"/>
        </w:rPr>
        <w:instrText xml:space="preserve"> ADDIN ZOTERO_ITEM CSL_CITATION {"citationID":"RLvjoXIS","properties":{"formattedCitation":"[54]","plainCitation":"[54]","noteIndex":0},"citationItems":[{"id":1539,"uris":["http://zotero.org/users/9078202/items/SUEBKYV9"],"itemData":{"id":1539,"type":"article-journal","abstract":"L-ascorbic acid (vitamin C) is a powerful reducing agent found in millimolar concentrations in plants, and is proposed to play an important role in scavenging free radicals in plants and animals. However, surprisingly little is known about the role of this antioxidant in plant environmental stress adaptation or ascorbate biosynthesis. We report the isolation of soz1, a semi-dominant ozone-sensitive mutant that accumulates only 30% of the normal ascorbate concentration. The results of genetic approaches and feeding studies show that the ascorbate concentration affects foliar resistance to the oxidizing gas ozone. Consistent with the proposed role for ascorbate in reactive oxygen species detoxification, lipid peroxides are elevated in soz1, but not in wild type following ozone fumigation. We show that the soz1 mutant is hypersensitive to both sulfur dioxide and ultraviolet B irradiation, thus implicating ascorbate in defense against varied environmental stresses. In addition to defining the first ascorbate deficient mutant in plants, these results indicate that screening for ozone-sensitive mutants is a powerful method for identifying physiologically important antioxidant mechanisms and signal transduction pathways. Analysis of soz1 should lead to more information about the physiological roles and metabolism of ascorbate.","container-title":"Proceedings of the National Academy of Sciences of the United States of America","DOI":"10.1073/pnas.93.18.9970","ISSN":"0027-8424","issue":"18","journalAbbreviation":"Proc Natl Acad Sci U S A","language":"eng","note":"PMID: 8790441\nPMCID: PMC38539","page":"9970-9974","source":"PubMed","title":"Environmental stress sensitivity of an ascorbic acid-deficient Arabidopsis mutant","volume":"93","author":[{"family":"Conklin","given":"P. L."},{"family":"Williams","given":"E. H."},{"family":"Last","given":"R. L."}],"issued":{"date-parts":[["1996",9,3]]}}}],"schema":"https://github.com/citation-style-language/schema/raw/master/csl-citation.json"} </w:instrText>
      </w:r>
      <w:r w:rsidRPr="00107040">
        <w:rPr>
          <w:rFonts w:ascii="Times New Roman" w:hAnsi="Times New Roman"/>
          <w:sz w:val="28"/>
          <w:szCs w:val="28"/>
          <w:lang w:val="kk-KZ"/>
        </w:rPr>
        <w:fldChar w:fldCharType="separate"/>
      </w:r>
      <w:r w:rsidR="00D67182" w:rsidRPr="00D67182">
        <w:rPr>
          <w:rFonts w:ascii="Times New Roman" w:hAnsi="Times New Roman"/>
          <w:sz w:val="28"/>
        </w:rPr>
        <w:t>[54]</w:t>
      </w:r>
      <w:r w:rsidRPr="00107040">
        <w:rPr>
          <w:rFonts w:ascii="Times New Roman" w:hAnsi="Times New Roman"/>
          <w:sz w:val="28"/>
          <w:szCs w:val="28"/>
          <w:lang w:val="kk-KZ"/>
        </w:rPr>
        <w:fldChar w:fldCharType="end"/>
      </w:r>
      <w:r w:rsidRPr="00107040">
        <w:rPr>
          <w:rFonts w:ascii="Times New Roman" w:hAnsi="Times New Roman"/>
          <w:sz w:val="28"/>
          <w:szCs w:val="28"/>
          <w:lang w:val="kk-KZ"/>
        </w:rPr>
        <w:t>.</w:t>
      </w:r>
    </w:p>
    <w:p w14:paraId="25539351" w14:textId="77777777" w:rsidR="00107040" w:rsidRPr="00107040" w:rsidRDefault="00107040" w:rsidP="00107040">
      <w:pPr>
        <w:spacing w:after="0" w:line="240" w:lineRule="auto"/>
        <w:ind w:firstLine="567"/>
        <w:jc w:val="both"/>
        <w:rPr>
          <w:rFonts w:ascii="Times New Roman" w:hAnsi="Times New Roman"/>
          <w:sz w:val="28"/>
          <w:szCs w:val="28"/>
          <w:lang w:val="kk-KZ"/>
        </w:rPr>
      </w:pPr>
    </w:p>
    <w:p w14:paraId="12475236" w14:textId="77777777" w:rsidR="00107040" w:rsidRPr="00107040" w:rsidRDefault="00107040" w:rsidP="00107040">
      <w:pPr>
        <w:spacing w:after="0" w:line="240" w:lineRule="auto"/>
        <w:ind w:firstLine="567"/>
        <w:jc w:val="both"/>
        <w:rPr>
          <w:rFonts w:ascii="Times New Roman" w:hAnsi="Times New Roman"/>
          <w:sz w:val="28"/>
          <w:szCs w:val="28"/>
          <w:lang w:val="kk-KZ"/>
        </w:rPr>
      </w:pPr>
      <w:bookmarkStart w:id="11" w:name="_Hlk113267598"/>
      <w:r w:rsidRPr="00107040">
        <w:rPr>
          <w:rFonts w:ascii="Times New Roman" w:hAnsi="Times New Roman"/>
          <w:sz w:val="28"/>
          <w:szCs w:val="28"/>
          <w:lang w:val="kk-KZ"/>
        </w:rPr>
        <w:t>1.1.2.2 Различные формы окислительного повреждения ДНК и их генотоксические эффекты</w:t>
      </w:r>
    </w:p>
    <w:bookmarkEnd w:id="11"/>
    <w:p w14:paraId="5529958B" w14:textId="7777777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kk-KZ"/>
        </w:rPr>
        <w:t>Окислительное повреждение ДНК приводит к измененным основаниям и разрушенным остаткам сахара, которые фрагментируются и вызывают разрывы цепей. В то время как повреждение сахара в основном возникает в результате отщепления водорода от дезоксирибозы, окислительная атака на основания ДНК часто включает добавление ОН к двойным связям.</w:t>
      </w:r>
      <w:r w:rsidRPr="00107040">
        <w:rPr>
          <w:rFonts w:ascii="Times New Roman" w:hAnsi="Times New Roman"/>
          <w:sz w:val="28"/>
          <w:szCs w:val="28"/>
        </w:rPr>
        <w:t xml:space="preserve"> </w:t>
      </w:r>
    </w:p>
    <w:p w14:paraId="375ACA9E" w14:textId="4C5860AD" w:rsidR="00107040" w:rsidRDefault="00107040" w:rsidP="00107040">
      <w:pPr>
        <w:spacing w:after="0" w:line="240" w:lineRule="auto"/>
        <w:ind w:firstLine="567"/>
        <w:jc w:val="both"/>
        <w:rPr>
          <w:rFonts w:ascii="Times New Roman" w:hAnsi="Times New Roman"/>
          <w:sz w:val="28"/>
          <w:szCs w:val="28"/>
          <w:lang w:val="kk-KZ"/>
        </w:rPr>
      </w:pPr>
      <w:r w:rsidRPr="00107040">
        <w:rPr>
          <w:rFonts w:ascii="Times New Roman" w:hAnsi="Times New Roman"/>
          <w:sz w:val="28"/>
          <w:szCs w:val="28"/>
        </w:rPr>
        <w:t xml:space="preserve">Двойная связь C5-C6 атакуется гидроксильным радикалом со скоростью, контролируемой диффузией, с образованием 5-гидрокси-6-ильного и 6-гидрокси-5-ильного радикалов, которые затем реагируют, образуя различные стойкие повреждения ДНК. Производные с насыщенным </w:t>
      </w:r>
      <w:r w:rsidRPr="00107040">
        <w:rPr>
          <w:rFonts w:ascii="Times New Roman" w:hAnsi="Times New Roman"/>
          <w:sz w:val="28"/>
          <w:szCs w:val="28"/>
          <w:lang w:val="kk-KZ"/>
        </w:rPr>
        <w:t>кольцом</w:t>
      </w:r>
      <w:r w:rsidRPr="00107040">
        <w:rPr>
          <w:rFonts w:ascii="Times New Roman" w:hAnsi="Times New Roman"/>
          <w:sz w:val="28"/>
          <w:szCs w:val="28"/>
        </w:rPr>
        <w:t xml:space="preserve">, такие как тимингликоль, 5,6-дигидротимин и цитозингликоль, являются одними из основных продуктов окисления пиримидинов </w:t>
      </w:r>
      <w:r w:rsidRPr="00107040">
        <w:rPr>
          <w:rFonts w:ascii="Times New Roman" w:hAnsi="Times New Roman"/>
          <w:sz w:val="28"/>
          <w:szCs w:val="28"/>
        </w:rPr>
        <w:fldChar w:fldCharType="begin"/>
      </w:r>
      <w:r w:rsidR="00D67182">
        <w:rPr>
          <w:rFonts w:ascii="Times New Roman" w:hAnsi="Times New Roman"/>
          <w:sz w:val="28"/>
          <w:szCs w:val="28"/>
        </w:rPr>
        <w:instrText xml:space="preserve"> ADDIN ZOTERO_ITEM CSL_CITATION {"citationID":"i0VDoVwG","properties":{"formattedCitation":"[55\\uc0\\u8211{}57]","plainCitation":"[55–57]","noteIndex":0},"citationItems":[{"id":1542,"uris":["http://zotero.org/users/9078202/items/CAEDZ5EL"],"itemData":{"id":1542,"type":"article-journal","abstract":"5,6-Dihydrothymidine (dDHT) is a derivative thymidine formed during gamma-irradiation. This paper demonstrates the conditions under which dDHT is formed in solutions of DNA and that dDHT is produced in the DNA of HeLa cells during gamma-irradiation. The product of dDHT by gamma-irradiation of either thymidine or DNA has been quantitated by a sensitive and specific high-pressure liquid chromatography method. dDHT is a major product of the anoxic irradiation of thymidine (G value 0.5) but is produced in substantially smaller amounts in DNA irradiated under the same conditions (G value 0.026). The presence of oxygen reduces the yield of dDHT by at least 25-fold for both irradiation substrates. In HeLa cells, 60Co irradiation under anoxia produces (6.2 +/- 0.2) X 10(-8) mol of the R isomer of dDHT per mole of cell deoxynucleotide per gray (G value 0.11). gamma-Irradiation of thymidine produces equal quantities of the R and S stereoisomers of dDHT. Irradiation of DNA produces significantly more (69%) (R)- than (S)-dDHT. DNA isolated from cultured human cells following gamma-irradiation also contains more of the R than the S form of dDHT. The conformation of double-stranded DNA favors a stereospecific production of the R isomer. Among products of gamma-irradiation of DNA, dDHT is unique in its strict requirement for anoxia during irradiation and the preferential production of a particular stereoisomer.","container-title":"Biochemistry","DOI":"10.1021/bi00363a025","ISSN":"0006-2960","issue":"15","journalAbbreviation":"Biochemistry","language":"eng","note":"PMID: 3756143","page":"4344-4349","source":"PubMed","title":"Production of dihydrothymidine stereoisomers in DNA by gamma-irradiation","volume":"25","author":[{"family":"Furlong","given":"E. A."},{"family":"Jorgensen","given":"T. J."},{"family":"Henner","given":"W. D."}],"issued":{"date-parts":[["1986",7,29]]}}},{"id":1544,"uris":["http://zotero.org/users/9078202/items/54YBKSVD"],"itemData":{"id":1544,"type":"article-journal","abstract":"The effect of 20 electron-affinic compounds including nitroimidazoles, nitrofurans, nitrobenzenes, and quinones on the radiation-induced reaction of thymine in aqueous solution was studied under deaerated and N2O-saturated conditions. The radiolysis of thymine in aerated aqueous solution was also performed for comparison. Thymine decomposition was depressed to some extent by the addition of electron-affinic compounds in both deaerated and N2O-saturated solutions, while promoted in aerated solution. The radiolyses with varying concentration of misonidazole indicated that the depression of thymine decomposition can be attributed to a competition between thymine and electron-affinic compounds for the reactions with .OH. Among the radiolysis products, the formation of thymine glycol was remarkably promoted by the addition of electron-affinic compounds. Irrespective of structures of the electron-affinic compounds, the G-value of thymine glycol increased in sigmoidal form with increasing one-electron reduction potential of the electron-affinic compounds and attained the ultimate values of ca. 1.1 and 1.8 in deaerated and N2O-saturated solutions, respectively. The results are in accord with one-electron oxidation of the hydroxythymyl radical, produced by the reaction of thymine with .OH, to the corresponding cation by electron-affinic compounds. The so-formed hydroxythymine cation undergoes solvolytic substitution to give thymine glycol. Based on the ultimate G-values of thymine glycol, the difference in reactivity between hydroxythymine-5-yl and 6-yl radicals toward electron-affinic compounds is discussed.","container-title":"International Journal of Radiation Biology and Related Studies in Physics, Chemistry, and Medicine","DOI":"10.1080/09553008314551651","ISSN":"0020-7616","issue":"6","journalAbbreviation":"Int J Radiat Biol Relat Stud Phys Chem Med","language":"eng","note":"PMID: 6606633","page":"585-600","source":"PubMed","title":"Radiation-induced hydroxylation of thymine promoted by electron-affinic compounds","volume":"44","author":[{"family":"Nishimoto","given":"S."},{"family":"Ide","given":"H."},{"family":"Wada","given":"T."},{"family":"Kagiya","given":"T."}],"issued":{"date-parts":[["1983",12]]}}},{"id":1546,"uris":["http://zotero.org/users/9078202/items/SQ8WCBEH"],"itemData":{"id":1546,"type":"article-journal","abstract":"Application of modern methods of organic chemistry and recombinant DNA technologies has provided new insights in the field of DNA radiation damage and its repair. An overview of the chemical nature of the lesions inflicted on DNA by ionizing radiation is presented. The structures of 29 different DNA modified base or sugar residues are shown in comprehensive formation schemes. A fraction of radiation-induced modified bases is spontaneously released from the DNA chain during irradiation. Another part remains attached to the DNA chain backbone and for its characterization mild formic acid or enzymatic hydrolysis have been used. Starting from the chemical formulae of the altered base residues, the specific repair enzymes and their modes of action are discussed. Various glycosylases and endonucleases have been purified to homogeneity, and in some cases the gene which encodes the protein cloned. Using methods derived from Maxam and Gilbert sequencing procedures and DNA fragment 32P-labelled at one end, it has been shown that the alkali-labile sites in DNA induced by radiation are strongly dependent on the DNA base sequence. Enzymatic methods have been used to analyse the DNA base defects produced by gamma-irradiation of cells under in vivo conditions. Structures of modified bases were the same as those observed when DNA was irradiated in aqueous solution.","container-title":"International Journal of Radiation Biology and Related Studies in Physics, Chemistry, and Medicine","DOI":"10.1080/09553008414552111","ISSN":"0020-7616","issue":"4","journalAbbreviation":"Int J Radiat Biol Relat Stud Phys Chem Med","language":"eng","note":"PMID: 3034813","page":"573-589","source":"PubMed","title":"Radiation-induced DNA damage and its repair","volume":"51","author":[{"family":"Téoule","given":"R."}],"issued":{"date-parts":[["1987",4]]}}}],"schema":"https://github.com/citation-style-language/schema/raw/master/csl-citation.json"} </w:instrText>
      </w:r>
      <w:r w:rsidRPr="00107040">
        <w:rPr>
          <w:rFonts w:ascii="Times New Roman" w:hAnsi="Times New Roman"/>
          <w:sz w:val="28"/>
          <w:szCs w:val="28"/>
        </w:rPr>
        <w:fldChar w:fldCharType="separate"/>
      </w:r>
      <w:r w:rsidR="00D67182" w:rsidRPr="00D67182">
        <w:rPr>
          <w:rFonts w:ascii="Times New Roman" w:hAnsi="Times New Roman"/>
          <w:sz w:val="28"/>
          <w:szCs w:val="24"/>
        </w:rPr>
        <w:t>[55–57]</w:t>
      </w:r>
      <w:r w:rsidRPr="00107040">
        <w:rPr>
          <w:rFonts w:ascii="Times New Roman" w:hAnsi="Times New Roman"/>
          <w:sz w:val="28"/>
          <w:szCs w:val="28"/>
        </w:rPr>
        <w:fldChar w:fldCharType="end"/>
      </w:r>
      <w:r w:rsidRPr="00107040">
        <w:rPr>
          <w:rFonts w:ascii="Times New Roman" w:hAnsi="Times New Roman"/>
          <w:sz w:val="28"/>
          <w:szCs w:val="28"/>
        </w:rPr>
        <w:t xml:space="preserve">. Продукты цитозина могут превращаться в производные урацила; например, цитозингликоль можно дезаминировать для получения урацилгликоля, а также дезаминировать и </w:t>
      </w:r>
      <w:r w:rsidRPr="00107040">
        <w:rPr>
          <w:rFonts w:ascii="Times New Roman" w:hAnsi="Times New Roman"/>
          <w:sz w:val="28"/>
          <w:szCs w:val="28"/>
        </w:rPr>
        <w:lastRenderedPageBreak/>
        <w:t xml:space="preserve">дегидратировать для получения 5-гидроксиурацила </w:t>
      </w:r>
      <w:r w:rsidRPr="00107040">
        <w:rPr>
          <w:rFonts w:ascii="Times New Roman" w:hAnsi="Times New Roman"/>
          <w:sz w:val="28"/>
          <w:szCs w:val="28"/>
        </w:rPr>
        <w:fldChar w:fldCharType="begin"/>
      </w:r>
      <w:r w:rsidR="00D67182">
        <w:rPr>
          <w:rFonts w:ascii="Times New Roman" w:hAnsi="Times New Roman"/>
          <w:sz w:val="28"/>
          <w:szCs w:val="28"/>
        </w:rPr>
        <w:instrText xml:space="preserve"> ADDIN ZOTERO_ITEM CSL_CITATION {"citationID":"6V6nVTsy","properties":{"formattedCitation":"[57,58]","plainCitation":"[57,58]","noteIndex":0},"citationItems":[{"id":1546,"uris":["http://zotero.org/users/9078202/items/SQ8WCBEH"],"itemData":{"id":1546,"type":"article-journal","abstract":"Application of modern methods of organic chemistry and recombinant DNA technologies has provided new insights in the field of DNA radiation damage and its repair. An overview of the chemical nature of the lesions inflicted on DNA by ionizing radiation is presented. The structures of 29 different DNA modified base or sugar residues are shown in comprehensive formation schemes. A fraction of radiation-induced modified bases is spontaneously released from the DNA chain during irradiation. Another part remains attached to the DNA chain backbone and for its characterization mild formic acid or enzymatic hydrolysis have been used. Starting from the chemical formulae of the altered base residues, the specific repair enzymes and their modes of action are discussed. Various glycosylases and endonucleases have been purified to homogeneity, and in some cases the gene which encodes the protein cloned. Using methods derived from Maxam and Gilbert sequencing procedures and DNA fragment 32P-labelled at one end, it has been shown that the alkali-labile sites in DNA induced by radiation are strongly dependent on the DNA base sequence. Enzymatic methods have been used to analyse the DNA base defects produced by gamma-irradiation of cells under in vivo conditions. Structures of modified bases were the same as those observed when DNA was irradiated in aqueous solution.","container-title":"International Journal of Radiation Biology and Related Studies in Physics, Chemistry, and Medicine","DOI":"10.1080/09553008414552111","ISSN":"0020-7616","issue":"4","journalAbbreviation":"Int J Radiat Biol Relat Stud Phys Chem Med","language":"eng","note":"PMID: 3034813","page":"573-589","source":"PubMed","title":"Radiation-induced DNA damage and its repair","volume":"51","author":[{"family":"Téoule","given":"R."}],"issued":{"date-parts":[["1987",4]]}}},{"id":1548,"uris":["http://zotero.org/users/9078202/items/ADCP5UIT"],"itemData":{"id":1548,"type":"article-journal","abstract":"The excision of modified bases from DNA by Escherichia coli endonuclease III was investigated. Modified bases were produced in DNA by exposure of dilute buffered solutions of DNA to ionizing radiation under oxic or anoxic conditions. The technique of gas chromatography/mass spectrometry (GC/MS) was used to identify and quantify 16 pyrimidine- and purine-derived DNA lesions. DNA substrates were incubated either with the native enzyme or with the heat-inactivated enzyme. Subsequently, DNA was precipitated. Pellets were analyzed by GC/MS after hydrolysis and derivatization. Supernatant fractions were analyzed after derivatization without hydrolysis. The results provided unequivocal evidence for the excision by E. coli endonuclease III of a number of thymine- and cytosine-derived lesions from DNA. These were 5,6-dihydrothymine, 5-hydroxy-5-methylhydantoin, thymine glycol, 5-hydroxy-6-hydrothymine, 5,6-dihydrouracil, alloxan, uracil glycol, and 5-hydroxy-6-hydrouracil. None of the purine-derived lesions was excised by endonuclease III. The present work extends the substrate specificity of E. coli endonuclease III to another thymine-derived and four cytosine-derived lesions. It is the first investigation of the substrate specificity of this repair enzyme in the context of a large number of pyrimidine- and purine-derived lesions in DNA.","container-title":"Biochemistry","DOI":"10.1021/bi00096a022","ISSN":"0006-2960","issue":"45","journalAbbreviation":"Biochemistry","language":"eng","note":"PMID: 8218289","page":"12105-12111","source":"PubMed","title":"Substrate specificity of the Escherichia coli endonuclease III: excision of thymine- and cytosine-derived lesions in DNA produced by radiation-generated free radicals","title-short":"Substrate specificity of the Escherichia coli endonuclease III","volume":"32","author":[{"family":"Dizdaroglu","given":"M."},{"family":"Laval","given":"J."},{"family":"Boiteux","given":"S."}],"issued":{"date-parts":[["1993",11,16]]}}}],"schema":"https://github.com/citation-style-language/schema/raw/master/csl-citation.json"} </w:instrText>
      </w:r>
      <w:r w:rsidRPr="00107040">
        <w:rPr>
          <w:rFonts w:ascii="Times New Roman" w:hAnsi="Times New Roman"/>
          <w:sz w:val="28"/>
          <w:szCs w:val="28"/>
        </w:rPr>
        <w:fldChar w:fldCharType="separate"/>
      </w:r>
      <w:r w:rsidR="00D67182" w:rsidRPr="00D67182">
        <w:rPr>
          <w:rFonts w:ascii="Times New Roman" w:hAnsi="Times New Roman"/>
          <w:sz w:val="28"/>
        </w:rPr>
        <w:t>[57,58]</w:t>
      </w:r>
      <w:r w:rsidRPr="00107040">
        <w:rPr>
          <w:rFonts w:ascii="Times New Roman" w:hAnsi="Times New Roman"/>
          <w:sz w:val="28"/>
          <w:szCs w:val="28"/>
        </w:rPr>
        <w:fldChar w:fldCharType="end"/>
      </w:r>
      <w:r w:rsidRPr="00107040">
        <w:rPr>
          <w:rFonts w:ascii="Times New Roman" w:hAnsi="Times New Roman"/>
          <w:sz w:val="28"/>
          <w:szCs w:val="28"/>
        </w:rPr>
        <w:t xml:space="preserve">. Пиримидиновое кольцо может быть фрагментировано в дополнение к насыщению или окислению с образованием метилтартронилмочевины, 5-гидроксигидантоина, N-формамидо-мочевины или мочевины </w:t>
      </w:r>
      <w:r w:rsidRPr="00107040">
        <w:rPr>
          <w:rFonts w:ascii="Times New Roman" w:hAnsi="Times New Roman"/>
          <w:sz w:val="28"/>
          <w:szCs w:val="28"/>
        </w:rPr>
        <w:fldChar w:fldCharType="begin"/>
      </w:r>
      <w:r w:rsidR="00D67182">
        <w:rPr>
          <w:rFonts w:ascii="Times New Roman" w:hAnsi="Times New Roman"/>
          <w:sz w:val="28"/>
          <w:szCs w:val="28"/>
        </w:rPr>
        <w:instrText xml:space="preserve"> ADDIN ZOTERO_ITEM CSL_CITATION {"citationID":"FwE32cH0","properties":{"formattedCitation":"[57,59]","plainCitation":"[57,59]","noteIndex":0},"citationItems":[{"id":1546,"uris":["http://zotero.org/users/9078202/items/SQ8WCBEH"],"itemData":{"id":1546,"type":"article-journal","abstract":"Application of modern methods of organic chemistry and recombinant DNA technologies has provided new insights in the field of DNA radiation damage and its repair. An overview of the chemical nature of the lesions inflicted on DNA by ionizing radiation is presented. The structures of 29 different DNA modified base or sugar residues are shown in comprehensive formation schemes. A fraction of radiation-induced modified bases is spontaneously released from the DNA chain during irradiation. Another part remains attached to the DNA chain backbone and for its characterization mild formic acid or enzymatic hydrolysis have been used. Starting from the chemical formulae of the altered base residues, the specific repair enzymes and their modes of action are discussed. Various glycosylases and endonucleases have been purified to homogeneity, and in some cases the gene which encodes the protein cloned. Using methods derived from Maxam and Gilbert sequencing procedures and DNA fragment 32P-labelled at one end, it has been shown that the alkali-labile sites in DNA induced by radiation are strongly dependent on the DNA base sequence. Enzymatic methods have been used to analyse the DNA base defects produced by gamma-irradiation of cells under in vivo conditions. Structures of modified bases were the same as those observed when DNA was irradiated in aqueous solution.","container-title":"International Journal of Radiation Biology and Related Studies in Physics, Chemistry, and Medicine","DOI":"10.1080/09553008414552111","ISSN":"0020-7616","issue":"4","journalAbbreviation":"Int J Radiat Biol Relat Stud Phys Chem Med","language":"eng","note":"PMID: 3034813","page":"573-589","source":"PubMed","title":"Radiation-induced DNA damage and its repair","volume":"51","author":[{"family":"Téoule","given":"R."}],"issued":{"date-parts":[["1987",4]]}}},{"id":1949,"uris":["http://zotero.org/users/9078202/items/IWX8ZCIB"],"itemData":{"id":1949,"type":"article-journal","container-title":"Journal of the American Chemical Society","DOI":"10.1021/ja962255b","ISSN":"0002-7863","issue":"3","journalAbbreviation":"J. Am. Chem. Soc.","note":"publisher: American Chemical Society","page":"617-618","source":"ACS Publications","title":"How Easily Oxidizable Is DNA? One-Electron Reduction Potentials of Adenosine and Guanosine Radicals in Aqueous Solution","title-short":"How Easily Oxidizable Is DNA?","URL":"https://doi.org/10.1021/ja962255b","volume":"119","author":[{"family":"Steenken","given":"Steen"},{"family":"Jovanovic","given":"Slobodan V."}],"accessed":{"date-parts":[["2022",9,14]]},"issued":{"date-parts":[["1997",1,1]]}}}],"schema":"https://github.com/citation-style-language/schema/raw/master/csl-citation.json"} </w:instrText>
      </w:r>
      <w:r w:rsidRPr="00107040">
        <w:rPr>
          <w:rFonts w:ascii="Times New Roman" w:hAnsi="Times New Roman"/>
          <w:sz w:val="28"/>
          <w:szCs w:val="28"/>
        </w:rPr>
        <w:fldChar w:fldCharType="separate"/>
      </w:r>
      <w:r w:rsidR="00D67182" w:rsidRPr="00D67182">
        <w:rPr>
          <w:rFonts w:ascii="Times New Roman" w:hAnsi="Times New Roman"/>
          <w:sz w:val="28"/>
        </w:rPr>
        <w:t>[57,59]</w:t>
      </w:r>
      <w:r w:rsidRPr="00107040">
        <w:rPr>
          <w:rFonts w:ascii="Times New Roman" w:hAnsi="Times New Roman"/>
          <w:sz w:val="28"/>
          <w:szCs w:val="28"/>
        </w:rPr>
        <w:fldChar w:fldCharType="end"/>
      </w:r>
      <w:r w:rsidRPr="00107040">
        <w:rPr>
          <w:rFonts w:ascii="Times New Roman" w:hAnsi="Times New Roman"/>
          <w:sz w:val="28"/>
          <w:szCs w:val="28"/>
        </w:rPr>
        <w:t>.</w:t>
      </w:r>
      <w:r w:rsidRPr="00107040">
        <w:rPr>
          <w:rFonts w:ascii="Times New Roman" w:hAnsi="Times New Roman"/>
          <w:sz w:val="28"/>
          <w:szCs w:val="28"/>
          <w:lang w:val="kk-KZ"/>
        </w:rPr>
        <w:t xml:space="preserve"> Пуриновые нуклеозиды dG и dA особенно уязвимы к окислительной деградации из-за их сравнительно низкого окислительного потенциала </w:t>
      </w:r>
      <w:r w:rsidRPr="00107040">
        <w:rPr>
          <w:rFonts w:ascii="Times New Roman" w:hAnsi="Times New Roman"/>
          <w:sz w:val="28"/>
          <w:szCs w:val="28"/>
          <w:lang w:val="kk-KZ"/>
        </w:rPr>
        <w:fldChar w:fldCharType="begin"/>
      </w:r>
      <w:r w:rsidR="008611DC">
        <w:rPr>
          <w:rFonts w:ascii="Times New Roman" w:hAnsi="Times New Roman"/>
          <w:sz w:val="28"/>
          <w:szCs w:val="28"/>
          <w:lang w:val="kk-KZ"/>
        </w:rPr>
        <w:instrText xml:space="preserve"> ADDIN ZOTERO_ITEM CSL_CITATION {"citationID":"cs6Pm1Tb","properties":{"formattedCitation":"[59\\uc0\\u8211{}61]","plainCitation":"[59–61]","noteIndex":0},"citationItems":[{"id":1949,"uris":["http://zotero.org/users/9078202/items/IWX8ZCIB"],"itemData":{"id":1949,"type":"article-journal","container-title":"Journal of the American Chemical Society","DOI":"10.1021/ja962255b","ISSN":"0002-7863","issue":"3","journalAbbreviation":"J. Am. Chem. Soc.","note":"publisher: American Chemical Society","page":"617-618","source":"ACS Publications","title":"How Easily Oxidizable Is DNA? One-Electron Reduction Potentials of Adenosine and Guanosine Radicals in Aqueous Solution","title-short":"How Easily Oxidizable Is DNA?","URL":"https://doi.org/10.1021/ja962255b","volume":"119","author":[{"family":"Steenken","given":"Steen"},{"family":"Jovanovic","given":"Slobodan V."}],"accessed":{"date-parts":[["2022",9,14]]},"issued":{"date-parts":[["1997",1,1]]}}},{"id":1554,"uris":["http://zotero.org/users/9078202/items/FDIALW6Q"],"itemData":{"id":1554,"type":"article-journal","abstract":"Nuclear DNA and other molecules in living systems are continuously exposed to endogenously generated oxygen species. Such species range from the unreactive superoxide radical (O2*-)the precursor of hydrogen peroxide (H2O2)to the highly reactive hydroxyl radical (*OH). Exogenous chemical and physical agents, such as ionizing radiation and the UVA component of solar light, can also oxidatively damage both the bases and the 2-deoxyribose moieties of cellular DNA. Over the last two decades, researchers have made major progress in understanding the oxidation degradation pathways of DNA that are most likely to occur from either oxidative metabolism or exposure to various exogenous agents. In the first part of this Account, we describe the mechanistic features of one-electron oxidation reactions of the guanine base in isolated DNA and related model compounds. These reactions illustrate the complexity of the various degradation pathways involved. Then, we briefly survey the analytical methods that can detect low amounts of oxidized bases and nucleosides in cells as they are formed. Recent data on the formation of oxidized guanine residues in cellular DNA following exposure to UVA light, ionizing radiation, and high-intensity UV pulses are also provided. We discuss these chemical reactions in the context of *OH radical, singlet oxygen, and two-quantum photoionization processes.","container-title":"Accounts of Chemical Research","DOI":"10.1021/ar700245e","ISSN":"1520-4898","issue":"8","journalAbbreviation":"Acc Chem Res","language":"eng","note":"PMID: 18666785","page":"1075-1083","source":"PubMed","title":"Oxidatively generated damage to the guanine moiety of DNA: mechanistic aspects and formation in cells","title-short":"Oxidatively generated damage to the guanine moiety of DNA","volume":"41","author":[{"family":"Cadet","given":"Jean"},{"family":"Douki","given":"Thierry"},{"family":"Ravanat","given":"Jean-Luc"}],"issued":{"date-parts":[["2008",8]]}}},{"id":1556,"uris":["http://zotero.org/users/9078202/items/TQJKX4ZY"],"itemData":{"id":1556,"type":"article-journal","abstract":"DNA damage by endogenous and exogenous agents is a serious concern, as the damaged products can affect genome integrity severely. Damage to DNA may arise from various factors such as DNA base modifications, strand break, inter- and intrastrand crosslinks, and DNA-protein crosslinks. Among these factors, DNA base modification is a common and important form of DNA damage that has been implicated in mutagenesis, carcinogenesis, and many other pathological conditions. Among the four DNA bases, guanine (G) has the smallest oxidation potential, because of which it is frequently modified by reactive species, giving rise to a plethora of lethal lesions. Similarly, 8-oxo-7,8-dihydroguanine (8-oxoG), an oxidatively damaged guanine lesion, also undergoes various degradation reactions giving rise to several mutagenic species. The various products formed from reactions of G or 8-oxoG with different reactive species are mainly 2,6-diamino-4-oxo-5-formamidopyrimidine, 2,5-diamino-4H-imidazolone, 2,2,4-triamino-5-(2H)-oxazolone, 5-guanidino-4-nitroimidazole, guanidinohydantoin, spiroiminodihydantoin, cyanuric acid, parabanic acid, oxaluric acid, and urea, among others. These products are formed from either ring opening or ring opening and subsequent rearrangement. The main aim of this review is to provide a comprehensive overview of various possible reactions and the mechanisms involved, after which these ring-opened and rearranged products of guanine would be formed in DNA. The biological significance of oxidatively damaged products of G is also discussed.","container-title":"Free Radical Biology &amp; Medicine","DOI":"10.1016/j.freeradbiomed.2012.04.008","ISSN":"1873-4596","issue":"1","journalAbbreviation":"Free Radic Biol Med","language":"eng","note":"PMID: 22583701","page":"81-94","source":"PubMed","title":"Formation of ring-opened and rearranged products of guanine: mechanisms and biological significance","title-short":"Formation of ring-opened and rearranged products of guanine","volume":"53","author":[{"family":"Jena","given":"N. R."},{"family":"Mishra","given":"P. C."}],"issued":{"date-parts":[["2012",7,1]]}}}],"schema":"https://github.com/citation-style-language/schema/raw/master/csl-citation.json"} </w:instrText>
      </w:r>
      <w:r w:rsidRPr="00107040">
        <w:rPr>
          <w:rFonts w:ascii="Times New Roman" w:hAnsi="Times New Roman"/>
          <w:sz w:val="28"/>
          <w:szCs w:val="28"/>
          <w:lang w:val="kk-KZ"/>
        </w:rPr>
        <w:fldChar w:fldCharType="separate"/>
      </w:r>
      <w:r w:rsidR="008611DC" w:rsidRPr="008611DC">
        <w:rPr>
          <w:rFonts w:ascii="Times New Roman" w:hAnsi="Times New Roman"/>
          <w:sz w:val="28"/>
          <w:szCs w:val="24"/>
        </w:rPr>
        <w:t>[59–61]</w:t>
      </w:r>
      <w:r w:rsidRPr="00107040">
        <w:rPr>
          <w:rFonts w:ascii="Times New Roman" w:hAnsi="Times New Roman"/>
          <w:sz w:val="28"/>
          <w:szCs w:val="28"/>
          <w:lang w:val="kk-KZ"/>
        </w:rPr>
        <w:fldChar w:fldCharType="end"/>
      </w:r>
      <w:r w:rsidRPr="00107040">
        <w:rPr>
          <w:rFonts w:ascii="Times New Roman" w:hAnsi="Times New Roman"/>
          <w:sz w:val="28"/>
          <w:szCs w:val="28"/>
          <w:lang w:val="kk-KZ"/>
        </w:rPr>
        <w:t xml:space="preserve">. </w:t>
      </w:r>
    </w:p>
    <w:p w14:paraId="1EA770B8" w14:textId="77777777" w:rsidR="00E11A5F" w:rsidRPr="00107040" w:rsidRDefault="00E11A5F" w:rsidP="00107040">
      <w:pPr>
        <w:spacing w:after="0" w:line="240" w:lineRule="auto"/>
        <w:ind w:firstLine="567"/>
        <w:jc w:val="both"/>
        <w:rPr>
          <w:rFonts w:ascii="Times New Roman" w:hAnsi="Times New Roman"/>
          <w:sz w:val="28"/>
          <w:szCs w:val="28"/>
          <w:lang w:val="kk-KZ"/>
        </w:rPr>
      </w:pPr>
    </w:p>
    <w:p w14:paraId="311BD010" w14:textId="111B166D" w:rsidR="00107040" w:rsidRPr="00107040" w:rsidRDefault="00E11A5F" w:rsidP="00107040">
      <w:pPr>
        <w:spacing w:after="0" w:line="240" w:lineRule="auto"/>
        <w:ind w:firstLine="567"/>
        <w:jc w:val="center"/>
        <w:rPr>
          <w:rFonts w:ascii="Times New Roman" w:hAnsi="Times New Roman"/>
          <w:sz w:val="28"/>
          <w:szCs w:val="28"/>
          <w:lang w:val="kk-KZ"/>
        </w:rPr>
      </w:pPr>
      <w:r>
        <w:rPr>
          <w:noProof/>
          <w:lang w:val="ru-RU" w:eastAsia="ru-RU"/>
        </w:rPr>
        <w:drawing>
          <wp:inline distT="0" distB="0" distL="0" distR="0" wp14:anchorId="7D4843FB" wp14:editId="47227CD0">
            <wp:extent cx="4618990" cy="3673475"/>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8990" cy="3673475"/>
                    </a:xfrm>
                    <a:prstGeom prst="rect">
                      <a:avLst/>
                    </a:prstGeom>
                    <a:noFill/>
                    <a:ln>
                      <a:noFill/>
                    </a:ln>
                  </pic:spPr>
                </pic:pic>
              </a:graphicData>
            </a:graphic>
          </wp:inline>
        </w:drawing>
      </w:r>
    </w:p>
    <w:p w14:paraId="1309C64A" w14:textId="77777777" w:rsidR="00107040" w:rsidRPr="00107040" w:rsidRDefault="00107040" w:rsidP="00107040">
      <w:pPr>
        <w:spacing w:after="0" w:line="240" w:lineRule="auto"/>
        <w:ind w:firstLine="567"/>
        <w:jc w:val="center"/>
        <w:rPr>
          <w:rFonts w:ascii="Times New Roman" w:hAnsi="Times New Roman"/>
          <w:sz w:val="28"/>
          <w:szCs w:val="28"/>
          <w:lang w:val="kk-KZ"/>
        </w:rPr>
      </w:pPr>
    </w:p>
    <w:p w14:paraId="7908BB81" w14:textId="279B6E41" w:rsidR="00107040" w:rsidRPr="00107040" w:rsidRDefault="00107040" w:rsidP="00AA10F1">
      <w:pPr>
        <w:spacing w:after="0" w:line="240" w:lineRule="auto"/>
        <w:ind w:firstLine="142"/>
        <w:jc w:val="center"/>
        <w:rPr>
          <w:rFonts w:ascii="Times New Roman" w:hAnsi="Times New Roman"/>
          <w:sz w:val="28"/>
          <w:szCs w:val="28"/>
          <w:lang w:val="kk-KZ"/>
        </w:rPr>
      </w:pPr>
      <w:r w:rsidRPr="00107040">
        <w:rPr>
          <w:rFonts w:ascii="Times New Roman" w:hAnsi="Times New Roman"/>
          <w:sz w:val="28"/>
          <w:szCs w:val="28"/>
          <w:lang w:val="kk-KZ"/>
        </w:rPr>
        <w:t>(</w:t>
      </w:r>
      <w:r w:rsidR="00E11A5F">
        <w:rPr>
          <w:rFonts w:ascii="Times New Roman" w:hAnsi="Times New Roman"/>
          <w:sz w:val="28"/>
          <w:szCs w:val="28"/>
          <w:lang w:val="en-US"/>
        </w:rPr>
        <w:t>A</w:t>
      </w:r>
      <w:r w:rsidRPr="00107040">
        <w:rPr>
          <w:rFonts w:ascii="Times New Roman" w:hAnsi="Times New Roman"/>
          <w:sz w:val="28"/>
          <w:szCs w:val="28"/>
          <w:lang w:val="kk-KZ"/>
        </w:rPr>
        <w:t>) Для 8-oxodG показаны кристаллографически наблюдаемые пары оснований 8-oxodG·dC и 8-oxodG·dA. (</w:t>
      </w:r>
      <w:r w:rsidR="00E11A5F">
        <w:rPr>
          <w:rFonts w:ascii="Times New Roman" w:hAnsi="Times New Roman"/>
          <w:sz w:val="28"/>
          <w:szCs w:val="28"/>
          <w:lang w:val="en-US"/>
        </w:rPr>
        <w:t>B</w:t>
      </w:r>
      <w:r w:rsidRPr="00107040">
        <w:rPr>
          <w:rFonts w:ascii="Times New Roman" w:hAnsi="Times New Roman"/>
          <w:sz w:val="28"/>
          <w:szCs w:val="28"/>
          <w:lang w:val="kk-KZ"/>
        </w:rPr>
        <w:t xml:space="preserve">, </w:t>
      </w:r>
      <w:r w:rsidR="00E11A5F">
        <w:rPr>
          <w:rFonts w:ascii="Times New Roman" w:hAnsi="Times New Roman"/>
          <w:sz w:val="28"/>
          <w:szCs w:val="28"/>
          <w:lang w:val="en-US"/>
        </w:rPr>
        <w:t>C</w:t>
      </w:r>
      <w:r w:rsidRPr="00107040">
        <w:rPr>
          <w:rFonts w:ascii="Times New Roman" w:hAnsi="Times New Roman"/>
          <w:sz w:val="28"/>
          <w:szCs w:val="28"/>
          <w:lang w:val="kk-KZ"/>
        </w:rPr>
        <w:t>) Кроме того, изображены предполагаемые пары оснований, образованные FaPydG и FaPydA. В природных повреждениях FaPy X = O, тогда как в стабилизированных карбоциклических аналогах FaPydG (</w:t>
      </w:r>
      <w:r w:rsidR="00E11A5F">
        <w:rPr>
          <w:rFonts w:ascii="Times New Roman" w:hAnsi="Times New Roman"/>
          <w:sz w:val="28"/>
          <w:szCs w:val="28"/>
          <w:lang w:val="en-US"/>
        </w:rPr>
        <w:t>B</w:t>
      </w:r>
      <w:r w:rsidRPr="00107040">
        <w:rPr>
          <w:rFonts w:ascii="Times New Roman" w:hAnsi="Times New Roman"/>
          <w:sz w:val="28"/>
          <w:szCs w:val="28"/>
          <w:lang w:val="kk-KZ"/>
        </w:rPr>
        <w:t>) и FaPydA (c) X = CH2. (</w:t>
      </w:r>
      <w:r w:rsidR="00E11A5F">
        <w:rPr>
          <w:rFonts w:ascii="Times New Roman" w:hAnsi="Times New Roman"/>
          <w:sz w:val="28"/>
          <w:szCs w:val="28"/>
          <w:lang w:val="en-US"/>
        </w:rPr>
        <w:t>D</w:t>
      </w:r>
      <w:r w:rsidRPr="00107040">
        <w:rPr>
          <w:rFonts w:ascii="Times New Roman" w:hAnsi="Times New Roman"/>
          <w:sz w:val="28"/>
          <w:szCs w:val="28"/>
          <w:lang w:val="kk-KZ"/>
        </w:rPr>
        <w:t xml:space="preserve">) Изображение взаимодействий в пространстве между C8H и протонами сахара в антиконформере (красный) и син-конформере (синий). </w:t>
      </w:r>
    </w:p>
    <w:p w14:paraId="5F0E2DA9" w14:textId="77777777" w:rsidR="00107040" w:rsidRPr="00107040" w:rsidRDefault="00107040" w:rsidP="00107040">
      <w:pPr>
        <w:spacing w:after="0" w:line="240" w:lineRule="auto"/>
        <w:ind w:firstLine="567"/>
        <w:jc w:val="both"/>
        <w:rPr>
          <w:rFonts w:ascii="Times New Roman" w:hAnsi="Times New Roman"/>
          <w:sz w:val="28"/>
          <w:szCs w:val="28"/>
          <w:lang w:val="kk-KZ"/>
        </w:rPr>
      </w:pPr>
    </w:p>
    <w:p w14:paraId="3DFA9884" w14:textId="77777777" w:rsidR="00107040" w:rsidRPr="00107040" w:rsidRDefault="00107040" w:rsidP="00107040">
      <w:pPr>
        <w:spacing w:after="0" w:line="240" w:lineRule="auto"/>
        <w:ind w:firstLine="567"/>
        <w:jc w:val="center"/>
        <w:rPr>
          <w:rFonts w:ascii="Times New Roman" w:hAnsi="Times New Roman"/>
          <w:sz w:val="28"/>
          <w:szCs w:val="28"/>
          <w:lang w:val="kk-KZ"/>
        </w:rPr>
      </w:pPr>
      <w:r w:rsidRPr="00107040">
        <w:rPr>
          <w:rFonts w:ascii="Times New Roman" w:hAnsi="Times New Roman"/>
          <w:sz w:val="28"/>
          <w:szCs w:val="28"/>
          <w:lang w:val="kk-KZ"/>
        </w:rPr>
        <w:t xml:space="preserve">Рисунок 2 – Представление двух основных продуктов окисления 2'-дезоксигуанозин (8-oxodG, FaPydG) и FaPydA. </w:t>
      </w:r>
    </w:p>
    <w:p w14:paraId="51B9DDEA" w14:textId="77777777" w:rsidR="00107040" w:rsidRPr="00107040" w:rsidRDefault="00107040" w:rsidP="00107040">
      <w:pPr>
        <w:spacing w:after="0" w:line="240" w:lineRule="auto"/>
        <w:ind w:firstLine="567"/>
        <w:jc w:val="both"/>
        <w:rPr>
          <w:rFonts w:ascii="Times New Roman" w:eastAsia="Arial Unicode MS" w:hAnsi="Times New Roman"/>
          <w:bCs/>
          <w:sz w:val="28"/>
          <w:szCs w:val="28"/>
          <w:lang w:bidi="en-US"/>
        </w:rPr>
      </w:pPr>
    </w:p>
    <w:p w14:paraId="62832B4E" w14:textId="3271F016" w:rsidR="00107040" w:rsidRPr="00107040" w:rsidRDefault="00107040" w:rsidP="00107040">
      <w:pPr>
        <w:spacing w:after="0" w:line="240" w:lineRule="auto"/>
        <w:ind w:firstLine="567"/>
        <w:jc w:val="both"/>
        <w:rPr>
          <w:rFonts w:ascii="Times New Roman" w:eastAsia="Arial Unicode MS" w:hAnsi="Times New Roman"/>
          <w:bCs/>
          <w:sz w:val="28"/>
          <w:szCs w:val="28"/>
          <w:lang w:bidi="en-US"/>
        </w:rPr>
      </w:pPr>
      <w:r w:rsidRPr="00107040">
        <w:rPr>
          <w:rFonts w:ascii="Times New Roman" w:eastAsia="Arial Unicode MS" w:hAnsi="Times New Roman"/>
          <w:bCs/>
          <w:sz w:val="28"/>
          <w:szCs w:val="28"/>
          <w:lang w:bidi="en-US"/>
        </w:rPr>
        <w:t>Примечание – Составлено автором на основе источника</w:t>
      </w:r>
      <w:r w:rsidR="00E11A5F">
        <w:rPr>
          <w:rFonts w:ascii="Times New Roman" w:eastAsia="Arial Unicode MS" w:hAnsi="Times New Roman"/>
          <w:bCs/>
          <w:sz w:val="28"/>
          <w:szCs w:val="28"/>
          <w:lang w:bidi="en-US"/>
        </w:rPr>
        <w:t xml:space="preserve"> </w:t>
      </w:r>
      <w:r w:rsidR="00E11A5F">
        <w:rPr>
          <w:rFonts w:ascii="Times New Roman" w:eastAsia="Arial Unicode MS" w:hAnsi="Times New Roman"/>
          <w:bCs/>
          <w:sz w:val="28"/>
          <w:szCs w:val="28"/>
          <w:lang w:bidi="en-US"/>
        </w:rPr>
        <w:fldChar w:fldCharType="begin"/>
      </w:r>
      <w:r w:rsidR="008611DC">
        <w:rPr>
          <w:rFonts w:ascii="Times New Roman" w:eastAsia="Arial Unicode MS" w:hAnsi="Times New Roman"/>
          <w:bCs/>
          <w:sz w:val="28"/>
          <w:szCs w:val="28"/>
          <w:lang w:bidi="en-US"/>
        </w:rPr>
        <w:instrText xml:space="preserve"> ADDIN ZOTERO_ITEM CSL_CITATION {"citationID":"TO1pRp7n","properties":{"formattedCitation":"[62]","plainCitation":"[62]","noteIndex":0},"citationItems":[{"id":1899,"uris":["http://zotero.org/users/9078202/items/N43ZF6KY"],"itemData":{"id":1899,"type":"article-journal","container-title":"Nature Chemical Biology","DOI":"10.1038/nchembio.1254","ISSN":"1552-4450, 1552-4469","issue":"7","journalAbbreviation":"Nat Chem Biol","language":"en","page":"455-461","source":"DOI.org (Crossref)","title":"Unexpected non-Hoogsteen–based mutagenicity mechanism of FaPy-DNA lesions","URL":"http://www.nature.com/articles/nchembio.1254","volume":"9","author":[{"family":"Gehrke","given":"Tim H"},{"family":"Lischke","given":"Ulrike"},{"family":"Gasteiger","given":"Karola L"},{"family":"Schneider","given":"Sabine"},{"family":"Arnold","given":"Simone"},{"family":"Müller","given":"Heiko C"},{"family":"Stephenson","given":"David S"},{"family":"Zipse","given":"Hendrik"},{"family":"Carell","given":"Thomas"}],"accessed":{"date-parts":[["2022",9,13]]},"issued":{"date-parts":[["2013",7]]}}}],"schema":"https://github.com/citation-style-language/schema/raw/master/csl-citation.json"} </w:instrText>
      </w:r>
      <w:r w:rsidR="00E11A5F">
        <w:rPr>
          <w:rFonts w:ascii="Times New Roman" w:eastAsia="Arial Unicode MS" w:hAnsi="Times New Roman"/>
          <w:bCs/>
          <w:sz w:val="28"/>
          <w:szCs w:val="28"/>
          <w:lang w:bidi="en-US"/>
        </w:rPr>
        <w:fldChar w:fldCharType="separate"/>
      </w:r>
      <w:r w:rsidR="008611DC" w:rsidRPr="008611DC">
        <w:rPr>
          <w:rFonts w:ascii="Times New Roman" w:hAnsi="Times New Roman"/>
          <w:sz w:val="28"/>
        </w:rPr>
        <w:t>[62]</w:t>
      </w:r>
      <w:r w:rsidR="00E11A5F">
        <w:rPr>
          <w:rFonts w:ascii="Times New Roman" w:eastAsia="Arial Unicode MS" w:hAnsi="Times New Roman"/>
          <w:bCs/>
          <w:sz w:val="28"/>
          <w:szCs w:val="28"/>
          <w:lang w:bidi="en-US"/>
        </w:rPr>
        <w:fldChar w:fldCharType="end"/>
      </w:r>
      <w:r w:rsidR="00E11A5F">
        <w:rPr>
          <w:rFonts w:ascii="Times New Roman" w:eastAsia="Arial Unicode MS" w:hAnsi="Times New Roman"/>
          <w:bCs/>
          <w:sz w:val="28"/>
          <w:szCs w:val="28"/>
          <w:lang w:bidi="en-US"/>
        </w:rPr>
        <w:t>.</w:t>
      </w:r>
    </w:p>
    <w:p w14:paraId="5D212C3F" w14:textId="77777777" w:rsidR="00107040" w:rsidRPr="00107040" w:rsidRDefault="00107040" w:rsidP="00107040">
      <w:pPr>
        <w:spacing w:after="0" w:line="240" w:lineRule="auto"/>
        <w:ind w:firstLine="567"/>
        <w:jc w:val="both"/>
        <w:rPr>
          <w:rFonts w:ascii="Times New Roman" w:hAnsi="Times New Roman"/>
          <w:sz w:val="28"/>
          <w:szCs w:val="28"/>
          <w:shd w:val="clear" w:color="auto" w:fill="FFFFFF"/>
        </w:rPr>
      </w:pPr>
    </w:p>
    <w:p w14:paraId="0517897C" w14:textId="77777777" w:rsidR="00AA10F1" w:rsidRPr="00107040" w:rsidRDefault="00AA10F1" w:rsidP="00AA10F1">
      <w:pPr>
        <w:spacing w:after="0" w:line="240" w:lineRule="auto"/>
        <w:ind w:firstLine="567"/>
        <w:jc w:val="both"/>
        <w:rPr>
          <w:rFonts w:ascii="Times New Roman" w:hAnsi="Times New Roman"/>
          <w:sz w:val="28"/>
          <w:szCs w:val="28"/>
          <w:lang w:val="kk-KZ"/>
        </w:rPr>
      </w:pPr>
      <w:r w:rsidRPr="00107040">
        <w:rPr>
          <w:rFonts w:ascii="Times New Roman" w:hAnsi="Times New Roman"/>
          <w:sz w:val="28"/>
          <w:szCs w:val="28"/>
          <w:lang w:val="kk-KZ"/>
        </w:rPr>
        <w:t>Формируются два основных типа поражений (рисунок 2). Два повреждения 8-оксотипа, 8-оксо-7,8-дигидро-2'-дезоксиаденозин (8-oxodA) и 8-оксо-7,8-дигидро-2'-дезоксигуанозин (8-oxodG), характеризуются окисленным атомом С8. Кроме того, атом N7 несет атом водорода, который меняет свое положение с акцептора водородной связи на донора водородной связи. Второй класс окислительных повреждений представляет собой 4,6-диамино-5-</w:t>
      </w:r>
      <w:r w:rsidRPr="00107040">
        <w:rPr>
          <w:rFonts w:ascii="Times New Roman" w:hAnsi="Times New Roman"/>
          <w:sz w:val="28"/>
          <w:szCs w:val="28"/>
          <w:lang w:val="kk-KZ"/>
        </w:rPr>
        <w:lastRenderedPageBreak/>
        <w:t>формамидопиримидиновые повреждения с открытым кольцом FaPydA и FaPydG, которые имеют формамидную группу, которая может образовывать множество различных водородных связей (рисунок 2).</w:t>
      </w:r>
    </w:p>
    <w:p w14:paraId="5CAB4FB7" w14:textId="4C0E95C1" w:rsidR="00107040" w:rsidRPr="00107040" w:rsidRDefault="00107040" w:rsidP="00107040">
      <w:pPr>
        <w:spacing w:after="0" w:line="240" w:lineRule="auto"/>
        <w:ind w:firstLine="567"/>
        <w:jc w:val="both"/>
        <w:rPr>
          <w:rFonts w:ascii="Times New Roman" w:hAnsi="Times New Roman"/>
          <w:sz w:val="28"/>
          <w:szCs w:val="28"/>
          <w:lang w:val="kk-KZ"/>
        </w:rPr>
      </w:pPr>
      <w:r w:rsidRPr="00107040">
        <w:rPr>
          <w:rFonts w:ascii="Times New Roman" w:hAnsi="Times New Roman"/>
          <w:sz w:val="28"/>
          <w:szCs w:val="28"/>
          <w:lang w:val="kk-KZ"/>
        </w:rPr>
        <w:t xml:space="preserve">В дополнение к прямому окислению основаниям ДНК также может быть причинен косвенный вред из-за взаимодействия с реактивными побочными продуктами АФК на другие макромолекулы. Перекисное окисление липидов, которое происходит, когда кислородные радикалы атакуют остатки полиненасыщенных жирных кислот мембранных фосфолипидов, является одной из основных причин такого непрямого окислительного повреждения </w:t>
      </w:r>
      <w:r w:rsidRPr="00107040">
        <w:rPr>
          <w:rFonts w:ascii="Times New Roman" w:hAnsi="Times New Roman"/>
          <w:sz w:val="28"/>
          <w:szCs w:val="28"/>
          <w:lang w:val="kk-KZ"/>
        </w:rPr>
        <w:fldChar w:fldCharType="begin"/>
      </w:r>
      <w:r w:rsidR="008611DC">
        <w:rPr>
          <w:rFonts w:ascii="Times New Roman" w:hAnsi="Times New Roman"/>
          <w:sz w:val="28"/>
          <w:szCs w:val="28"/>
          <w:lang w:val="kk-KZ"/>
        </w:rPr>
        <w:instrText xml:space="preserve"> ADDIN ZOTERO_ITEM CSL_CITATION {"citationID":"fPevBXl9","properties":{"formattedCitation":"[63]","plainCitation":"[63]","noteIndex":0},"citationItems":[{"id":117,"uris":["http://zotero.org/users/9078202/items/RKFCSK42"],"itemData":{"id":117,"type":"article-journal","abstract":"A major development of carcinogenesis research in the past 20 years has been the discovery of significant levels of DNA damage arising from endogenous cellular sources. Dramatic improvements in analytical chemistry have provided sensitive and specific methodology for identification and quantitation of DNA adducts. Application of these techniques to the analysis of nuclear DNA from human tissues has debunked the notion that the human genome is pristine in the absence of exposure to environmental carcinogens. Much endogenous DNA damage arises from intermediates of oxygen reduction that either attack the bases or the deoxyribosyl backbone of DNA. Alternatively, oxygen radicals can attack other cellular components such as lipids to generate reactive intermediates that couple to DNA bases. Endogenous DNA lesions are genotoxic and induce mutations that are commonly observed in mutated oncogenes and tumor suppressor genes. Their mutagenicity is mitigated by repair via base excision and nucleotide excision pathways. The levels of oxidative DNA damage reported in many human tissues or in animal models of carcinogenesis exceed the levels of lesions induced by exposure to exogenous carcinogenic compounds. Thus, it seems likely that oxidative DNA damage is important in the etiology of many human cancers. This review highlights some of the major accomplishments in the study of oxidative DNA damage and its role in carcinogenesis. It also identifies controversies that need to be resolved. Unraveling the contributions to tumorigenesis of DNA damage from endogenous and exogenous sources represents a major challenge for the future.","container-title":"Carcinogenesis","DOI":"10.1093/carcin/21.3.361","ISSN":"0143-3334","issue":"3","journalAbbreviation":"Carcinogenesis","language":"eng","note":"PMID: 10688856","page":"361-370","source":"PubMed","title":"Oxyradicals and DNA damage","volume":"21","author":[{"family":"Marnett","given":"L. J."}],"issued":{"date-parts":[["2000",3]]}}}],"schema":"https://github.com/citation-style-language/schema/raw/master/csl-citation.json"} </w:instrText>
      </w:r>
      <w:r w:rsidRPr="00107040">
        <w:rPr>
          <w:rFonts w:ascii="Times New Roman" w:hAnsi="Times New Roman"/>
          <w:sz w:val="28"/>
          <w:szCs w:val="28"/>
          <w:lang w:val="kk-KZ"/>
        </w:rPr>
        <w:fldChar w:fldCharType="separate"/>
      </w:r>
      <w:r w:rsidR="008611DC" w:rsidRPr="008611DC">
        <w:rPr>
          <w:rFonts w:ascii="Times New Roman" w:hAnsi="Times New Roman"/>
          <w:sz w:val="28"/>
        </w:rPr>
        <w:t>[63]</w:t>
      </w:r>
      <w:r w:rsidRPr="00107040">
        <w:rPr>
          <w:rFonts w:ascii="Times New Roman" w:hAnsi="Times New Roman"/>
          <w:sz w:val="28"/>
          <w:szCs w:val="28"/>
          <w:lang w:val="kk-KZ"/>
        </w:rPr>
        <w:fldChar w:fldCharType="end"/>
      </w:r>
      <w:r w:rsidRPr="00107040">
        <w:rPr>
          <w:rFonts w:ascii="Times New Roman" w:hAnsi="Times New Roman"/>
          <w:sz w:val="28"/>
          <w:szCs w:val="28"/>
          <w:lang w:val="kk-KZ"/>
        </w:rPr>
        <w:t xml:space="preserve">. Малоновый диальдегид, акролеин и кротоновый альдегид являются тремя наиболее распространенными реакционноспособными продуктами перекисного окисления липидов. Аддукт пиримидопуринона, известный как M1G, создается, когда малоновый диальдегид взаимодействует с остатками G в ДНК </w:t>
      </w:r>
      <w:r w:rsidRPr="00107040">
        <w:rPr>
          <w:rFonts w:ascii="Times New Roman" w:hAnsi="Times New Roman"/>
          <w:sz w:val="28"/>
          <w:szCs w:val="28"/>
          <w:lang w:val="kk-KZ"/>
        </w:rPr>
        <w:fldChar w:fldCharType="begin"/>
      </w:r>
      <w:r w:rsidR="008611DC">
        <w:rPr>
          <w:rFonts w:ascii="Times New Roman" w:hAnsi="Times New Roman"/>
          <w:sz w:val="28"/>
          <w:szCs w:val="28"/>
          <w:lang w:val="kk-KZ"/>
        </w:rPr>
        <w:instrText xml:space="preserve"> ADDIN ZOTERO_ITEM CSL_CITATION {"citationID":"29XXxNDD","properties":{"formattedCitation":"[64]","plainCitation":"[64]","noteIndex":0},"citationItems":[{"id":1558,"uris":["http://zotero.org/users/9078202/items/7F6XABDK"],"itemData":{"id":1558,"type":"article-journal","abstract":"The spectrum of mutations induced by the naturally occurring DNA adduct pyrimido[1,2-alpha]purin-10(3H)-one (M1G) was determined by site-specific approaches using M13 vectors replicated in Escherichia coli. M1G was placed at position 6256 in the (-)-strand of M13MB102 by ligating the oligodeoxynucleotide 5'-GGT(M1G)TCCG-3' into a gapped-duplex derivative of the vector. Unmodified and M1G-modified genomes containing either a cytosine or thymine at position 6256 of the (+)-strand were transformed into repair-proficient and repair-deficient E. coli strains, and base pair substitutions were quantitated by hybridization analysis. Modified genomes containing a cytosine opposite M1G resulted in roughly equal numbers of M1G--&gt;A and M1G--&gt;T mutations with few M1G--&gt;C mutations. The total mutation frequency was approximately 1%, which represents a 500-fold increase in mutations compared with unmodified M13MB102. Transformation of modified genomes containing a thymine opposite M1G allowed an estimate to be made of the ability of M1G to block replication. The (-)-strand was replicated &gt;80% of the time in the unadducted genome but only 20% of the time when M1G was present. Correction of the mutation frequency for the strand bias of replication indicated that the actual frequency of mutations induced by M1G was 18%. Experiments using E. coli with different genetic backgrounds indicated that the SOS response enhances the mutagenicity of M1G and that M1G is a substrate for repair by the nucleotide excision repair complex. These studies indicate that M1G, which is present endogenously in DNA of healthy human beings, is a strong block to replication and an efficient premutagenic lesion.","container-title":"Proceedings of the National Academy of Sciences of the United States of America","DOI":"10.1073/pnas.94.16.8652","ISSN":"0027-8424","issue":"16","journalAbbreviation":"Proc Natl Acad Sci U S A","language":"eng","note":"PMID: 9238032\nPMCID: PMC23062","page":"8652-8657","source":"PubMed","title":"Mutagenicity in Escherichia coli of the major DNA adduct derived from the endogenous mutagen malondialdehyde","volume":"94","author":[{"family":"Fink","given":"S. P."},{"family":"Reddy","given":"G. R."},{"family":"Marnett","given":"L. J."}],"issued":{"date-parts":[["1997",8,5]]}}}],"schema":"https://github.com/citation-style-language/schema/raw/master/csl-citation.json"} </w:instrText>
      </w:r>
      <w:r w:rsidRPr="00107040">
        <w:rPr>
          <w:rFonts w:ascii="Times New Roman" w:hAnsi="Times New Roman"/>
          <w:sz w:val="28"/>
          <w:szCs w:val="28"/>
          <w:lang w:val="kk-KZ"/>
        </w:rPr>
        <w:fldChar w:fldCharType="separate"/>
      </w:r>
      <w:r w:rsidR="008611DC" w:rsidRPr="008611DC">
        <w:rPr>
          <w:rFonts w:ascii="Times New Roman" w:hAnsi="Times New Roman"/>
          <w:sz w:val="28"/>
        </w:rPr>
        <w:t>[64]</w:t>
      </w:r>
      <w:r w:rsidRPr="00107040">
        <w:rPr>
          <w:rFonts w:ascii="Times New Roman" w:hAnsi="Times New Roman"/>
          <w:sz w:val="28"/>
          <w:szCs w:val="28"/>
          <w:lang w:val="kk-KZ"/>
        </w:rPr>
        <w:fldChar w:fldCharType="end"/>
      </w:r>
      <w:r w:rsidRPr="00107040">
        <w:rPr>
          <w:rFonts w:ascii="Times New Roman" w:hAnsi="Times New Roman"/>
          <w:sz w:val="28"/>
          <w:szCs w:val="28"/>
          <w:lang w:val="kk-KZ"/>
        </w:rPr>
        <w:t xml:space="preserve">. Этеноизменения оснований ДНК, такие как этено-А и этено-С, производятся акролеином и кротоновым альдегидом </w:t>
      </w:r>
      <w:r w:rsidRPr="00107040">
        <w:rPr>
          <w:rFonts w:ascii="Times New Roman" w:hAnsi="Times New Roman"/>
          <w:sz w:val="28"/>
          <w:szCs w:val="28"/>
          <w:lang w:val="kk-KZ"/>
        </w:rPr>
        <w:fldChar w:fldCharType="begin"/>
      </w:r>
      <w:r w:rsidR="008611DC">
        <w:rPr>
          <w:rFonts w:ascii="Times New Roman" w:hAnsi="Times New Roman"/>
          <w:sz w:val="28"/>
          <w:szCs w:val="28"/>
          <w:lang w:val="kk-KZ"/>
        </w:rPr>
        <w:instrText xml:space="preserve"> ADDIN ZOTERO_ITEM CSL_CITATION {"citationID":"KkoKPQAt","properties":{"formattedCitation":"[65]","plainCitation":"[65]","noteIndex":0},"citationItems":[{"id":1561,"uris":["http://zotero.org/users/9078202/items/MNSMDJK3"],"itemData":{"id":1561,"type":"article-journal","abstract":"Exocyclic DNA adducts are generated in cellular DNA by various industrial pollutants such as the carcinogen vinyl chloride and by endogenous products of lipid peroxidation. The etheno derivatives of purine and pyrimidine bases 3,N4-ethenocytosine (epsilonC), 1, N6-ethenoadenine (epsilonA), N2,3-ethenoguanine, and 1, N2-ethenoguanine cause mutations. The epsilonA residues are excised by the human and the Escherichia coli 3-methyladenine-DNA glycosylases (ANPG and AlkA proteins, respectively), but the enzymes repairing epsilonC residues have not yet been described. We have identified two homologous proteins present in human cells and E. coli that remove epsilonC residues by a DNA glycosylase activity. The human enzyme is an activity of the mismatch-specific thymine-DNA glycosylase (hTDG). The bacterial enzyme is the double-stranded uracil-DNA glycosylase (dsUDG) that is the homologue of the hTDG. In addition to uracil and epsilonC-DNA glycosylase activity, the dsUDG protein repairs thymine in a G/T mismatch. The fact that epsilonC is recognized and efficiently excised by the E. coli dsUDG and hTDG proteins in vitro suggests that these enzymes may be responsible for the repair of this mutagenic lesion in vivo and be important contributors to genetic stability.","container-title":"Proceedings of the National Academy of Sciences of the United States of America","DOI":"10.1073/pnas.95.15.8508","ISSN":"0027-8424","issue":"15","journalAbbreviation":"Proc Natl Acad Sci U S A","language":"eng","note":"PMID: 9671708\nPMCID: PMC21106","page":"8508-8513","source":"PubMed","title":"3,N4-ethenocytosine, a highly mutagenic adduct, is a primary substrate for Escherichia coli double-stranded uracil-DNA glycosylase and human mismatch-specific thymine-DNA glycosylase","volume":"95","author":[{"family":"Saparbaev","given":"M."},{"family":"Laval","given":"J."}],"issued":{"date-parts":[["1998",7,21]]}}}],"schema":"https://github.com/citation-style-language/schema/raw/master/csl-citation.json"} </w:instrText>
      </w:r>
      <w:r w:rsidRPr="00107040">
        <w:rPr>
          <w:rFonts w:ascii="Times New Roman" w:hAnsi="Times New Roman"/>
          <w:sz w:val="28"/>
          <w:szCs w:val="28"/>
          <w:lang w:val="kk-KZ"/>
        </w:rPr>
        <w:fldChar w:fldCharType="separate"/>
      </w:r>
      <w:r w:rsidR="008611DC" w:rsidRPr="008611DC">
        <w:rPr>
          <w:rFonts w:ascii="Times New Roman" w:hAnsi="Times New Roman"/>
          <w:sz w:val="28"/>
        </w:rPr>
        <w:t>[65]</w:t>
      </w:r>
      <w:r w:rsidRPr="00107040">
        <w:rPr>
          <w:rFonts w:ascii="Times New Roman" w:hAnsi="Times New Roman"/>
          <w:sz w:val="28"/>
          <w:szCs w:val="28"/>
          <w:lang w:val="kk-KZ"/>
        </w:rPr>
        <w:fldChar w:fldCharType="end"/>
      </w:r>
      <w:r w:rsidRPr="00107040">
        <w:rPr>
          <w:rFonts w:ascii="Times New Roman" w:hAnsi="Times New Roman"/>
          <w:sz w:val="28"/>
          <w:szCs w:val="28"/>
          <w:lang w:val="kk-KZ"/>
        </w:rPr>
        <w:t>.</w:t>
      </w:r>
    </w:p>
    <w:p w14:paraId="331E0FB9" w14:textId="689AA4C0" w:rsidR="00107040" w:rsidRPr="00107040" w:rsidRDefault="00107040" w:rsidP="00107040">
      <w:pPr>
        <w:spacing w:after="0" w:line="240" w:lineRule="auto"/>
        <w:ind w:firstLine="567"/>
        <w:jc w:val="both"/>
        <w:rPr>
          <w:rFonts w:ascii="Times New Roman" w:hAnsi="Times New Roman"/>
          <w:sz w:val="28"/>
          <w:szCs w:val="28"/>
          <w:lang w:val="kk-KZ"/>
        </w:rPr>
      </w:pPr>
      <w:r w:rsidRPr="00107040">
        <w:rPr>
          <w:rFonts w:ascii="Times New Roman" w:hAnsi="Times New Roman"/>
          <w:sz w:val="28"/>
          <w:szCs w:val="28"/>
          <w:lang w:val="kk-KZ"/>
        </w:rPr>
        <w:t xml:space="preserve">Воздействие АФК на ДНК, приводящая к одноцепочечным разрывам происходит путем удаления атома водорода из положения C4' дезоксирибозы, что приводит к образованию радикала дезоксирибозы, который затем вступает в реакцию, вызывая разрывы одной цепи ДНК </w:t>
      </w:r>
      <w:r w:rsidRPr="00107040">
        <w:rPr>
          <w:rFonts w:ascii="Times New Roman" w:hAnsi="Times New Roman"/>
          <w:sz w:val="28"/>
          <w:szCs w:val="28"/>
          <w:lang w:val="kk-KZ"/>
        </w:rPr>
        <w:fldChar w:fldCharType="begin"/>
      </w:r>
      <w:r w:rsidR="008611DC">
        <w:rPr>
          <w:rFonts w:ascii="Times New Roman" w:hAnsi="Times New Roman"/>
          <w:sz w:val="28"/>
          <w:szCs w:val="28"/>
          <w:lang w:val="kk-KZ"/>
        </w:rPr>
        <w:instrText xml:space="preserve"> ADDIN ZOTERO_ITEM CSL_CITATION {"citationID":"qhvSSS0g","properties":{"formattedCitation":"[66]","plainCitation":"[66]","noteIndex":0},"citationItems":[{"id":1564,"uris":["http://zotero.org/users/9078202/items/SVFQR2JG"],"itemData":{"id":1564,"type":"article-journal","abstract":"The generation of reactive oxygen species may be both beneficial to cells, performing a function in inter- and intracellular signalling, and detrimental, modifying cellular biomolecules, accumulation of which has been associated with numerous diseases. Of the molecules subject to oxidative modification, DNA has received the greatest attention, with biomarkers of exposure and effect closest to validation. Despite nearly a quarter of a century of study, and a large number of base- and sugar-derived DNA lesions having been identified, the majority of studies have focussed upon the guanine modification, 7,8-dihydro-8-oxo-2'-deoxyguanosine (8-OH-dG). For the most part, the biological significance of other lesions has not, as yet, been investigated. In contrast, the description and characterisation of enzyme systems responsible for repairing oxidative DNA base damage is growing rapidly, being the subject of intense study. However, there remain notable gaps in our knowledge of which repair proteins remove which lesions, plus, as more lesions identified, new processes/substrates need to be determined. There are many reports describing elevated levels of oxidatively modified DNA lesions, in various biological matrices, in a plethora of diseases; however, for the majority of these the association could merely be coincidental, and more detailed studies are required. Nevertheless, even based simply upon reports of studies investigating the potential role of 8-OH-dG in disease, the weight of evidence strongly suggests a link between such damage and the pathogenesis of disease. However, exact roles remain to be elucidated.","container-title":"Mutation Research","DOI":"10.1016/j.mrrev.2003.11.001","ISSN":"0027-5107","issue":"1","journalAbbreviation":"Mutat Res","language":"eng","note":"PMID: 15341901","page":"1-61","source":"PubMed","title":"Oxidative DNA damage and disease: induction, repair and significance","title-short":"Oxidative DNA damage and disease","volume":"567","author":[{"family":"Evans","given":"Mark D."},{"family":"Dizdaroglu","given":"Miral"},{"family":"Cooke","given":"Marcus S."}],"issued":{"date-parts":[["2004",9]]}}}],"schema":"https://github.com/citation-style-language/schema/raw/master/csl-citation.json"} </w:instrText>
      </w:r>
      <w:r w:rsidRPr="00107040">
        <w:rPr>
          <w:rFonts w:ascii="Times New Roman" w:hAnsi="Times New Roman"/>
          <w:sz w:val="28"/>
          <w:szCs w:val="28"/>
          <w:lang w:val="kk-KZ"/>
        </w:rPr>
        <w:fldChar w:fldCharType="separate"/>
      </w:r>
      <w:r w:rsidR="008611DC" w:rsidRPr="008611DC">
        <w:rPr>
          <w:rFonts w:ascii="Times New Roman" w:hAnsi="Times New Roman"/>
          <w:sz w:val="28"/>
        </w:rPr>
        <w:t>[66]</w:t>
      </w:r>
      <w:r w:rsidRPr="00107040">
        <w:rPr>
          <w:rFonts w:ascii="Times New Roman" w:hAnsi="Times New Roman"/>
          <w:sz w:val="28"/>
          <w:szCs w:val="28"/>
          <w:lang w:val="kk-KZ"/>
        </w:rPr>
        <w:fldChar w:fldCharType="end"/>
      </w:r>
      <w:r w:rsidRPr="00107040">
        <w:rPr>
          <w:rFonts w:ascii="Times New Roman" w:hAnsi="Times New Roman"/>
          <w:sz w:val="28"/>
          <w:szCs w:val="28"/>
          <w:lang w:val="kk-KZ"/>
        </w:rPr>
        <w:t xml:space="preserve">. Однако двухцепочечные разрывы (DSB) также могут быть результатом окислительного повреждения ДНК, вызванного ионизирующим излучением, из-за образования кластеров радикалов, которые повреждают соседние участки на обеих цепях </w:t>
      </w:r>
      <w:r w:rsidRPr="00107040">
        <w:rPr>
          <w:rFonts w:ascii="Times New Roman" w:hAnsi="Times New Roman"/>
          <w:sz w:val="28"/>
          <w:szCs w:val="28"/>
          <w:lang w:val="kk-KZ"/>
        </w:rPr>
        <w:fldChar w:fldCharType="begin"/>
      </w:r>
      <w:r w:rsidR="00D67182">
        <w:rPr>
          <w:rFonts w:ascii="Times New Roman" w:hAnsi="Times New Roman"/>
          <w:sz w:val="28"/>
          <w:szCs w:val="28"/>
          <w:lang w:val="kk-KZ"/>
        </w:rPr>
        <w:instrText xml:space="preserve"> ADDIN ZOTERO_ITEM CSL_CITATION {"citationID":"oIIDD83P","properties":{"formattedCitation":"[49]","plainCitation":"[49]","noteIndex":0},"citationItems":[{"id":1528,"uris":["http://zotero.org/users/9078202/items/AH4U5Z2X"],"itemData":{"id":1528,"type":"article-journal","container-title":"Progress in Nucleic Acid Research and Molecular Biology","DOI":"10.1016/s0079-6603(08)60611-x","ISSN":"0079-6603","journalAbbreviation":"Prog Nucleic Acid Res Mol Biol","language":"eng","note":"PMID: 3065826","page":"95-125","source":"PubMed","title":"DNA damage produced by ionizing radiation in mammalian cells: identities, mechanisms of formation, and reparability","title-short":"DNA damage produced by ionizing radiation in mammalian cells","volume":"35","author":[{"family":"Ward","given":"J. F."}],"issued":{"date-parts":[["1988"]]}}}],"schema":"https://github.com/citation-style-language/schema/raw/master/csl-citation.json"} </w:instrText>
      </w:r>
      <w:r w:rsidRPr="00107040">
        <w:rPr>
          <w:rFonts w:ascii="Times New Roman" w:hAnsi="Times New Roman"/>
          <w:sz w:val="28"/>
          <w:szCs w:val="28"/>
          <w:lang w:val="kk-KZ"/>
        </w:rPr>
        <w:fldChar w:fldCharType="separate"/>
      </w:r>
      <w:r w:rsidR="00D67182" w:rsidRPr="00D67182">
        <w:rPr>
          <w:rFonts w:ascii="Times New Roman" w:hAnsi="Times New Roman"/>
          <w:sz w:val="28"/>
        </w:rPr>
        <w:t>[49]</w:t>
      </w:r>
      <w:r w:rsidRPr="00107040">
        <w:rPr>
          <w:rFonts w:ascii="Times New Roman" w:hAnsi="Times New Roman"/>
          <w:sz w:val="28"/>
          <w:szCs w:val="28"/>
          <w:lang w:val="kk-KZ"/>
        </w:rPr>
        <w:fldChar w:fldCharType="end"/>
      </w:r>
      <w:r w:rsidRPr="00107040">
        <w:rPr>
          <w:rFonts w:ascii="Times New Roman" w:hAnsi="Times New Roman"/>
          <w:sz w:val="28"/>
          <w:szCs w:val="28"/>
          <w:lang w:val="kk-KZ"/>
        </w:rPr>
        <w:t>.</w:t>
      </w:r>
    </w:p>
    <w:p w14:paraId="234E09CB" w14:textId="5C355B1B" w:rsidR="00107040" w:rsidRPr="00107040" w:rsidRDefault="00107040" w:rsidP="00107040">
      <w:pPr>
        <w:spacing w:after="0" w:line="240" w:lineRule="auto"/>
        <w:ind w:firstLine="567"/>
        <w:jc w:val="both"/>
        <w:rPr>
          <w:rFonts w:ascii="Times New Roman" w:hAnsi="Times New Roman"/>
          <w:sz w:val="28"/>
          <w:szCs w:val="28"/>
          <w:lang w:val="kk-KZ"/>
        </w:rPr>
      </w:pPr>
      <w:r w:rsidRPr="00107040">
        <w:rPr>
          <w:rFonts w:ascii="Times New Roman" w:hAnsi="Times New Roman"/>
          <w:sz w:val="28"/>
          <w:szCs w:val="28"/>
          <w:lang w:val="kk-KZ"/>
        </w:rPr>
        <w:t xml:space="preserve">В зависимости от степени структурных изменений, которым подверглась исходная основа, окислительные повреждения имеют различные генотоксические эффекты. В то время как окисленные пиримидины, которые сохраняют интактное кольцо, такие как дигидротимин, как правило, не препятствуют синтезу ДНК и легко обходят ДНК-полимеразы </w:t>
      </w:r>
      <w:r w:rsidRPr="00107040">
        <w:rPr>
          <w:rFonts w:ascii="Times New Roman" w:hAnsi="Times New Roman"/>
          <w:sz w:val="28"/>
          <w:szCs w:val="28"/>
          <w:lang w:val="kk-KZ"/>
        </w:rPr>
        <w:fldChar w:fldCharType="begin"/>
      </w:r>
      <w:r w:rsidR="008611DC">
        <w:rPr>
          <w:rFonts w:ascii="Times New Roman" w:hAnsi="Times New Roman"/>
          <w:sz w:val="28"/>
          <w:szCs w:val="28"/>
          <w:lang w:val="kk-KZ"/>
        </w:rPr>
        <w:instrText xml:space="preserve"> ADDIN ZOTERO_ITEM CSL_CITATION {"citationID":"J3L7gbxH","properties":{"formattedCitation":"[67]","plainCitation":"[67]","noteIndex":0},"citationItems":[{"id":1947,"uris":["http://zotero.org/users/9078202/items/557CAMWN"],"itemData":{"id":1947,"type":"article-journal","abstract":"We have used thymine glycol and dihydrothymine as representative ring saturation products resulting from free-radical interaction with DNA pyrimidines, and urea glycosides and beta-ureidoisobutyric acid (UBA) as models for pyrimidine-ring fragmentation products. We have shown that thymine glycol and the ring-fragmentation products urea and beta-ureidoisobutyric acid, as well as abasic sites, are strong blocks to DNA polymerases in vitro. In contrast, dihydrothymine is not a block to any of the polymerases tested. For thymine glycol, termination sites were observed opposite the putative lesions, whereas for the ring-fragmentation products, the termination sites were primarily one base prior to the lesion. These and other data have suggested that thymine glycol codes for an A, and that a base is stably inserted opposite the damage, whereas when a base is inserted opposite the non-coding lesions, it is removed by the 3--&gt;5 exonuclease activity of DNA polymerase I. Despite their efficiency as blocking lesions, thymine glycol, urea and UBA can be bypassed at low frequency in certain specific sequence contexts. When the model lesions were introduced individually into single-stranded biologically active DNA, we found that thymine glycol, urea, beta-ureidoisobutyric acid, and abasic sites were all lethal lesions having an activation efficiency of 1, whereas dihydrothymine was not. Thus the in vitro studies predicted the in vivo results. When the survival of biologically active single-stranded DNA was examined in UV-induced Escherichia coli cells where the block to replication was released, no increase in survival was observed for DNA containing urea or abasic sites, suggesting inefficient bypass of these lesions. In contrast, beta-ureidoisobutyric acid survival was slightly enhanced, and transfecting DNA containing thymine glycols was significantly reactivated. When mutation induction by unique lesions was measured using f1-K12 hybrid DNA containing an E. coli target gene, thymine glycols and dihydrothymine were found to be inefficient as premutagenic lesions, suggesting that in vivo, as in vitro, they primarily code for A. In contrast, urea and beta-ureidoisobutyric acid were efficient premutagenic lesions, with beta-ureidoisobutyric acid being about 4-5-fold more effective than urea glycosides, which have approximately the same rate of mutation induction as abasic sites from purines. Sequence analysis of the mutations resulting from these ring-fragmentation products shows that the mutations produced are both lesion and sequence context dependent. The possible roles that bypass efficiency and lesion-directed misinsertion might play in mutagenesis are discussed.","container-title":"Mutation Research","DOI":"10.1016/0165-1218(93)90092-r","ISSN":"0027-5107","issue":"3-4","journalAbbreviation":"Mutat Res","language":"eng","note":"PMID: 7683083","page":"147-156","source":"PubMed","title":"Thymine ring saturation and fragmentation products: lesion bypass, misinsertion and implications for mutagenesis","title-short":"Thymine ring saturation and fragmentation products","volume":"299","author":[{"family":"Evans","given":"J."},{"family":"Maccabee","given":"M."},{"family":"Hatahet","given":"Z."},{"family":"Courcelle","given":"J."},{"family":"Bockrath","given":"R."},{"family":"Ide","given":"H."},{"family":"Wallace","given":"S."}],"issued":{"date-parts":[["1993",5]]}}}],"schema":"https://github.com/citation-style-language/schema/raw/master/csl-citation.json"} </w:instrText>
      </w:r>
      <w:r w:rsidRPr="00107040">
        <w:rPr>
          <w:rFonts w:ascii="Times New Roman" w:hAnsi="Times New Roman"/>
          <w:sz w:val="28"/>
          <w:szCs w:val="28"/>
          <w:lang w:val="kk-KZ"/>
        </w:rPr>
        <w:fldChar w:fldCharType="separate"/>
      </w:r>
      <w:r w:rsidR="008611DC" w:rsidRPr="008611DC">
        <w:rPr>
          <w:rFonts w:ascii="Times New Roman" w:hAnsi="Times New Roman"/>
          <w:sz w:val="28"/>
        </w:rPr>
        <w:t>[67]</w:t>
      </w:r>
      <w:r w:rsidRPr="00107040">
        <w:rPr>
          <w:rFonts w:ascii="Times New Roman" w:hAnsi="Times New Roman"/>
          <w:sz w:val="28"/>
          <w:szCs w:val="28"/>
          <w:lang w:val="kk-KZ"/>
        </w:rPr>
        <w:fldChar w:fldCharType="end"/>
      </w:r>
      <w:r w:rsidRPr="00107040">
        <w:rPr>
          <w:rFonts w:ascii="Times New Roman" w:hAnsi="Times New Roman"/>
          <w:sz w:val="28"/>
          <w:szCs w:val="28"/>
          <w:lang w:val="kk-KZ"/>
        </w:rPr>
        <w:t>, крайние формы окисления пиримидинов, такие как мочевина, служат серьезными барьерами для репликации ДНК</w:t>
      </w:r>
      <w:r w:rsidRPr="00107040">
        <w:rPr>
          <w:rFonts w:ascii="Times New Roman" w:hAnsi="Times New Roman"/>
          <w:sz w:val="28"/>
          <w:szCs w:val="28"/>
        </w:rPr>
        <w:t xml:space="preserve"> </w:t>
      </w:r>
      <w:r w:rsidRPr="00107040">
        <w:rPr>
          <w:rFonts w:ascii="Times New Roman" w:hAnsi="Times New Roman"/>
          <w:sz w:val="28"/>
          <w:szCs w:val="28"/>
        </w:rPr>
        <w:fldChar w:fldCharType="begin"/>
      </w:r>
      <w:r w:rsidR="008611DC">
        <w:rPr>
          <w:rFonts w:ascii="Times New Roman" w:hAnsi="Times New Roman"/>
          <w:sz w:val="28"/>
          <w:szCs w:val="28"/>
        </w:rPr>
        <w:instrText xml:space="preserve"> ADDIN ZOTERO_ITEM CSL_CITATION {"citationID":"QaAhvaQX","properties":{"formattedCitation":"[68]","plainCitation":"[68]","noteIndex":0},"citationItems":[{"id":1568,"uris":["http://zotero.org/users/9078202/items/RKF9ENA8"],"itemData":{"id":1568,"type":"article-journal","abstract":"Thymine glycols were produced in M13 DNA in a concentration dependent manner by treating the DNA with osmium tetroxide (OsO4). For the formation of urea-containing M13 DNA, OsO4-oxidized DNA was hydrolyzed in alkali (pH 12) to convert the thymine glycols to urea residues. With both thymine glycol- and urea-containing M13 DNA, DNA synthesis catalyzed by Escherichia coli DNA polymerase I Klenow fragment was decreased in proportion to the number of damages present in the template DNA. Sequencing gel analysis of the products synthesized by E. coli DNA polymerase I and T4 DNA polymerase showed that DNA synthesis terminated opposite the putative thymine glycol site and at one nucleotide before the putative urea site. Substitution of manganese for magnesium in the reaction mix resulted in increased processivity of DNA synthesis so that a base was incorporated opposite urea. With thymine glycol-containing DNA, processivity in the presence of manganese was strongly dependent on the presence of a pyrimidine 5' to the thymine glycol in the template.","container-title":"Nucleic Acids Research","DOI":"10.1093/nar/13.22.8035","ISSN":"0305-1048","issue":"22","journalAbbreviation":"Nucleic Acids Res","language":"eng","note":"PMID: 3906566\nPMCID: PMC322108","page":"8035-8052","source":"PubMed","title":"Thymine glycols and urea residues in M13 DNA constitute replicative blocks in vitro","volume":"13","author":[{"family":"Ide","given":"H."},{"family":"Kow","given":"Y. W."},{"family":"Wallace","given":"S. S."}],"issued":{"date-parts":[["1985",11,25]]}}}],"schema":"https://github.com/citation-style-language/schema/raw/master/csl-citation.json"} </w:instrText>
      </w:r>
      <w:r w:rsidRPr="00107040">
        <w:rPr>
          <w:rFonts w:ascii="Times New Roman" w:hAnsi="Times New Roman"/>
          <w:sz w:val="28"/>
          <w:szCs w:val="28"/>
        </w:rPr>
        <w:fldChar w:fldCharType="separate"/>
      </w:r>
      <w:r w:rsidR="008611DC" w:rsidRPr="008611DC">
        <w:rPr>
          <w:rFonts w:ascii="Times New Roman" w:hAnsi="Times New Roman"/>
          <w:sz w:val="28"/>
        </w:rPr>
        <w:t>[68]</w:t>
      </w:r>
      <w:r w:rsidRPr="00107040">
        <w:rPr>
          <w:rFonts w:ascii="Times New Roman" w:hAnsi="Times New Roman"/>
          <w:sz w:val="28"/>
          <w:szCs w:val="28"/>
        </w:rPr>
        <w:fldChar w:fldCharType="end"/>
      </w:r>
      <w:r w:rsidRPr="00107040">
        <w:rPr>
          <w:rFonts w:ascii="Times New Roman" w:hAnsi="Times New Roman"/>
          <w:sz w:val="28"/>
          <w:szCs w:val="28"/>
          <w:lang w:val="kk-KZ"/>
        </w:rPr>
        <w:t xml:space="preserve">. А также разрывы цепей, возникающие в результате окислительной атаки на дезоксирибозу, всегда являются блокирующим препятствием для вилки репликации и механизма транскрипции </w:t>
      </w:r>
      <w:r w:rsidRPr="00107040">
        <w:rPr>
          <w:rFonts w:ascii="Times New Roman" w:hAnsi="Times New Roman"/>
          <w:sz w:val="28"/>
          <w:szCs w:val="28"/>
          <w:lang w:val="kk-KZ"/>
        </w:rPr>
        <w:fldChar w:fldCharType="begin"/>
      </w:r>
      <w:r w:rsidR="008611DC">
        <w:rPr>
          <w:rFonts w:ascii="Times New Roman" w:hAnsi="Times New Roman"/>
          <w:sz w:val="28"/>
          <w:szCs w:val="28"/>
          <w:lang w:val="kk-KZ"/>
        </w:rPr>
        <w:instrText xml:space="preserve"> ADDIN ZOTERO_ITEM CSL_CITATION {"citationID":"KDr9eQXT","properties":{"formattedCitation":"[69]","plainCitation":"[69]","noteIndex":0},"citationItems":[{"id":60,"uris":["http://zotero.org/users/9078202/items/YPR9V5YC"],"itemData":{"id":60,"type":"book","abstract":"An essential resource for all scientists researching cellular responses to DNA damage. • Introduces important new material reflective of the major changes and developments that have occurred in the field over the last decade.  • Discussed the field within a strong historical framework, and all aspects of biological responses to DNA damage are detailed.   • Provides information on covering sources and consequences of DNA damage; correcting altered bases in DNA: DNA repair; DNA damage tolerance and mutagenesis; regulatory responses to DNA damage in eukaryotes; and disease states associated with defective biological responses to DNA damage.","ISBN":"978-1-55581-319-2","language":"en","note":"Google-Books-ID: VAKsBAAAQBAJ","number-of-pages":"2845","publisher":"American Society for Microbiology Press","source":"Google Books","title":"DNA Repair and Mutagenesis","author":[{"family":"Friedberg","given":"Errol C."},{"family":"Walker","given":"Graham C."},{"family":"Siede","given":"Wolfram"},{"family":"Wood","given":"Richard D."}],"issued":{"date-parts":[["2005",11,22]]}}}],"schema":"https://github.com/citation-style-language/schema/raw/master/csl-citation.json"} </w:instrText>
      </w:r>
      <w:r w:rsidRPr="00107040">
        <w:rPr>
          <w:rFonts w:ascii="Times New Roman" w:hAnsi="Times New Roman"/>
          <w:sz w:val="28"/>
          <w:szCs w:val="28"/>
          <w:lang w:val="kk-KZ"/>
        </w:rPr>
        <w:fldChar w:fldCharType="separate"/>
      </w:r>
      <w:r w:rsidR="008611DC" w:rsidRPr="008611DC">
        <w:rPr>
          <w:rFonts w:ascii="Times New Roman" w:hAnsi="Times New Roman"/>
          <w:sz w:val="28"/>
        </w:rPr>
        <w:t>[69]</w:t>
      </w:r>
      <w:r w:rsidRPr="00107040">
        <w:rPr>
          <w:rFonts w:ascii="Times New Roman" w:hAnsi="Times New Roman"/>
          <w:sz w:val="28"/>
          <w:szCs w:val="28"/>
          <w:lang w:val="kk-KZ"/>
        </w:rPr>
        <w:fldChar w:fldCharType="end"/>
      </w:r>
      <w:r w:rsidRPr="00107040">
        <w:rPr>
          <w:rFonts w:ascii="Times New Roman" w:hAnsi="Times New Roman"/>
          <w:sz w:val="28"/>
          <w:szCs w:val="28"/>
          <w:lang w:val="kk-KZ"/>
        </w:rPr>
        <w:t>.</w:t>
      </w:r>
    </w:p>
    <w:p w14:paraId="03DA8592" w14:textId="7BA7AA83" w:rsidR="00107040" w:rsidRPr="00107040" w:rsidRDefault="00107040" w:rsidP="00107040">
      <w:pPr>
        <w:spacing w:after="0" w:line="240" w:lineRule="auto"/>
        <w:ind w:firstLine="567"/>
        <w:jc w:val="both"/>
        <w:rPr>
          <w:rFonts w:ascii="Times New Roman" w:hAnsi="Times New Roman"/>
          <w:sz w:val="28"/>
          <w:szCs w:val="28"/>
          <w:lang w:val="kk-KZ"/>
        </w:rPr>
      </w:pPr>
      <w:r w:rsidRPr="00107040">
        <w:rPr>
          <w:rFonts w:ascii="Times New Roman" w:hAnsi="Times New Roman"/>
          <w:sz w:val="28"/>
          <w:szCs w:val="28"/>
          <w:lang w:val="kk-KZ"/>
        </w:rPr>
        <w:t>В ходе эволюции у организмов развились сложные сигнальные пути, опосредующие повреждение ДНК, распознающие и активирующие механизмы репарации, а также различные пути репарации ДНК</w:t>
      </w:r>
      <w:r w:rsidRPr="00107040">
        <w:rPr>
          <w:rFonts w:ascii="Times New Roman" w:hAnsi="Times New Roman"/>
          <w:sz w:val="28"/>
          <w:szCs w:val="28"/>
        </w:rPr>
        <w:t xml:space="preserve"> </w:t>
      </w:r>
      <w:r w:rsidRPr="00107040">
        <w:rPr>
          <w:rFonts w:ascii="Times New Roman" w:hAnsi="Times New Roman"/>
          <w:sz w:val="28"/>
          <w:szCs w:val="28"/>
        </w:rPr>
        <w:fldChar w:fldCharType="begin"/>
      </w:r>
      <w:r w:rsidR="008611DC">
        <w:rPr>
          <w:rFonts w:ascii="Times New Roman" w:hAnsi="Times New Roman"/>
          <w:sz w:val="28"/>
          <w:szCs w:val="28"/>
        </w:rPr>
        <w:instrText xml:space="preserve"> ADDIN ZOTERO_ITEM CSL_CITATION {"citationID":"k0gUNI2N","properties":{"formattedCitation":"[70]","plainCitation":"[70]","noteIndex":0},"citationItems":[{"id":1942,"uris":["http://zotero.org/users/9078202/items/KFY9HMXI"],"itemData":{"id":1942,"type":"article-journal","abstract":"Efficient repair of DNA damage in plants depends on chromatin remodeling factors, histone chaperones, and histone modifiers., The integrity of DNA molecules is constantly challenged. All organisms have developed mechanisms to detect and repair multiple types of DNA lesions. The basic principles of DNA damage repair () in prokaryotes and unicellular and multicellular eukaryotes are similar, but the association of DNA with nucleosomes in eukaryotic chromatin requires mechanisms that allow access of repair enzymes to the lesions. This is achieved by chromatin-remodeling factors, and their necessity for efficient  has recently been demonstrated for several organisms and repair pathways. Plants share many features of chromatin organization and DNA repair with fungi and animals, but they differ in other, important details, which are both interesting and relevant for our understanding of genome stability and genetic diversity. In this Update, we compare the knowledge of the role of chromatin and chromatin-modifying factors during  in plants with equivalent systems in yeast and humans. We emphasize plant-specific elements and discuss possible implications.","container-title":"Plant Physiology","DOI":"10.1104/pp.15.00538","ISSN":"0032-0889","issue":"4","journalAbbreviation":"Plant Physiol","note":"PMID: 26089404\nPMCID: PMC4528755","page":"1206-1218","source":"PubMed Central","title":"DNA Damage Repair in the Context of Plant Chromatin1","URL":"https://www.ncbi.nlm.nih.gov/pmc/articles/PMC4528755/","volume":"168","author":[{"family":"Donà","given":"Mattia"},{"family":"Mittelsten Scheid","given":"Ortrun"}],"accessed":{"date-parts":[["2022",9,14]]},"issued":{"date-parts":[["2015",8]]}}}],"schema":"https://github.com/citation-style-language/schema/raw/master/csl-citation.json"} </w:instrText>
      </w:r>
      <w:r w:rsidRPr="00107040">
        <w:rPr>
          <w:rFonts w:ascii="Times New Roman" w:hAnsi="Times New Roman"/>
          <w:sz w:val="28"/>
          <w:szCs w:val="28"/>
        </w:rPr>
        <w:fldChar w:fldCharType="separate"/>
      </w:r>
      <w:r w:rsidR="008611DC" w:rsidRPr="008611DC">
        <w:rPr>
          <w:rFonts w:ascii="Times New Roman" w:hAnsi="Times New Roman"/>
          <w:sz w:val="28"/>
        </w:rPr>
        <w:t>[70]</w:t>
      </w:r>
      <w:r w:rsidRPr="00107040">
        <w:rPr>
          <w:rFonts w:ascii="Times New Roman" w:hAnsi="Times New Roman"/>
          <w:sz w:val="28"/>
          <w:szCs w:val="28"/>
        </w:rPr>
        <w:fldChar w:fldCharType="end"/>
      </w:r>
      <w:r w:rsidRPr="00107040">
        <w:rPr>
          <w:rFonts w:ascii="Times New Roman" w:hAnsi="Times New Roman"/>
          <w:sz w:val="28"/>
          <w:szCs w:val="28"/>
          <w:lang w:val="kk-KZ"/>
        </w:rPr>
        <w:t xml:space="preserve">. За некоторыми исключениями </w:t>
      </w:r>
      <w:r w:rsidRPr="00107040">
        <w:rPr>
          <w:rFonts w:ascii="Times New Roman" w:hAnsi="Times New Roman"/>
          <w:sz w:val="28"/>
          <w:szCs w:val="28"/>
          <w:lang w:val="kk-KZ"/>
        </w:rPr>
        <w:fldChar w:fldCharType="begin"/>
      </w:r>
      <w:r w:rsidR="008611DC">
        <w:rPr>
          <w:rFonts w:ascii="Times New Roman" w:hAnsi="Times New Roman"/>
          <w:sz w:val="28"/>
          <w:szCs w:val="28"/>
          <w:lang w:val="kk-KZ"/>
        </w:rPr>
        <w:instrText xml:space="preserve"> ADDIN ZOTERO_ITEM CSL_CITATION {"citationID":"UkvraHG6","properties":{"formattedCitation":"[70,71]","plainCitation":"[70,71]","noteIndex":0},"citationItems":[{"id":1942,"uris":["http://zotero.org/users/9078202/items/KFY9HMXI"],"itemData":{"id":1942,"type":"article-journal","abstract":"Efficient repair of DNA damage in plants depends on chromatin remodeling factors, histone chaperones, and histone modifiers., The integrity of DNA molecules is constantly challenged. All organisms have developed mechanisms to detect and repair multiple types of DNA lesions. The basic principles of DNA damage repair () in prokaryotes and unicellular and multicellular eukaryotes are similar, but the association of DNA with nucleosomes in eukaryotic chromatin requires mechanisms that allow access of repair enzymes to the lesions. This is achieved by chromatin-remodeling factors, and their necessity for efficient  has recently been demonstrated for several organisms and repair pathways. Plants share many features of chromatin organization and DNA repair with fungi and animals, but they differ in other, important details, which are both interesting and relevant for our understanding of genome stability and genetic diversity. In this Update, we compare the knowledge of the role of chromatin and chromatin-modifying factors during  in plants with equivalent systems in yeast and humans. We emphasize plant-specific elements and discuss possible implications.","container-title":"Plant Physiology","DOI":"10.1104/pp.15.00538","ISSN":"0032-0889","issue":"4","journalAbbreviation":"Plant Physiol","note":"PMID: 26089404\nPMCID: PMC4528755","page":"1206-1218","source":"PubMed Central","title":"DNA Damage Repair in the Context of Plant Chromatin1","URL":"https://www.ncbi.nlm.nih.gov/pmc/articles/PMC4528755/","volume":"168","author":[{"family":"Donà","given":"Mattia"},{"family":"Mittelsten Scheid","given":"Ortrun"}],"accessed":{"date-parts":[["2022",9,14]]},"issued":{"date-parts":[["2015",8]]}}},{"id":1575,"uris":["http://zotero.org/users/9078202/items/QZICKF9U"],"itemData":{"id":1575,"type":"article-journal","abstract":"Since the initial discovery of genes involved in hereditary breast cancer in humans, a vast wealth of information has been published. Breast cancer proteins were shown to work as tumor suppressors primarily through their involvement in DNA-damage repair. Surprisingly, homologs of these genes can be found in plant genomes, as well. Here, we want to give an overview of the identification and characterization of the biological roles of these proteins, in plants. In addition to the conservation of their function in DNA repair, new plant-specific characteristics have been revealed. BRCA1 is required for the efficient repair of double strand breaks (DSB) by homologous recombination in somatic cells of the model plant Arabidopsis thaliana. Bioinformatic analysis indicates that, whereas most homologs of key components of the different mammalian BRCA1 complexes are present in plant genomes, homologs of most factors involved in the recruitment of BRCA1 to the DSB cannot be identified. Thus, it is not clear at the moment whether differences exist between plants and animals at this important step. The most conserved region of BRCA1 and BARD1 homologs in plants is a PHD domain which is absent in mammals and which, in AtBARD1, might be involved in the transcriptional regulation of plant development. The presence of a plant-specific domain prompted us to reevaluate the current model for the evolution of BRCA1 homologs and to suggest a new hypothesis, in which we postulate that plant BRCA1 and BARD1 have one common predecessor that gained a PHD domain before duplication. Furthermore, work in Arabidopsis demonstrates that – as in animals – BRCA2 homologs are important for meiotic DNA recombination. Surprisingly, recent research has revealed that AtBRCA2 also has an important role in systemic acquired resistance. In Arabidopsis, BRCA2 is involved in the transcriptional regulation of pathogenesis-related (PR) genes via its interaction with the strand exchange protein RAD51.","container-title":"Frontiers in plant science","DOI":"10.3389/fpls.2011.00019","ISSN":"1664-462X","journalAbbreviation":"Front Plant Sci","note":"PMID: 22629260\nPMCID: PMC3355568","page":"19","source":"PubMed Central","title":"Homologs of Breast Cancer Genes in Plants","URL":"https://www.ncbi.nlm.nih.gov/pmc/articles/PMC3355568/","volume":"2","author":[{"family":"Trapp","given":"Oliver"},{"family":"Seeliger","given":"Katharina"},{"family":"Puchta","given":"Holger"}],"accessed":{"date-parts":[["2022",8,30]]},"issued":{"date-parts":[["2011",6,20]]}}}],"schema":"https://github.com/citation-style-language/schema/raw/master/csl-citation.json"} </w:instrText>
      </w:r>
      <w:r w:rsidRPr="00107040">
        <w:rPr>
          <w:rFonts w:ascii="Times New Roman" w:hAnsi="Times New Roman"/>
          <w:sz w:val="28"/>
          <w:szCs w:val="28"/>
          <w:lang w:val="kk-KZ"/>
        </w:rPr>
        <w:fldChar w:fldCharType="separate"/>
      </w:r>
      <w:r w:rsidR="008611DC" w:rsidRPr="008611DC">
        <w:rPr>
          <w:rFonts w:ascii="Times New Roman" w:hAnsi="Times New Roman"/>
          <w:sz w:val="28"/>
        </w:rPr>
        <w:t>[70,71]</w:t>
      </w:r>
      <w:r w:rsidRPr="00107040">
        <w:rPr>
          <w:rFonts w:ascii="Times New Roman" w:hAnsi="Times New Roman"/>
          <w:sz w:val="28"/>
          <w:szCs w:val="28"/>
          <w:lang w:val="kk-KZ"/>
        </w:rPr>
        <w:fldChar w:fldCharType="end"/>
      </w:r>
      <w:r w:rsidRPr="00107040">
        <w:rPr>
          <w:rFonts w:ascii="Times New Roman" w:hAnsi="Times New Roman"/>
          <w:sz w:val="28"/>
          <w:szCs w:val="28"/>
          <w:lang w:val="kk-KZ"/>
        </w:rPr>
        <w:t xml:space="preserve">, растения имеют общие механизмы репарации ДНК, которые ранее были описаны в других эукариотических системах, таких как дрожжи и млекопитающие </w:t>
      </w:r>
      <w:r w:rsidRPr="00107040">
        <w:rPr>
          <w:rFonts w:ascii="Times New Roman" w:hAnsi="Times New Roman"/>
          <w:sz w:val="28"/>
          <w:szCs w:val="28"/>
          <w:lang w:val="kk-KZ"/>
        </w:rPr>
        <w:fldChar w:fldCharType="begin"/>
      </w:r>
      <w:r w:rsidR="008611DC">
        <w:rPr>
          <w:rFonts w:ascii="Times New Roman" w:hAnsi="Times New Roman"/>
          <w:sz w:val="28"/>
          <w:szCs w:val="28"/>
          <w:lang w:val="kk-KZ"/>
        </w:rPr>
        <w:instrText xml:space="preserve"> ADDIN ZOTERO_ITEM CSL_CITATION {"citationID":"N8QxSrR0","properties":{"formattedCitation":"[72]","plainCitation":"[72]","noteIndex":0},"citationItems":[{"id":1485,"uris":["http://zotero.org/users/9078202/items/2DTJJQRW"],"itemData":{"id":1485,"type":"article-journal","abstract":"The Arabidopsis Book contains comprehensive information about a broad range of topics in research on Arabidopsis thaliana and related species.","container-title":"The Arabidopsis Book","DOI":"10.1199/tab.0005","ISSN":"1543-8120","issue":"1","journalAbbreviation":"arbo.j","note":"publisher: The American Society of Plant Biologists","source":"bioone.org","title":"Repair of Damaged Bases","URL":"https://bioone.org/journals/the-arabidopsis-book/volume-2002/issue-1/tab.0005/Repair-of-Damaged-Bases/10.1199/tab.0005.full","volume":"2002","author":[{"family":"Britt","given":"Anne"}],"accessed":{"date-parts":[["2022",8,30]]},"issued":{"date-parts":[["2002",4]]}}}],"schema":"https://github.com/citation-style-language/schema/raw/master/csl-citation.json"} </w:instrText>
      </w:r>
      <w:r w:rsidRPr="00107040">
        <w:rPr>
          <w:rFonts w:ascii="Times New Roman" w:hAnsi="Times New Roman"/>
          <w:sz w:val="28"/>
          <w:szCs w:val="28"/>
          <w:lang w:val="kk-KZ"/>
        </w:rPr>
        <w:fldChar w:fldCharType="separate"/>
      </w:r>
      <w:r w:rsidR="008611DC" w:rsidRPr="008611DC">
        <w:rPr>
          <w:rFonts w:ascii="Times New Roman" w:hAnsi="Times New Roman"/>
          <w:sz w:val="28"/>
        </w:rPr>
        <w:t>[72]</w:t>
      </w:r>
      <w:r w:rsidRPr="00107040">
        <w:rPr>
          <w:rFonts w:ascii="Times New Roman" w:hAnsi="Times New Roman"/>
          <w:sz w:val="28"/>
          <w:szCs w:val="28"/>
          <w:lang w:val="kk-KZ"/>
        </w:rPr>
        <w:fldChar w:fldCharType="end"/>
      </w:r>
      <w:r w:rsidRPr="00107040">
        <w:rPr>
          <w:rFonts w:ascii="Times New Roman" w:hAnsi="Times New Roman"/>
          <w:sz w:val="28"/>
          <w:szCs w:val="28"/>
          <w:lang w:val="kk-KZ"/>
        </w:rPr>
        <w:t xml:space="preserve">. Подобно животным, некоторые из механизмов репарации сильно сфокусированы на специфическом повреждении (фотореактивация), в то время как другие пути репарации, такие как эксцизионная или рекомбинация, отвечают за коррекцию различных повреждений </w:t>
      </w:r>
      <w:r w:rsidRPr="00107040">
        <w:rPr>
          <w:rFonts w:ascii="Times New Roman" w:hAnsi="Times New Roman"/>
          <w:sz w:val="28"/>
          <w:szCs w:val="28"/>
          <w:lang w:val="kk-KZ"/>
        </w:rPr>
        <w:fldChar w:fldCharType="begin"/>
      </w:r>
      <w:r w:rsidR="008611DC">
        <w:rPr>
          <w:rFonts w:ascii="Times New Roman" w:hAnsi="Times New Roman"/>
          <w:sz w:val="28"/>
          <w:szCs w:val="28"/>
          <w:lang w:val="kk-KZ"/>
        </w:rPr>
        <w:instrText xml:space="preserve"> ADDIN ZOTERO_ITEM CSL_CITATION {"citationID":"i3dmANkw","properties":{"formattedCitation":"[73]","plainCitation":"[73]","noteIndex":0},"citationItems":[{"id":1502,"uris":["http://zotero.org/users/9078202/items/DISYCL99"],"itemData":{"id":1502,"type":"article-journal","abstract":"Plants are continuously subjected to UV-B radiation (UV-B; 280-320 nm) as a component of sunlight causing damage to the genome. For elimination of DNA damage, a set of repair mechanisms, mainly photoreactivation, excision, and recombination repair, has evolved. Whereas photoreactivation and excision repair have been intensely studied during the last few years, recombination repair, its regulation, and its interrelationship with photoreactivation in response to UV-B-induced DNA damage is still poorly understood. In this study, we analyzed somatic homologous recombination in a transgenic Arabidopsis line carrying a beta-glucuronidase gene as a recombination marker and in offsprings of crosses of this line with a photolyase deficient uvr2-1 mutant. UV-B radiation stimulated recombination frequencies in a dose-dependent manner correlating linearly with cyclobutane pyrimidine dimer (CPD) levels. Genetic deficiency for CPD-specific photoreactivation resulted in a drastic increase of recombination events, indicating that homologous recombination might be directly involved in eliminating CPD damage. UV-B irradiation stimulated recombination mainly in the presence of photosynthetic active radiation (400-700 nm) irrespective of photolyase activities. Our results suggest that UV-B-induced recombination processes may depend on energy supply derived from photosynthesis.","container-title":"Proceedings of the National Academy of Sciences of the United States of America","DOI":"10.1073/pnas.230251897","ISSN":"0027-8424","issue":"24","journalAbbreviation":"Proc Natl Acad Sci U S A","language":"eng","note":"PMID: 11069284\nPMCID: PMC27240","page":"13425-13429","source":"PubMed","title":"UV-damage-mediated induction of homologous recombination in Arabidopsis is dependent on photosynthetically active radiation","volume":"97","author":[{"family":"Ries","given":"G."},{"family":"Buchholz","given":"G."},{"family":"Frohnmeyer","given":"H."},{"family":"Hohn","given":"B."}],"issued":{"date-parts":[["2000",11,21]]}}}],"schema":"https://github.com/citation-style-language/schema/raw/master/csl-citation.json"} </w:instrText>
      </w:r>
      <w:r w:rsidRPr="00107040">
        <w:rPr>
          <w:rFonts w:ascii="Times New Roman" w:hAnsi="Times New Roman"/>
          <w:sz w:val="28"/>
          <w:szCs w:val="28"/>
          <w:lang w:val="kk-KZ"/>
        </w:rPr>
        <w:fldChar w:fldCharType="separate"/>
      </w:r>
      <w:r w:rsidR="008611DC" w:rsidRPr="008611DC">
        <w:rPr>
          <w:rFonts w:ascii="Times New Roman" w:hAnsi="Times New Roman"/>
          <w:sz w:val="28"/>
        </w:rPr>
        <w:t>[73]</w:t>
      </w:r>
      <w:r w:rsidRPr="00107040">
        <w:rPr>
          <w:rFonts w:ascii="Times New Roman" w:hAnsi="Times New Roman"/>
          <w:sz w:val="28"/>
          <w:szCs w:val="28"/>
          <w:lang w:val="kk-KZ"/>
        </w:rPr>
        <w:fldChar w:fldCharType="end"/>
      </w:r>
      <w:r w:rsidRPr="00107040">
        <w:rPr>
          <w:rFonts w:ascii="Times New Roman" w:hAnsi="Times New Roman"/>
          <w:sz w:val="28"/>
          <w:szCs w:val="28"/>
          <w:lang w:val="kk-KZ"/>
        </w:rPr>
        <w:t xml:space="preserve">. </w:t>
      </w:r>
    </w:p>
    <w:p w14:paraId="7142D6D4" w14:textId="77777777" w:rsidR="00107040" w:rsidRPr="00107040" w:rsidRDefault="00107040" w:rsidP="00107040">
      <w:pPr>
        <w:spacing w:after="0" w:line="240" w:lineRule="auto"/>
        <w:ind w:firstLine="567"/>
        <w:jc w:val="both"/>
        <w:rPr>
          <w:rFonts w:ascii="Times New Roman" w:hAnsi="Times New Roman"/>
          <w:sz w:val="28"/>
          <w:szCs w:val="28"/>
          <w:u w:val="single"/>
        </w:rPr>
      </w:pPr>
    </w:p>
    <w:p w14:paraId="74C08A66" w14:textId="56795575" w:rsidR="00AA10F1" w:rsidRDefault="00AA10F1" w:rsidP="00107040">
      <w:pPr>
        <w:shd w:val="clear" w:color="auto" w:fill="FFFFFF"/>
        <w:spacing w:after="0" w:line="240" w:lineRule="auto"/>
        <w:ind w:firstLine="567"/>
        <w:jc w:val="both"/>
        <w:rPr>
          <w:rFonts w:ascii="Times New Roman" w:hAnsi="Times New Roman"/>
          <w:b/>
          <w:sz w:val="28"/>
          <w:szCs w:val="28"/>
        </w:rPr>
      </w:pPr>
    </w:p>
    <w:p w14:paraId="07D04692" w14:textId="77777777" w:rsidR="00E57A39" w:rsidRDefault="00E57A39" w:rsidP="00107040">
      <w:pPr>
        <w:shd w:val="clear" w:color="auto" w:fill="FFFFFF"/>
        <w:spacing w:after="0" w:line="240" w:lineRule="auto"/>
        <w:ind w:firstLine="567"/>
        <w:jc w:val="both"/>
        <w:rPr>
          <w:rFonts w:ascii="Times New Roman" w:hAnsi="Times New Roman"/>
          <w:b/>
          <w:sz w:val="28"/>
          <w:szCs w:val="28"/>
        </w:rPr>
      </w:pPr>
    </w:p>
    <w:p w14:paraId="2C3863F9" w14:textId="2E46FF65" w:rsidR="00107040" w:rsidRPr="00107040" w:rsidRDefault="00107040" w:rsidP="00107040">
      <w:pPr>
        <w:shd w:val="clear" w:color="auto" w:fill="FFFFFF"/>
        <w:spacing w:after="0" w:line="240" w:lineRule="auto"/>
        <w:ind w:firstLine="567"/>
        <w:jc w:val="both"/>
        <w:rPr>
          <w:rFonts w:ascii="Times New Roman" w:hAnsi="Times New Roman"/>
          <w:b/>
          <w:sz w:val="28"/>
          <w:szCs w:val="28"/>
        </w:rPr>
      </w:pPr>
      <w:r w:rsidRPr="00107040">
        <w:rPr>
          <w:rFonts w:ascii="Times New Roman" w:hAnsi="Times New Roman"/>
          <w:b/>
          <w:sz w:val="28"/>
          <w:szCs w:val="28"/>
        </w:rPr>
        <w:lastRenderedPageBreak/>
        <w:t>1.</w:t>
      </w:r>
      <w:r w:rsidRPr="00107040">
        <w:rPr>
          <w:rFonts w:ascii="Times New Roman" w:hAnsi="Times New Roman"/>
          <w:b/>
          <w:sz w:val="28"/>
          <w:szCs w:val="28"/>
          <w:lang w:val="kk-KZ"/>
        </w:rPr>
        <w:t>2</w:t>
      </w:r>
      <w:r w:rsidRPr="00107040">
        <w:rPr>
          <w:rFonts w:ascii="Times New Roman" w:hAnsi="Times New Roman"/>
          <w:b/>
          <w:sz w:val="28"/>
          <w:szCs w:val="28"/>
        </w:rPr>
        <w:t xml:space="preserve"> </w:t>
      </w:r>
      <w:bookmarkStart w:id="12" w:name="_Hlk113267625"/>
      <w:r w:rsidRPr="00107040">
        <w:rPr>
          <w:rFonts w:ascii="Times New Roman" w:hAnsi="Times New Roman"/>
          <w:b/>
          <w:sz w:val="28"/>
          <w:szCs w:val="28"/>
        </w:rPr>
        <w:t>Пути репарации ДНК</w:t>
      </w:r>
    </w:p>
    <w:bookmarkEnd w:id="12"/>
    <w:p w14:paraId="0A602319" w14:textId="76838342" w:rsidR="00107040" w:rsidRPr="00107040" w:rsidRDefault="00107040" w:rsidP="00107040">
      <w:pPr>
        <w:shd w:val="clear" w:color="auto" w:fill="FFFFFF"/>
        <w:spacing w:after="0" w:line="240" w:lineRule="auto"/>
        <w:ind w:firstLine="567"/>
        <w:jc w:val="both"/>
        <w:rPr>
          <w:rStyle w:val="jlqj4b"/>
          <w:rFonts w:ascii="Times New Roman" w:hAnsi="Times New Roman"/>
          <w:b/>
          <w:bCs/>
          <w:sz w:val="28"/>
          <w:szCs w:val="28"/>
        </w:rPr>
      </w:pPr>
      <w:r w:rsidRPr="00107040">
        <w:rPr>
          <w:rFonts w:ascii="Times New Roman" w:hAnsi="Times New Roman"/>
          <w:sz w:val="28"/>
          <w:szCs w:val="28"/>
        </w:rPr>
        <w:t>Сенсорные белки инициируют локализацию факторов ответа на повреждения ДНК (</w:t>
      </w:r>
      <w:r w:rsidRPr="00107040">
        <w:rPr>
          <w:rFonts w:ascii="Times New Roman" w:hAnsi="Times New Roman"/>
          <w:sz w:val="28"/>
          <w:szCs w:val="28"/>
          <w:lang w:val="en-US"/>
        </w:rPr>
        <w:t>DDR</w:t>
      </w:r>
      <w:r w:rsidRPr="00107040">
        <w:rPr>
          <w:rFonts w:ascii="Times New Roman" w:hAnsi="Times New Roman"/>
          <w:sz w:val="28"/>
          <w:szCs w:val="28"/>
        </w:rPr>
        <w:t xml:space="preserve">) в местах повреждения ДНК, напрямую распознавая специфические повреждения ДНК и активируя </w:t>
      </w:r>
      <w:r w:rsidRPr="00107040">
        <w:rPr>
          <w:rFonts w:ascii="Times New Roman" w:hAnsi="Times New Roman"/>
          <w:sz w:val="28"/>
          <w:szCs w:val="28"/>
          <w:lang w:val="en-US"/>
        </w:rPr>
        <w:t>DDR</w:t>
      </w:r>
      <w:r w:rsidRPr="00107040">
        <w:rPr>
          <w:rFonts w:ascii="Times New Roman" w:hAnsi="Times New Roman"/>
          <w:b/>
          <w:sz w:val="28"/>
          <w:szCs w:val="28"/>
        </w:rPr>
        <w:t xml:space="preserve"> </w:t>
      </w:r>
      <w:r w:rsidRPr="00107040">
        <w:rPr>
          <w:rFonts w:ascii="Times New Roman" w:hAnsi="Times New Roman"/>
          <w:sz w:val="28"/>
          <w:szCs w:val="28"/>
          <w:shd w:val="clear" w:color="auto" w:fill="F5F5F5"/>
          <w:lang w:val="en-US"/>
        </w:rPr>
        <w:fldChar w:fldCharType="begin"/>
      </w:r>
      <w:r w:rsidR="008611DC">
        <w:rPr>
          <w:rFonts w:ascii="Times New Roman" w:hAnsi="Times New Roman"/>
          <w:sz w:val="28"/>
          <w:szCs w:val="28"/>
          <w:shd w:val="clear" w:color="auto" w:fill="F5F5F5"/>
        </w:rPr>
        <w:instrText xml:space="preserve"> ADDIN ZOTERO_ITEM CSL_CITATION {"citationID":"KLlzEmxA","properties":{"formattedCitation":"[74]","plainCitation":"[74]","noteIndex":0},"citationItems":[{"id":92,"uris":["http://zotero.org/users/9078202/items/2RGSK4S6"],"itemData":{"id":92,"type":"article-journal","abstract":"The inability to repair DNA damage properly in mammals leads to various disorders and enhanced rates of tumour development. Organisms respond to chromosomal insults by activating a complex damage response pathway. This pathway regulates known responses such as cell-cycle arrest and apoptosis (programmed cell death), and has recently been shown to control additional processes including direct activation of DNA repair networks.","container-title":"Nature","DOI":"10.1038/35044005","ISSN":"0028-0836","issue":"6811","journalAbbreviation":"Nature","language":"eng","note":"PMID: 11100718","page":"433-439","source":"PubMed","title":"The DNA damage response: putting checkpoints in perspective","title-short":"The DNA damage response","volume":"408","author":[{"family":"Zhou","given":"B. B."},{"family":"Elledge","given":"S. J."}],"issued":{"date-parts":[["2000",11,23]]}}}],"schema":"https://github.com/citation-style-language/schema/raw/master/csl-citation.json"} </w:instrText>
      </w:r>
      <w:r w:rsidRPr="00107040">
        <w:rPr>
          <w:rFonts w:ascii="Times New Roman" w:hAnsi="Times New Roman"/>
          <w:sz w:val="28"/>
          <w:szCs w:val="28"/>
          <w:shd w:val="clear" w:color="auto" w:fill="F5F5F5"/>
          <w:lang w:val="en-US"/>
        </w:rPr>
        <w:fldChar w:fldCharType="separate"/>
      </w:r>
      <w:r w:rsidR="008611DC" w:rsidRPr="008611DC">
        <w:rPr>
          <w:rFonts w:ascii="Times New Roman" w:hAnsi="Times New Roman"/>
          <w:sz w:val="28"/>
        </w:rPr>
        <w:t>[74]</w:t>
      </w:r>
      <w:r w:rsidRPr="00107040">
        <w:rPr>
          <w:rFonts w:ascii="Times New Roman" w:hAnsi="Times New Roman"/>
          <w:sz w:val="28"/>
          <w:szCs w:val="28"/>
          <w:shd w:val="clear" w:color="auto" w:fill="F5F5F5"/>
          <w:lang w:val="en-US"/>
        </w:rPr>
        <w:fldChar w:fldCharType="end"/>
      </w:r>
      <w:r w:rsidRPr="00107040">
        <w:rPr>
          <w:rStyle w:val="jlqj4b"/>
          <w:rFonts w:ascii="Times New Roman" w:hAnsi="Times New Roman"/>
          <w:sz w:val="28"/>
          <w:szCs w:val="28"/>
          <w:shd w:val="clear" w:color="auto" w:fill="FFFFFF"/>
        </w:rPr>
        <w:t xml:space="preserve">. Даже в отсутствие повреждений ДНК сенсорные белки, принудительно прикрепленные к хроматину, вызывали каскад </w:t>
      </w:r>
      <w:r w:rsidRPr="00107040">
        <w:rPr>
          <w:rStyle w:val="jlqj4b"/>
          <w:rFonts w:ascii="Times New Roman" w:hAnsi="Times New Roman"/>
          <w:sz w:val="28"/>
          <w:szCs w:val="28"/>
          <w:shd w:val="clear" w:color="auto" w:fill="FFFFFF"/>
          <w:lang w:val="en"/>
        </w:rPr>
        <w:t>DDR</w:t>
      </w:r>
      <w:r w:rsidRPr="00107040">
        <w:rPr>
          <w:rStyle w:val="jlqj4b"/>
          <w:rFonts w:ascii="Times New Roman" w:hAnsi="Times New Roman"/>
          <w:sz w:val="28"/>
          <w:szCs w:val="28"/>
          <w:shd w:val="clear" w:color="auto" w:fill="FFFFFF"/>
        </w:rPr>
        <w:t xml:space="preserve"> в клетках дрожжей и млекопитающих</w:t>
      </w:r>
      <w:r w:rsidRPr="00107040">
        <w:rPr>
          <w:rFonts w:ascii="Times New Roman" w:hAnsi="Times New Roman"/>
          <w:sz w:val="28"/>
          <w:szCs w:val="28"/>
        </w:rPr>
        <w:t xml:space="preserve"> </w:t>
      </w:r>
      <w:r w:rsidRPr="00107040">
        <w:rPr>
          <w:rFonts w:ascii="Times New Roman" w:hAnsi="Times New Roman"/>
          <w:sz w:val="28"/>
          <w:szCs w:val="28"/>
          <w:shd w:val="clear" w:color="auto" w:fill="F5F5F5"/>
          <w:lang w:val="en-US"/>
        </w:rPr>
        <w:fldChar w:fldCharType="begin"/>
      </w:r>
      <w:r w:rsidR="008611DC">
        <w:rPr>
          <w:rFonts w:ascii="Times New Roman" w:hAnsi="Times New Roman"/>
          <w:sz w:val="28"/>
          <w:szCs w:val="28"/>
          <w:shd w:val="clear" w:color="auto" w:fill="F5F5F5"/>
        </w:rPr>
        <w:instrText xml:space="preserve"> ADDIN ZOTERO_ITEM CSL_CITATION {"citationID":"xsrxBYGm","properties":{"formattedCitation":"[75,76]","plainCitation":"[75,76]","noteIndex":0},"citationItems":[{"id":91,"uris":["http://zotero.org/users/9078202/items/Q9W7BGLA"],"itemData":{"id":91,"type":"article-journal","abstract":"Previous work on the DNA damage checkpoint in Saccharomyces cerevisiae has shown that two complexes independently sense DNA lesions: the kinase Mec1-Ddc2 and the PCNA-like 9-1-1 complex. To test whether colocalization of these components is sufficient for checkpoint activation, we fused these checkpoint proteins to the LacI repressor and artificially colocalized these fusions by expressing them in cells harboring Lac operator arrays. We observed Rad53 and Rad9 phosphorylation, Sml1 degradation, and metaphase delay, demonstrating that colocalization of these sensors is sufficient to activate the checkpoint in the absence of DNA damage. Our tethering system allowed us to establish that CDK functions in the checkpoint pathway downstream of damage processing and checkpoint protein recruitment. This CDK dependence is likely, at least in part, through Rad9, since mutation of CDK consensus sites compromised its checkpoint function.","container-title":"Molecular Cell","DOI":"10.1016/j.molcel.2008.03.023","ISSN":"1097-4164","issue":"3","journalAbbreviation":"Mol Cell","language":"eng","note":"PMID: 18471973\nPMCID: PMC2879338","page":"267-276","source":"PubMed","title":"Colocalization of sensors is sufficient to activate the DNA damage checkpoint in the absence of damage","volume":"30","author":[{"family":"Bonilla","given":"Carla Yaneth"},{"family":"Melo","given":"Justine Amy"},{"family":"Toczyski","given":"David Paul"}],"issued":{"date-parts":[["2008",5,9]]}}},{"id":90,"uris":["http://zotero.org/users/9078202/items/9B4D2JHU"],"itemData":{"id":90,"type":"article-journal","abstract":"The cellular DNA damage response (DDR) is initiated by the rapid recruitment of repair factors to the site of DNA damage to form a multiprotein repair complex. How the repair complex senses damaged DNA and then activates the DDR is not well understood. Here we demonstrate that prolonged binding of DNA repair factors to chromatin can elicit DDR in an ATM- and DNAPK- dependent fashion in the absence of DNA damage. Targeting of single repair factors to chromatin revealed a hierarchy of protein interactions within the repair complex and suggests amplification of the damage signal. We conclude that activation of DDR does not require DNA damage and stable association of repair factors with chromatin is likely a critical step in triggering, amplifying and maintaining the DDR signal.","container-title":"Science (New York, N.Y.)","DOI":"10.1126/science.1159051","ISSN":"0036-8075","issue":"5882","journalAbbreviation":"Science","note":"PMID: 18483401\nPMCID: PMC2575099","page":"1507-1510","source":"PubMed Central","title":"Activation of the Cellular DNA Damage Response in the Absence of DNA Lesions","URL":"https://www.ncbi.nlm.nih.gov/pmc/articles/PMC2575099/","volume":"320","author":[{"family":"Soutoglou","given":"Evi"},{"family":"Misteli","given":"Tom"}],"accessed":{"date-parts":[["2022",2,25]]},"issued":{"date-parts":[["2008",6,13]]}}}],"schema":"https://github.com/citation-style-language/schema/raw/master/csl-citation.json"} </w:instrText>
      </w:r>
      <w:r w:rsidRPr="00107040">
        <w:rPr>
          <w:rFonts w:ascii="Times New Roman" w:hAnsi="Times New Roman"/>
          <w:sz w:val="28"/>
          <w:szCs w:val="28"/>
          <w:shd w:val="clear" w:color="auto" w:fill="F5F5F5"/>
          <w:lang w:val="en-US"/>
        </w:rPr>
        <w:fldChar w:fldCharType="separate"/>
      </w:r>
      <w:r w:rsidR="008611DC" w:rsidRPr="008611DC">
        <w:rPr>
          <w:rFonts w:ascii="Times New Roman" w:hAnsi="Times New Roman"/>
          <w:sz w:val="28"/>
        </w:rPr>
        <w:t>[75,76]</w:t>
      </w:r>
      <w:r w:rsidRPr="00107040">
        <w:rPr>
          <w:rFonts w:ascii="Times New Roman" w:hAnsi="Times New Roman"/>
          <w:sz w:val="28"/>
          <w:szCs w:val="28"/>
          <w:shd w:val="clear" w:color="auto" w:fill="F5F5F5"/>
          <w:lang w:val="en-US"/>
        </w:rPr>
        <w:fldChar w:fldCharType="end"/>
      </w:r>
      <w:r w:rsidRPr="00107040">
        <w:rPr>
          <w:rStyle w:val="jlqj4b"/>
          <w:rFonts w:ascii="Times New Roman" w:hAnsi="Times New Roman"/>
          <w:sz w:val="28"/>
          <w:szCs w:val="28"/>
          <w:shd w:val="clear" w:color="auto" w:fill="FFFFFF"/>
        </w:rPr>
        <w:t>. Следующим уровнем репарации ДНК является регулируем</w:t>
      </w:r>
      <w:r w:rsidRPr="00107040">
        <w:rPr>
          <w:rStyle w:val="jlqj4b"/>
          <w:rFonts w:ascii="Times New Roman" w:hAnsi="Times New Roman"/>
          <w:sz w:val="28"/>
          <w:szCs w:val="28"/>
          <w:shd w:val="clear" w:color="auto" w:fill="FFFFFF"/>
          <w:lang w:val="kk-KZ"/>
        </w:rPr>
        <w:t>ое</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shd w:val="clear" w:color="auto" w:fill="FFFFFF"/>
          <w:lang w:val="en"/>
        </w:rPr>
        <w:t>DDR</w:t>
      </w:r>
      <w:r w:rsidRPr="00107040">
        <w:rPr>
          <w:rStyle w:val="jlqj4b"/>
          <w:rFonts w:ascii="Times New Roman" w:hAnsi="Times New Roman"/>
          <w:sz w:val="28"/>
          <w:szCs w:val="28"/>
          <w:shd w:val="clear" w:color="auto" w:fill="FFFFFF"/>
        </w:rPr>
        <w:t xml:space="preserve"> рекрутирование факторов в места повреждения ДНК. Сборка каскада </w:t>
      </w:r>
      <w:r w:rsidRPr="00107040">
        <w:rPr>
          <w:rStyle w:val="jlqj4b"/>
          <w:rFonts w:ascii="Times New Roman" w:hAnsi="Times New Roman"/>
          <w:sz w:val="28"/>
          <w:szCs w:val="28"/>
          <w:shd w:val="clear" w:color="auto" w:fill="FFFFFF"/>
          <w:lang w:val="en"/>
        </w:rPr>
        <w:t>DDR</w:t>
      </w:r>
      <w:r w:rsidRPr="00107040">
        <w:rPr>
          <w:rStyle w:val="jlqj4b"/>
          <w:rFonts w:ascii="Times New Roman" w:hAnsi="Times New Roman"/>
          <w:sz w:val="28"/>
          <w:szCs w:val="28"/>
          <w:shd w:val="clear" w:color="auto" w:fill="FFFFFF"/>
        </w:rPr>
        <w:t xml:space="preserve"> зависит от широкого спектра посттрансляционных модификаций, индуцированных активацией ответа на повреждение ДНК, </w:t>
      </w:r>
      <w:r w:rsidRPr="00107040">
        <w:rPr>
          <w:rStyle w:val="jlqj4b"/>
          <w:rFonts w:ascii="Times New Roman" w:hAnsi="Times New Roman"/>
          <w:sz w:val="28"/>
          <w:szCs w:val="28"/>
          <w:shd w:val="clear" w:color="auto" w:fill="FFFFFF"/>
        </w:rPr>
        <w:sym w:font="Symbol" w:char="F02D"/>
      </w:r>
      <w:r w:rsidRPr="00107040">
        <w:rPr>
          <w:rStyle w:val="jlqj4b"/>
          <w:rFonts w:ascii="Times New Roman" w:hAnsi="Times New Roman"/>
          <w:sz w:val="28"/>
          <w:szCs w:val="28"/>
          <w:shd w:val="clear" w:color="auto" w:fill="FFFFFF"/>
        </w:rPr>
        <w:t xml:space="preserve"> фосфорилирование, убиквитинирование, сумоилирование, поли(АДФ-рибозилирование), ацетилирование, метилирование</w:t>
      </w:r>
      <w:r w:rsidRPr="00107040">
        <w:rPr>
          <w:rFonts w:ascii="Times New Roman" w:hAnsi="Times New Roman"/>
          <w:sz w:val="28"/>
          <w:szCs w:val="28"/>
          <w:shd w:val="clear" w:color="auto" w:fill="FFFFFF"/>
        </w:rPr>
        <w:t xml:space="preserve"> </w:t>
      </w:r>
      <w:r w:rsidRPr="00107040">
        <w:rPr>
          <w:rFonts w:ascii="Times New Roman" w:hAnsi="Times New Roman"/>
          <w:sz w:val="28"/>
          <w:szCs w:val="28"/>
          <w:shd w:val="clear" w:color="auto" w:fill="FFFFFF"/>
          <w:lang w:val="en"/>
        </w:rPr>
        <w:fldChar w:fldCharType="begin"/>
      </w:r>
      <w:r w:rsidR="008611DC">
        <w:rPr>
          <w:rFonts w:ascii="Times New Roman" w:hAnsi="Times New Roman"/>
          <w:sz w:val="28"/>
          <w:szCs w:val="28"/>
          <w:shd w:val="clear" w:color="auto" w:fill="FFFFFF"/>
        </w:rPr>
        <w:instrText xml:space="preserve"> ADDIN ZOTERO_ITEM CSL_CITATION {"citationID":"xqVnVUoC","properties":{"formattedCitation":"[77]","plainCitation":"[77]","noteIndex":0},"citationItems":[{"id":89,"uris":["http://zotero.org/users/9078202/items/YHT7SZA2"],"itemData":{"id":89,"type":"article-journal","abstract":"With the discovery in the late 1980s that the DNA-repair gene RAD6 encodes a ubiquitin-conjugating enzyme, it became clear that protein modification by ubiquitin conjugation has a much broader significance than had previously been assumed. Now, two decades later, ubiquitin and its cousin SUMO are implicated in a range of human diseases, including breast cancer and Fanconi anaemia, giving fresh momentum to studies focused on the relationships between ubiquitin, SUMO and DNA-repair pathways.","container-title":"Nature","DOI":"10.1038/nature07963","ISSN":"1476-4687","issue":"7237","journalAbbreviation":"Nature","language":"eng","note":"PMID: 19325626","page":"461-467","source":"PubMed","title":"Principles of ubiquitin and SUMO modifications in DNA repair","volume":"458","author":[{"family":"Bergink","given":"Steven"},{"family":"Jentsch","given":"Stefan"}],"issued":{"date-parts":[["2009",3,26]]}}}],"schema":"https://github.com/citation-style-language/schema/raw/master/csl-citation.json"} </w:instrText>
      </w:r>
      <w:r w:rsidRPr="00107040">
        <w:rPr>
          <w:rFonts w:ascii="Times New Roman" w:hAnsi="Times New Roman"/>
          <w:sz w:val="28"/>
          <w:szCs w:val="28"/>
          <w:shd w:val="clear" w:color="auto" w:fill="FFFFFF"/>
          <w:lang w:val="en"/>
        </w:rPr>
        <w:fldChar w:fldCharType="separate"/>
      </w:r>
      <w:r w:rsidR="008611DC" w:rsidRPr="008611DC">
        <w:rPr>
          <w:rFonts w:ascii="Times New Roman" w:hAnsi="Times New Roman"/>
          <w:sz w:val="28"/>
        </w:rPr>
        <w:t>[77]</w:t>
      </w:r>
      <w:r w:rsidRPr="00107040">
        <w:rPr>
          <w:rFonts w:ascii="Times New Roman" w:hAnsi="Times New Roman"/>
          <w:sz w:val="28"/>
          <w:szCs w:val="28"/>
          <w:shd w:val="clear" w:color="auto" w:fill="FFFFFF"/>
          <w:lang w:val="en"/>
        </w:rPr>
        <w:fldChar w:fldCharType="end"/>
      </w:r>
      <w:r w:rsidRPr="00107040">
        <w:rPr>
          <w:rStyle w:val="jlqj4b"/>
          <w:rFonts w:ascii="Times New Roman" w:hAnsi="Times New Roman"/>
          <w:sz w:val="28"/>
          <w:szCs w:val="28"/>
          <w:shd w:val="clear" w:color="auto" w:fill="FFFFFF"/>
        </w:rPr>
        <w:t>. Большое разнообразие белковых доменов специфически распознает эти посттрансляционные модификации, многие из которых также опосредуют рекрутирование в места повреждения ДНК.</w:t>
      </w:r>
    </w:p>
    <w:p w14:paraId="252F2F2E" w14:textId="77777777" w:rsidR="00107040" w:rsidRPr="00107040" w:rsidRDefault="00107040" w:rsidP="00107040">
      <w:pPr>
        <w:spacing w:after="0" w:line="240" w:lineRule="auto"/>
        <w:ind w:firstLine="567"/>
        <w:jc w:val="both"/>
        <w:rPr>
          <w:rStyle w:val="jlqj4b"/>
          <w:rFonts w:ascii="Times New Roman" w:hAnsi="Times New Roman"/>
          <w:sz w:val="28"/>
          <w:szCs w:val="28"/>
          <w:shd w:val="clear" w:color="auto" w:fill="F5F5F5"/>
        </w:rPr>
      </w:pPr>
      <w:r w:rsidRPr="00107040">
        <w:rPr>
          <w:rStyle w:val="jlqj4b"/>
          <w:rFonts w:ascii="Times New Roman" w:hAnsi="Times New Roman"/>
          <w:sz w:val="28"/>
          <w:szCs w:val="28"/>
          <w:shd w:val="clear" w:color="auto" w:fill="FFFFFF"/>
        </w:rPr>
        <w:t xml:space="preserve">Тип повреждения, нанесенного структуре ДНК, определяет различные стратегии репарации для восстановления потерянной информации. Там, где это возможно, клетки будут использовать немодифицированную комплементарную цепь ДНК или сестринскую хроматиду в качестве матрицы для восстановления исходной ДНК и так далее. </w:t>
      </w:r>
      <w:r w:rsidRPr="00107040">
        <w:rPr>
          <w:rStyle w:val="jlqj4b"/>
          <w:rFonts w:ascii="Times New Roman" w:hAnsi="Times New Roman"/>
          <w:sz w:val="28"/>
          <w:szCs w:val="28"/>
        </w:rPr>
        <w:t>В зависимости от этого существуют разные пути репарации ДНК: (1) путь репарации ошибочно спаренных нуклеотидов (</w:t>
      </w:r>
      <w:r w:rsidRPr="00107040">
        <w:rPr>
          <w:rStyle w:val="jlqj4b"/>
          <w:rFonts w:ascii="Times New Roman" w:hAnsi="Times New Roman"/>
          <w:sz w:val="28"/>
          <w:szCs w:val="28"/>
          <w:lang w:val="en"/>
        </w:rPr>
        <w:t>MMR</w:t>
      </w:r>
      <w:r w:rsidRPr="00107040">
        <w:rPr>
          <w:rStyle w:val="jlqj4b"/>
          <w:rFonts w:ascii="Times New Roman" w:hAnsi="Times New Roman"/>
          <w:sz w:val="28"/>
          <w:szCs w:val="28"/>
        </w:rPr>
        <w:t>), (2) путь эксцизионной репарации нуклеотидов (</w:t>
      </w:r>
      <w:r w:rsidRPr="00107040">
        <w:rPr>
          <w:rStyle w:val="jlqj4b"/>
          <w:rFonts w:ascii="Times New Roman" w:hAnsi="Times New Roman"/>
          <w:sz w:val="28"/>
          <w:szCs w:val="28"/>
          <w:lang w:val="en"/>
        </w:rPr>
        <w:t>NER</w:t>
      </w:r>
      <w:r w:rsidRPr="00107040">
        <w:rPr>
          <w:rStyle w:val="jlqj4b"/>
          <w:rFonts w:ascii="Times New Roman" w:hAnsi="Times New Roman"/>
          <w:sz w:val="28"/>
          <w:szCs w:val="28"/>
        </w:rPr>
        <w:t>), (3) путь эксцизионной репарации оснований (</w:t>
      </w:r>
      <w:r w:rsidRPr="00107040">
        <w:rPr>
          <w:rStyle w:val="jlqj4b"/>
          <w:rFonts w:ascii="Times New Roman" w:hAnsi="Times New Roman"/>
          <w:sz w:val="28"/>
          <w:szCs w:val="28"/>
          <w:lang w:val="en"/>
        </w:rPr>
        <w:t>BER</w:t>
      </w:r>
      <w:r w:rsidRPr="00107040">
        <w:rPr>
          <w:rStyle w:val="jlqj4b"/>
          <w:rFonts w:ascii="Times New Roman" w:hAnsi="Times New Roman"/>
          <w:sz w:val="28"/>
          <w:szCs w:val="28"/>
        </w:rPr>
        <w:t>), (4) путь гомологичной рекомбинации (</w:t>
      </w:r>
      <w:r w:rsidRPr="00107040">
        <w:rPr>
          <w:rStyle w:val="jlqj4b"/>
          <w:rFonts w:ascii="Times New Roman" w:hAnsi="Times New Roman"/>
          <w:sz w:val="28"/>
          <w:szCs w:val="28"/>
          <w:lang w:val="en"/>
        </w:rPr>
        <w:t>HR</w:t>
      </w:r>
      <w:r w:rsidRPr="00107040">
        <w:rPr>
          <w:rStyle w:val="jlqj4b"/>
          <w:rFonts w:ascii="Times New Roman" w:hAnsi="Times New Roman"/>
          <w:sz w:val="28"/>
          <w:szCs w:val="28"/>
        </w:rPr>
        <w:t>); и (5) путь негомологичного соединения концов (</w:t>
      </w:r>
      <w:r w:rsidRPr="00107040">
        <w:rPr>
          <w:rStyle w:val="jlqj4b"/>
          <w:rFonts w:ascii="Times New Roman" w:hAnsi="Times New Roman"/>
          <w:sz w:val="28"/>
          <w:szCs w:val="28"/>
          <w:lang w:val="en"/>
        </w:rPr>
        <w:t>NHEJ</w:t>
      </w:r>
      <w:r w:rsidRPr="00107040">
        <w:rPr>
          <w:rStyle w:val="jlqj4b"/>
          <w:rFonts w:ascii="Times New Roman" w:hAnsi="Times New Roman"/>
          <w:sz w:val="28"/>
          <w:szCs w:val="28"/>
        </w:rPr>
        <w:t>)</w:t>
      </w:r>
      <w:r w:rsidRPr="00107040">
        <w:rPr>
          <w:rStyle w:val="jlqj4b"/>
          <w:rFonts w:ascii="Times New Roman" w:hAnsi="Times New Roman"/>
          <w:sz w:val="28"/>
          <w:szCs w:val="28"/>
          <w:shd w:val="clear" w:color="auto" w:fill="F5F5F5"/>
        </w:rPr>
        <w:t>.</w:t>
      </w:r>
    </w:p>
    <w:p w14:paraId="1E31BAED" w14:textId="77777777" w:rsidR="00107040" w:rsidRPr="00107040" w:rsidRDefault="00107040" w:rsidP="00107040">
      <w:pPr>
        <w:spacing w:after="0" w:line="240" w:lineRule="auto"/>
        <w:ind w:firstLine="567"/>
        <w:jc w:val="both"/>
        <w:rPr>
          <w:rStyle w:val="jlqj4b"/>
          <w:rFonts w:ascii="Times New Roman" w:hAnsi="Times New Roman"/>
          <w:sz w:val="28"/>
          <w:szCs w:val="28"/>
          <w:shd w:val="clear" w:color="auto" w:fill="F5F5F5"/>
        </w:rPr>
      </w:pPr>
    </w:p>
    <w:p w14:paraId="74DCC6F3" w14:textId="77777777" w:rsidR="00107040" w:rsidRPr="00107040" w:rsidRDefault="00107040" w:rsidP="00107040">
      <w:pPr>
        <w:spacing w:after="0" w:line="240" w:lineRule="auto"/>
        <w:ind w:firstLine="567"/>
        <w:jc w:val="both"/>
        <w:rPr>
          <w:rStyle w:val="jlqj4b"/>
          <w:rFonts w:ascii="Times New Roman" w:hAnsi="Times New Roman"/>
          <w:sz w:val="28"/>
          <w:szCs w:val="28"/>
          <w:shd w:val="clear" w:color="auto" w:fill="FFFFFF"/>
        </w:rPr>
      </w:pPr>
      <w:r w:rsidRPr="00107040">
        <w:rPr>
          <w:rStyle w:val="jlqj4b"/>
          <w:rFonts w:ascii="Times New Roman" w:hAnsi="Times New Roman"/>
          <w:sz w:val="28"/>
          <w:szCs w:val="28"/>
          <w:shd w:val="clear" w:color="auto" w:fill="FFFFFF"/>
        </w:rPr>
        <w:t>1.</w:t>
      </w:r>
      <w:r w:rsidRPr="00107040">
        <w:rPr>
          <w:rStyle w:val="jlqj4b"/>
          <w:rFonts w:ascii="Times New Roman" w:hAnsi="Times New Roman"/>
          <w:sz w:val="28"/>
          <w:szCs w:val="28"/>
          <w:shd w:val="clear" w:color="auto" w:fill="FFFFFF"/>
          <w:lang w:val="kk-KZ"/>
        </w:rPr>
        <w:t>2.1</w:t>
      </w:r>
      <w:r w:rsidRPr="00107040">
        <w:rPr>
          <w:rStyle w:val="jlqj4b"/>
          <w:rFonts w:ascii="Times New Roman" w:hAnsi="Times New Roman"/>
          <w:sz w:val="28"/>
          <w:szCs w:val="28"/>
          <w:shd w:val="clear" w:color="auto" w:fill="FFFFFF"/>
        </w:rPr>
        <w:t xml:space="preserve"> </w:t>
      </w:r>
      <w:bookmarkStart w:id="13" w:name="_Hlk113267649"/>
      <w:r w:rsidRPr="00107040">
        <w:rPr>
          <w:rStyle w:val="jlqj4b"/>
          <w:rFonts w:ascii="Times New Roman" w:hAnsi="Times New Roman"/>
          <w:sz w:val="28"/>
          <w:szCs w:val="28"/>
          <w:shd w:val="clear" w:color="auto" w:fill="FFFFFF"/>
        </w:rPr>
        <w:t>Репарация повреждений оснований ДНК</w:t>
      </w:r>
      <w:bookmarkEnd w:id="13"/>
    </w:p>
    <w:p w14:paraId="54C9429A" w14:textId="77777777" w:rsidR="00107040" w:rsidRPr="00107040" w:rsidRDefault="00107040" w:rsidP="00107040">
      <w:pPr>
        <w:shd w:val="clear" w:color="auto" w:fill="FFFFFF"/>
        <w:spacing w:after="0" w:line="240" w:lineRule="auto"/>
        <w:ind w:firstLine="567"/>
        <w:jc w:val="both"/>
        <w:rPr>
          <w:rStyle w:val="jlqj4b"/>
          <w:rFonts w:ascii="Times New Roman" w:hAnsi="Times New Roman"/>
          <w:sz w:val="28"/>
          <w:szCs w:val="28"/>
          <w:shd w:val="clear" w:color="auto" w:fill="FFFFFF"/>
        </w:rPr>
      </w:pPr>
      <w:r w:rsidRPr="00107040">
        <w:rPr>
          <w:rStyle w:val="jlqj4b"/>
          <w:rFonts w:ascii="Times New Roman" w:hAnsi="Times New Roman"/>
          <w:sz w:val="28"/>
          <w:szCs w:val="28"/>
          <w:shd w:val="clear" w:color="auto" w:fill="FFFFFF"/>
        </w:rPr>
        <w:t>1.</w:t>
      </w:r>
      <w:r w:rsidRPr="00107040">
        <w:rPr>
          <w:rStyle w:val="jlqj4b"/>
          <w:rFonts w:ascii="Times New Roman" w:hAnsi="Times New Roman"/>
          <w:sz w:val="28"/>
          <w:szCs w:val="28"/>
          <w:shd w:val="clear" w:color="auto" w:fill="FFFFFF"/>
          <w:lang w:val="kk-KZ"/>
        </w:rPr>
        <w:t>2</w:t>
      </w:r>
      <w:r w:rsidRPr="00107040">
        <w:rPr>
          <w:rStyle w:val="jlqj4b"/>
          <w:rFonts w:ascii="Times New Roman" w:hAnsi="Times New Roman"/>
          <w:sz w:val="28"/>
          <w:szCs w:val="28"/>
          <w:shd w:val="clear" w:color="auto" w:fill="FFFFFF"/>
        </w:rPr>
        <w:t>.</w:t>
      </w:r>
      <w:r w:rsidRPr="00107040">
        <w:rPr>
          <w:rStyle w:val="jlqj4b"/>
          <w:rFonts w:ascii="Times New Roman" w:hAnsi="Times New Roman"/>
          <w:sz w:val="28"/>
          <w:szCs w:val="28"/>
          <w:shd w:val="clear" w:color="auto" w:fill="FFFFFF"/>
          <w:lang w:val="kk-KZ"/>
        </w:rPr>
        <w:t>1</w:t>
      </w:r>
      <w:r w:rsidRPr="00107040">
        <w:rPr>
          <w:rStyle w:val="jlqj4b"/>
          <w:rFonts w:ascii="Times New Roman" w:hAnsi="Times New Roman"/>
          <w:sz w:val="28"/>
          <w:szCs w:val="28"/>
          <w:shd w:val="clear" w:color="auto" w:fill="FFFFFF"/>
        </w:rPr>
        <w:t>.</w:t>
      </w:r>
      <w:r w:rsidRPr="00107040">
        <w:rPr>
          <w:rStyle w:val="jlqj4b"/>
          <w:rFonts w:ascii="Times New Roman" w:hAnsi="Times New Roman"/>
          <w:sz w:val="28"/>
          <w:szCs w:val="28"/>
          <w:shd w:val="clear" w:color="auto" w:fill="FFFFFF"/>
          <w:lang w:val="kk-KZ"/>
        </w:rPr>
        <w:t>1</w:t>
      </w:r>
      <w:r w:rsidRPr="00107040">
        <w:rPr>
          <w:rStyle w:val="jlqj4b"/>
          <w:rFonts w:ascii="Times New Roman" w:hAnsi="Times New Roman"/>
          <w:sz w:val="28"/>
          <w:szCs w:val="28"/>
          <w:shd w:val="clear" w:color="auto" w:fill="FFFFFF"/>
        </w:rPr>
        <w:t xml:space="preserve"> </w:t>
      </w:r>
      <w:bookmarkStart w:id="14" w:name="_Hlk113268009"/>
      <w:r w:rsidRPr="00107040">
        <w:rPr>
          <w:rStyle w:val="jlqj4b"/>
          <w:rFonts w:ascii="Times New Roman" w:hAnsi="Times New Roman"/>
          <w:sz w:val="28"/>
          <w:szCs w:val="28"/>
          <w:shd w:val="clear" w:color="auto" w:fill="FFFFFF"/>
          <w:lang w:val="kk-KZ"/>
        </w:rPr>
        <w:t>Эксцизионная репарация</w:t>
      </w:r>
      <w:r w:rsidRPr="00107040">
        <w:rPr>
          <w:rStyle w:val="jlqj4b"/>
          <w:rFonts w:ascii="Times New Roman" w:hAnsi="Times New Roman"/>
          <w:sz w:val="28"/>
          <w:szCs w:val="28"/>
          <w:shd w:val="clear" w:color="auto" w:fill="FFFFFF"/>
        </w:rPr>
        <w:t xml:space="preserve"> основания (</w:t>
      </w:r>
      <w:r w:rsidRPr="00107040">
        <w:rPr>
          <w:rStyle w:val="jlqj4b"/>
          <w:rFonts w:ascii="Times New Roman" w:hAnsi="Times New Roman"/>
          <w:sz w:val="28"/>
          <w:szCs w:val="28"/>
          <w:shd w:val="clear" w:color="auto" w:fill="FFFFFF"/>
          <w:lang w:val="en-US"/>
        </w:rPr>
        <w:t>BER</w:t>
      </w:r>
      <w:r w:rsidRPr="00107040">
        <w:rPr>
          <w:rStyle w:val="jlqj4b"/>
          <w:rFonts w:ascii="Times New Roman" w:hAnsi="Times New Roman"/>
          <w:sz w:val="28"/>
          <w:szCs w:val="28"/>
          <w:shd w:val="clear" w:color="auto" w:fill="FFFFFF"/>
        </w:rPr>
        <w:t>)</w:t>
      </w:r>
    </w:p>
    <w:bookmarkEnd w:id="14"/>
    <w:p w14:paraId="480CDE31" w14:textId="1E579D84" w:rsidR="00107040" w:rsidRPr="00107040" w:rsidRDefault="00107040" w:rsidP="00107040">
      <w:pPr>
        <w:shd w:val="clear" w:color="auto" w:fill="FFFFFF"/>
        <w:spacing w:after="0" w:line="240" w:lineRule="auto"/>
        <w:ind w:firstLine="567"/>
        <w:jc w:val="both"/>
        <w:rPr>
          <w:rStyle w:val="jlqj4b"/>
          <w:rFonts w:ascii="Times New Roman" w:hAnsi="Times New Roman"/>
          <w:sz w:val="28"/>
          <w:szCs w:val="28"/>
          <w:shd w:val="clear" w:color="auto" w:fill="D2E3FC"/>
        </w:rPr>
      </w:pPr>
      <w:r w:rsidRPr="00107040">
        <w:rPr>
          <w:rStyle w:val="jlqj4b"/>
          <w:rFonts w:ascii="Times New Roman" w:hAnsi="Times New Roman"/>
          <w:sz w:val="28"/>
          <w:szCs w:val="28"/>
          <w:shd w:val="clear" w:color="auto" w:fill="FFFFFF"/>
          <w:lang w:val="en-US"/>
        </w:rPr>
        <w:t>BER</w:t>
      </w:r>
      <w:r w:rsidRPr="00107040">
        <w:rPr>
          <w:rStyle w:val="jlqj4b"/>
          <w:rFonts w:ascii="Times New Roman" w:hAnsi="Times New Roman"/>
          <w:sz w:val="28"/>
          <w:szCs w:val="28"/>
          <w:shd w:val="clear" w:color="auto" w:fill="FFFFFF"/>
        </w:rPr>
        <w:t xml:space="preserve"> исправляет такие формы повреждения ДНК, как окислительное, дезаминирование, алкилирование и одноосновное повреждение абазического сайта, которые существенно не искажают спираль ДНК. </w:t>
      </w:r>
      <w:r w:rsidRPr="00107040">
        <w:rPr>
          <w:rStyle w:val="jlqj4b"/>
          <w:rFonts w:ascii="Times New Roman" w:hAnsi="Times New Roman"/>
          <w:sz w:val="28"/>
          <w:szCs w:val="28"/>
          <w:shd w:val="clear" w:color="auto" w:fill="FFFFFF"/>
          <w:lang w:val="en-US"/>
        </w:rPr>
        <w:t>BER</w:t>
      </w:r>
      <w:r w:rsidRPr="00107040">
        <w:rPr>
          <w:rStyle w:val="jlqj4b"/>
          <w:rFonts w:ascii="Times New Roman" w:hAnsi="Times New Roman"/>
          <w:sz w:val="28"/>
          <w:szCs w:val="28"/>
          <w:shd w:val="clear" w:color="auto" w:fill="FFFFFF"/>
        </w:rPr>
        <w:t xml:space="preserve"> в основном активен в фазе </w:t>
      </w:r>
      <w:r w:rsidRPr="00107040">
        <w:rPr>
          <w:rStyle w:val="jlqj4b"/>
          <w:rFonts w:ascii="Times New Roman" w:hAnsi="Times New Roman"/>
          <w:sz w:val="28"/>
          <w:szCs w:val="28"/>
          <w:shd w:val="clear" w:color="auto" w:fill="FFFFFF"/>
          <w:lang w:val="en-US"/>
        </w:rPr>
        <w:t>G</w:t>
      </w:r>
      <w:r w:rsidRPr="00107040">
        <w:rPr>
          <w:rStyle w:val="jlqj4b"/>
          <w:rFonts w:ascii="Times New Roman" w:hAnsi="Times New Roman"/>
          <w:sz w:val="28"/>
          <w:szCs w:val="28"/>
          <w:shd w:val="clear" w:color="auto" w:fill="FFFFFF"/>
        </w:rPr>
        <w:t xml:space="preserve">1 клеточного цикла </w:t>
      </w:r>
      <w:r w:rsidRPr="00107040">
        <w:rPr>
          <w:rStyle w:val="jlqj4b"/>
          <w:rFonts w:ascii="Times New Roman" w:hAnsi="Times New Roman"/>
          <w:sz w:val="28"/>
          <w:szCs w:val="28"/>
          <w:shd w:val="clear" w:color="auto" w:fill="FFFFFF"/>
          <w:lang w:val="en-US"/>
        </w:rPr>
        <w:fldChar w:fldCharType="begin"/>
      </w:r>
      <w:r w:rsidR="008611DC">
        <w:rPr>
          <w:rStyle w:val="jlqj4b"/>
          <w:rFonts w:ascii="Times New Roman" w:hAnsi="Times New Roman"/>
          <w:sz w:val="28"/>
          <w:szCs w:val="28"/>
          <w:shd w:val="clear" w:color="auto" w:fill="FFFFFF"/>
        </w:rPr>
        <w:instrText xml:space="preserve"> ADDIN ZOTERO_ITEM CSL_CITATION {"citationID":"vfqdj5bQ","properties":{"formattedCitation":"[78]","plainCitation":"[78]","noteIndex":0},"citationItems":[{"id":78,"uris":["http://zotero.org/users/9078202/items/IV5J3P93"],"itemData":{"id":78,"type":"article-journal","abstract":"Base excision repair (BER) is a frontline repair system that is responsible for maintaining genome integrity and thus preventing premature aging, cancer and many other human diseases by repairing thousands of DNA lesions and strand breaks continuously caused by endogenous and exogenous mutagens. This fundamental and essential function of BER not only necessitates tight control of the continuous availability of basic components for fast and accurate repair, but also requires temporal and spatial coordination of BER and cell cycle progression to prevent replication of damaged DNA. The major goal of this review is to critically examine controversial and newly emerging questions about mammalian BER pathways, mechanisms regulating BER capacity, BER responses to DNA damage and their links to checkpoint control of DNA replication.","container-title":"Nucleic Acids Research","DOI":"10.1093/nar/gkt076","ISSN":"1362-4962","issue":"6","journalAbbreviation":"Nucleic Acids Res","language":"eng","note":"PMID: 23408852\nPMCID: PMC3616742","page":"3483-3490","source":"PubMed","title":"Mammalian base excision repair: the forgotten archangel","title-short":"Mammalian base excision repair","volume":"41","author":[{"family":"Dianov","given":"Grigory L."},{"family":"Hübscher","given":"Ulrich"}],"issued":{"date-parts":[["2013",4,1]]}}}],"schema":"https://github.com/citation-style-language/schema/raw/master/csl-citation.json"} </w:instrText>
      </w:r>
      <w:r w:rsidRPr="00107040">
        <w:rPr>
          <w:rStyle w:val="jlqj4b"/>
          <w:rFonts w:ascii="Times New Roman" w:hAnsi="Times New Roman"/>
          <w:sz w:val="28"/>
          <w:szCs w:val="28"/>
          <w:shd w:val="clear" w:color="auto" w:fill="FFFFFF"/>
          <w:lang w:val="en-US"/>
        </w:rPr>
        <w:fldChar w:fldCharType="separate"/>
      </w:r>
      <w:r w:rsidR="008611DC" w:rsidRPr="008611DC">
        <w:rPr>
          <w:rFonts w:ascii="Times New Roman" w:hAnsi="Times New Roman"/>
          <w:sz w:val="28"/>
        </w:rPr>
        <w:t>[78]</w:t>
      </w:r>
      <w:r w:rsidRPr="00107040">
        <w:rPr>
          <w:rStyle w:val="jlqj4b"/>
          <w:rFonts w:ascii="Times New Roman" w:hAnsi="Times New Roman"/>
          <w:sz w:val="28"/>
          <w:szCs w:val="28"/>
          <w:shd w:val="clear" w:color="auto" w:fill="FFFFFF"/>
          <w:lang w:val="en-US"/>
        </w:rPr>
        <w:fldChar w:fldCharType="end"/>
      </w:r>
      <w:r w:rsidRPr="00107040">
        <w:rPr>
          <w:rStyle w:val="jlqj4b"/>
          <w:rFonts w:ascii="Times New Roman" w:hAnsi="Times New Roman"/>
          <w:sz w:val="28"/>
          <w:szCs w:val="28"/>
          <w:shd w:val="clear" w:color="auto" w:fill="FFFFFF"/>
        </w:rPr>
        <w:t xml:space="preserve">. Запуск процесса </w:t>
      </w:r>
      <w:r w:rsidRPr="00107040">
        <w:rPr>
          <w:rStyle w:val="jlqj4b"/>
          <w:rFonts w:ascii="Times New Roman" w:hAnsi="Times New Roman"/>
          <w:sz w:val="28"/>
          <w:szCs w:val="28"/>
          <w:shd w:val="clear" w:color="auto" w:fill="FFFFFF"/>
          <w:lang w:val="en"/>
        </w:rPr>
        <w:t>BER</w:t>
      </w:r>
      <w:r w:rsidRPr="00107040">
        <w:rPr>
          <w:rStyle w:val="jlqj4b"/>
          <w:rFonts w:ascii="Times New Roman" w:hAnsi="Times New Roman"/>
          <w:sz w:val="28"/>
          <w:szCs w:val="28"/>
          <w:shd w:val="clear" w:color="auto" w:fill="FFFFFF"/>
        </w:rPr>
        <w:t xml:space="preserve"> сопровождается распознаванием повреждений ДНК-гликозилазой </w:t>
      </w:r>
      <w:r w:rsidRPr="00107040">
        <w:rPr>
          <w:rStyle w:val="jlqj4b"/>
          <w:rFonts w:ascii="Times New Roman" w:hAnsi="Times New Roman"/>
          <w:sz w:val="28"/>
          <w:szCs w:val="28"/>
          <w:shd w:val="clear" w:color="auto" w:fill="FFFFFF"/>
          <w:lang w:val="en"/>
        </w:rPr>
        <w:fldChar w:fldCharType="begin"/>
      </w:r>
      <w:r w:rsidR="008611DC">
        <w:rPr>
          <w:rStyle w:val="jlqj4b"/>
          <w:rFonts w:ascii="Times New Roman" w:hAnsi="Times New Roman"/>
          <w:sz w:val="28"/>
          <w:szCs w:val="28"/>
          <w:shd w:val="clear" w:color="auto" w:fill="FFFFFF"/>
        </w:rPr>
        <w:instrText xml:space="preserve"> ADDIN ZOTERO_ITEM CSL_CITATION {"citationID":"cNtdpcCf","properties":{"formattedCitation":"[79]","plainCitation":"[79]","noteIndex":0},"citationItems":[{"id":77,"uris":["http://zotero.org/users/9078202/items/6C9UFV5W"],"itemData":{"id":77,"type":"article-journal","abstract":"Most of the DNA in eukaryotes is packaged in tandemly arrayed nucleosomes that, together with numerous DNA- and nucleosome-associated enzymes and regulatory factors, make up chromatin. Chromatin modifying and remodeling agents help regulate access to selected DNA segments in chromatin, thereby facilitating transcription and DNA replication and repair. Studies of nucleotide excision repair (NER), single strand break repair (SSBR), and the homology-directed repair (HDR), and non-homologous end-joining (NHEJ) double strand break repair pathways have led to an \"access-repair-restore\" paradigm, in which chromatin in the vicinity of damaged DNA is disrupted, thereby enabling efficient repair and the subsequent repackaging of DNA into nucleosomes. When damage is extensive, these repair processes are accompanied by cell cycle checkpoint activation, which provides cells with sufficient time to either complete the repair or initiate apoptosis. It is not clear, however, if base excision repair (BER) of the ~20,000 or more oxidative DNA damages that occur daily in each nucleated human cell can be viewed through this same lens. Until recently, we did not know if BER requires or is accompanied by nucleosome disruption, and it is not yet clear that anything short of overwhelming oxidative damage (resulting in the shunting of DNA substrates into other repair pathways) results in checkpoint activation. This review highlights studies of how oxidatively damaged DNA in nucleosomes is discovered and repaired, and offers a working model of events associated with BER in chromatin that we hope will have heuristic value.","container-title":"Journal of Cellular Physiology","DOI":"10.1002/jcp.24134","ISSN":"1097-4652","issue":"2","journalAbbreviation":"J Cell Physiol","language":"eng","note":"PMID: 22718094\nPMCID: PMC3468691","page":"258-266","source":"PubMed","title":"Rules of engagement for base excision repair in chromatin","volume":"228","author":[{"family":"Odell","given":"Ian D."},{"family":"Wallace","given":"Susan S."},{"family":"Pederson","given":"David S."}],"issued":{"date-parts":[["2013",2]]}}}],"schema":"https://github.com/citation-style-language/schema/raw/master/csl-citation.json"} </w:instrText>
      </w:r>
      <w:r w:rsidRPr="00107040">
        <w:rPr>
          <w:rStyle w:val="jlqj4b"/>
          <w:rFonts w:ascii="Times New Roman" w:hAnsi="Times New Roman"/>
          <w:sz w:val="28"/>
          <w:szCs w:val="28"/>
          <w:shd w:val="clear" w:color="auto" w:fill="FFFFFF"/>
          <w:lang w:val="en"/>
        </w:rPr>
        <w:fldChar w:fldCharType="separate"/>
      </w:r>
      <w:r w:rsidR="008611DC" w:rsidRPr="008611DC">
        <w:rPr>
          <w:rFonts w:ascii="Times New Roman" w:hAnsi="Times New Roman"/>
          <w:sz w:val="28"/>
        </w:rPr>
        <w:t>[79]</w:t>
      </w:r>
      <w:r w:rsidRPr="00107040">
        <w:rPr>
          <w:rStyle w:val="jlqj4b"/>
          <w:rFonts w:ascii="Times New Roman" w:hAnsi="Times New Roman"/>
          <w:sz w:val="28"/>
          <w:szCs w:val="28"/>
          <w:shd w:val="clear" w:color="auto" w:fill="FFFFFF"/>
          <w:lang w:val="en"/>
        </w:rPr>
        <w:fldChar w:fldCharType="end"/>
      </w:r>
      <w:r w:rsidRPr="00107040">
        <w:rPr>
          <w:rStyle w:val="jlqj4b"/>
          <w:rFonts w:ascii="Times New Roman" w:hAnsi="Times New Roman"/>
          <w:sz w:val="28"/>
          <w:szCs w:val="28"/>
          <w:shd w:val="clear" w:color="auto" w:fill="FFFFFF"/>
        </w:rPr>
        <w:t xml:space="preserve">. Поврежденные основания недеформированных спиралей и вывернутые из большой бороздки могут быть распознаны и вырезаны по крайней мере 11 различными ДНК-гликозилазами </w:t>
      </w:r>
      <w:r w:rsidRPr="00107040">
        <w:rPr>
          <w:rFonts w:ascii="Times New Roman" w:hAnsi="Times New Roman"/>
          <w:sz w:val="28"/>
          <w:szCs w:val="28"/>
          <w:shd w:val="clear" w:color="auto" w:fill="FFFFFF"/>
          <w:lang w:val="en"/>
        </w:rPr>
        <w:fldChar w:fldCharType="begin"/>
      </w:r>
      <w:r w:rsidR="008611DC">
        <w:rPr>
          <w:rFonts w:ascii="Times New Roman" w:hAnsi="Times New Roman"/>
          <w:sz w:val="28"/>
          <w:szCs w:val="28"/>
          <w:shd w:val="clear" w:color="auto" w:fill="FFFFFF"/>
        </w:rPr>
        <w:instrText xml:space="preserve"> ADDIN ZOTERO_ITEM CSL_CITATION {"citationID":"N4x6HK8P","properties":{"formattedCitation":"[80,81]","plainCitation":"[80,81]","noteIndex":0},"citationItems":[{"id":76,"uris":["http://zotero.org/users/9078202/items/LDI3NIKK"],"itemData":{"id":76,"type":"article-journal","abstract":"The discoveries of nucleotide excision repair and transcription-coupled repair led by Phil Hanawalt and a few colleagues sparked a dramatic evolution in our understanding of DNA and molecular biology by revealing the intriguing systems of DNA repair essential to life. In fact, modifications of the cut-and-patch principles identified by Phil Hanawalt and colleagues underlie many of the common themes for the recognition and removal of damaged DNA bases outlined in this review. The emergence of these common themes and a unified understanding have been greatly aided from the direct visualizations of repair proteins and their interactions with damaged DNA by structural biology. These visualizations of DNA repair structures have complemented the increasing wealth of biochemical and genetic information on DNA base damage responses by revealing general themes for the recognition of damaged bases, such as sequence-independent DNA recognition motifs, minor groove reading heads for initial damage recognition, and nucleotide flipping from the major groove into active-site pockets for high specificity of base damage recognition and removal. We know that repair intermediates are as harmful as the initial damage itself, and that these intermediates are protected from one repair step to the next by the enzymes involved, such that pathway-specific handoffs must be efficiently coordinated. Here we focus on the structural biology of the repair enzymes and proteins that recognize specific base lesions and either initiate the base excision repair pathway or directly repair the damage in one step. This understanding of the molecular basis for DNA base integrity is fundamental to resolving key scientific, medical, and public health issues, including the evaluation of the risks from inherited repair protein mutations, environmental toxins, and medical procedures.","container-title":"Mutation Research","DOI":"10.1016/j.mrfmmm.2005.03.012","ISSN":"0027-5107","issue":"1-2","journalAbbreviation":"Mutat Res","language":"eng","note":"PMID: 15941573","page":"55-76","source":"PubMed","title":"DNA base damage recognition and removal: new twists and grooves","title-short":"DNA base damage recognition and removal","volume":"577","author":[{"family":"Huffman","given":"Joy L."},{"family":"Sundheim","given":"Ottar"},{"family":"Tainer","given":"John A."}],"issued":{"date-parts":[["2005",9,4]]}}},{"id":75,"uris":["http://zotero.org/users/9078202/items/M93JZP26"],"itemData":{"id":75,"type":"article-journal","abstract":"Base excision repair (BER) corrects DNA damage from oxidation, deamination and alkylation. Such base lesions cause little distortion to the DNA helix structure. BER is initiated by a DNA glycosylase that recognizes and removes the damaged base, leaving an abasic site that is further processed by short-patch repair or long-patch repair that largely uses different proteins to complete BER. At least 11 distinct mammalian DNA glycosylases are known, each recognizing a few related lesions, frequently with some overlap in specificities. Impressively, the damaged bases are rapidly identified in a vast excess of normal bases, without a supply of energy. BER protects against cancer, aging, and neurodegeneration and takes place both in nuclei and mitochondria. More recently, an important role of uracil-DNA glycosylase UNG2 in adaptive immunity was revealed. Furthermore, other DNA glycosylases may have important roles in epigenetics, thus expanding the repertoire of BER proteins.","container-title":"Cold Spring Harbor Perspectives in Biology","DOI":"10.1101/cshperspect.a012583","ISSN":"1943-0264","issue":"4","journalAbbreviation":"Cold Spring Harb Perspect Biol","language":"eng","note":"PMID: 23545420\nPMCID: PMC3683898","page":"a012583","source":"PubMed","title":"Base excision repair","volume":"5","author":[{"family":"Krokan","given":"Hans E."},{"family":"Bjørås","given":"Magnar"}],"issued":{"date-parts":[["2013",4,1]]}}}],"schema":"https://github.com/citation-style-language/schema/raw/master/csl-citation.json"} </w:instrText>
      </w:r>
      <w:r w:rsidRPr="00107040">
        <w:rPr>
          <w:rFonts w:ascii="Times New Roman" w:hAnsi="Times New Roman"/>
          <w:sz w:val="28"/>
          <w:szCs w:val="28"/>
          <w:shd w:val="clear" w:color="auto" w:fill="FFFFFF"/>
          <w:lang w:val="en"/>
        </w:rPr>
        <w:fldChar w:fldCharType="separate"/>
      </w:r>
      <w:r w:rsidR="008611DC" w:rsidRPr="008611DC">
        <w:rPr>
          <w:rFonts w:ascii="Times New Roman" w:hAnsi="Times New Roman"/>
          <w:sz w:val="28"/>
        </w:rPr>
        <w:t>[80,81]</w:t>
      </w:r>
      <w:r w:rsidRPr="00107040">
        <w:rPr>
          <w:rFonts w:ascii="Times New Roman" w:hAnsi="Times New Roman"/>
          <w:sz w:val="28"/>
          <w:szCs w:val="28"/>
          <w:shd w:val="clear" w:color="auto" w:fill="FFFFFF"/>
          <w:lang w:val="en"/>
        </w:rPr>
        <w:fldChar w:fldCharType="end"/>
      </w:r>
      <w:r w:rsidRPr="00107040">
        <w:rPr>
          <w:rStyle w:val="jlqj4b"/>
          <w:rFonts w:ascii="Times New Roman" w:hAnsi="Times New Roman"/>
          <w:sz w:val="28"/>
          <w:szCs w:val="28"/>
          <w:shd w:val="clear" w:color="auto" w:fill="FFFFFF"/>
        </w:rPr>
        <w:t>. ДНК-гликозилазы обладают либо гликозилазной активностью, такой как урацилгликозилаз</w:t>
      </w:r>
      <w:r w:rsidRPr="00107040">
        <w:rPr>
          <w:rStyle w:val="jlqj4b"/>
          <w:rFonts w:ascii="Times New Roman" w:hAnsi="Times New Roman"/>
          <w:sz w:val="28"/>
          <w:szCs w:val="28"/>
          <w:shd w:val="clear" w:color="auto" w:fill="FFFFFF"/>
          <w:lang w:val="kk-KZ"/>
        </w:rPr>
        <w:t>а</w:t>
      </w:r>
      <w:r w:rsidRPr="00107040">
        <w:rPr>
          <w:rStyle w:val="jlqj4b"/>
          <w:rFonts w:ascii="Times New Roman" w:hAnsi="Times New Roman"/>
          <w:sz w:val="28"/>
          <w:szCs w:val="28"/>
          <w:shd w:val="clear" w:color="auto" w:fill="FFFFFF"/>
        </w:rPr>
        <w:t xml:space="preserve">, N-метилпурин-ДНК-гликозилаза (MPG) и MutY Homolog (MUTYH), либо гликозилазной и дополнительной </w:t>
      </w:r>
      <w:r w:rsidRPr="00107040">
        <w:rPr>
          <w:rStyle w:val="jlqj4b"/>
          <w:rFonts w:ascii="Times New Roman" w:hAnsi="Times New Roman"/>
          <w:sz w:val="28"/>
          <w:szCs w:val="28"/>
          <w:shd w:val="clear" w:color="auto" w:fill="FFFFFF"/>
          <w:lang w:val="en"/>
        </w:rPr>
        <w:t>β</w:t>
      </w:r>
      <w:r w:rsidRPr="00107040">
        <w:rPr>
          <w:rStyle w:val="jlqj4b"/>
          <w:rFonts w:ascii="Times New Roman" w:hAnsi="Times New Roman"/>
          <w:sz w:val="28"/>
          <w:szCs w:val="28"/>
          <w:shd w:val="clear" w:color="auto" w:fill="FFFFFF"/>
        </w:rPr>
        <w:t>-лиазной активностью, такой как Nth-подобная ДНК-гликозилаза 1 (NTHL1), Nei -подобная ДНК-гликозилаза 1 (NEIL1) и Nei-подобная ДНК-гликозилаза 2 (NEIL2)</w:t>
      </w:r>
      <w:r w:rsidRPr="00107040">
        <w:rPr>
          <w:rStyle w:val="jlqj4b"/>
          <w:rFonts w:ascii="Times New Roman" w:hAnsi="Times New Roman"/>
          <w:sz w:val="28"/>
          <w:szCs w:val="28"/>
          <w:shd w:val="clear" w:color="auto" w:fill="FFFFFF"/>
          <w:lang w:val="kk-KZ"/>
        </w:rPr>
        <w:t xml:space="preserve"> </w:t>
      </w:r>
      <w:r w:rsidRPr="00107040">
        <w:rPr>
          <w:rFonts w:ascii="Times New Roman" w:hAnsi="Times New Roman"/>
          <w:sz w:val="28"/>
          <w:szCs w:val="28"/>
          <w:shd w:val="clear" w:color="auto" w:fill="FFFFFF"/>
          <w:lang w:val="en"/>
        </w:rPr>
        <w:fldChar w:fldCharType="begin"/>
      </w:r>
      <w:r w:rsidR="008611DC">
        <w:rPr>
          <w:rFonts w:ascii="Times New Roman" w:hAnsi="Times New Roman"/>
          <w:sz w:val="28"/>
          <w:szCs w:val="28"/>
          <w:shd w:val="clear" w:color="auto" w:fill="FFFFFF"/>
        </w:rPr>
        <w:instrText xml:space="preserve"> ADDIN ZOTERO_ITEM CSL_CITATION {"citationID":"vbJAuSQJ","properties":{"formattedCitation":"[82]","plainCitation":"[82]","noteIndex":0},"citationItems":[{"id":74,"uris":["http://zotero.org/users/9078202/items/WPXDMRHZ"],"itemData":{"id":74,"type":"article-journal","abstract":"The base excision repair machinery protects DNA in cells from the damaging effects of oxidation, alkylation, and deamination; it is specialized to fix single-base damage in the form of small chemical modifications. Base modifications can be mutagenic and/or cytotoxic, depending on how they interfere with the template function of the DNA during replication and transcription. DNA glycosylases play a key role in the elimination of such DNA lesions; they recognize and excise damaged bases, thereby initiating a repair process that restores the regular DNA structure with high accuracy. All glycosylases share a common mode of action for damage recognition; they flip bases out of the DNA helix into a selective active site pocket, the architecture of which permits a sensitive detection of even minor base irregularities. Within the past few years, it has become clear that nature has exploited this ability to read the chemical structure of DNA bases for purposes other than canonical DNA repair. DNA glycosylases have been brought into context with molecular processes relating to innate and adaptive immunity as well as to the control of DNA methylation and epigenetic stability. Here, we summarize the key structural and mechanistic features of DNA glycosylases with a special focus on the mammalian enzymes, and then review the evidence for the newly emerging biological functions beyond the protection of genome integrity.","container-title":"Chromosoma","DOI":"10.1007/s00412-011-0347-4","ISSN":"1432-0886","issue":"1","journalAbbreviation":"Chromosoma","language":"eng","note":"PMID: 22048164\nPMCID: PMC3260424","page":"1-20","source":"PubMed","title":"DNA glycosylases: in DNA repair and beyond","title-short":"DNA glycosylases","volume":"121","author":[{"family":"Jacobs","given":"Angelika L."},{"family":"Schär","given":"Primo"}],"issued":{"date-parts":[["2012",2]]}}}],"schema":"https://github.com/citation-style-language/schema/raw/master/csl-citation.json"} </w:instrText>
      </w:r>
      <w:r w:rsidRPr="00107040">
        <w:rPr>
          <w:rFonts w:ascii="Times New Roman" w:hAnsi="Times New Roman"/>
          <w:sz w:val="28"/>
          <w:szCs w:val="28"/>
          <w:shd w:val="clear" w:color="auto" w:fill="FFFFFF"/>
          <w:lang w:val="en"/>
        </w:rPr>
        <w:fldChar w:fldCharType="separate"/>
      </w:r>
      <w:r w:rsidR="008611DC" w:rsidRPr="008611DC">
        <w:rPr>
          <w:rFonts w:ascii="Times New Roman" w:hAnsi="Times New Roman"/>
          <w:sz w:val="28"/>
        </w:rPr>
        <w:t>[82]</w:t>
      </w:r>
      <w:r w:rsidRPr="00107040">
        <w:rPr>
          <w:rFonts w:ascii="Times New Roman" w:hAnsi="Times New Roman"/>
          <w:sz w:val="28"/>
          <w:szCs w:val="28"/>
          <w:shd w:val="clear" w:color="auto" w:fill="FFFFFF"/>
          <w:lang w:val="en"/>
        </w:rPr>
        <w:fldChar w:fldCharType="end"/>
      </w:r>
      <w:r w:rsidRPr="00107040">
        <w:rPr>
          <w:rStyle w:val="jlqj4b"/>
          <w:rFonts w:ascii="Times New Roman" w:hAnsi="Times New Roman"/>
          <w:sz w:val="28"/>
          <w:szCs w:val="28"/>
          <w:shd w:val="clear" w:color="auto" w:fill="FFFFFF"/>
        </w:rPr>
        <w:t>. Некоторые гликозилазы, такие как 8-оксогуанин ДНК-гликозилаза (</w:t>
      </w:r>
      <w:r w:rsidRPr="00107040">
        <w:rPr>
          <w:rStyle w:val="jlqj4b"/>
          <w:rFonts w:ascii="Times New Roman" w:hAnsi="Times New Roman"/>
          <w:sz w:val="28"/>
          <w:szCs w:val="28"/>
          <w:shd w:val="clear" w:color="auto" w:fill="FFFFFF"/>
          <w:lang w:val="en"/>
        </w:rPr>
        <w:t>OGG</w:t>
      </w:r>
      <w:r w:rsidRPr="00107040">
        <w:rPr>
          <w:rStyle w:val="jlqj4b"/>
          <w:rFonts w:ascii="Times New Roman" w:hAnsi="Times New Roman"/>
          <w:sz w:val="28"/>
          <w:szCs w:val="28"/>
          <w:shd w:val="clear" w:color="auto" w:fill="FFFFFF"/>
        </w:rPr>
        <w:t xml:space="preserve">1) и </w:t>
      </w:r>
      <w:r w:rsidRPr="00107040">
        <w:rPr>
          <w:rStyle w:val="jlqj4b"/>
          <w:rFonts w:ascii="Times New Roman" w:hAnsi="Times New Roman"/>
          <w:sz w:val="28"/>
          <w:szCs w:val="28"/>
          <w:shd w:val="clear" w:color="auto" w:fill="FFFFFF"/>
          <w:lang w:val="en"/>
        </w:rPr>
        <w:t>NEIL</w:t>
      </w:r>
      <w:r w:rsidRPr="00107040">
        <w:rPr>
          <w:rStyle w:val="jlqj4b"/>
          <w:rFonts w:ascii="Times New Roman" w:hAnsi="Times New Roman"/>
          <w:sz w:val="28"/>
          <w:szCs w:val="28"/>
          <w:shd w:val="clear" w:color="auto" w:fill="FFFFFF"/>
        </w:rPr>
        <w:t xml:space="preserve">3, функционируют как моно- и бифункциональные гликозилазы </w:t>
      </w:r>
      <w:r w:rsidRPr="00107040">
        <w:rPr>
          <w:rStyle w:val="jlqj4b"/>
          <w:rFonts w:ascii="Times New Roman" w:hAnsi="Times New Roman"/>
          <w:sz w:val="28"/>
          <w:szCs w:val="28"/>
          <w:shd w:val="clear" w:color="auto" w:fill="D2E3FC"/>
          <w:lang w:val="en"/>
        </w:rPr>
        <w:fldChar w:fldCharType="begin"/>
      </w:r>
      <w:r w:rsidR="008611DC">
        <w:rPr>
          <w:rStyle w:val="jlqj4b"/>
          <w:rFonts w:ascii="Times New Roman" w:hAnsi="Times New Roman"/>
          <w:sz w:val="28"/>
          <w:szCs w:val="28"/>
          <w:shd w:val="clear" w:color="auto" w:fill="D2E3FC"/>
        </w:rPr>
        <w:instrText xml:space="preserve"> ADDIN ZOTERO_ITEM CSL_CITATION {"citationID":"l45llBa4","properties":{"formattedCitation":"[83]","plainCitation":"[83]","noteIndex":0},"citationItems":[{"id":73,"uris":["http://zotero.org/users/9078202/items/B7BFPDLG"],"itemData":{"id":73,"type":"article-journal","abstract":"Nuclear and mitochondrial genomes are under continuous assault by a combination of environmentally and endogenously derived reactive oxygen species, inducing the formation and accumulation of mutagenic, toxic, and/or genome-destabilizing DNA lesions. Failure to resolve these lesions through one or more DNA-repair processes is associated with genome instability, mitochondrial dysfunction, neurodegeneration, inflammation, aging, and cancer, emphasizing the importance of characterizing the pathways and proteins involved in the repair of oxidative DNA damage. This review focuses on the repair of oxidative damage-induced lesions in nuclear and mitochondrial DNA mediated by the base excision repair (BER) pathway in mammalian cells. We discuss the multiple BER subpathways that are initiated by one of 11 different DNA glycosylases of three subtypes: (a) bifunctional with an associated β-lyase activity; (b) monofunctional; and (c) bifunctional with an associated β,δ-lyase activity. These three subtypes of DNA glycosylases all initiate BER but yield different chemical intermediates and hence different BER complexes to complete repair. Additionally, we briefly summarize alternate repair events mediated by BER proteins and the role of BER in the repair of mitochondrial DNA damage induced by ROS. Finally, we discuss the relation of BER and oxidative DNA damage in the onset of human disease.","container-title":"Antioxidants &amp; Redox Signaling","DOI":"10.1089/ars.2010.3466","ISSN":"1557-7716","issue":"12","journalAbbreviation":"Antioxid Redox Signal","language":"eng","note":"PMID: 20649466\nPMCID: PMC3096496","page":"2491-2507","source":"PubMed","title":"Base excision repair and lesion-dependent subpathways for repair of oxidative DNA damage","volume":"14","author":[{"family":"Svilar","given":"David"},{"family":"Goellner","given":"Eva M."},{"family":"Almeida","given":"Karen H."},{"family":"Sobol","given":"Robert W."}],"issued":{"date-parts":[["2011",6,15]]}}}],"schema":"https://github.com/citation-style-language/schema/raw/master/csl-citation.json"} </w:instrText>
      </w:r>
      <w:r w:rsidRPr="00107040">
        <w:rPr>
          <w:rStyle w:val="jlqj4b"/>
          <w:rFonts w:ascii="Times New Roman" w:hAnsi="Times New Roman"/>
          <w:sz w:val="28"/>
          <w:szCs w:val="28"/>
          <w:shd w:val="clear" w:color="auto" w:fill="D2E3FC"/>
          <w:lang w:val="en"/>
        </w:rPr>
        <w:fldChar w:fldCharType="separate"/>
      </w:r>
      <w:r w:rsidR="008611DC" w:rsidRPr="008611DC">
        <w:rPr>
          <w:rFonts w:ascii="Times New Roman" w:hAnsi="Times New Roman"/>
          <w:sz w:val="28"/>
        </w:rPr>
        <w:t>[83]</w:t>
      </w:r>
      <w:r w:rsidRPr="00107040">
        <w:rPr>
          <w:rStyle w:val="jlqj4b"/>
          <w:rFonts w:ascii="Times New Roman" w:hAnsi="Times New Roman"/>
          <w:sz w:val="28"/>
          <w:szCs w:val="28"/>
          <w:shd w:val="clear" w:color="auto" w:fill="D2E3FC"/>
          <w:lang w:val="en"/>
        </w:rPr>
        <w:fldChar w:fldCharType="end"/>
      </w:r>
      <w:r w:rsidRPr="00107040">
        <w:rPr>
          <w:rStyle w:val="jlqj4b"/>
          <w:rFonts w:ascii="Times New Roman" w:hAnsi="Times New Roman"/>
          <w:sz w:val="28"/>
          <w:szCs w:val="28"/>
          <w:shd w:val="clear" w:color="auto" w:fill="FFFFFF"/>
        </w:rPr>
        <w:t xml:space="preserve">. Абазический сайт, созданный монофункциональными гликозилазами, восстанавливается короткими участками, в то время как двойные гликозилазы инициируют длинный путь восстановления </w:t>
      </w:r>
      <w:r w:rsidRPr="00107040">
        <w:rPr>
          <w:rStyle w:val="jlqj4b"/>
          <w:rFonts w:ascii="Times New Roman" w:hAnsi="Times New Roman"/>
          <w:sz w:val="28"/>
          <w:szCs w:val="28"/>
          <w:shd w:val="clear" w:color="auto" w:fill="FFFFFF"/>
          <w:lang w:val="en"/>
        </w:rPr>
        <w:t>BER</w:t>
      </w:r>
      <w:r w:rsidRPr="00107040">
        <w:rPr>
          <w:rStyle w:val="jlqj4b"/>
          <w:rFonts w:ascii="Times New Roman" w:hAnsi="Times New Roman"/>
          <w:sz w:val="28"/>
          <w:szCs w:val="28"/>
          <w:shd w:val="clear" w:color="auto" w:fill="FFFFFF"/>
        </w:rPr>
        <w:t xml:space="preserve"> </w:t>
      </w:r>
      <w:r w:rsidRPr="00107040">
        <w:rPr>
          <w:rFonts w:ascii="Times New Roman" w:hAnsi="Times New Roman"/>
          <w:sz w:val="28"/>
          <w:szCs w:val="28"/>
          <w:shd w:val="clear" w:color="auto" w:fill="F5F5F5"/>
        </w:rPr>
        <w:fldChar w:fldCharType="begin"/>
      </w:r>
      <w:r w:rsidR="008611DC">
        <w:rPr>
          <w:rFonts w:ascii="Times New Roman" w:hAnsi="Times New Roman"/>
          <w:sz w:val="28"/>
          <w:szCs w:val="28"/>
          <w:shd w:val="clear" w:color="auto" w:fill="F5F5F5"/>
        </w:rPr>
        <w:instrText xml:space="preserve"> ADDIN ZOTERO_ITEM CSL_CITATION {"citationID":"3dBnOdSH","properties":{"formattedCitation":"[78]","plainCitation":"[78]","noteIndex":0},"citationItems":[{"id":78,"uris":["http://zotero.org/users/9078202/items/IV5J3P93"],"itemData":{"id":78,"type":"article-journal","abstract":"Base excision repair (BER) is a frontline repair system that is responsible for maintaining genome integrity and thus preventing premature aging, cancer and many other human diseases by repairing thousands of DNA lesions and strand breaks continuously caused by endogenous and exogenous mutagens. This fundamental and essential function of BER not only necessitates tight control of the continuous availability of basic components for fast and accurate repair, but also requires temporal and spatial coordination of BER and cell cycle progression to prevent replication of damaged DNA. The major goal of this review is to critically examine controversial and newly emerging questions about mammalian BER pathways, mechanisms regulating BER capacity, BER responses to DNA damage and their links to checkpoint control of DNA replication.","container-title":"Nucleic Acids Research","DOI":"10.1093/nar/gkt076","ISSN":"1362-4962","issue":"6","journalAbbreviation":"Nucleic Acids Res","language":"eng","note":"PMID: 23408852\nPMCID: PMC3616742","page":"3483-3490","source":"PubMed","title":"Mammalian base excision repair: the forgotten archangel","title-short":"Mammalian base excision repair","volume":"41","author":[{"family":"Dianov","given":"Grigory L."},{"family":"Hübscher","given":"Ulrich"}],"issued":{"date-parts":[["2013",4,1]]}}}],"schema":"https://github.com/citation-style-language/schema/raw/master/csl-citation.json"} </w:instrText>
      </w:r>
      <w:r w:rsidRPr="00107040">
        <w:rPr>
          <w:rFonts w:ascii="Times New Roman" w:hAnsi="Times New Roman"/>
          <w:sz w:val="28"/>
          <w:szCs w:val="28"/>
          <w:shd w:val="clear" w:color="auto" w:fill="F5F5F5"/>
        </w:rPr>
        <w:fldChar w:fldCharType="separate"/>
      </w:r>
      <w:r w:rsidR="008611DC" w:rsidRPr="008611DC">
        <w:rPr>
          <w:rFonts w:ascii="Times New Roman" w:hAnsi="Times New Roman"/>
          <w:sz w:val="28"/>
        </w:rPr>
        <w:t>[78]</w:t>
      </w:r>
      <w:r w:rsidRPr="00107040">
        <w:rPr>
          <w:rFonts w:ascii="Times New Roman" w:hAnsi="Times New Roman"/>
          <w:sz w:val="28"/>
          <w:szCs w:val="28"/>
          <w:shd w:val="clear" w:color="auto" w:fill="F5F5F5"/>
        </w:rPr>
        <w:fldChar w:fldCharType="end"/>
      </w:r>
      <w:r w:rsidRPr="00107040">
        <w:rPr>
          <w:rFonts w:ascii="Times New Roman" w:hAnsi="Times New Roman"/>
          <w:sz w:val="28"/>
          <w:szCs w:val="28"/>
          <w:shd w:val="clear" w:color="auto" w:fill="F5F5F5"/>
        </w:rPr>
        <w:t>.</w:t>
      </w:r>
    </w:p>
    <w:p w14:paraId="30B4EC3F" w14:textId="15C16461" w:rsidR="00107040" w:rsidRPr="00107040" w:rsidRDefault="00107040" w:rsidP="00107040">
      <w:pPr>
        <w:spacing w:after="0" w:line="240" w:lineRule="auto"/>
        <w:ind w:firstLine="567"/>
        <w:jc w:val="both"/>
        <w:rPr>
          <w:rStyle w:val="jlqj4b"/>
          <w:rFonts w:ascii="Times New Roman" w:hAnsi="Times New Roman"/>
          <w:sz w:val="28"/>
          <w:szCs w:val="28"/>
          <w:shd w:val="clear" w:color="auto" w:fill="F5F5F5"/>
        </w:rPr>
      </w:pPr>
      <w:r w:rsidRPr="00107040">
        <w:rPr>
          <w:rStyle w:val="jlqj4b"/>
          <w:rFonts w:ascii="Times New Roman" w:hAnsi="Times New Roman"/>
          <w:sz w:val="28"/>
          <w:szCs w:val="28"/>
          <w:shd w:val="clear" w:color="auto" w:fill="FFFFFF"/>
        </w:rPr>
        <w:t>Короткий участок (</w:t>
      </w:r>
      <w:r w:rsidRPr="00107040">
        <w:rPr>
          <w:rStyle w:val="jlqj4b"/>
          <w:rFonts w:ascii="Times New Roman" w:hAnsi="Times New Roman"/>
          <w:sz w:val="28"/>
          <w:szCs w:val="28"/>
          <w:shd w:val="clear" w:color="auto" w:fill="FFFFFF"/>
          <w:lang w:val="en-US"/>
        </w:rPr>
        <w:t>short</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shd w:val="clear" w:color="auto" w:fill="FFFFFF"/>
          <w:lang w:val="en-US"/>
        </w:rPr>
        <w:t>patch</w:t>
      </w:r>
      <w:r w:rsidRPr="00107040">
        <w:rPr>
          <w:rStyle w:val="jlqj4b"/>
          <w:rFonts w:ascii="Times New Roman" w:hAnsi="Times New Roman"/>
          <w:sz w:val="28"/>
          <w:szCs w:val="28"/>
          <w:shd w:val="clear" w:color="auto" w:fill="FFFFFF"/>
        </w:rPr>
        <w:t>) осуществляется ферментом АР-эндонуклеазой (</w:t>
      </w:r>
      <w:r w:rsidRPr="00107040">
        <w:rPr>
          <w:rStyle w:val="jlqj4b"/>
          <w:rFonts w:ascii="Times New Roman" w:hAnsi="Times New Roman"/>
          <w:sz w:val="28"/>
          <w:szCs w:val="28"/>
          <w:shd w:val="clear" w:color="auto" w:fill="FFFFFF"/>
          <w:lang w:val="en"/>
        </w:rPr>
        <w:t>APE</w:t>
      </w:r>
      <w:r w:rsidRPr="00107040">
        <w:rPr>
          <w:rStyle w:val="jlqj4b"/>
          <w:rFonts w:ascii="Times New Roman" w:hAnsi="Times New Roman"/>
          <w:sz w:val="28"/>
          <w:szCs w:val="28"/>
          <w:shd w:val="clear" w:color="auto" w:fill="FFFFFF"/>
        </w:rPr>
        <w:t xml:space="preserve">1 в клетках человека), субстратом которого является </w:t>
      </w:r>
      <w:r w:rsidRPr="00107040">
        <w:rPr>
          <w:rStyle w:val="jlqj4b"/>
          <w:rFonts w:ascii="Times New Roman" w:hAnsi="Times New Roman"/>
          <w:sz w:val="28"/>
          <w:szCs w:val="28"/>
          <w:shd w:val="clear" w:color="auto" w:fill="FFFFFF"/>
        </w:rPr>
        <w:lastRenderedPageBreak/>
        <w:t xml:space="preserve">абазический участок. Этот фермент расщепляет 5'-фосфодиэфирную связь с абазическим участком и, таким образом, образует гидроксильный остаток на 3'-конце, оставляя фосфат дезоксирибозы </w:t>
      </w:r>
      <w:r w:rsidRPr="00107040">
        <w:rPr>
          <w:rStyle w:val="jlqj4b"/>
          <w:rFonts w:ascii="Times New Roman" w:hAnsi="Times New Roman"/>
          <w:sz w:val="28"/>
          <w:szCs w:val="28"/>
          <w:shd w:val="clear" w:color="auto" w:fill="FFFFFF"/>
          <w:lang w:val="en"/>
        </w:rPr>
        <w:t>dRP</w:t>
      </w:r>
      <w:r w:rsidRPr="00107040">
        <w:rPr>
          <w:rStyle w:val="jlqj4b"/>
          <w:rFonts w:ascii="Times New Roman" w:hAnsi="Times New Roman"/>
          <w:sz w:val="28"/>
          <w:szCs w:val="28"/>
          <w:shd w:val="clear" w:color="auto" w:fill="FFFFFF"/>
        </w:rPr>
        <w:t xml:space="preserve"> на 5'-конце. Образующийся гэп адаптируется за счет 5'-</w:t>
      </w:r>
      <w:r w:rsidRPr="00107040">
        <w:rPr>
          <w:rStyle w:val="jlqj4b"/>
          <w:rFonts w:ascii="Times New Roman" w:hAnsi="Times New Roman"/>
          <w:sz w:val="28"/>
          <w:szCs w:val="28"/>
          <w:shd w:val="clear" w:color="auto" w:fill="FFFFFF"/>
          <w:lang w:val="en"/>
        </w:rPr>
        <w:t>dRP</w:t>
      </w:r>
      <w:r w:rsidRPr="00107040">
        <w:rPr>
          <w:rStyle w:val="jlqj4b"/>
          <w:rFonts w:ascii="Times New Roman" w:hAnsi="Times New Roman"/>
          <w:sz w:val="28"/>
          <w:szCs w:val="28"/>
          <w:shd w:val="clear" w:color="auto" w:fill="FFFFFF"/>
        </w:rPr>
        <w:t xml:space="preserve">-лиазной активности </w:t>
      </w:r>
      <w:r w:rsidRPr="00107040">
        <w:rPr>
          <w:rStyle w:val="jlqj4b"/>
          <w:rFonts w:ascii="Times New Roman" w:hAnsi="Times New Roman"/>
          <w:sz w:val="28"/>
          <w:szCs w:val="28"/>
          <w:shd w:val="clear" w:color="auto" w:fill="FFFFFF"/>
          <w:lang w:val="en"/>
        </w:rPr>
        <w:t>POL</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shd w:val="clear" w:color="auto" w:fill="FFFFFF"/>
          <w:lang w:val="en"/>
        </w:rPr>
        <w:t>β</w:t>
      </w:r>
      <w:r w:rsidRPr="00107040">
        <w:rPr>
          <w:rStyle w:val="jlqj4b"/>
          <w:rFonts w:ascii="Times New Roman" w:hAnsi="Times New Roman"/>
          <w:sz w:val="28"/>
          <w:szCs w:val="28"/>
          <w:shd w:val="clear" w:color="auto" w:fill="FFFFFF"/>
        </w:rPr>
        <w:t xml:space="preserve"> с последующим заполнением однонуклеотидного гэпа </w:t>
      </w:r>
      <w:r w:rsidRPr="00107040">
        <w:rPr>
          <w:rStyle w:val="jlqj4b"/>
          <w:rFonts w:ascii="Times New Roman" w:hAnsi="Times New Roman"/>
          <w:sz w:val="28"/>
          <w:szCs w:val="28"/>
          <w:shd w:val="clear" w:color="auto" w:fill="FFFFFF"/>
          <w:lang w:val="en"/>
        </w:rPr>
        <w:t>POL</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shd w:val="clear" w:color="auto" w:fill="FFFFFF"/>
          <w:lang w:val="en"/>
        </w:rPr>
        <w:t>β</w:t>
      </w:r>
      <w:r w:rsidRPr="00107040">
        <w:rPr>
          <w:rStyle w:val="jlqj4b"/>
          <w:rFonts w:ascii="Times New Roman" w:hAnsi="Times New Roman"/>
          <w:sz w:val="28"/>
          <w:szCs w:val="28"/>
          <w:shd w:val="clear" w:color="auto" w:fill="FFFFFF"/>
        </w:rPr>
        <w:t xml:space="preserve"> лигированием </w:t>
      </w:r>
      <w:r w:rsidRPr="00107040">
        <w:rPr>
          <w:rStyle w:val="jlqj4b"/>
          <w:rFonts w:ascii="Times New Roman" w:hAnsi="Times New Roman"/>
          <w:sz w:val="28"/>
          <w:szCs w:val="28"/>
          <w:shd w:val="clear" w:color="auto" w:fill="FFFFFF"/>
          <w:lang w:val="en"/>
        </w:rPr>
        <w:t>LIG</w:t>
      </w:r>
      <w:r w:rsidRPr="00107040">
        <w:rPr>
          <w:rStyle w:val="jlqj4b"/>
          <w:rFonts w:ascii="Times New Roman" w:hAnsi="Times New Roman"/>
          <w:sz w:val="28"/>
          <w:szCs w:val="28"/>
          <w:shd w:val="clear" w:color="auto" w:fill="FFFFFF"/>
        </w:rPr>
        <w:t xml:space="preserve">1 (ДНК-лигаза 1) или комплексом </w:t>
      </w:r>
      <w:r w:rsidRPr="00107040">
        <w:rPr>
          <w:rStyle w:val="jlqj4b"/>
          <w:rFonts w:ascii="Times New Roman" w:hAnsi="Times New Roman"/>
          <w:sz w:val="28"/>
          <w:szCs w:val="28"/>
          <w:shd w:val="clear" w:color="auto" w:fill="FFFFFF"/>
          <w:lang w:val="en"/>
        </w:rPr>
        <w:t>LIG</w:t>
      </w:r>
      <w:r w:rsidRPr="00107040">
        <w:rPr>
          <w:rStyle w:val="jlqj4b"/>
          <w:rFonts w:ascii="Times New Roman" w:hAnsi="Times New Roman"/>
          <w:sz w:val="28"/>
          <w:szCs w:val="28"/>
          <w:shd w:val="clear" w:color="auto" w:fill="FFFFFF"/>
        </w:rPr>
        <w:t xml:space="preserve">3 (ДНК-лигаза 3) и </w:t>
      </w:r>
      <w:r w:rsidRPr="00107040">
        <w:rPr>
          <w:rStyle w:val="jlqj4b"/>
          <w:rFonts w:ascii="Times New Roman" w:hAnsi="Times New Roman"/>
          <w:sz w:val="28"/>
          <w:szCs w:val="28"/>
          <w:shd w:val="clear" w:color="auto" w:fill="FFFFFF"/>
          <w:lang w:val="en"/>
        </w:rPr>
        <w:t>XRCC</w:t>
      </w:r>
      <w:r w:rsidRPr="00107040">
        <w:rPr>
          <w:rStyle w:val="jlqj4b"/>
          <w:rFonts w:ascii="Times New Roman" w:hAnsi="Times New Roman"/>
          <w:sz w:val="28"/>
          <w:szCs w:val="28"/>
          <w:shd w:val="clear" w:color="auto" w:fill="FFFFFF"/>
        </w:rPr>
        <w:t xml:space="preserve">1 (кросс-комплементирующий белок 1 для восстановления с помощью рентгеновских лучей) </w:t>
      </w:r>
      <w:r w:rsidRPr="00107040">
        <w:rPr>
          <w:rStyle w:val="jlqj4b"/>
          <w:rFonts w:ascii="Times New Roman" w:hAnsi="Times New Roman"/>
          <w:sz w:val="28"/>
          <w:szCs w:val="28"/>
          <w:shd w:val="clear" w:color="auto" w:fill="FFFFFF"/>
          <w:lang w:val="en"/>
        </w:rPr>
        <w:fldChar w:fldCharType="begin"/>
      </w:r>
      <w:r w:rsidR="008611DC">
        <w:rPr>
          <w:rStyle w:val="jlqj4b"/>
          <w:rFonts w:ascii="Times New Roman" w:hAnsi="Times New Roman"/>
          <w:sz w:val="28"/>
          <w:szCs w:val="28"/>
          <w:shd w:val="clear" w:color="auto" w:fill="FFFFFF"/>
        </w:rPr>
        <w:instrText xml:space="preserve"> ADDIN ZOTERO_ITEM CSL_CITATION {"citationID":"uwOZSyyh","properties":{"formattedCitation":"[84]","plainCitation":"[84]","noteIndex":0},"citationItems":[{"id":72,"uris":["http://zotero.org/users/9078202/items/AE55UHTJ"],"itemData":{"id":72,"type":"article-journal","abstract":"Base excision repair (BER) proteins act upon a significantly broad spectrum of DNA lesions that result from endogenous and exogenous sources. Multiple sub-pathways of BER (short-path or long-patch) and newly designated DNA repair pathways (e.g., SSBR and NIR) that utilize BER proteins complicate any comprehensive understanding of BER and its role in genome maintenance, chemotherapeutic response, neuro-degeneration, cancer or aging. Herein, we propose a unified model of BER, comprised of three functional processes: Lesion Recognition/Strand Scission, Gap Tailoring and DNA Synthesis/Ligation, each represented by one or more multi-protein complexes and coordinated via the XRCC1/DNA Ligase III and PARP1 scaffold proteins. BER therefore may be represented by a series of repair complexes that assemble at the site of the DNA lesion and mediates repair in a coordinated fashion involving protein-protein interactions that dictate subsequent steps or sub-pathway choice. Complex formation is influenced by post-translational protein modifications that arise from the cellular state or the DNA damage response, providing an increase in specificity and efficiency to the BER pathway. In this review, we have summarized the reported BER protein-protein interactions and protein post-translational modifications and discuss the impact on DNA repair capacity and complex formation.","container-title":"DNA repair","DOI":"10.1016/j.dnarep.2007.01.009","ISSN":"1568-7864","issue":"6","journalAbbreviation":"DNA Repair (Amst)","language":"eng","note":"PMID: 17337257\nPMCID: PMC1995033","page":"695-711","source":"PubMed","title":"A unified view of base excision repair: lesion-dependent protein complexes regulated by post-translational modification","title-short":"A unified view of base excision repair","volume":"6","author":[{"family":"Almeida","given":"Karen H."},{"family":"Sobol","given":"Robert W."}],"issued":{"date-parts":[["2007",6,1]]}}}],"schema":"https://github.com/citation-style-language/schema/raw/master/csl-citation.json"} </w:instrText>
      </w:r>
      <w:r w:rsidRPr="00107040">
        <w:rPr>
          <w:rStyle w:val="jlqj4b"/>
          <w:rFonts w:ascii="Times New Roman" w:hAnsi="Times New Roman"/>
          <w:sz w:val="28"/>
          <w:szCs w:val="28"/>
          <w:shd w:val="clear" w:color="auto" w:fill="FFFFFF"/>
          <w:lang w:val="en"/>
        </w:rPr>
        <w:fldChar w:fldCharType="separate"/>
      </w:r>
      <w:r w:rsidR="008611DC" w:rsidRPr="008611DC">
        <w:rPr>
          <w:rFonts w:ascii="Times New Roman" w:hAnsi="Times New Roman"/>
          <w:sz w:val="28"/>
        </w:rPr>
        <w:t>[84]</w:t>
      </w:r>
      <w:r w:rsidRPr="00107040">
        <w:rPr>
          <w:rStyle w:val="jlqj4b"/>
          <w:rFonts w:ascii="Times New Roman" w:hAnsi="Times New Roman"/>
          <w:sz w:val="28"/>
          <w:szCs w:val="28"/>
          <w:shd w:val="clear" w:color="auto" w:fill="FFFFFF"/>
          <w:lang w:val="en"/>
        </w:rPr>
        <w:fldChar w:fldCharType="end"/>
      </w:r>
      <w:r w:rsidRPr="00107040">
        <w:rPr>
          <w:rStyle w:val="jlqj4b"/>
          <w:rFonts w:ascii="Times New Roman" w:hAnsi="Times New Roman"/>
          <w:sz w:val="28"/>
          <w:szCs w:val="28"/>
        </w:rPr>
        <w:t>.</w:t>
      </w:r>
      <w:r w:rsidRPr="00107040">
        <w:rPr>
          <w:rStyle w:val="viiyi"/>
          <w:rFonts w:ascii="Times New Roman" w:hAnsi="Times New Roman"/>
          <w:sz w:val="28"/>
          <w:szCs w:val="28"/>
        </w:rPr>
        <w:t xml:space="preserve"> Во время репарации длинных участков остающийся после бифункциональной гликозилазной бреши настраивается за счет 3'-фосфодиэстеразной активности APE1. Этот разрыв затем синтезируется с помощью POL β (в непролиферирующих клетках) или POL δ/ε (в пролиферирующих клетках) методом смещения цепи с последующим удалением флэп-эндонуклеазы и лигированием, опосредованным LIG1 </w:t>
      </w:r>
      <w:r w:rsidRPr="00107040">
        <w:rPr>
          <w:rStyle w:val="jlqj4b"/>
          <w:rFonts w:ascii="Times New Roman" w:hAnsi="Times New Roman"/>
          <w:sz w:val="28"/>
          <w:szCs w:val="28"/>
          <w:shd w:val="clear" w:color="auto" w:fill="FFFFFF"/>
          <w:lang w:val="en"/>
        </w:rPr>
        <w:fldChar w:fldCharType="begin"/>
      </w:r>
      <w:r w:rsidR="008611DC">
        <w:rPr>
          <w:rStyle w:val="jlqj4b"/>
          <w:rFonts w:ascii="Times New Roman" w:hAnsi="Times New Roman"/>
          <w:sz w:val="28"/>
          <w:szCs w:val="28"/>
          <w:shd w:val="clear" w:color="auto" w:fill="FFFFFF"/>
        </w:rPr>
        <w:instrText xml:space="preserve"> ADDIN ZOTERO_ITEM CSL_CITATION {"citationID":"nRUWkHJf","properties":{"formattedCitation":"[83,84]","plainCitation":"[83,84]","noteIndex":0},"citationItems":[{"id":73,"uris":["http://zotero.org/users/9078202/items/B7BFPDLG"],"itemData":{"id":73,"type":"article-journal","abstract":"Nuclear and mitochondrial genomes are under continuous assault by a combination of environmentally and endogenously derived reactive oxygen species, inducing the formation and accumulation of mutagenic, toxic, and/or genome-destabilizing DNA lesions. Failure to resolve these lesions through one or more DNA-repair processes is associated with genome instability, mitochondrial dysfunction, neurodegeneration, inflammation, aging, and cancer, emphasizing the importance of characterizing the pathways and proteins involved in the repair of oxidative DNA damage. This review focuses on the repair of oxidative damage-induced lesions in nuclear and mitochondrial DNA mediated by the base excision repair (BER) pathway in mammalian cells. We discuss the multiple BER subpathways that are initiated by one of 11 different DNA glycosylases of three subtypes: (a) bifunctional with an associated β-lyase activity; (b) monofunctional; and (c) bifunctional with an associated β,δ-lyase activity. These three subtypes of DNA glycosylases all initiate BER but yield different chemical intermediates and hence different BER complexes to complete repair. Additionally, we briefly summarize alternate repair events mediated by BER proteins and the role of BER in the repair of mitochondrial DNA damage induced by ROS. Finally, we discuss the relation of BER and oxidative DNA damage in the onset of human disease.","container-title":"Antioxidants &amp; Redox Signaling","DOI":"10.1089/ars.2010.3466","ISSN":"1557-7716","issue":"12","journalAbbreviation":"Antioxid Redox Signal","language":"eng","note":"PMID: 20649466\nPMCID: PMC3096496","page":"2491-2507","source":"PubMed","title":"Base excision repair and lesion-dependent subpathways for repair of oxidative DNA damage","volume":"14","author":[{"family":"Svilar","given":"David"},{"family":"Goellner","given":"Eva M."},{"family":"Almeida","given":"Karen H."},{"family":"Sobol","given":"Robert W."}],"issued":{"date-parts":[["2011",6,15]]}}},{"id":72,"uris":["http://zotero.org/users/9078202/items/AE55UHTJ"],"itemData":{"id":72,"type":"article-journal","abstract":"Base excision repair (BER) proteins act upon a significantly broad spectrum of DNA lesions that result from endogenous and exogenous sources. Multiple sub-pathways of BER (short-path or long-patch) and newly designated DNA repair pathways (e.g., SSBR and NIR) that utilize BER proteins complicate any comprehensive understanding of BER and its role in genome maintenance, chemotherapeutic response, neuro-degeneration, cancer or aging. Herein, we propose a unified model of BER, comprised of three functional processes: Lesion Recognition/Strand Scission, Gap Tailoring and DNA Synthesis/Ligation, each represented by one or more multi-protein complexes and coordinated via the XRCC1/DNA Ligase III and PARP1 scaffold proteins. BER therefore may be represented by a series of repair complexes that assemble at the site of the DNA lesion and mediates repair in a coordinated fashion involving protein-protein interactions that dictate subsequent steps or sub-pathway choice. Complex formation is influenced by post-translational protein modifications that arise from the cellular state or the DNA damage response, providing an increase in specificity and efficiency to the BER pathway. In this review, we have summarized the reported BER protein-protein interactions and protein post-translational modifications and discuss the impact on DNA repair capacity and complex formation.","container-title":"DNA repair","DOI":"10.1016/j.dnarep.2007.01.009","ISSN":"1568-7864","issue":"6","journalAbbreviation":"DNA Repair (Amst)","language":"eng","note":"PMID: 17337257\nPMCID: PMC1995033","page":"695-711","source":"PubMed","title":"A unified view of base excision repair: lesion-dependent protein complexes regulated by post-translational modification","title-short":"A unified view of base excision repair","volume":"6","author":[{"family":"Almeida","given":"Karen H."},{"family":"Sobol","given":"Robert W."}],"issued":{"date-parts":[["2007",6,1]]}}}],"schema":"https://github.com/citation-style-language/schema/raw/master/csl-citation.json"} </w:instrText>
      </w:r>
      <w:r w:rsidRPr="00107040">
        <w:rPr>
          <w:rStyle w:val="jlqj4b"/>
          <w:rFonts w:ascii="Times New Roman" w:hAnsi="Times New Roman"/>
          <w:sz w:val="28"/>
          <w:szCs w:val="28"/>
          <w:shd w:val="clear" w:color="auto" w:fill="FFFFFF"/>
          <w:lang w:val="en"/>
        </w:rPr>
        <w:fldChar w:fldCharType="separate"/>
      </w:r>
      <w:r w:rsidR="008611DC" w:rsidRPr="008611DC">
        <w:rPr>
          <w:rFonts w:ascii="Times New Roman" w:hAnsi="Times New Roman"/>
          <w:sz w:val="28"/>
        </w:rPr>
        <w:t>[83,84]</w:t>
      </w:r>
      <w:r w:rsidRPr="00107040">
        <w:rPr>
          <w:rStyle w:val="jlqj4b"/>
          <w:rFonts w:ascii="Times New Roman" w:hAnsi="Times New Roman"/>
          <w:sz w:val="28"/>
          <w:szCs w:val="28"/>
          <w:shd w:val="clear" w:color="auto" w:fill="FFFFFF"/>
          <w:lang w:val="en"/>
        </w:rPr>
        <w:fldChar w:fldCharType="end"/>
      </w:r>
      <w:r w:rsidRPr="00107040">
        <w:rPr>
          <w:rStyle w:val="jlqj4b"/>
          <w:rFonts w:ascii="Times New Roman" w:hAnsi="Times New Roman"/>
          <w:sz w:val="28"/>
          <w:szCs w:val="28"/>
          <w:shd w:val="clear" w:color="auto" w:fill="FFFFFF"/>
        </w:rPr>
        <w:t>.</w:t>
      </w:r>
    </w:p>
    <w:p w14:paraId="27D7FCB0" w14:textId="26434DA7" w:rsidR="00107040" w:rsidRPr="00107040" w:rsidRDefault="00107040" w:rsidP="00107040">
      <w:pPr>
        <w:spacing w:after="0" w:line="240" w:lineRule="auto"/>
        <w:ind w:firstLine="567"/>
        <w:jc w:val="both"/>
        <w:rPr>
          <w:rStyle w:val="jlqj4b"/>
          <w:rFonts w:ascii="Times New Roman" w:hAnsi="Times New Roman"/>
          <w:sz w:val="28"/>
          <w:szCs w:val="28"/>
          <w:shd w:val="clear" w:color="auto" w:fill="D2E3FC"/>
        </w:rPr>
      </w:pPr>
      <w:r w:rsidRPr="00107040">
        <w:rPr>
          <w:rStyle w:val="jlqj4b"/>
          <w:rFonts w:ascii="Times New Roman" w:hAnsi="Times New Roman"/>
          <w:sz w:val="28"/>
          <w:szCs w:val="28"/>
          <w:shd w:val="clear" w:color="auto" w:fill="FFFFFF"/>
        </w:rPr>
        <w:t xml:space="preserve">Было показано, что </w:t>
      </w:r>
      <w:r w:rsidRPr="00107040">
        <w:rPr>
          <w:rStyle w:val="jlqj4b"/>
          <w:rFonts w:ascii="Times New Roman" w:hAnsi="Times New Roman"/>
          <w:sz w:val="28"/>
          <w:szCs w:val="28"/>
          <w:shd w:val="clear" w:color="auto" w:fill="FFFFFF"/>
          <w:lang w:val="en"/>
        </w:rPr>
        <w:t>PARP</w:t>
      </w:r>
      <w:r w:rsidRPr="00107040">
        <w:rPr>
          <w:rStyle w:val="jlqj4b"/>
          <w:rFonts w:ascii="Times New Roman" w:hAnsi="Times New Roman"/>
          <w:sz w:val="28"/>
          <w:szCs w:val="28"/>
          <w:shd w:val="clear" w:color="auto" w:fill="FFFFFF"/>
        </w:rPr>
        <w:t xml:space="preserve">1 (поли (АДФ-рибоза) полимераза 1) необходим для восстановления одноцепочечных разрывов и поврежденных пуриновых оснований в субпути </w:t>
      </w:r>
      <w:r w:rsidRPr="00107040">
        <w:rPr>
          <w:rStyle w:val="jlqj4b"/>
          <w:rFonts w:ascii="Times New Roman" w:hAnsi="Times New Roman"/>
          <w:sz w:val="28"/>
          <w:szCs w:val="28"/>
          <w:shd w:val="clear" w:color="auto" w:fill="FFFFFF"/>
          <w:lang w:val="en"/>
        </w:rPr>
        <w:t>BER</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shd w:val="clear" w:color="auto" w:fill="FFFFFF"/>
          <w:lang w:val="en"/>
        </w:rPr>
        <w:fldChar w:fldCharType="begin"/>
      </w:r>
      <w:r w:rsidR="008611DC">
        <w:rPr>
          <w:rStyle w:val="jlqj4b"/>
          <w:rFonts w:ascii="Times New Roman" w:hAnsi="Times New Roman"/>
          <w:sz w:val="28"/>
          <w:szCs w:val="28"/>
          <w:shd w:val="clear" w:color="auto" w:fill="FFFFFF"/>
        </w:rPr>
        <w:instrText xml:space="preserve"> ADDIN ZOTERO_ITEM CSL_CITATION {"citationID":"LgQAvK7X","properties":{"formattedCitation":"[81,85]","plainCitation":"[81,85]","noteIndex":0},"citationItems":[{"id":75,"uris":["http://zotero.org/users/9078202/items/M93JZP26"],"itemData":{"id":75,"type":"article-journal","abstract":"Base excision repair (BER) corrects DNA damage from oxidation, deamination and alkylation. Such base lesions cause little distortion to the DNA helix structure. BER is initiated by a DNA glycosylase that recognizes and removes the damaged base, leaving an abasic site that is further processed by short-patch repair or long-patch repair that largely uses different proteins to complete BER. At least 11 distinct mammalian DNA glycosylases are known, each recognizing a few related lesions, frequently with some overlap in specificities. Impressively, the damaged bases are rapidly identified in a vast excess of normal bases, without a supply of energy. BER protects against cancer, aging, and neurodegeneration and takes place both in nuclei and mitochondria. More recently, an important role of uracil-DNA glycosylase UNG2 in adaptive immunity was revealed. Furthermore, other DNA glycosylases may have important roles in epigenetics, thus expanding the repertoire of BER proteins.","container-title":"Cold Spring Harbor Perspectives in Biology","DOI":"10.1101/cshperspect.a012583","ISSN":"1943-0264","issue":"4","journalAbbreviation":"Cold Spring Harb Perspect Biol","language":"eng","note":"PMID: 23545420\nPMCID: PMC3683898","page":"a012583","source":"PubMed","title":"Base excision repair","volume":"5","author":[{"family":"Krokan","given":"Hans E."},{"family":"Bjørås","given":"Magnar"}],"issued":{"date-parts":[["2013",4,1]]}}},{"id":68,"uris":["http://zotero.org/users/9078202/items/HWWJYPYN"],"itemData":{"id":68,"type":"article-journal","abstract":"The repair of endogenously induced DNA damage is essential to maintain genomic integrity. It has been shown that XRCC1 and PARP1 are involved in the repair of base lesions and SSBs, although the exact mode of action has yet to be determined. Here we show that XRCC1 is involved in the repair of base lesions and SSBs independent of the cell cycle. However, the rate of repair of damage requiring XRCC1 does reflect the damage complexity. The repair of induced DNA damage occurs by PARP1-dependent and PARP1-independent sub-pathways of BER. It is suggested that the repair of SSBs and purine base damage is by a sub-pathway of BER that requires both XRCC1 and PARP1. Repair of pyrimidine base damage may require XRCC1 but does not require PARP1 activity. Therefore, although BER of simple lesions occurs rapidly, pathway choice and the involvement of PARP1 are highly dependent on the types of lesion induced.","container-title":"Nucleic Acids Research","DOI":"10.1093/nar/gkv250","ISSN":"1362-4962","issue":"8","journalAbbreviation":"Nucleic Acids Res","language":"eng","note":"PMID: 25813046\nPMCID: PMC4417162","page":"4028-4038","source":"PubMed","title":"Disruption of PARP1 function inhibits base excision repair of a sub-set of DNA lesions","volume":"43","author":[{"family":"Reynolds","given":"Pamela"},{"family":"Cooper","given":"Sarah"},{"family":"Lomax","given":"Martine"},{"family":"O'Neill","given":"Peter"}],"issued":{"date-parts":[["2015",4,30]]}}}],"schema":"https://github.com/citation-style-language/schema/raw/master/csl-citation.json"} </w:instrText>
      </w:r>
      <w:r w:rsidRPr="00107040">
        <w:rPr>
          <w:rStyle w:val="jlqj4b"/>
          <w:rFonts w:ascii="Times New Roman" w:hAnsi="Times New Roman"/>
          <w:sz w:val="28"/>
          <w:szCs w:val="28"/>
          <w:shd w:val="clear" w:color="auto" w:fill="FFFFFF"/>
          <w:lang w:val="en"/>
        </w:rPr>
        <w:fldChar w:fldCharType="separate"/>
      </w:r>
      <w:r w:rsidR="008611DC" w:rsidRPr="008611DC">
        <w:rPr>
          <w:rFonts w:ascii="Times New Roman" w:hAnsi="Times New Roman"/>
          <w:sz w:val="28"/>
        </w:rPr>
        <w:t>[81,85]</w:t>
      </w:r>
      <w:r w:rsidRPr="00107040">
        <w:rPr>
          <w:rStyle w:val="jlqj4b"/>
          <w:rFonts w:ascii="Times New Roman" w:hAnsi="Times New Roman"/>
          <w:sz w:val="28"/>
          <w:szCs w:val="28"/>
          <w:shd w:val="clear" w:color="auto" w:fill="FFFFFF"/>
          <w:lang w:val="en"/>
        </w:rPr>
        <w:fldChar w:fldCharType="end"/>
      </w:r>
      <w:r w:rsidRPr="00107040">
        <w:rPr>
          <w:rStyle w:val="jlqj4b"/>
          <w:rFonts w:ascii="Times New Roman" w:hAnsi="Times New Roman"/>
          <w:sz w:val="28"/>
          <w:szCs w:val="28"/>
          <w:shd w:val="clear" w:color="auto" w:fill="FFFFFF"/>
        </w:rPr>
        <w:t>.</w:t>
      </w:r>
      <w:r w:rsidRPr="00107040">
        <w:rPr>
          <w:rFonts w:ascii="Times New Roman" w:hAnsi="Times New Roman"/>
          <w:sz w:val="28"/>
          <w:szCs w:val="28"/>
          <w:shd w:val="clear" w:color="auto" w:fill="FFFFFF"/>
        </w:rPr>
        <w:t xml:space="preserve"> Наконец, также известно, что митохондрии выполняют как короткие, так и длинные участки </w:t>
      </w:r>
      <w:r w:rsidRPr="00107040">
        <w:rPr>
          <w:rFonts w:ascii="Times New Roman" w:hAnsi="Times New Roman"/>
          <w:sz w:val="28"/>
          <w:szCs w:val="28"/>
          <w:shd w:val="clear" w:color="auto" w:fill="FFFFFF"/>
          <w:lang w:val="en-US"/>
        </w:rPr>
        <w:t>BER</w:t>
      </w:r>
      <w:r w:rsidRPr="00107040">
        <w:rPr>
          <w:rFonts w:ascii="Times New Roman" w:hAnsi="Times New Roman"/>
          <w:sz w:val="28"/>
          <w:szCs w:val="28"/>
          <w:shd w:val="clear" w:color="auto" w:fill="FFFFFF"/>
        </w:rPr>
        <w:t xml:space="preserve">, где этап синтеза выполняется с помощью </w:t>
      </w:r>
      <w:r w:rsidRPr="00107040">
        <w:rPr>
          <w:rFonts w:ascii="Times New Roman" w:hAnsi="Times New Roman"/>
          <w:sz w:val="28"/>
          <w:szCs w:val="28"/>
          <w:shd w:val="clear" w:color="auto" w:fill="FFFFFF"/>
          <w:lang w:val="en-US"/>
        </w:rPr>
        <w:t>POL γ</w:t>
      </w:r>
      <w:r w:rsidRPr="00107040">
        <w:rPr>
          <w:rStyle w:val="jlqj4b"/>
          <w:rFonts w:ascii="Times New Roman" w:hAnsi="Times New Roman"/>
          <w:sz w:val="28"/>
          <w:szCs w:val="28"/>
          <w:shd w:val="clear" w:color="auto" w:fill="FFFFFF"/>
          <w:lang w:val="en-US"/>
        </w:rPr>
        <w:t xml:space="preserve"> </w:t>
      </w:r>
      <w:r w:rsidRPr="00107040">
        <w:rPr>
          <w:rStyle w:val="jlqj4b"/>
          <w:rFonts w:ascii="Times New Roman" w:hAnsi="Times New Roman"/>
          <w:sz w:val="28"/>
          <w:szCs w:val="28"/>
          <w:shd w:val="clear" w:color="auto" w:fill="FFFFFF"/>
          <w:lang w:val="en"/>
        </w:rPr>
        <w:fldChar w:fldCharType="begin"/>
      </w:r>
      <w:r w:rsidR="008611DC">
        <w:rPr>
          <w:rStyle w:val="jlqj4b"/>
          <w:rFonts w:ascii="Times New Roman" w:hAnsi="Times New Roman"/>
          <w:sz w:val="28"/>
          <w:szCs w:val="28"/>
          <w:shd w:val="clear" w:color="auto" w:fill="FFFFFF"/>
          <w:lang w:val="en"/>
        </w:rPr>
        <w:instrText xml:space="preserve"> ADDIN ZOTERO_ITEM CSL_CITATION {"citationID":"Ig33hcun","properties":{"formattedCitation":"[86,87]","plainCitation":"[86,87]","noteIndex":0},"citationItems":[{"id":67,"uris":["http://zotero.org/users/9078202/items/MNBZBB8V"],"itemData":{"id":67,"type":"article-journal","abstract":"Base excision repair (BER) corrects a variety of small base lesions in DNA. The UNG gene encodes both the nuclear (UNG2) and the mitochondrial (UNG1) forms of the human uracil-DNA glycosylase (UDG). We prepared mitochondrial extracts free of nuclear BER proteins from human cell lines. Using these extracts we show that UNG is the only detectable UDG in mitochondria, and mitochondrial BER (mtBER) of uracil and AP sites occur by both single-nucleotide insertion and long-patch repair DNA synthesis. Importantly, extracts of mitochondria carry out repair of modified AP sites which in nuclei occurs through long-patch BER. Such lesions may be rather prevalent in mitochondrial DNA because of its proximity to the electron transport chain, the primary site of production of reactive oxygen species. Furthermore, mitochondrial extracts remove 5' protruding flaps from DNA which can be formed during long-patch BER, by a \"flap endonuclease like\" activity, although flap endonuclease (FEN1) is not present in mitochondria. In conclusion, combined short- and long-patch BER activities enable mitochondria to repair a broader range of lesions in mtDNA than previously known.","container-title":"DNA repair","DOI":"10.1016/j.dnarep.2008.01.002","ISSN":"1568-7856","issue":"4","journalAbbreviation":"DNA Repair (Amst)","language":"eng","note":"PMID: 18295553","page":"605-616","source":"PubMed","title":"Mitochondrial base excision repair of uracil and AP sites takes place by single-nucleotide insertion and long-patch DNA synthesis","volume":"7","author":[{"family":"Akbari","given":"Mansour"},{"family":"Visnes","given":"Torkild"},{"family":"Krokan","given":"Hans E."},{"family":"Otterlei","given":"Marit"}],"issued":{"date-parts":[["2008",4,2]]}}},{"id":66,"uris":["http://zotero.org/users/9078202/items/46R725AK"],"itemData":{"id":66,"type":"article-journal","abstract":"The 16.5 kb human mitochondrial genome encodes for 13 polypeptides, 22 tRNAs and 2 rRNAs involved in oxidative phosphorylation. Mitochondrial DNA (mtDNA), unlike its nuclear counterpart, is not packaged into nucleosomes and is more prone to the adverse effects of reactive oxygen species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ROS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generated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during</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oxidative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phosphorylation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past</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few</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decades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have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witnessed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increase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in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number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of</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proteins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observed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to</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translocate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to</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mitochondria</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for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purposes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of</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mitochondrial</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genome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maintenance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mtDNA</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damage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produced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by</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ROS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if</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not</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properly</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repaired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leads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to</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instability</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and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can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ultimately</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manifest</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in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mitochondrial</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dysfunction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and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disease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base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excision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repair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BER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pathway</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is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employed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for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removal</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and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consequently</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repair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of</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deaminated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oxidized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and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alkylated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DNA</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bases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Specialized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enzymes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called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DNA</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glycosylases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which</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locate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and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cleave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damaged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base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catalyze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first</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step</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of</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this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highly</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coordinated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repair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pathway</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This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review</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focuses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on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members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of</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four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human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BER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DNA</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glycosylase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superfamilies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and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their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subcellular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localization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in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mitochondria</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and</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or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nucleus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well</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summarizes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their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structural</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features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biochemical</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properties</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and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functional</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role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in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excision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of</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damaged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bases</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container</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title</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Journal</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of</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Cellular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Biochemistry</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DOI</w:instrText>
      </w:r>
      <w:r w:rsidR="008611DC" w:rsidRPr="00FB5E68">
        <w:rPr>
          <w:rStyle w:val="jlqj4b"/>
          <w:rFonts w:ascii="Times New Roman" w:hAnsi="Times New Roman"/>
          <w:sz w:val="28"/>
          <w:szCs w:val="28"/>
          <w:shd w:val="clear" w:color="auto" w:fill="FFFFFF"/>
          <w:lang w:val="ru-RU"/>
        </w:rPr>
        <w:instrText>":"10.1002/</w:instrText>
      </w:r>
      <w:r w:rsidR="008611DC">
        <w:rPr>
          <w:rStyle w:val="jlqj4b"/>
          <w:rFonts w:ascii="Times New Roman" w:hAnsi="Times New Roman"/>
          <w:sz w:val="28"/>
          <w:szCs w:val="28"/>
          <w:shd w:val="clear" w:color="auto" w:fill="FFFFFF"/>
          <w:lang w:val="en"/>
        </w:rPr>
        <w:instrText>jcb</w:instrText>
      </w:r>
      <w:r w:rsidR="008611DC" w:rsidRPr="00FB5E68">
        <w:rPr>
          <w:rStyle w:val="jlqj4b"/>
          <w:rFonts w:ascii="Times New Roman" w:hAnsi="Times New Roman"/>
          <w:sz w:val="28"/>
          <w:szCs w:val="28"/>
          <w:shd w:val="clear" w:color="auto" w:fill="FFFFFF"/>
          <w:lang w:val="ru-RU"/>
        </w:rPr>
        <w:instrText>.25103","</w:instrText>
      </w:r>
      <w:r w:rsidR="008611DC">
        <w:rPr>
          <w:rStyle w:val="jlqj4b"/>
          <w:rFonts w:ascii="Times New Roman" w:hAnsi="Times New Roman"/>
          <w:sz w:val="28"/>
          <w:szCs w:val="28"/>
          <w:shd w:val="clear" w:color="auto" w:fill="FFFFFF"/>
          <w:lang w:val="en"/>
        </w:rPr>
        <w:instrText>ISSN</w:instrText>
      </w:r>
      <w:r w:rsidR="008611DC" w:rsidRPr="00FB5E68">
        <w:rPr>
          <w:rStyle w:val="jlqj4b"/>
          <w:rFonts w:ascii="Times New Roman" w:hAnsi="Times New Roman"/>
          <w:sz w:val="28"/>
          <w:szCs w:val="28"/>
          <w:shd w:val="clear" w:color="auto" w:fill="FFFFFF"/>
          <w:lang w:val="ru-RU"/>
        </w:rPr>
        <w:instrText>":"1097-4644","</w:instrText>
      </w:r>
      <w:r w:rsidR="008611DC">
        <w:rPr>
          <w:rStyle w:val="jlqj4b"/>
          <w:rFonts w:ascii="Times New Roman" w:hAnsi="Times New Roman"/>
          <w:sz w:val="28"/>
          <w:szCs w:val="28"/>
          <w:shd w:val="clear" w:color="auto" w:fill="FFFFFF"/>
          <w:lang w:val="en"/>
        </w:rPr>
        <w:instrText>issue</w:instrText>
      </w:r>
      <w:r w:rsidR="008611DC" w:rsidRPr="00FB5E68">
        <w:rPr>
          <w:rStyle w:val="jlqj4b"/>
          <w:rFonts w:ascii="Times New Roman" w:hAnsi="Times New Roman"/>
          <w:sz w:val="28"/>
          <w:szCs w:val="28"/>
          <w:shd w:val="clear" w:color="auto" w:fill="FFFFFF"/>
          <w:lang w:val="ru-RU"/>
        </w:rPr>
        <w:instrText>":"8","</w:instrText>
      </w:r>
      <w:r w:rsidR="008611DC">
        <w:rPr>
          <w:rStyle w:val="jlqj4b"/>
          <w:rFonts w:ascii="Times New Roman" w:hAnsi="Times New Roman"/>
          <w:sz w:val="28"/>
          <w:szCs w:val="28"/>
          <w:shd w:val="clear" w:color="auto" w:fill="FFFFFF"/>
          <w:lang w:val="en"/>
        </w:rPr>
        <w:instrText>journalAbbreviation</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J</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Cell</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Biochem</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language</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eng</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note</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PMID</w:instrText>
      </w:r>
      <w:r w:rsidR="008611DC" w:rsidRPr="00FB5E68">
        <w:rPr>
          <w:rStyle w:val="jlqj4b"/>
          <w:rFonts w:ascii="Times New Roman" w:hAnsi="Times New Roman"/>
          <w:sz w:val="28"/>
          <w:szCs w:val="28"/>
          <w:shd w:val="clear" w:color="auto" w:fill="FFFFFF"/>
          <w:lang w:val="ru-RU"/>
        </w:rPr>
        <w:instrText>: 25754732\</w:instrText>
      </w:r>
      <w:r w:rsidR="008611DC">
        <w:rPr>
          <w:rStyle w:val="jlqj4b"/>
          <w:rFonts w:ascii="Times New Roman" w:hAnsi="Times New Roman"/>
          <w:sz w:val="28"/>
          <w:szCs w:val="28"/>
          <w:shd w:val="clear" w:color="auto" w:fill="FFFFFF"/>
          <w:lang w:val="en"/>
        </w:rPr>
        <w:instrText>nPMCID</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PMC</w:instrText>
      </w:r>
      <w:r w:rsidR="008611DC" w:rsidRPr="00FB5E68">
        <w:rPr>
          <w:rStyle w:val="jlqj4b"/>
          <w:rFonts w:ascii="Times New Roman" w:hAnsi="Times New Roman"/>
          <w:sz w:val="28"/>
          <w:szCs w:val="28"/>
          <w:shd w:val="clear" w:color="auto" w:fill="FFFFFF"/>
          <w:lang w:val="ru-RU"/>
        </w:rPr>
        <w:instrText>4546830","</w:instrText>
      </w:r>
      <w:r w:rsidR="008611DC">
        <w:rPr>
          <w:rStyle w:val="jlqj4b"/>
          <w:rFonts w:ascii="Times New Roman" w:hAnsi="Times New Roman"/>
          <w:sz w:val="28"/>
          <w:szCs w:val="28"/>
          <w:shd w:val="clear" w:color="auto" w:fill="FFFFFF"/>
          <w:lang w:val="en"/>
        </w:rPr>
        <w:instrText>page</w:instrText>
      </w:r>
      <w:r w:rsidR="008611DC" w:rsidRPr="00FB5E68">
        <w:rPr>
          <w:rStyle w:val="jlqj4b"/>
          <w:rFonts w:ascii="Times New Roman" w:hAnsi="Times New Roman"/>
          <w:sz w:val="28"/>
          <w:szCs w:val="28"/>
          <w:shd w:val="clear" w:color="auto" w:fill="FFFFFF"/>
          <w:lang w:val="ru-RU"/>
        </w:rPr>
        <w:instrText>":"1490-1499","</w:instrText>
      </w:r>
      <w:r w:rsidR="008611DC">
        <w:rPr>
          <w:rStyle w:val="jlqj4b"/>
          <w:rFonts w:ascii="Times New Roman" w:hAnsi="Times New Roman"/>
          <w:sz w:val="28"/>
          <w:szCs w:val="28"/>
          <w:shd w:val="clear" w:color="auto" w:fill="FFFFFF"/>
          <w:lang w:val="en"/>
        </w:rPr>
        <w:instrText>source</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PubMed</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title</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Base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Excision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Repair</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in</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the</w:instrText>
      </w:r>
      <w:r w:rsidR="008611DC" w:rsidRPr="00FB5E68">
        <w:rPr>
          <w:rStyle w:val="jlqj4b"/>
          <w:rFonts w:ascii="Times New Roman" w:hAnsi="Times New Roman"/>
          <w:sz w:val="28"/>
          <w:szCs w:val="28"/>
          <w:shd w:val="clear" w:color="auto" w:fill="FFFFFF"/>
          <w:lang w:val="ru-RU"/>
        </w:rPr>
        <w:instrText xml:space="preserve"> </w:instrText>
      </w:r>
      <w:r w:rsidR="008611DC">
        <w:rPr>
          <w:rStyle w:val="jlqj4b"/>
          <w:rFonts w:ascii="Times New Roman" w:hAnsi="Times New Roman"/>
          <w:sz w:val="28"/>
          <w:szCs w:val="28"/>
          <w:shd w:val="clear" w:color="auto" w:fill="FFFFFF"/>
          <w:lang w:val="en"/>
        </w:rPr>
        <w:instrText>Mitochondria</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volume</w:instrText>
      </w:r>
      <w:r w:rsidR="008611DC" w:rsidRPr="00FB5E68">
        <w:rPr>
          <w:rStyle w:val="jlqj4b"/>
          <w:rFonts w:ascii="Times New Roman" w:hAnsi="Times New Roman"/>
          <w:sz w:val="28"/>
          <w:szCs w:val="28"/>
          <w:shd w:val="clear" w:color="auto" w:fill="FFFFFF"/>
          <w:lang w:val="ru-RU"/>
        </w:rPr>
        <w:instrText>":"116","</w:instrText>
      </w:r>
      <w:r w:rsidR="008611DC">
        <w:rPr>
          <w:rStyle w:val="jlqj4b"/>
          <w:rFonts w:ascii="Times New Roman" w:hAnsi="Times New Roman"/>
          <w:sz w:val="28"/>
          <w:szCs w:val="28"/>
          <w:shd w:val="clear" w:color="auto" w:fill="FFFFFF"/>
          <w:lang w:val="en"/>
        </w:rPr>
        <w:instrText>author</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family</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Prakash</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given</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Aishwarya</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family</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Doubli</w:instrText>
      </w:r>
      <w:r w:rsidR="008611DC" w:rsidRPr="00FB5E68">
        <w:rPr>
          <w:rStyle w:val="jlqj4b"/>
          <w:rFonts w:ascii="Times New Roman" w:hAnsi="Times New Roman"/>
          <w:sz w:val="28"/>
          <w:szCs w:val="28"/>
          <w:shd w:val="clear" w:color="auto" w:fill="FFFFFF"/>
          <w:lang w:val="ru-RU"/>
        </w:rPr>
        <w:instrText>é","</w:instrText>
      </w:r>
      <w:r w:rsidR="008611DC">
        <w:rPr>
          <w:rStyle w:val="jlqj4b"/>
          <w:rFonts w:ascii="Times New Roman" w:hAnsi="Times New Roman"/>
          <w:sz w:val="28"/>
          <w:szCs w:val="28"/>
          <w:shd w:val="clear" w:color="auto" w:fill="FFFFFF"/>
          <w:lang w:val="en"/>
        </w:rPr>
        <w:instrText>given</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Sylvie</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issued</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date</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parts</w:instrText>
      </w:r>
      <w:r w:rsidR="008611DC" w:rsidRPr="00FB5E68">
        <w:rPr>
          <w:rStyle w:val="jlqj4b"/>
          <w:rFonts w:ascii="Times New Roman" w:hAnsi="Times New Roman"/>
          <w:sz w:val="28"/>
          <w:szCs w:val="28"/>
          <w:shd w:val="clear" w:color="auto" w:fill="FFFFFF"/>
          <w:lang w:val="ru-RU"/>
        </w:rPr>
        <w:instrText>":[["2015",8]]}}}],"</w:instrText>
      </w:r>
      <w:r w:rsidR="008611DC">
        <w:rPr>
          <w:rStyle w:val="jlqj4b"/>
          <w:rFonts w:ascii="Times New Roman" w:hAnsi="Times New Roman"/>
          <w:sz w:val="28"/>
          <w:szCs w:val="28"/>
          <w:shd w:val="clear" w:color="auto" w:fill="FFFFFF"/>
          <w:lang w:val="en"/>
        </w:rPr>
        <w:instrText>schema</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https</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github</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com</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citation</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style</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language</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schema</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raw</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master</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csl</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citation</w:instrText>
      </w:r>
      <w:r w:rsidR="008611DC" w:rsidRPr="00FB5E68">
        <w:rPr>
          <w:rStyle w:val="jlqj4b"/>
          <w:rFonts w:ascii="Times New Roman" w:hAnsi="Times New Roman"/>
          <w:sz w:val="28"/>
          <w:szCs w:val="28"/>
          <w:shd w:val="clear" w:color="auto" w:fill="FFFFFF"/>
          <w:lang w:val="ru-RU"/>
        </w:rPr>
        <w:instrText>.</w:instrText>
      </w:r>
      <w:r w:rsidR="008611DC">
        <w:rPr>
          <w:rStyle w:val="jlqj4b"/>
          <w:rFonts w:ascii="Times New Roman" w:hAnsi="Times New Roman"/>
          <w:sz w:val="28"/>
          <w:szCs w:val="28"/>
          <w:shd w:val="clear" w:color="auto" w:fill="FFFFFF"/>
          <w:lang w:val="en"/>
        </w:rPr>
        <w:instrText>json</w:instrText>
      </w:r>
      <w:r w:rsidR="008611DC" w:rsidRPr="00FB5E68">
        <w:rPr>
          <w:rStyle w:val="jlqj4b"/>
          <w:rFonts w:ascii="Times New Roman" w:hAnsi="Times New Roman"/>
          <w:sz w:val="28"/>
          <w:szCs w:val="28"/>
          <w:shd w:val="clear" w:color="auto" w:fill="FFFFFF"/>
          <w:lang w:val="ru-RU"/>
        </w:rPr>
        <w:instrText xml:space="preserve">"} </w:instrText>
      </w:r>
      <w:r w:rsidRPr="00107040">
        <w:rPr>
          <w:rStyle w:val="jlqj4b"/>
          <w:rFonts w:ascii="Times New Roman" w:hAnsi="Times New Roman"/>
          <w:sz w:val="28"/>
          <w:szCs w:val="28"/>
          <w:shd w:val="clear" w:color="auto" w:fill="FFFFFF"/>
          <w:lang w:val="en"/>
        </w:rPr>
        <w:fldChar w:fldCharType="separate"/>
      </w:r>
      <w:r w:rsidR="008611DC" w:rsidRPr="008611DC">
        <w:rPr>
          <w:rFonts w:ascii="Times New Roman" w:hAnsi="Times New Roman"/>
          <w:sz w:val="28"/>
        </w:rPr>
        <w:t>[86,87]</w:t>
      </w:r>
      <w:r w:rsidRPr="00107040">
        <w:rPr>
          <w:rStyle w:val="jlqj4b"/>
          <w:rFonts w:ascii="Times New Roman" w:hAnsi="Times New Roman"/>
          <w:sz w:val="28"/>
          <w:szCs w:val="28"/>
          <w:shd w:val="clear" w:color="auto" w:fill="FFFFFF"/>
          <w:lang w:val="en"/>
        </w:rPr>
        <w:fldChar w:fldCharType="end"/>
      </w:r>
      <w:r w:rsidRPr="00107040">
        <w:rPr>
          <w:rStyle w:val="jlqj4b"/>
          <w:rFonts w:ascii="Times New Roman" w:hAnsi="Times New Roman"/>
          <w:sz w:val="28"/>
          <w:szCs w:val="28"/>
          <w:shd w:val="clear" w:color="auto" w:fill="FFFFFF"/>
        </w:rPr>
        <w:t>.</w:t>
      </w:r>
    </w:p>
    <w:p w14:paraId="2405B093" w14:textId="77777777" w:rsidR="00107040" w:rsidRPr="00107040" w:rsidRDefault="00107040" w:rsidP="00107040">
      <w:pPr>
        <w:spacing w:after="0" w:line="240" w:lineRule="auto"/>
        <w:ind w:firstLine="567"/>
        <w:jc w:val="both"/>
        <w:rPr>
          <w:rFonts w:ascii="Times New Roman" w:hAnsi="Times New Roman"/>
          <w:sz w:val="28"/>
          <w:szCs w:val="28"/>
        </w:rPr>
      </w:pPr>
    </w:p>
    <w:p w14:paraId="0953B991" w14:textId="77777777" w:rsidR="00107040" w:rsidRPr="00107040" w:rsidRDefault="00107040" w:rsidP="00107040">
      <w:pPr>
        <w:spacing w:after="0" w:line="240" w:lineRule="auto"/>
        <w:ind w:firstLine="567"/>
        <w:jc w:val="both"/>
        <w:rPr>
          <w:rFonts w:ascii="Times New Roman" w:hAnsi="Times New Roman"/>
          <w:b/>
          <w:sz w:val="28"/>
          <w:szCs w:val="28"/>
          <w:shd w:val="clear" w:color="auto" w:fill="FFFFFF"/>
        </w:rPr>
      </w:pPr>
      <w:bookmarkStart w:id="15" w:name="_Hlk113268028"/>
      <w:r w:rsidRPr="00107040">
        <w:rPr>
          <w:rFonts w:ascii="Times New Roman" w:hAnsi="Times New Roman"/>
          <w:sz w:val="28"/>
          <w:szCs w:val="28"/>
          <w:shd w:val="clear" w:color="auto" w:fill="FFFFFF"/>
          <w:lang w:val="kk-KZ"/>
        </w:rPr>
        <w:t>1.2.2 Репарация</w:t>
      </w:r>
      <w:r w:rsidRPr="00107040">
        <w:rPr>
          <w:rFonts w:ascii="Times New Roman" w:hAnsi="Times New Roman"/>
          <w:sz w:val="28"/>
          <w:szCs w:val="28"/>
          <w:shd w:val="clear" w:color="auto" w:fill="FFFFFF"/>
        </w:rPr>
        <w:t xml:space="preserve"> множественных и объемных повреждений основания</w:t>
      </w:r>
    </w:p>
    <w:p w14:paraId="6C02B20F" w14:textId="77777777" w:rsidR="00107040" w:rsidRPr="00107040" w:rsidRDefault="00107040" w:rsidP="00107040">
      <w:pPr>
        <w:spacing w:after="0" w:line="240" w:lineRule="auto"/>
        <w:ind w:firstLine="567"/>
        <w:jc w:val="both"/>
        <w:rPr>
          <w:rFonts w:ascii="Times New Roman" w:hAnsi="Times New Roman"/>
          <w:sz w:val="28"/>
          <w:szCs w:val="28"/>
          <w:shd w:val="clear" w:color="auto" w:fill="FFFFFF"/>
        </w:rPr>
      </w:pPr>
      <w:r w:rsidRPr="00107040">
        <w:rPr>
          <w:rFonts w:ascii="Times New Roman" w:hAnsi="Times New Roman"/>
          <w:sz w:val="28"/>
          <w:szCs w:val="28"/>
          <w:shd w:val="clear" w:color="auto" w:fill="FFFFFF"/>
          <w:lang w:val="kk-KZ"/>
        </w:rPr>
        <w:t xml:space="preserve">1.2.2.1 </w:t>
      </w:r>
      <w:r w:rsidRPr="00107040">
        <w:rPr>
          <w:rFonts w:ascii="Times New Roman" w:hAnsi="Times New Roman"/>
          <w:sz w:val="28"/>
          <w:szCs w:val="28"/>
          <w:shd w:val="clear" w:color="auto" w:fill="FFFFFF"/>
        </w:rPr>
        <w:t>Нуклеотидная эксцизионная репарация (</w:t>
      </w:r>
      <w:r w:rsidRPr="00107040">
        <w:rPr>
          <w:rFonts w:ascii="Times New Roman" w:hAnsi="Times New Roman"/>
          <w:sz w:val="28"/>
          <w:szCs w:val="28"/>
          <w:shd w:val="clear" w:color="auto" w:fill="FFFFFF"/>
          <w:lang w:val="en-US"/>
        </w:rPr>
        <w:t>NER</w:t>
      </w:r>
      <w:r w:rsidRPr="00107040">
        <w:rPr>
          <w:rFonts w:ascii="Times New Roman" w:hAnsi="Times New Roman"/>
          <w:sz w:val="28"/>
          <w:szCs w:val="28"/>
          <w:shd w:val="clear" w:color="auto" w:fill="FFFFFF"/>
        </w:rPr>
        <w:t>)</w:t>
      </w:r>
    </w:p>
    <w:bookmarkEnd w:id="15"/>
    <w:p w14:paraId="3E75E71B" w14:textId="3DE07EFC" w:rsidR="00107040" w:rsidRPr="00107040" w:rsidRDefault="00107040" w:rsidP="00107040">
      <w:pPr>
        <w:spacing w:after="0" w:line="240" w:lineRule="auto"/>
        <w:ind w:firstLine="567"/>
        <w:jc w:val="both"/>
        <w:rPr>
          <w:rStyle w:val="jlqj4b"/>
          <w:rFonts w:ascii="Times New Roman" w:hAnsi="Times New Roman"/>
          <w:sz w:val="28"/>
          <w:szCs w:val="28"/>
          <w:shd w:val="clear" w:color="auto" w:fill="F5F5F5"/>
        </w:rPr>
      </w:pPr>
      <w:r w:rsidRPr="00107040">
        <w:rPr>
          <w:rFonts w:ascii="Times New Roman" w:hAnsi="Times New Roman"/>
          <w:sz w:val="28"/>
          <w:szCs w:val="28"/>
          <w:shd w:val="clear" w:color="auto" w:fill="FFFFFF"/>
        </w:rPr>
        <w:t xml:space="preserve">Эксцизионная репарация нуклеотидов </w:t>
      </w:r>
      <w:r w:rsidRPr="00107040">
        <w:rPr>
          <w:rFonts w:ascii="Times New Roman" w:hAnsi="Times New Roman"/>
          <w:sz w:val="28"/>
          <w:szCs w:val="28"/>
          <w:shd w:val="clear" w:color="auto" w:fill="FFFFFF"/>
        </w:rPr>
        <w:sym w:font="Symbol" w:char="F02D"/>
      </w:r>
      <w:r w:rsidRPr="00107040">
        <w:rPr>
          <w:rFonts w:ascii="Times New Roman" w:hAnsi="Times New Roman"/>
          <w:sz w:val="28"/>
          <w:szCs w:val="28"/>
          <w:shd w:val="clear" w:color="auto" w:fill="FFFFFF"/>
        </w:rPr>
        <w:t xml:space="preserve"> наиболее универсальная система репарации ДНК</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shd w:val="clear" w:color="auto" w:fill="D2E3FC"/>
          <w:lang w:val="en"/>
        </w:rPr>
        <w:fldChar w:fldCharType="begin"/>
      </w:r>
      <w:r w:rsidR="008611DC">
        <w:rPr>
          <w:rStyle w:val="jlqj4b"/>
          <w:rFonts w:ascii="Times New Roman" w:hAnsi="Times New Roman"/>
          <w:sz w:val="28"/>
          <w:szCs w:val="28"/>
          <w:shd w:val="clear" w:color="auto" w:fill="D2E3FC"/>
        </w:rPr>
        <w:instrText xml:space="preserve"> ADDIN ZOTERO_ITEM CSL_CITATION {"citationID":"mUaggK9u","properties":{"formattedCitation":"[88]","plainCitation":"[88]","noteIndex":0},"citationItems":[{"id":65,"uris":["http://zotero.org/users/9078202/items/B9G6MNSH"],"itemData":{"id":65,"type":"article-journal","container-title":"Genes &amp; Development","DOI":"10.1101/gad.13.7.768","ISSN":"0890-9369","issue":"7","journalAbbreviation":"Genes Dev","language":"eng","note":"PMID: 10197977","page":"768-785","source":"PubMed","title":"Molecular mechanism of nucleotide excision repair","volume":"13","author":[{"family":"Laat","given":"W. L.","non-dropping-particle":"de"},{"family":"Jaspers","given":"N. G."},{"family":"Hoeijmakers","given":"J. H."}],"issued":{"date-parts":[["1999",4,1]]}}}],"schema":"https://github.com/citation-style-language/schema/raw/master/csl-citation.json"} </w:instrText>
      </w:r>
      <w:r w:rsidRPr="00107040">
        <w:rPr>
          <w:rStyle w:val="jlqj4b"/>
          <w:rFonts w:ascii="Times New Roman" w:hAnsi="Times New Roman"/>
          <w:sz w:val="28"/>
          <w:szCs w:val="28"/>
          <w:shd w:val="clear" w:color="auto" w:fill="D2E3FC"/>
          <w:lang w:val="en"/>
        </w:rPr>
        <w:fldChar w:fldCharType="separate"/>
      </w:r>
      <w:r w:rsidR="008611DC" w:rsidRPr="008611DC">
        <w:rPr>
          <w:rFonts w:ascii="Times New Roman" w:hAnsi="Times New Roman"/>
          <w:sz w:val="28"/>
        </w:rPr>
        <w:t>[88]</w:t>
      </w:r>
      <w:r w:rsidRPr="00107040">
        <w:rPr>
          <w:rStyle w:val="jlqj4b"/>
          <w:rFonts w:ascii="Times New Roman" w:hAnsi="Times New Roman"/>
          <w:sz w:val="28"/>
          <w:szCs w:val="28"/>
          <w:shd w:val="clear" w:color="auto" w:fill="D2E3FC"/>
          <w:lang w:val="en"/>
        </w:rPr>
        <w:fldChar w:fldCharType="end"/>
      </w:r>
      <w:r w:rsidRPr="00107040">
        <w:rPr>
          <w:rStyle w:val="jlqj4b"/>
          <w:rFonts w:ascii="Times New Roman" w:hAnsi="Times New Roman"/>
          <w:sz w:val="28"/>
          <w:szCs w:val="28"/>
          <w:shd w:val="clear" w:color="auto" w:fill="FFFFFF"/>
        </w:rPr>
        <w:t>.</w:t>
      </w:r>
      <w:r w:rsidRPr="00107040">
        <w:rPr>
          <w:rStyle w:val="viiyi"/>
          <w:rFonts w:ascii="Times New Roman" w:hAnsi="Times New Roman"/>
          <w:sz w:val="28"/>
          <w:szCs w:val="28"/>
          <w:shd w:val="clear" w:color="auto" w:fill="FFFFFF"/>
        </w:rPr>
        <w:t xml:space="preserve"> В отличие от BER, субстратом NER являются массивные повреждения ДНК, приводящие к искажению спирали ДНК</w:t>
      </w:r>
      <w:r w:rsidRPr="00107040">
        <w:rPr>
          <w:rStyle w:val="jlqj4b"/>
          <w:rFonts w:ascii="Times New Roman" w:hAnsi="Times New Roman"/>
          <w:sz w:val="28"/>
          <w:szCs w:val="28"/>
          <w:shd w:val="clear" w:color="auto" w:fill="F5F5F5"/>
        </w:rPr>
        <w:t>,</w:t>
      </w:r>
      <w:r w:rsidRPr="00107040">
        <w:rPr>
          <w:rStyle w:val="jlqj4b"/>
          <w:rFonts w:ascii="Times New Roman" w:hAnsi="Times New Roman"/>
          <w:sz w:val="28"/>
          <w:szCs w:val="28"/>
          <w:shd w:val="clear" w:color="auto" w:fill="FFFFFF"/>
        </w:rPr>
        <w:t xml:space="preserve"> такие как циклобутан-пиримидиновые димеры (</w:t>
      </w:r>
      <w:r w:rsidRPr="00107040">
        <w:rPr>
          <w:rStyle w:val="jlqj4b"/>
          <w:rFonts w:ascii="Times New Roman" w:hAnsi="Times New Roman"/>
          <w:sz w:val="28"/>
          <w:szCs w:val="28"/>
          <w:shd w:val="clear" w:color="auto" w:fill="FFFFFF"/>
          <w:lang w:val="en"/>
        </w:rPr>
        <w:t>CPD</w:t>
      </w:r>
      <w:r w:rsidRPr="00107040">
        <w:rPr>
          <w:rStyle w:val="jlqj4b"/>
          <w:rFonts w:ascii="Times New Roman" w:hAnsi="Times New Roman"/>
          <w:sz w:val="28"/>
          <w:szCs w:val="28"/>
          <w:shd w:val="clear" w:color="auto" w:fill="FFFFFF"/>
        </w:rPr>
        <w:t>) или пиримидин-(6-4)-пиримидоновые фотопродукты (6-4</w:t>
      </w:r>
      <w:r w:rsidRPr="00107040">
        <w:rPr>
          <w:rStyle w:val="jlqj4b"/>
          <w:rFonts w:ascii="Times New Roman" w:hAnsi="Times New Roman"/>
          <w:sz w:val="28"/>
          <w:szCs w:val="28"/>
          <w:shd w:val="clear" w:color="auto" w:fill="FFFFFF"/>
          <w:lang w:val="en"/>
        </w:rPr>
        <w:t>PP</w:t>
      </w:r>
      <w:r w:rsidRPr="00107040">
        <w:rPr>
          <w:rStyle w:val="jlqj4b"/>
          <w:rFonts w:ascii="Times New Roman" w:hAnsi="Times New Roman"/>
          <w:sz w:val="28"/>
          <w:szCs w:val="28"/>
          <w:shd w:val="clear" w:color="auto" w:fill="FFFFFF"/>
        </w:rPr>
        <w:t xml:space="preserve">), а также полициклические ароматические углеводы, содержащиеся в табачном дыме и сшивающих агентах </w:t>
      </w:r>
      <w:r w:rsidRPr="00107040">
        <w:rPr>
          <w:rStyle w:val="jlqj4b"/>
          <w:rFonts w:ascii="Times New Roman" w:hAnsi="Times New Roman"/>
          <w:sz w:val="28"/>
          <w:szCs w:val="28"/>
          <w:shd w:val="clear" w:color="auto" w:fill="F5F5F5"/>
          <w:lang w:val="en"/>
        </w:rPr>
        <w:fldChar w:fldCharType="begin"/>
      </w:r>
      <w:r w:rsidR="008611DC">
        <w:rPr>
          <w:rStyle w:val="jlqj4b"/>
          <w:rFonts w:ascii="Times New Roman" w:hAnsi="Times New Roman"/>
          <w:sz w:val="28"/>
          <w:szCs w:val="28"/>
          <w:shd w:val="clear" w:color="auto" w:fill="F5F5F5"/>
        </w:rPr>
        <w:instrText xml:space="preserve"> ADDIN ZOTERO_ITEM CSL_CITATION {"citationID":"NvLg45V7","properties":{"formattedCitation":"[89\\uc0\\u8211{}91]","plainCitation":"[89–91]","noteIndex":0},"citationItems":[{"id":64,"uris":["http://zotero.org/users/9078202/items/R8AN7NF9"],"itemData":{"id":64,"type":"article-journal","abstract":"Nondistorting C4' backbone adducts serve as molecular tools to analyze the strategy by which a limited number of human nucleotide excision repair (NER) factors recognize an infinite variety of DNA lesions. We have constructed composite DNA substrates containing a noncomplementary site adjacent to a nondistorting C4' adduct to show that the loss of hydrogen bonding contacts between partner strands is an essential signal for the recruitment of NER enzymes. This specific conformational requirement for excision is mediated by the affinity of xeroderma pigmentosum group A (XPA) protein for nonhybridizing sites in duplex DNA. XPA recognizes defective Watson-Crick base pair conformations even in the absence of DNA adducts or other covalent modifications, apparently through detection of hydrophobic base components that are abnormally exposed to the double helical surface. This recognition function of XPA is enhanced by replication protein A (RPA) such that, in combination, XPA and RPA constitute a potent molecular sensor of denatured base pairs. Our results indicate that the XPA-RPA complex may promote damage recognition by monitoring Watson-Crick base pair integrity, thereby recruiting the human NER system preferentially to sites where hybridization between complementary strands is weakened or entirely disrupted.","container-title":"Proceedings of the National Academy of Sciences of the United States of America","DOI":"10.1073/pnas.96.11.6090","ISSN":"0027-8424","issue":"11","journalAbbreviation":"Proc Natl Acad Sci U S A","language":"eng","note":"PMID: 10339546\nPMCID: PMC26840","page":"6090-6095","source":"PubMed","title":"Recognition of nonhybridizing base pairs during nucleotide excision repair of DNA","volume":"96","author":[{"family":"Buschta-Hedayat","given":"N."},{"family":"Buterin","given":"T."},{"family":"Hess","given":"M. T."},{"family":"Missura","given":"M."},{"family":"Naegeli","given":"H."}],"issued":{"date-parts":[["1999",5,25]]}}},{"id":63,"uris":["http://zotero.org/users/9078202/items/J2IP6698"],"itemData":{"id":63,"type":"article-journal","abstract":"For the bulk of mammalian DNA, the core protein factors needed for damage recognition and incision during nucleotide excision repair (NER) are the XPA protein, the heterotrimeric RPA protein, the 6 to 9-subunit TFIIH, the XPC-hHR23B complex, the XPG nuclease, and the ERCC1-XPF nuclease. With varying efficiencies, NER can repair a very wide range of DNA adducts, from bulky helical distortions to subtle modifications on sugar residues. Several of the NER factors have an affinity for damaged DNA. The strongest binding factor appears to be XPC-hHR23B but preferential binding to damage is also a property of XPA, RPA, and components of TFIIH. It appears that in order to be repaired by NER, an adduct in DNA must have two features: it must create a helical distortion, and there must be a change in DNA chemistry. Initial recognition of the distortion is the most likely function for XPC-hHR23B and perhaps XPA and RPA, whereas TFIIH is well-suited to locate the damaged DNA strand by locating altered DNA chemistry that blocks translocation of the XPB and XPD components.","container-title":"Biochimie","DOI":"10.1016/s0300-9084(99)80036-4","ISSN":"0300-9084","issue":"1-2","journalAbbreviation":"Biochimie","language":"eng","note":"PMID: 10214908","page":"39-44","source":"PubMed","title":"DNA damage recognition during nucleotide excision repair in mammalian cells","volume":"81","author":[{"family":"Wood","given":"R. D."}],"issued":{"date-parts":[["1999",2]]}}},{"id":62,"uris":["http://zotero.org/users/9078202/items/RWX6NJPL"],"itemData":{"id":62,"type":"article-journal","abstract":"The (6-4) photoproduct is an important determinant of the lethal and mutagenic effects of UV irradiation of biological systems. The removal of this lesion appears to correlate closely with the early DNA repair responses of mammalian cells, including DNA incision events, repair synthesis and removal of replication blocks. The processing of (6-4) photoproducts and cyclobutane dimers appears to be enzymatically coupled in bacteria and most mammalian cell lines examined (i.e. a mutation affecting the repair of one lesion also often affects the other), although exceptions exist in which repair capacity may be evident for one photoproduct and not the other (e.g. UV61 and the XP revertant cell line). These differences in the processing of the two photoproducts in some cell lines of human and rodent origin suggest that in mammalian cells, different pathways for the repair of (6-4) photoproducts and cyclobutane dimers may be used. This observation is further supported by pleiotropic repair phenotypes such as those observed in CHO complementation class 2 mutants (e.g., UV5, UVL-1, UVL-13, and V-H1). Indirect data, from HCR of UV irradiated reported genes and the cytotoxic responses of UV61, suggest that the (6-4) photoproduct is cytotoxic in mammalian cells and may account for 20 to 30% of the cell killing after UV irradiation of rodent cells. Cytotoxicity of the (6-4) photoproduct may be important in the etiology of sunlight-induced carcinogenesis, affecting mutagenesis as well as tumorigenesis. The intricate photochemistry of the (6-4) photoproduct, its formation and photoisomerization, is in itself extremely interesting and may also be relevant to sunlight carcinogenesis. The data reviewed in this article support the notion that the (6-4) photoproduct and its Dewar photoisomer are important cytotoxic determinants of UV light. The idea that the (6-4) photoproduct is an important component in the spectrum of UV-induced cytotoxic damage may help clarify our understanding of why rodent cells survive the effects of UV irradiation as well as human cells, without apparent cyclobutane dimer repair in the bulk of their DNA. The preferential repair of cyclobutane dimers in essential genes has been proposed to account for this observation (Bohr et al., 1985, 1986; Mellon et al., 1986). The data reviewed here suggest that understanding the repair of a prominent type of noncyclobutane dimer damage, the (6-4) photoproduct, may also be important in resolving this paradox.","container-title":"Photochemistry and Photobiology","DOI":"10.1111/j.1751-1097.1989.tb05578.x","ISSN":"0031-8655","issue":"6","journalAbbreviation":"Photochem Photobiol","language":"eng","note":"PMID: 2672059","page":"805-819","source":"PubMed","title":"The biology of the (6-4) photoproduct","volume":"49","author":[{"family":"Mitchell","given":"D. L."},{"family":"Nairn","given":"R. S."}],"issued":{"date-parts":[["1989",6]]}}}],"schema":"https://github.com/citation-style-language/schema/raw/master/csl-citation.json"} </w:instrText>
      </w:r>
      <w:r w:rsidRPr="00107040">
        <w:rPr>
          <w:rStyle w:val="jlqj4b"/>
          <w:rFonts w:ascii="Times New Roman" w:hAnsi="Times New Roman"/>
          <w:sz w:val="28"/>
          <w:szCs w:val="28"/>
          <w:shd w:val="clear" w:color="auto" w:fill="F5F5F5"/>
          <w:lang w:val="en"/>
        </w:rPr>
        <w:fldChar w:fldCharType="separate"/>
      </w:r>
      <w:r w:rsidR="008611DC" w:rsidRPr="008611DC">
        <w:rPr>
          <w:rFonts w:ascii="Times New Roman" w:hAnsi="Times New Roman"/>
          <w:sz w:val="28"/>
          <w:szCs w:val="24"/>
        </w:rPr>
        <w:t>[89–91]</w:t>
      </w:r>
      <w:r w:rsidRPr="00107040">
        <w:rPr>
          <w:rStyle w:val="jlqj4b"/>
          <w:rFonts w:ascii="Times New Roman" w:hAnsi="Times New Roman"/>
          <w:sz w:val="28"/>
          <w:szCs w:val="28"/>
          <w:shd w:val="clear" w:color="auto" w:fill="F5F5F5"/>
          <w:lang w:val="en"/>
        </w:rPr>
        <w:fldChar w:fldCharType="end"/>
      </w:r>
      <w:r w:rsidRPr="00107040">
        <w:rPr>
          <w:rStyle w:val="jlqj4b"/>
          <w:rFonts w:ascii="Times New Roman" w:hAnsi="Times New Roman"/>
          <w:sz w:val="28"/>
          <w:szCs w:val="28"/>
        </w:rPr>
        <w:t>.</w:t>
      </w:r>
    </w:p>
    <w:p w14:paraId="4C2FC1D0" w14:textId="0AD4EBB4" w:rsidR="00107040" w:rsidRPr="00107040" w:rsidRDefault="00107040" w:rsidP="00107040">
      <w:pPr>
        <w:spacing w:after="0" w:line="240" w:lineRule="auto"/>
        <w:ind w:firstLine="567"/>
        <w:jc w:val="both"/>
        <w:rPr>
          <w:rStyle w:val="jlqj4b"/>
          <w:rFonts w:ascii="Times New Roman" w:hAnsi="Times New Roman"/>
          <w:sz w:val="28"/>
          <w:szCs w:val="28"/>
        </w:rPr>
      </w:pPr>
      <w:r w:rsidRPr="00107040">
        <w:rPr>
          <w:rFonts w:ascii="Times New Roman" w:hAnsi="Times New Roman"/>
          <w:sz w:val="28"/>
          <w:szCs w:val="28"/>
        </w:rPr>
        <w:t xml:space="preserve">Нарушения функции </w:t>
      </w:r>
      <w:r w:rsidRPr="00107040">
        <w:rPr>
          <w:rFonts w:ascii="Times New Roman" w:hAnsi="Times New Roman"/>
          <w:sz w:val="28"/>
          <w:szCs w:val="28"/>
          <w:lang w:val="en-US"/>
        </w:rPr>
        <w:t>NER</w:t>
      </w:r>
      <w:r w:rsidRPr="00107040">
        <w:rPr>
          <w:rFonts w:ascii="Times New Roman" w:hAnsi="Times New Roman"/>
          <w:sz w:val="28"/>
          <w:szCs w:val="28"/>
        </w:rPr>
        <w:t xml:space="preserve"> приводят к ряду различных синдромов у человека: пигментная ксеродермия (</w:t>
      </w:r>
      <w:r w:rsidRPr="00107040">
        <w:rPr>
          <w:rFonts w:ascii="Times New Roman" w:hAnsi="Times New Roman"/>
          <w:sz w:val="28"/>
          <w:szCs w:val="28"/>
          <w:lang w:val="en-US"/>
        </w:rPr>
        <w:t>XP</w:t>
      </w:r>
      <w:r w:rsidRPr="00107040">
        <w:rPr>
          <w:rFonts w:ascii="Times New Roman" w:hAnsi="Times New Roman"/>
          <w:sz w:val="28"/>
          <w:szCs w:val="28"/>
        </w:rPr>
        <w:t>); синдром Коккейна (СК); синдром чувствительности к ультрафиолету (УВСС); и церебро-окуло-фацио-скелетный синдром (</w:t>
      </w:r>
      <w:r w:rsidRPr="00107040">
        <w:rPr>
          <w:rFonts w:ascii="Times New Roman" w:hAnsi="Times New Roman"/>
          <w:sz w:val="28"/>
          <w:szCs w:val="28"/>
          <w:lang w:val="en-US"/>
        </w:rPr>
        <w:t>COFS</w:t>
      </w:r>
      <w:r w:rsidRPr="00107040">
        <w:rPr>
          <w:rFonts w:ascii="Times New Roman" w:hAnsi="Times New Roman"/>
          <w:sz w:val="28"/>
          <w:szCs w:val="28"/>
        </w:rPr>
        <w:t xml:space="preserve">) </w:t>
      </w:r>
      <w:r w:rsidRPr="00107040">
        <w:rPr>
          <w:rFonts w:ascii="Times New Roman" w:hAnsi="Times New Roman"/>
          <w:sz w:val="28"/>
          <w:szCs w:val="28"/>
          <w:shd w:val="clear" w:color="auto" w:fill="FFFFFF"/>
          <w:lang w:val="en-US"/>
        </w:rPr>
        <w:fldChar w:fldCharType="begin"/>
      </w:r>
      <w:r w:rsidR="008611DC">
        <w:rPr>
          <w:rFonts w:ascii="Times New Roman" w:hAnsi="Times New Roman"/>
          <w:sz w:val="28"/>
          <w:szCs w:val="28"/>
          <w:shd w:val="clear" w:color="auto" w:fill="FFFFFF"/>
        </w:rPr>
        <w:instrText xml:space="preserve"> ADDIN ZOTERO_ITEM CSL_CITATION {"citationID":"ZCp3PZqw","properties":{"formattedCitation":"[69,92]","plainCitation":"[69,92]","noteIndex":0},"citationItems":[{"id":60,"uris":["http://zotero.org/users/9078202/items/YPR9V5YC"],"itemData":{"id":60,"type":"book","abstract":"An essential resource for all scientists researching cellular responses to DNA damage. • Introduces important new material reflective of the major changes and developments that have occurred in the field over the last decade.  • Discussed the field within a strong historical framework, and all aspects of biological responses to DNA damage are detailed.   • Provides information on covering sources and consequences of DNA damage; correcting altered bases in DNA: DNA repair; DNA damage tolerance and mutagenesis; regulatory responses to DNA damage in eukaryotes; and disease states associated with defective biological responses to DNA damage.","ISBN":"978-1-55581-319-2","language":"en","note":"Google-Books-ID: VAKsBAAAQBAJ","number-of-pages":"2845","publisher":"American Society for Microbiology Press","source":"Google Books","title":"DNA Repair and Mutagenesis","author":[{"family":"Friedberg","given":"Errol C."},{"family":"Walker","given":"Graham C."},{"family":"Siede","given":"Wolfram"},{"family":"Wood","given":"Richard D."}],"issued":{"date-parts":[["2005",11,22]]}}},{"id":59,"uris":["http://zotero.org/users/9078202/items/N4YH3T9D"],"itemData":{"id":59,"type":"article-journal","abstract":"Transcriptional arrest caused by DNA damage is detrimental for cells and organisms as it impinges on gene expression and thereby on cell growth and survival. To alleviate transcriptional arrest, cells trigger a transcription-dependent genome surveillance pathway, termed transcription-coupled nucleotide excision repair (TC-NER) that ensures rapid removal of such transcription-impeding DNA lesions and prevents persistent stalling of transcription. Defective TC-NER is causatively linked to Cockayne syndrome, a rare severe genetic disorder with multisystem abnormalities that results in patients’ death in early adulthood. Here we review recent data on how damage-arrested transcription is actively coupled to TC-NER in mammals and discuss new emerging models concerning the role of TC-NER-specific factors in this process., A sophisticated subpathway of nucleotide excision repair ensures rapid removal of transcription-impeding DNA lesions. Key factors in this pathway are the CS proteins, which are mutated in Cockayne syndrome.","container-title":"Cold Spring Harbor Perspectives in Biology","DOI":"10.1101/cshperspect.a012625","ISSN":"1943-0264","issue":"8","journalAbbreviation":"Cold Spring Harb Perspect Biol","note":"PMID: 23906714\nPMCID: PMC3721277","page":"a012625","source":"PubMed Central","title":"Mammalian Transcription-Coupled Excision Repair","URL":"https://www.ncbi.nlm.nih.gov/pmc/articles/PMC3721277/","volume":"5","author":[{"family":"Vermeulen","given":"Wim"},{"family":"Fousteri","given":"Maria"}],"accessed":{"date-parts":[["2022",2,28]]},"issued":{"date-parts":[["2013",8]]}}}],"schema":"https://github.com/citation-style-language/schema/raw/master/csl-citation.json"} </w:instrText>
      </w:r>
      <w:r w:rsidRPr="00107040">
        <w:rPr>
          <w:rFonts w:ascii="Times New Roman" w:hAnsi="Times New Roman"/>
          <w:sz w:val="28"/>
          <w:szCs w:val="28"/>
          <w:shd w:val="clear" w:color="auto" w:fill="FFFFFF"/>
          <w:lang w:val="en-US"/>
        </w:rPr>
        <w:fldChar w:fldCharType="separate"/>
      </w:r>
      <w:r w:rsidR="008611DC" w:rsidRPr="008611DC">
        <w:rPr>
          <w:rFonts w:ascii="Times New Roman" w:hAnsi="Times New Roman"/>
          <w:sz w:val="28"/>
        </w:rPr>
        <w:t>[69,92]</w:t>
      </w:r>
      <w:r w:rsidRPr="00107040">
        <w:rPr>
          <w:rFonts w:ascii="Times New Roman" w:hAnsi="Times New Roman"/>
          <w:sz w:val="28"/>
          <w:szCs w:val="28"/>
          <w:shd w:val="clear" w:color="auto" w:fill="FFFFFF"/>
          <w:lang w:val="en-US"/>
        </w:rPr>
        <w:fldChar w:fldCharType="end"/>
      </w:r>
      <w:r w:rsidRPr="00107040">
        <w:rPr>
          <w:rStyle w:val="jlqj4b"/>
          <w:rFonts w:ascii="Times New Roman" w:hAnsi="Times New Roman"/>
          <w:sz w:val="28"/>
          <w:szCs w:val="28"/>
          <w:shd w:val="clear" w:color="auto" w:fill="FFFFFF"/>
        </w:rPr>
        <w:t>.</w:t>
      </w:r>
      <w:r w:rsidRPr="00107040">
        <w:rPr>
          <w:rStyle w:val="viiyi"/>
          <w:rFonts w:ascii="Times New Roman" w:hAnsi="Times New Roman"/>
          <w:sz w:val="28"/>
          <w:szCs w:val="28"/>
          <w:shd w:val="clear" w:color="auto" w:fill="FFFFFF"/>
        </w:rPr>
        <w:t xml:space="preserve"> Чтобы инициировать </w:t>
      </w:r>
      <w:r w:rsidRPr="00107040">
        <w:rPr>
          <w:rStyle w:val="viiyi"/>
          <w:rFonts w:ascii="Times New Roman" w:hAnsi="Times New Roman"/>
          <w:sz w:val="28"/>
          <w:szCs w:val="28"/>
          <w:shd w:val="clear" w:color="auto" w:fill="FFFFFF"/>
          <w:lang w:val="en-US"/>
        </w:rPr>
        <w:t>NER</w:t>
      </w:r>
      <w:r w:rsidRPr="00107040">
        <w:rPr>
          <w:rStyle w:val="viiyi"/>
          <w:rFonts w:ascii="Times New Roman" w:hAnsi="Times New Roman"/>
          <w:sz w:val="28"/>
          <w:szCs w:val="28"/>
          <w:shd w:val="clear" w:color="auto" w:fill="FFFFFF"/>
        </w:rPr>
        <w:t xml:space="preserve">, ремоделирование хроматина, опосредованное как компонентами хроматина, так и </w:t>
      </w:r>
      <w:r w:rsidRPr="00107040">
        <w:rPr>
          <w:rStyle w:val="viiyi"/>
          <w:rFonts w:ascii="Times New Roman" w:hAnsi="Times New Roman"/>
          <w:sz w:val="28"/>
          <w:szCs w:val="28"/>
          <w:shd w:val="clear" w:color="auto" w:fill="FFFFFF"/>
          <w:lang w:val="en-US"/>
        </w:rPr>
        <w:t>NER</w:t>
      </w:r>
      <w:r w:rsidRPr="00107040">
        <w:rPr>
          <w:rStyle w:val="viiyi"/>
          <w:rFonts w:ascii="Times New Roman" w:hAnsi="Times New Roman"/>
          <w:sz w:val="28"/>
          <w:szCs w:val="28"/>
          <w:shd w:val="clear" w:color="auto" w:fill="FFFFFF"/>
        </w:rPr>
        <w:t xml:space="preserve">, уступает место механизму </w:t>
      </w:r>
      <w:r w:rsidRPr="00107040">
        <w:rPr>
          <w:rStyle w:val="viiyi"/>
          <w:rFonts w:ascii="Times New Roman" w:hAnsi="Times New Roman"/>
          <w:sz w:val="28"/>
          <w:szCs w:val="28"/>
          <w:shd w:val="clear" w:color="auto" w:fill="FFFFFF"/>
          <w:lang w:val="en-US"/>
        </w:rPr>
        <w:t>NER</w:t>
      </w:r>
      <w:r w:rsidRPr="00107040">
        <w:rPr>
          <w:rStyle w:val="viiyi"/>
          <w:rFonts w:ascii="Times New Roman" w:hAnsi="Times New Roman"/>
          <w:sz w:val="28"/>
          <w:szCs w:val="28"/>
          <w:shd w:val="clear" w:color="auto" w:fill="FFFFFF"/>
        </w:rPr>
        <w:t xml:space="preserve"> при определенных повреждениях ДНК </w:t>
      </w:r>
      <w:r w:rsidRPr="00107040">
        <w:rPr>
          <w:rStyle w:val="jlqj4b"/>
          <w:rFonts w:ascii="Times New Roman" w:hAnsi="Times New Roman"/>
          <w:sz w:val="28"/>
          <w:szCs w:val="28"/>
          <w:shd w:val="clear" w:color="auto" w:fill="FFFFFF"/>
          <w:lang w:val="en-US"/>
        </w:rPr>
        <w:fldChar w:fldCharType="begin"/>
      </w:r>
      <w:r w:rsidR="008611DC">
        <w:rPr>
          <w:rStyle w:val="jlqj4b"/>
          <w:rFonts w:ascii="Times New Roman" w:hAnsi="Times New Roman"/>
          <w:sz w:val="28"/>
          <w:szCs w:val="28"/>
          <w:shd w:val="clear" w:color="auto" w:fill="FFFFFF"/>
        </w:rPr>
        <w:instrText xml:space="preserve"> ADDIN ZOTERO_ITEM CSL_CITATION {"citationID":"rr4YpFYT","properties":{"formattedCitation":"[93]","plainCitation":"[93]","noteIndex":0},"citationItems":[{"id":58,"uris":["http://zotero.org/users/9078202/items/U57F7LKQ"],"itemData":{"id":58,"type":"article-journal","abstract":"Nucleotide excision repair (NER) is the main pathway used by mammals to remove bulky DNA lesions such as those formed by UV light, environmental mutagens, and some cancer chemotherapeutic adducts from DNA. Deficiencies in NER are associated with the extremely skin cancer-prone inherited disorder xeroderma pigmentosum. Although the core NER reaction and the factors that execute it have been known for some years, recent studies have led to a much more detailed understanding of the NER mechanism, how NER operates in the context of chromatin, and how it is connected to other cellular processes such as DNA damage signaling and transcription. This review emphasizes biochemical, structural, cell biological, and genetic studies since 2005 that have shed light on many aspects of the NER pathway., Bulky DNA lesions (e.g., those formed by UV light) are removed by nucleotide excision repair (NER). Recent studies have led to a detailed understanding of the NER mechanism and its regulation in the context of the cell.","container-title":"Cold Spring Harbor Perspectives in Biology","DOI":"10.1101/cshperspect.a012609","ISSN":"1943-0264","issue":"10","journalAbbreviation":"Cold Spring Harb Perspect Biol","note":"PMID: 24086042\nPMCID: PMC3783044","page":"a012609","source":"PubMed Central","title":"Nucleotide Excision Repair in Eukaryotes","URL":"https://www.ncbi.nlm.nih.gov/pmc/articles/PMC3783044/","volume":"5","author":[{"family":"Schärer","given":"Orlando D."}],"accessed":{"date-parts":[["2022",2,28]]},"issued":{"date-parts":[["2013",10]]}}}],"schema":"https://github.com/citation-style-language/schema/raw/master/csl-citation.json"} </w:instrText>
      </w:r>
      <w:r w:rsidRPr="00107040">
        <w:rPr>
          <w:rStyle w:val="jlqj4b"/>
          <w:rFonts w:ascii="Times New Roman" w:hAnsi="Times New Roman"/>
          <w:sz w:val="28"/>
          <w:szCs w:val="28"/>
          <w:shd w:val="clear" w:color="auto" w:fill="FFFFFF"/>
          <w:lang w:val="en-US"/>
        </w:rPr>
        <w:fldChar w:fldCharType="separate"/>
      </w:r>
      <w:r w:rsidR="008611DC" w:rsidRPr="008611DC">
        <w:rPr>
          <w:rFonts w:ascii="Times New Roman" w:hAnsi="Times New Roman"/>
          <w:sz w:val="28"/>
        </w:rPr>
        <w:t>[93]</w:t>
      </w:r>
      <w:r w:rsidRPr="00107040">
        <w:rPr>
          <w:rStyle w:val="jlqj4b"/>
          <w:rFonts w:ascii="Times New Roman" w:hAnsi="Times New Roman"/>
          <w:sz w:val="28"/>
          <w:szCs w:val="28"/>
          <w:shd w:val="clear" w:color="auto" w:fill="FFFFFF"/>
          <w:lang w:val="en-US"/>
        </w:rPr>
        <w:fldChar w:fldCharType="end"/>
      </w:r>
      <w:r w:rsidRPr="00107040">
        <w:rPr>
          <w:rStyle w:val="jlqj4b"/>
          <w:rFonts w:ascii="Times New Roman" w:hAnsi="Times New Roman"/>
          <w:sz w:val="28"/>
          <w:szCs w:val="28"/>
        </w:rPr>
        <w:t>.</w:t>
      </w:r>
      <w:r w:rsidRPr="00107040">
        <w:rPr>
          <w:rStyle w:val="viiyi"/>
          <w:rFonts w:ascii="Times New Roman" w:hAnsi="Times New Roman"/>
          <w:sz w:val="28"/>
          <w:szCs w:val="28"/>
          <w:shd w:val="clear" w:color="auto" w:fill="FFFFFF"/>
        </w:rPr>
        <w:t xml:space="preserve"> Существует два основных типа </w:t>
      </w:r>
      <w:r w:rsidRPr="00107040">
        <w:rPr>
          <w:rStyle w:val="viiyi"/>
          <w:rFonts w:ascii="Times New Roman" w:hAnsi="Times New Roman"/>
          <w:sz w:val="28"/>
          <w:szCs w:val="28"/>
          <w:shd w:val="clear" w:color="auto" w:fill="FFFFFF"/>
          <w:lang w:val="en-US"/>
        </w:rPr>
        <w:t>NER</w:t>
      </w:r>
      <w:r w:rsidRPr="00107040">
        <w:rPr>
          <w:rStyle w:val="viiyi"/>
          <w:rFonts w:ascii="Times New Roman" w:hAnsi="Times New Roman"/>
          <w:sz w:val="28"/>
          <w:szCs w:val="28"/>
          <w:shd w:val="clear" w:color="auto" w:fill="FFFFFF"/>
        </w:rPr>
        <w:t xml:space="preserve">: глобальная геномная </w:t>
      </w:r>
      <w:r w:rsidRPr="00107040">
        <w:rPr>
          <w:rStyle w:val="viiyi"/>
          <w:rFonts w:ascii="Times New Roman" w:hAnsi="Times New Roman"/>
          <w:sz w:val="28"/>
          <w:szCs w:val="28"/>
          <w:shd w:val="clear" w:color="auto" w:fill="FFFFFF"/>
          <w:lang w:val="en-US"/>
        </w:rPr>
        <w:t>NER</w:t>
      </w:r>
      <w:r w:rsidRPr="00107040">
        <w:rPr>
          <w:rStyle w:val="viiyi"/>
          <w:rFonts w:ascii="Times New Roman" w:hAnsi="Times New Roman"/>
          <w:sz w:val="28"/>
          <w:szCs w:val="28"/>
          <w:shd w:val="clear" w:color="auto" w:fill="FFFFFF"/>
        </w:rPr>
        <w:t xml:space="preserve"> (</w:t>
      </w:r>
      <w:r w:rsidRPr="00107040">
        <w:rPr>
          <w:rStyle w:val="viiyi"/>
          <w:rFonts w:ascii="Times New Roman" w:hAnsi="Times New Roman"/>
          <w:sz w:val="28"/>
          <w:szCs w:val="28"/>
          <w:shd w:val="clear" w:color="auto" w:fill="FFFFFF"/>
          <w:lang w:val="en-US"/>
        </w:rPr>
        <w:t>GG</w:t>
      </w:r>
      <w:r w:rsidRPr="00107040">
        <w:rPr>
          <w:rStyle w:val="viiyi"/>
          <w:rFonts w:ascii="Times New Roman" w:hAnsi="Times New Roman"/>
          <w:sz w:val="28"/>
          <w:szCs w:val="28"/>
          <w:shd w:val="clear" w:color="auto" w:fill="FFFFFF"/>
        </w:rPr>
        <w:t>-</w:t>
      </w:r>
      <w:r w:rsidRPr="00107040">
        <w:rPr>
          <w:rStyle w:val="viiyi"/>
          <w:rFonts w:ascii="Times New Roman" w:hAnsi="Times New Roman"/>
          <w:sz w:val="28"/>
          <w:szCs w:val="28"/>
          <w:shd w:val="clear" w:color="auto" w:fill="FFFFFF"/>
          <w:lang w:val="en-US"/>
        </w:rPr>
        <w:t>NER</w:t>
      </w:r>
      <w:r w:rsidRPr="00107040">
        <w:rPr>
          <w:rStyle w:val="viiyi"/>
          <w:rFonts w:ascii="Times New Roman" w:hAnsi="Times New Roman"/>
          <w:sz w:val="28"/>
          <w:szCs w:val="28"/>
          <w:shd w:val="clear" w:color="auto" w:fill="FFFFFF"/>
        </w:rPr>
        <w:t xml:space="preserve">) и </w:t>
      </w:r>
      <w:r w:rsidRPr="00107040">
        <w:rPr>
          <w:rStyle w:val="viiyi"/>
          <w:rFonts w:ascii="Times New Roman" w:hAnsi="Times New Roman"/>
          <w:sz w:val="28"/>
          <w:szCs w:val="28"/>
          <w:shd w:val="clear" w:color="auto" w:fill="FFFFFF"/>
          <w:lang w:val="en-US"/>
        </w:rPr>
        <w:t>NER</w:t>
      </w:r>
      <w:r w:rsidRPr="00107040">
        <w:rPr>
          <w:rStyle w:val="viiyi"/>
          <w:rFonts w:ascii="Times New Roman" w:hAnsi="Times New Roman"/>
          <w:sz w:val="28"/>
          <w:szCs w:val="28"/>
          <w:shd w:val="clear" w:color="auto" w:fill="FFFFFF"/>
        </w:rPr>
        <w:t xml:space="preserve"> связанная с транскрипцией (</w:t>
      </w:r>
      <w:r w:rsidRPr="00107040">
        <w:rPr>
          <w:rStyle w:val="viiyi"/>
          <w:rFonts w:ascii="Times New Roman" w:hAnsi="Times New Roman"/>
          <w:sz w:val="28"/>
          <w:szCs w:val="28"/>
          <w:shd w:val="clear" w:color="auto" w:fill="FFFFFF"/>
          <w:lang w:val="en-US"/>
        </w:rPr>
        <w:t>TC</w:t>
      </w:r>
      <w:r w:rsidRPr="00107040">
        <w:rPr>
          <w:rStyle w:val="viiyi"/>
          <w:rFonts w:ascii="Times New Roman" w:hAnsi="Times New Roman"/>
          <w:sz w:val="28"/>
          <w:szCs w:val="28"/>
          <w:shd w:val="clear" w:color="auto" w:fill="FFFFFF"/>
        </w:rPr>
        <w:t>-</w:t>
      </w:r>
      <w:r w:rsidRPr="00107040">
        <w:rPr>
          <w:rStyle w:val="viiyi"/>
          <w:rFonts w:ascii="Times New Roman" w:hAnsi="Times New Roman"/>
          <w:sz w:val="28"/>
          <w:szCs w:val="28"/>
          <w:shd w:val="clear" w:color="auto" w:fill="FFFFFF"/>
          <w:lang w:val="en-US"/>
        </w:rPr>
        <w:t>NER</w:t>
      </w:r>
      <w:r w:rsidRPr="00107040">
        <w:rPr>
          <w:rStyle w:val="viiyi"/>
          <w:rFonts w:ascii="Times New Roman" w:hAnsi="Times New Roman"/>
          <w:sz w:val="28"/>
          <w:szCs w:val="28"/>
          <w:shd w:val="clear" w:color="auto" w:fill="FFFFFF"/>
        </w:rPr>
        <w:t>).</w:t>
      </w:r>
    </w:p>
    <w:p w14:paraId="5F2B1B95" w14:textId="092874DA" w:rsidR="00107040" w:rsidRPr="00107040" w:rsidRDefault="00107040" w:rsidP="00107040">
      <w:pPr>
        <w:spacing w:after="0" w:line="240" w:lineRule="auto"/>
        <w:ind w:firstLine="567"/>
        <w:jc w:val="both"/>
        <w:rPr>
          <w:rFonts w:ascii="Times New Roman" w:hAnsi="Times New Roman"/>
          <w:sz w:val="28"/>
          <w:szCs w:val="28"/>
          <w:shd w:val="clear" w:color="auto" w:fill="FFFFFF"/>
        </w:rPr>
      </w:pPr>
      <w:r w:rsidRPr="00107040">
        <w:rPr>
          <w:rStyle w:val="jlqj4b"/>
          <w:rFonts w:ascii="Times New Roman" w:hAnsi="Times New Roman"/>
          <w:sz w:val="28"/>
          <w:szCs w:val="28"/>
          <w:shd w:val="clear" w:color="auto" w:fill="FFFFFF"/>
        </w:rPr>
        <w:t xml:space="preserve">Белок </w:t>
      </w:r>
      <w:r w:rsidRPr="00107040">
        <w:rPr>
          <w:rStyle w:val="jlqj4b"/>
          <w:rFonts w:ascii="Times New Roman" w:hAnsi="Times New Roman"/>
          <w:sz w:val="28"/>
          <w:szCs w:val="28"/>
          <w:shd w:val="clear" w:color="auto" w:fill="FFFFFF"/>
          <w:lang w:val="en"/>
        </w:rPr>
        <w:t>XPC</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shd w:val="clear" w:color="auto" w:fill="FFFFFF"/>
          <w:lang w:val="en"/>
        </w:rPr>
        <w:t>Xeroderma</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shd w:val="clear" w:color="auto" w:fill="FFFFFF"/>
          <w:lang w:val="en"/>
        </w:rPr>
        <w:t>Pigmentosum</w:t>
      </w:r>
      <w:r w:rsidRPr="00107040">
        <w:rPr>
          <w:rStyle w:val="jlqj4b"/>
          <w:rFonts w:ascii="Times New Roman" w:hAnsi="Times New Roman"/>
          <w:sz w:val="28"/>
          <w:szCs w:val="28"/>
          <w:shd w:val="clear" w:color="auto" w:fill="FFFFFF"/>
        </w:rPr>
        <w:t xml:space="preserve">, группа комплементации </w:t>
      </w:r>
      <w:r w:rsidRPr="00107040">
        <w:rPr>
          <w:rStyle w:val="jlqj4b"/>
          <w:rFonts w:ascii="Times New Roman" w:hAnsi="Times New Roman"/>
          <w:sz w:val="28"/>
          <w:szCs w:val="28"/>
          <w:shd w:val="clear" w:color="auto" w:fill="FFFFFF"/>
          <w:lang w:val="en"/>
        </w:rPr>
        <w:t>C</w:t>
      </w:r>
      <w:r w:rsidRPr="00107040">
        <w:rPr>
          <w:rStyle w:val="jlqj4b"/>
          <w:rFonts w:ascii="Times New Roman" w:hAnsi="Times New Roman"/>
          <w:sz w:val="28"/>
          <w:szCs w:val="28"/>
          <w:shd w:val="clear" w:color="auto" w:fill="FFFFFF"/>
        </w:rPr>
        <w:t xml:space="preserve">) в комплексе с белками </w:t>
      </w:r>
      <w:r w:rsidRPr="00107040">
        <w:rPr>
          <w:rStyle w:val="jlqj4b"/>
          <w:rFonts w:ascii="Times New Roman" w:hAnsi="Times New Roman"/>
          <w:sz w:val="28"/>
          <w:szCs w:val="28"/>
          <w:shd w:val="clear" w:color="auto" w:fill="FFFFFF"/>
          <w:lang w:val="en"/>
        </w:rPr>
        <w:t>RAD</w:t>
      </w:r>
      <w:r w:rsidRPr="00107040">
        <w:rPr>
          <w:rStyle w:val="jlqj4b"/>
          <w:rFonts w:ascii="Times New Roman" w:hAnsi="Times New Roman"/>
          <w:sz w:val="28"/>
          <w:szCs w:val="28"/>
          <w:shd w:val="clear" w:color="auto" w:fill="FFFFFF"/>
        </w:rPr>
        <w:t>23</w:t>
      </w:r>
      <w:r w:rsidRPr="00107040">
        <w:rPr>
          <w:rStyle w:val="jlqj4b"/>
          <w:rFonts w:ascii="Times New Roman" w:hAnsi="Times New Roman"/>
          <w:sz w:val="28"/>
          <w:szCs w:val="28"/>
          <w:shd w:val="clear" w:color="auto" w:fill="FFFFFF"/>
          <w:lang w:val="en"/>
        </w:rPr>
        <w:t>B</w:t>
      </w:r>
      <w:r w:rsidRPr="00107040">
        <w:rPr>
          <w:rStyle w:val="jlqj4b"/>
          <w:rFonts w:ascii="Times New Roman" w:hAnsi="Times New Roman"/>
          <w:sz w:val="28"/>
          <w:szCs w:val="28"/>
          <w:shd w:val="clear" w:color="auto" w:fill="FFFFFF"/>
        </w:rPr>
        <w:t xml:space="preserve"> (белок УФ-эксцизионной репарации, чувствительный к излучению 23</w:t>
      </w:r>
      <w:r w:rsidRPr="00107040">
        <w:rPr>
          <w:rStyle w:val="jlqj4b"/>
          <w:rFonts w:ascii="Times New Roman" w:hAnsi="Times New Roman"/>
          <w:sz w:val="28"/>
          <w:szCs w:val="28"/>
          <w:shd w:val="clear" w:color="auto" w:fill="FFFFFF"/>
          <w:lang w:val="en"/>
        </w:rPr>
        <w:t>B</w:t>
      </w:r>
      <w:r w:rsidRPr="00107040">
        <w:rPr>
          <w:rStyle w:val="jlqj4b"/>
          <w:rFonts w:ascii="Times New Roman" w:hAnsi="Times New Roman"/>
          <w:sz w:val="28"/>
          <w:szCs w:val="28"/>
          <w:shd w:val="clear" w:color="auto" w:fill="FFFFFF"/>
        </w:rPr>
        <w:t xml:space="preserve">) и белками </w:t>
      </w:r>
      <w:r w:rsidRPr="00107040">
        <w:rPr>
          <w:rStyle w:val="jlqj4b"/>
          <w:rFonts w:ascii="Times New Roman" w:hAnsi="Times New Roman"/>
          <w:sz w:val="28"/>
          <w:szCs w:val="28"/>
          <w:shd w:val="clear" w:color="auto" w:fill="FFFFFF"/>
          <w:lang w:val="en"/>
        </w:rPr>
        <w:t>CETN</w:t>
      </w:r>
      <w:r w:rsidRPr="00107040">
        <w:rPr>
          <w:rStyle w:val="jlqj4b"/>
          <w:rFonts w:ascii="Times New Roman" w:hAnsi="Times New Roman"/>
          <w:sz w:val="28"/>
          <w:szCs w:val="28"/>
          <w:shd w:val="clear" w:color="auto" w:fill="FFFFFF"/>
        </w:rPr>
        <w:t>2 (</w:t>
      </w:r>
      <w:r w:rsidRPr="00107040">
        <w:rPr>
          <w:rStyle w:val="jlqj4b"/>
          <w:rFonts w:ascii="Times New Roman" w:hAnsi="Times New Roman"/>
          <w:sz w:val="28"/>
          <w:szCs w:val="28"/>
          <w:shd w:val="clear" w:color="auto" w:fill="FFFFFF"/>
          <w:lang w:val="en"/>
        </w:rPr>
        <w:t>Centrin</w:t>
      </w:r>
      <w:r w:rsidRPr="00107040">
        <w:rPr>
          <w:rStyle w:val="jlqj4b"/>
          <w:rFonts w:ascii="Times New Roman" w:hAnsi="Times New Roman"/>
          <w:sz w:val="28"/>
          <w:szCs w:val="28"/>
          <w:shd w:val="clear" w:color="auto" w:fill="FFFFFF"/>
        </w:rPr>
        <w:t xml:space="preserve"> 2) является сенсором повреждения ДНК в </w:t>
      </w:r>
      <w:r w:rsidRPr="00107040">
        <w:rPr>
          <w:rStyle w:val="jlqj4b"/>
          <w:rFonts w:ascii="Times New Roman" w:hAnsi="Times New Roman"/>
          <w:sz w:val="28"/>
          <w:szCs w:val="28"/>
          <w:shd w:val="clear" w:color="auto" w:fill="FFFFFF"/>
          <w:lang w:val="en"/>
        </w:rPr>
        <w:t>GG</w:t>
      </w:r>
      <w:r w:rsidRPr="00107040">
        <w:rPr>
          <w:rStyle w:val="jlqj4b"/>
          <w:rFonts w:ascii="Times New Roman" w:hAnsi="Times New Roman"/>
          <w:sz w:val="28"/>
          <w:szCs w:val="28"/>
          <w:shd w:val="clear" w:color="auto" w:fill="FFFFFF"/>
        </w:rPr>
        <w:t>-</w:t>
      </w:r>
      <w:r w:rsidRPr="00107040">
        <w:rPr>
          <w:rStyle w:val="jlqj4b"/>
          <w:rFonts w:ascii="Times New Roman" w:hAnsi="Times New Roman"/>
          <w:sz w:val="28"/>
          <w:szCs w:val="28"/>
          <w:shd w:val="clear" w:color="auto" w:fill="FFFFFF"/>
          <w:lang w:val="en"/>
        </w:rPr>
        <w:t>NER</w:t>
      </w:r>
      <w:r w:rsidRPr="00107040">
        <w:rPr>
          <w:rStyle w:val="jlqj4b"/>
          <w:rFonts w:ascii="Times New Roman" w:hAnsi="Times New Roman"/>
          <w:sz w:val="28"/>
          <w:szCs w:val="28"/>
          <w:shd w:val="clear" w:color="auto" w:fill="FFFFFF"/>
        </w:rPr>
        <w:t xml:space="preserve">. После этого комплекс сканирует поврежденную одноцепочечную ДНК (оцДНК) с нарушенным спариванием оснований из-за повреждения </w:t>
      </w:r>
      <w:r w:rsidRPr="00107040">
        <w:rPr>
          <w:rStyle w:val="jlqj4b"/>
          <w:rFonts w:ascii="Times New Roman" w:hAnsi="Times New Roman"/>
          <w:sz w:val="28"/>
          <w:szCs w:val="28"/>
          <w:shd w:val="clear" w:color="auto" w:fill="FFFFFF"/>
          <w:lang w:val="en-US"/>
        </w:rPr>
        <w:fldChar w:fldCharType="begin"/>
      </w:r>
      <w:r w:rsidR="008611DC">
        <w:rPr>
          <w:rStyle w:val="jlqj4b"/>
          <w:rFonts w:ascii="Times New Roman" w:hAnsi="Times New Roman"/>
          <w:sz w:val="28"/>
          <w:szCs w:val="28"/>
          <w:shd w:val="clear" w:color="auto" w:fill="FFFFFF"/>
        </w:rPr>
        <w:instrText xml:space="preserve"> ADDIN ZOTERO_ITEM CSL_CITATION {"citationID":"6xQJyKWA","properties":{"formattedCitation":"[94,95]","plainCitation":"[94,95]","noteIndex":0},"citationItems":[{"id":57,"uris":["http://zotero.org/users/9078202/items/BKEW29LH"],"itemData":{"id":57,"type":"article-journal","abstract":"Complementation group C of xeroderma pigmentosum (XP) represents one of the most common forms of this cancer-prone DNA repair syndrome. The primary defect is located in the subpathway of the nucleotide excision repair system, dealing with the removal of lesions from the non-transcribing sequences ('genome-overall' repair). Here we report the purification to homogeneity and subsequent cDNA cloning of a repair complex by in vitro complementation of the XP-C defect in a cell-free repair system containing UV-damaged SV40 minichromosomes. The complex has a high affinity for ssDNA and consists of two tightly associated proteins of 125 and 58 kDa. The 125 kDa subunit is an N-terminally extended version of previously reported XPCC gene product which is thought to represent the human homologue of the Saccharomyces cerevisiae repair gene RAD4. The 58 kDa species turned out to be a human homologue of yeast RAD23. Unexpectedly, a second human counterpart of RAD23 was identified. All RAD23 derivatives share a ubiquitin-like N-terminus. The nature of the XP-C defect implies that the complex exerts a unique function in the genome-overall repair pathway which is important for prevention of skin cancer.","container-title":"The EMBO journal","ISSN":"0261-4189","issue":"8","journalAbbreviation":"EMBO J","language":"eng","note":"PMID: 8168482\nPMCID: PMC395023","page":"1831-1843","source":"PubMed","title":"Purification and cloning of a nucleotide excision repair complex involving the xeroderma pigmentosum group C protein and a human homologue of yeast RAD23","volume":"13","author":[{"family":"Masutani","given":"C."},{"family":"Sugasawa","given":"K."},{"family":"Yanagisawa","given":"J."},{"family":"Sonoyama","given":"T."},{"family":"Ui","given":"M."},{"family":"Enomoto","given":"T."},{"family":"Takio","given":"K."},{"family":"Tanaka","given":"K."},{"family":"Spek","given":"P. J.","non-dropping-particle":"van der"},{"family":"Bootsma","given":"D."}],"issued":{"date-parts":[["1994",4,15]]}}},{"id":56,"uris":["http://zotero.org/users/9078202/items/J5I3PXBY"],"itemData":{"id":56,"type":"article-journal","abstract":"Xeroderma pigmentosum group C (XPC) protein plays a key role in DNA damage recognition in global genome nucleotide excision repair (NER). The protein forms in vivo a heterotrimeric complex involving one of the two human homologs of Saccharomyces cerevisiae Rad23p and centrin 2, a centrosomal protein. Because centrin 2 is dispensable for the cell-free NER reaction, its role in NER has been unclear. Binding experiments with a series of truncated XPC proteins allowed the centrin 2 binding domain to be mapped to a presumed alpha-helical region near the C terminus, and three amino acid substitutions in this domain abrogated interaction with centrin 2. Human cell lines stably expressing the mutant XPC protein exhibited a significant reduction in global genome NER activity. Furthermore, centrin 2 enhanced the cell-free NER dual incision and damaged DNA binding activities of XPC, which likely require physical interaction between XPC and centrin 2. These results reveal a novel vital function for centrin 2 in NER, the potentiation of damage recognition by XPC.","container-title":"Molecular and Cellular Biology","DOI":"10.1128/MCB.25.13.5664-5674.2005","ISSN":"0270-7306","issue":"13","journalAbbreviation":"Mol Cell Biol","language":"eng","note":"PMID: 15964821\nPMCID: PMC1156980","page":"5664-5674","source":"PubMed","title":"Centrin 2 stimulates nucleotide excision repair by interacting with xeroderma pigmentosum group C protein","volume":"25","author":[{"family":"Nishi","given":"Ryotaro"},{"family":"Okuda","given":"Yuki"},{"family":"Watanabe","given":"Eriko"},{"family":"Mori","given":"Toshio"},{"family":"Iwai","given":"Shigenori"},{"family":"Masutani","given":"Chikahide"},{"family":"Sugasawa","given":"Kaoru"},{"family":"Hanaoka","given":"Fumio"}],"issued":{"date-parts":[["2005",7]]}}}],"schema":"https://github.com/citation-style-language/schema/raw/master/csl-citation.json"} </w:instrText>
      </w:r>
      <w:r w:rsidRPr="00107040">
        <w:rPr>
          <w:rStyle w:val="jlqj4b"/>
          <w:rFonts w:ascii="Times New Roman" w:hAnsi="Times New Roman"/>
          <w:sz w:val="28"/>
          <w:szCs w:val="28"/>
          <w:shd w:val="clear" w:color="auto" w:fill="FFFFFF"/>
          <w:lang w:val="en-US"/>
        </w:rPr>
        <w:fldChar w:fldCharType="separate"/>
      </w:r>
      <w:r w:rsidR="008611DC" w:rsidRPr="008611DC">
        <w:rPr>
          <w:rFonts w:ascii="Times New Roman" w:hAnsi="Times New Roman"/>
          <w:sz w:val="28"/>
        </w:rPr>
        <w:t>[94,95]</w:t>
      </w:r>
      <w:r w:rsidRPr="00107040">
        <w:rPr>
          <w:rStyle w:val="jlqj4b"/>
          <w:rFonts w:ascii="Times New Roman" w:hAnsi="Times New Roman"/>
          <w:sz w:val="28"/>
          <w:szCs w:val="28"/>
          <w:shd w:val="clear" w:color="auto" w:fill="FFFFFF"/>
          <w:lang w:val="en-US"/>
        </w:rPr>
        <w:fldChar w:fldCharType="end"/>
      </w:r>
      <w:r w:rsidRPr="00107040">
        <w:rPr>
          <w:rStyle w:val="jlqj4b"/>
          <w:rFonts w:ascii="Times New Roman" w:hAnsi="Times New Roman"/>
          <w:sz w:val="28"/>
          <w:szCs w:val="28"/>
          <w:shd w:val="clear" w:color="auto" w:fill="FFFFFF"/>
        </w:rPr>
        <w:t xml:space="preserve">. Для репарации УФ-индуцированного </w:t>
      </w:r>
      <w:r w:rsidRPr="00107040">
        <w:rPr>
          <w:rStyle w:val="jlqj4b"/>
          <w:rFonts w:ascii="Times New Roman" w:hAnsi="Times New Roman"/>
          <w:sz w:val="28"/>
          <w:szCs w:val="28"/>
          <w:shd w:val="clear" w:color="auto" w:fill="FFFFFF"/>
          <w:lang w:val="en-US"/>
        </w:rPr>
        <w:t>CPD</w:t>
      </w:r>
      <w:r w:rsidRPr="00107040">
        <w:rPr>
          <w:rStyle w:val="jlqj4b"/>
          <w:rFonts w:ascii="Times New Roman" w:hAnsi="Times New Roman"/>
          <w:sz w:val="28"/>
          <w:szCs w:val="28"/>
          <w:shd w:val="clear" w:color="auto" w:fill="FFFFFF"/>
        </w:rPr>
        <w:t xml:space="preserve"> белковый комплекс </w:t>
      </w:r>
      <w:r w:rsidRPr="00107040">
        <w:rPr>
          <w:rStyle w:val="jlqj4b"/>
          <w:rFonts w:ascii="Times New Roman" w:hAnsi="Times New Roman"/>
          <w:sz w:val="28"/>
          <w:szCs w:val="28"/>
          <w:shd w:val="clear" w:color="auto" w:fill="FFFFFF"/>
          <w:lang w:val="en-US"/>
        </w:rPr>
        <w:t>UV</w:t>
      </w:r>
      <w:r w:rsidRPr="00107040">
        <w:rPr>
          <w:rStyle w:val="jlqj4b"/>
          <w:rFonts w:ascii="Times New Roman" w:hAnsi="Times New Roman"/>
          <w:sz w:val="28"/>
          <w:szCs w:val="28"/>
          <w:shd w:val="clear" w:color="auto" w:fill="FFFFFF"/>
        </w:rPr>
        <w:t>-</w:t>
      </w:r>
      <w:r w:rsidRPr="00107040">
        <w:rPr>
          <w:rStyle w:val="jlqj4b"/>
          <w:rFonts w:ascii="Times New Roman" w:hAnsi="Times New Roman"/>
          <w:sz w:val="28"/>
          <w:szCs w:val="28"/>
          <w:shd w:val="clear" w:color="auto" w:fill="FFFFFF"/>
          <w:lang w:val="en-US"/>
        </w:rPr>
        <w:t>DDB</w:t>
      </w:r>
      <w:r w:rsidRPr="00107040">
        <w:rPr>
          <w:rStyle w:val="jlqj4b"/>
          <w:rFonts w:ascii="Times New Roman" w:hAnsi="Times New Roman"/>
          <w:sz w:val="28"/>
          <w:szCs w:val="28"/>
          <w:shd w:val="clear" w:color="auto" w:fill="FFFFFF"/>
        </w:rPr>
        <w:t xml:space="preserve">, состоящий из </w:t>
      </w:r>
      <w:r w:rsidRPr="00107040">
        <w:rPr>
          <w:rStyle w:val="jlqj4b"/>
          <w:rFonts w:ascii="Times New Roman" w:hAnsi="Times New Roman"/>
          <w:sz w:val="28"/>
          <w:szCs w:val="28"/>
          <w:shd w:val="clear" w:color="auto" w:fill="FFFFFF"/>
          <w:lang w:val="en-US"/>
        </w:rPr>
        <w:t>DDB</w:t>
      </w:r>
      <w:r w:rsidRPr="00107040">
        <w:rPr>
          <w:rStyle w:val="jlqj4b"/>
          <w:rFonts w:ascii="Times New Roman" w:hAnsi="Times New Roman"/>
          <w:sz w:val="28"/>
          <w:szCs w:val="28"/>
          <w:shd w:val="clear" w:color="auto" w:fill="FFFFFF"/>
        </w:rPr>
        <w:t>1 (</w:t>
      </w:r>
      <w:r w:rsidRPr="00107040">
        <w:rPr>
          <w:rStyle w:val="jlqj4b"/>
          <w:rFonts w:ascii="Times New Roman" w:hAnsi="Times New Roman"/>
          <w:sz w:val="28"/>
          <w:szCs w:val="28"/>
          <w:shd w:val="clear" w:color="auto" w:fill="FFFFFF"/>
          <w:lang w:val="en-US"/>
        </w:rPr>
        <w:t>XPE</w:t>
      </w:r>
      <w:r w:rsidRPr="00107040">
        <w:rPr>
          <w:rStyle w:val="jlqj4b"/>
          <w:rFonts w:ascii="Times New Roman" w:hAnsi="Times New Roman"/>
          <w:sz w:val="28"/>
          <w:szCs w:val="28"/>
          <w:shd w:val="clear" w:color="auto" w:fill="FFFFFF"/>
        </w:rPr>
        <w:t xml:space="preserve">-связывающий фактор) и </w:t>
      </w:r>
      <w:r w:rsidRPr="00107040">
        <w:rPr>
          <w:rStyle w:val="jlqj4b"/>
          <w:rFonts w:ascii="Times New Roman" w:hAnsi="Times New Roman"/>
          <w:sz w:val="28"/>
          <w:szCs w:val="28"/>
          <w:shd w:val="clear" w:color="auto" w:fill="FFFFFF"/>
          <w:lang w:val="en-US"/>
        </w:rPr>
        <w:t>GG</w:t>
      </w:r>
      <w:r w:rsidRPr="00107040">
        <w:rPr>
          <w:rStyle w:val="jlqj4b"/>
          <w:rFonts w:ascii="Times New Roman" w:hAnsi="Times New Roman"/>
          <w:sz w:val="28"/>
          <w:szCs w:val="28"/>
          <w:shd w:val="clear" w:color="auto" w:fill="FFFFFF"/>
        </w:rPr>
        <w:t>-</w:t>
      </w:r>
      <w:r w:rsidRPr="00107040">
        <w:rPr>
          <w:rStyle w:val="jlqj4b"/>
          <w:rFonts w:ascii="Times New Roman" w:hAnsi="Times New Roman"/>
          <w:sz w:val="28"/>
          <w:szCs w:val="28"/>
          <w:shd w:val="clear" w:color="auto" w:fill="FFFFFF"/>
          <w:lang w:val="en-US"/>
        </w:rPr>
        <w:t>NER</w:t>
      </w:r>
      <w:r w:rsidRPr="00107040">
        <w:rPr>
          <w:rStyle w:val="jlqj4b"/>
          <w:rFonts w:ascii="Times New Roman" w:hAnsi="Times New Roman"/>
          <w:sz w:val="28"/>
          <w:szCs w:val="28"/>
          <w:shd w:val="clear" w:color="auto" w:fill="FFFFFF"/>
        </w:rPr>
        <w:t xml:space="preserve">-специфического белка </w:t>
      </w:r>
      <w:r w:rsidRPr="00107040">
        <w:rPr>
          <w:rStyle w:val="jlqj4b"/>
          <w:rFonts w:ascii="Times New Roman" w:hAnsi="Times New Roman"/>
          <w:sz w:val="28"/>
          <w:szCs w:val="28"/>
          <w:shd w:val="clear" w:color="auto" w:fill="FFFFFF"/>
          <w:lang w:val="en-US"/>
        </w:rPr>
        <w:t>DDB</w:t>
      </w:r>
      <w:r w:rsidRPr="00107040">
        <w:rPr>
          <w:rStyle w:val="jlqj4b"/>
          <w:rFonts w:ascii="Times New Roman" w:hAnsi="Times New Roman"/>
          <w:sz w:val="28"/>
          <w:szCs w:val="28"/>
          <w:shd w:val="clear" w:color="auto" w:fill="FFFFFF"/>
        </w:rPr>
        <w:t xml:space="preserve">2, связывается с поврежденной ДНК, и только </w:t>
      </w:r>
      <w:r w:rsidRPr="00107040">
        <w:rPr>
          <w:rStyle w:val="jlqj4b"/>
          <w:rFonts w:ascii="Times New Roman" w:hAnsi="Times New Roman"/>
          <w:sz w:val="28"/>
          <w:szCs w:val="28"/>
          <w:shd w:val="clear" w:color="auto" w:fill="FFFFFF"/>
          <w:lang w:val="kk-KZ"/>
        </w:rPr>
        <w:t xml:space="preserve">после этого присоединяется к </w:t>
      </w:r>
      <w:r w:rsidRPr="00107040">
        <w:rPr>
          <w:rStyle w:val="jlqj4b"/>
          <w:rFonts w:ascii="Times New Roman" w:hAnsi="Times New Roman"/>
          <w:sz w:val="28"/>
          <w:szCs w:val="28"/>
          <w:shd w:val="clear" w:color="auto" w:fill="FFFFFF"/>
          <w:lang w:val="en-US"/>
        </w:rPr>
        <w:t>XPC</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shd w:val="clear" w:color="auto" w:fill="FFFFFF"/>
          <w:lang w:val="en"/>
        </w:rPr>
        <w:fldChar w:fldCharType="begin"/>
      </w:r>
      <w:r w:rsidR="008611DC">
        <w:rPr>
          <w:rStyle w:val="jlqj4b"/>
          <w:rFonts w:ascii="Times New Roman" w:hAnsi="Times New Roman"/>
          <w:sz w:val="28"/>
          <w:szCs w:val="28"/>
          <w:shd w:val="clear" w:color="auto" w:fill="FFFFFF"/>
        </w:rPr>
        <w:instrText xml:space="preserve"> ADDIN ZOTERO_ITEM CSL_CITATION {"citationID":"F5eftv34","properties":{"formattedCitation":"[96,97]","plainCitation":"[96,97]","noteIndex":0},"citationItems":[{"id":55,"uris":["http://zotero.org/users/9078202/items/6LTRQ3BM"],"itemData":{"id":55,"type":"article-journal","abstract":"Damaged DNA-binding protein, DDB, is a heterodimer of p127 and p48 with a high specificity for binding to several types of DNA damage. Mutations in the p48 gene that cause the loss of DDB activity were found in a subset of xeroderma pigmentosum complementation group E (XP-E) patients and have linked to the deficiency in global genomic repair of cyclobutane pyrimidine dimers (CPDs) in these cells. Here we show that with a highly defined system of purified repair factors, DDB can greatly stimulate the excision reaction reconstituted with XPA, RPA, XPC.HR23B, TFIIH, XPF.ERCC1 and XPG, up to 17-fold for CPDs and approximately 2-fold for (6-4) photoproducts (6-4PPs), indicating that no additional factor is required for the stimulation by DDB. Transfection of the p48 cDNA into an SV40-transformed human cell line, WI38VA13, was found to enhance DDB activity and the in vivo removal of CPDs and 6-4PPs. Furthermore, the combined technique of recently developed micropore UV irradiation and immunostaining revealed that p48 (probably in the form of DDB heterodimer) accumulates at locally damaged DNA sites immediately after UV irradiation, and this accumulation is also observed in XP-A and XP-C cells expressing exogenous p48. These results suggest that DDB can rapidly translocate to the damaged DNA sites independent of functional XPA and XPC proteins and directly enhance the excision reaction by core repair factors.","container-title":"The Journal of Biological Chemistry","DOI":"10.1074/jbc.C100610200","ISSN":"0021-9258","issue":"3","journalAbbreviation":"J Biol Chem","language":"eng","note":"PMID: 11705987","page":"1637-1640","source":"PubMed","title":"DDB accumulates at DNA damage sites immediately after UV irradiation and directly stimulates nucleotide excision repair","volume":"277","author":[{"family":"Wakasugi","given":"Mitsuo"},{"family":"Kawashima","given":"Aki"},{"family":"Morioka","given":"Hiroshi"},{"family":"Linn","given":"Stuart"},{"family":"Sancar","given":"Aziz"},{"family":"Mori","given":"Toshio"},{"family":"Nikaido","given":"Osamu"},{"family":"Matsunaga","given":"Tsukasa"}],"issued":{"date-parts":[["2002",1,18]]}}},{"id":54,"uris":["http://zotero.org/users/9078202/items/KEQAHJUK"],"itemData":{"id":54,"type":"article-journal","abstract":"Ultraviolet (UV) light-induced pyrimidine photodimers are repaired by the nucleotide excision repair pathway. Photolesions have biophysical parameters closely resembling undamaged DNA, impeding discovery through damage surveillance proteins. The DDB1-DDB2 complex serves in the initial detection of UV lesions in vivo. Here we present the structures of the DDB1-DDB2 complex alone and bound to DNA containing either a 6-4 pyrimidine-pyrimidone photodimer (6-4PP) lesion or an abasic site. The structure shows that the lesion is held exclusively by the WD40 domain of DDB2. A DDB2 hairpin inserts into the minor groove, extrudes the photodimer into a binding pocket, and kinks the duplex by approximately 40 degrees. The tightly localized probing of the photolesions, combined with proofreading in the photodimer pocket, enables DDB2 to detect lesions refractory to detection by other damage surveillance proteins. The structure provides insights into damage recognition in chromatin and suggests a mechanism by which the DDB1-associated CUL4 ubiquitin ligase targets proteins surrounding the site of damage.","container-title":"Cell","DOI":"10.1016/j.cell.2008.10.045","ISSN":"1097-4172","issue":"7","journalAbbreviation":"Cell","language":"eng","note":"PMID: 19109893\nPMCID: PMC2676164","page":"1213-1223","source":"PubMed","title":"Structural basis of UV DNA-damage recognition by the DDB1-DDB2 complex","volume":"135","author":[{"family":"Scrima","given":"Andrea"},{"family":"Konícková","given":"Renata"},{"family":"Czyzewski","given":"Bryan K."},{"family":"Kawasaki","given":"Yusuke"},{"family":"Jeffrey","given":"Philip D."},{"family":"Groisman","given":"Regina"},{"family":"Nakatani","given":"Yoshihiro"},{"family":"Iwai","given":"Shigenori"},{"family":"Pavletich","given":"Nikola P."},{"family":"Thomä","given":"Nicolas H."}],"issued":{"date-parts":[["2008",12,26]]}}}],"schema":"https://github.com/citation-style-language/schema/raw/master/csl-citation.json"} </w:instrText>
      </w:r>
      <w:r w:rsidRPr="00107040">
        <w:rPr>
          <w:rStyle w:val="jlqj4b"/>
          <w:rFonts w:ascii="Times New Roman" w:hAnsi="Times New Roman"/>
          <w:sz w:val="28"/>
          <w:szCs w:val="28"/>
          <w:shd w:val="clear" w:color="auto" w:fill="FFFFFF"/>
          <w:lang w:val="en"/>
        </w:rPr>
        <w:fldChar w:fldCharType="separate"/>
      </w:r>
      <w:r w:rsidR="008611DC" w:rsidRPr="008611DC">
        <w:rPr>
          <w:rFonts w:ascii="Times New Roman" w:hAnsi="Times New Roman"/>
          <w:sz w:val="28"/>
        </w:rPr>
        <w:t>[96,97]</w:t>
      </w:r>
      <w:r w:rsidRPr="00107040">
        <w:rPr>
          <w:rStyle w:val="jlqj4b"/>
          <w:rFonts w:ascii="Times New Roman" w:hAnsi="Times New Roman"/>
          <w:sz w:val="28"/>
          <w:szCs w:val="28"/>
          <w:shd w:val="clear" w:color="auto" w:fill="FFFFFF"/>
          <w:lang w:val="en"/>
        </w:rPr>
        <w:fldChar w:fldCharType="end"/>
      </w:r>
      <w:r w:rsidRPr="00107040">
        <w:rPr>
          <w:rStyle w:val="jlqj4b"/>
          <w:rFonts w:ascii="Times New Roman" w:hAnsi="Times New Roman"/>
          <w:sz w:val="28"/>
          <w:szCs w:val="28"/>
          <w:shd w:val="clear" w:color="auto" w:fill="FFFFFF"/>
        </w:rPr>
        <w:t>.</w:t>
      </w:r>
      <w:r w:rsidRPr="00107040">
        <w:rPr>
          <w:rFonts w:ascii="Times New Roman" w:hAnsi="Times New Roman"/>
          <w:sz w:val="28"/>
          <w:szCs w:val="28"/>
        </w:rPr>
        <w:t xml:space="preserve"> </w:t>
      </w:r>
      <w:r w:rsidRPr="00107040">
        <w:rPr>
          <w:rStyle w:val="jlqj4b"/>
          <w:rFonts w:ascii="Times New Roman" w:hAnsi="Times New Roman"/>
          <w:sz w:val="28"/>
          <w:szCs w:val="28"/>
          <w:shd w:val="clear" w:color="auto" w:fill="FFFFFF"/>
        </w:rPr>
        <w:t xml:space="preserve">Фактор инициации </w:t>
      </w:r>
      <w:r w:rsidRPr="00107040">
        <w:rPr>
          <w:rStyle w:val="jlqj4b"/>
          <w:rFonts w:ascii="Times New Roman" w:hAnsi="Times New Roman"/>
          <w:sz w:val="28"/>
          <w:szCs w:val="28"/>
          <w:shd w:val="clear" w:color="auto" w:fill="FFFFFF"/>
        </w:rPr>
        <w:lastRenderedPageBreak/>
        <w:t xml:space="preserve">транскрипции </w:t>
      </w:r>
      <w:r w:rsidRPr="00107040">
        <w:rPr>
          <w:rStyle w:val="jlqj4b"/>
          <w:rFonts w:ascii="Times New Roman" w:hAnsi="Times New Roman"/>
          <w:sz w:val="28"/>
          <w:szCs w:val="28"/>
          <w:shd w:val="clear" w:color="auto" w:fill="FFFFFF"/>
          <w:lang w:val="en"/>
        </w:rPr>
        <w:t>II</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shd w:val="clear" w:color="auto" w:fill="FFFFFF"/>
          <w:lang w:val="en"/>
        </w:rPr>
        <w:t>H</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shd w:val="clear" w:color="auto" w:fill="FFFFFF"/>
          <w:lang w:val="en"/>
        </w:rPr>
        <w:t>TFIIH</w:t>
      </w:r>
      <w:r w:rsidRPr="00107040">
        <w:rPr>
          <w:rStyle w:val="jlqj4b"/>
          <w:rFonts w:ascii="Times New Roman" w:hAnsi="Times New Roman"/>
          <w:sz w:val="28"/>
          <w:szCs w:val="28"/>
          <w:shd w:val="clear" w:color="auto" w:fill="FFFFFF"/>
        </w:rPr>
        <w:t xml:space="preserve">) и репарационные комплексы затем связываются с </w:t>
      </w:r>
      <w:r w:rsidRPr="00107040">
        <w:rPr>
          <w:rStyle w:val="jlqj4b"/>
          <w:rFonts w:ascii="Times New Roman" w:hAnsi="Times New Roman"/>
          <w:sz w:val="28"/>
          <w:szCs w:val="28"/>
          <w:shd w:val="clear" w:color="auto" w:fill="FFFFFF"/>
          <w:lang w:val="en"/>
        </w:rPr>
        <w:t>XPC</w:t>
      </w:r>
      <w:r w:rsidRPr="00107040">
        <w:rPr>
          <w:rStyle w:val="jlqj4b"/>
          <w:rFonts w:ascii="Times New Roman" w:hAnsi="Times New Roman"/>
          <w:sz w:val="28"/>
          <w:szCs w:val="28"/>
          <w:shd w:val="clear" w:color="auto" w:fill="FFFFFF"/>
        </w:rPr>
        <w:t xml:space="preserve">, который может переключать функции как при инициации транскрипции, так и при </w:t>
      </w:r>
      <w:r w:rsidRPr="00107040">
        <w:rPr>
          <w:rStyle w:val="jlqj4b"/>
          <w:rFonts w:ascii="Times New Roman" w:hAnsi="Times New Roman"/>
          <w:sz w:val="28"/>
          <w:szCs w:val="28"/>
          <w:shd w:val="clear" w:color="auto" w:fill="FFFFFF"/>
          <w:lang w:val="en"/>
        </w:rPr>
        <w:t>NER</w:t>
      </w:r>
      <w:r w:rsidRPr="00107040">
        <w:rPr>
          <w:rStyle w:val="jlqj4b"/>
          <w:rFonts w:ascii="Times New Roman" w:hAnsi="Times New Roman"/>
          <w:sz w:val="28"/>
          <w:szCs w:val="28"/>
          <w:shd w:val="clear" w:color="auto" w:fill="FFFFFF"/>
        </w:rPr>
        <w:t xml:space="preserve"> </w:t>
      </w:r>
      <w:r w:rsidRPr="00107040">
        <w:rPr>
          <w:rFonts w:ascii="Times New Roman" w:hAnsi="Times New Roman"/>
          <w:sz w:val="28"/>
          <w:szCs w:val="28"/>
          <w:shd w:val="clear" w:color="auto" w:fill="FFFFFF"/>
          <w:lang w:val="en-US"/>
        </w:rPr>
        <w:fldChar w:fldCharType="begin"/>
      </w:r>
      <w:r w:rsidR="008611DC">
        <w:rPr>
          <w:rFonts w:ascii="Times New Roman" w:hAnsi="Times New Roman"/>
          <w:sz w:val="28"/>
          <w:szCs w:val="28"/>
          <w:shd w:val="clear" w:color="auto" w:fill="FFFFFF"/>
        </w:rPr>
        <w:instrText xml:space="preserve"> ADDIN ZOTERO_ITEM CSL_CITATION {"citationID":"WINUbzC5","properties":{"formattedCitation":"[98\\uc0\\u8211{}100]","plainCitation":"[98–100]","noteIndex":0},"citationItems":[{"id":53,"uris":["http://zotero.org/users/9078202/items/333QT43X"],"itemData":{"id":53,"type":"article-journal","abstract":"The xeroderma pigmentosum group C protein complex XPC-HR23B was first isolated as a factor that complemented nucleotide excision repair defects of XP-C cell extracts in vitro. Recent studies have revealed that this protein complex plays an important role in the early steps of global genome nucleotide excision repair, especially in damage recognition, open complex formation, and repair protein complex formation. However, the precise function of XPC-HR23B in global genome repair is still unclear. Here we demonstrate that XPC-HR23B interacts with general transcription factor IIH (TFIIH) both in vivo and in vitro. This interaction is thought to be mediated through the specific affinity of XPC for the TFIIH subunits XPB and/or p62, which are essential for both basal transcription and nucleotide excision repair. Interestingly, association of TFIIH with DNA was observed in both wild-type and XP-A cell extracts but not in XP-C cell extracts, and XPC-HR23B could restore the association of TFIIH with DNA in XP-C cell extracts. Moreover, we found that XPC-HR23B was necessary for efficient association of TFIIH with damaged DNA in cell-free extracts. We conclude that the XPC-HR23B protein complex plays a crucial role in the recruitment of TFIIH to damaged DNA in global genome repair.","container-title":"The Journal of Biological Chemistry","DOI":"10.1074/jbc.275.13.9870","ISSN":"0021-9258","issue":"13","journalAbbreviation":"J Biol Chem","language":"eng","note":"PMID: 10734143","page":"9870-9875","source":"PubMed","title":"The xeroderma pigmentosum group C protein complex XPC-HR23B plays an important role in the recruitment of transcription factor IIH to damaged DNA","volume":"275","author":[{"family":"Yokoi","given":"M."},{"family":"Masutani","given":"C."},{"family":"Maekawa","given":"T."},{"family":"Sugasawa","given":"K."},{"family":"Ohkuma","given":"Y."},{"family":"Hanaoka","given":"F."}],"issued":{"date-parts":[["2000",3,31]]}}},{"id":52,"uris":["http://zotero.org/users/9078202/items/HN3EQHTN"],"itemData":{"id":52,"type":"article-journal","abstract":"Here, we describe the assembly of the nucleotide excision repair (NER) complex in normal and repair-deficient (xeroderma pigmentosum) human cells, employing a novel technique of local UV irradiation combined with fluorescent antibody labeling. The damage recognition complex XPC-hHR23B appears to be essential for the recruitment of all subsequent NER factors in the preincision complex, including transcription repair factor TFIIH. XPA associates relatively late, is required for anchoring of ERCC1-XPF, and may be essential for activation of the endonuclease activity of XPG. These findings identify XPC as the earliest known NER factor in the reaction mechanism, give insight into the order of subsequent NER components, provide evidence for a dual role of XPA, and support a concept of sequential assembly of repair proteins at the site of the damage rather than a preassembled repairosome.","container-title":"Molecular Cell","DOI":"10.1016/s1097-2765(01)00281-7","ISSN":"1097-2765","issue":"1","journalAbbreviation":"Mol Cell","language":"eng","note":"PMID: 11511374","page":"213-224","source":"PubMed","title":"Sequential assembly of the nucleotide excision repair factors in vivo","volume":"8","author":[{"family":"Volker","given":"M."},{"family":"Moné","given":"M. J."},{"family":"Karmakar","given":"P."},{"family":"Hoffen","given":"A.","non-dropping-particle":"van"},{"family":"Schul","given":"W."},{"family":"Vermeulen","given":"W."},{"family":"Hoeijmakers","given":"J. H."},{"family":"Driel","given":"R.","non-dropping-particle":"van"},{"family":"Zeeland","given":"A. A.","non-dropping-particle":"van"},{"family":"Mullenders","given":"L. H."}],"issued":{"date-parts":[["2001",7]]}}},{"id":51,"uris":["http://zotero.org/users/9078202/items/AHS8NNTB"],"itemData":{"id":51,"type":"article-journal","abstract":"The transcription initiation factor TFIIH is a remarkable protein complex that has a fundamental role in the transcription of protein-coding genes as well as during the DNA nucleotide excision repair pathway. The detailed understanding of how TFIIH functions to coordinate these two processes is also providing an explanation for the phenotypes observed in patients who bear mutations in some of the TFIIH subunits. In this way, studies of TFIIH have revealed tight molecular connections between transcription and DNA repair and have helped to define the concept of 'transcription diseases'.","container-title":"Nature Reviews. Molecular Cell Biology","DOI":"10.1038/nrm3350","ISSN":"1471-0080","issue":"6","journalAbbreviation":"Nat Rev Mol Cell Biol","language":"eng","note":"PMID: 22572993","page":"343-354","source":"PubMed","title":"TFIIH: when transcription met DNA repair","title-short":"TFIIH","volume":"13","author":[{"family":"Compe","given":"Emmanuel"},{"family":"Egly","given":"Jean-Marc"}],"issued":{"date-parts":[["2012",5,10]]}}}],"schema":"https://github.com/citation-style-language/schema/raw/master/csl-citation.json"} </w:instrText>
      </w:r>
      <w:r w:rsidRPr="00107040">
        <w:rPr>
          <w:rFonts w:ascii="Times New Roman" w:hAnsi="Times New Roman"/>
          <w:sz w:val="28"/>
          <w:szCs w:val="28"/>
          <w:shd w:val="clear" w:color="auto" w:fill="FFFFFF"/>
          <w:lang w:val="en-US"/>
        </w:rPr>
        <w:fldChar w:fldCharType="separate"/>
      </w:r>
      <w:r w:rsidR="008611DC" w:rsidRPr="008611DC">
        <w:rPr>
          <w:rFonts w:ascii="Times New Roman" w:hAnsi="Times New Roman"/>
          <w:sz w:val="28"/>
          <w:szCs w:val="24"/>
        </w:rPr>
        <w:t>[98–100]</w:t>
      </w:r>
      <w:r w:rsidRPr="00107040">
        <w:rPr>
          <w:rFonts w:ascii="Times New Roman" w:hAnsi="Times New Roman"/>
          <w:sz w:val="28"/>
          <w:szCs w:val="28"/>
          <w:shd w:val="clear" w:color="auto" w:fill="FFFFFF"/>
          <w:lang w:val="en-US"/>
        </w:rPr>
        <w:fldChar w:fldCharType="end"/>
      </w:r>
      <w:r w:rsidRPr="00107040">
        <w:rPr>
          <w:rStyle w:val="jlqj4b"/>
          <w:rFonts w:ascii="Times New Roman" w:hAnsi="Times New Roman"/>
          <w:sz w:val="28"/>
          <w:szCs w:val="28"/>
          <w:shd w:val="clear" w:color="auto" w:fill="FFFFFF"/>
        </w:rPr>
        <w:t xml:space="preserve">. Последний этап двойного удаления и заполнения пробелов координируется для предотвращения образования пробелов в одноцепочечной ДНК </w:t>
      </w:r>
      <w:r w:rsidRPr="00107040">
        <w:rPr>
          <w:rFonts w:ascii="Times New Roman" w:hAnsi="Times New Roman"/>
          <w:sz w:val="28"/>
          <w:szCs w:val="28"/>
          <w:shd w:val="clear" w:color="auto" w:fill="F5F5F5"/>
          <w:lang w:val="en-US"/>
        </w:rPr>
        <w:fldChar w:fldCharType="begin"/>
      </w:r>
      <w:r w:rsidR="008611DC">
        <w:rPr>
          <w:rFonts w:ascii="Times New Roman" w:hAnsi="Times New Roman"/>
          <w:sz w:val="28"/>
          <w:szCs w:val="28"/>
          <w:shd w:val="clear" w:color="auto" w:fill="F5F5F5"/>
        </w:rPr>
        <w:instrText xml:space="preserve"> ADDIN ZOTERO_ITEM CSL_CITATION {"citationID":"m3vcnQHQ","properties":{"formattedCitation":"[101\\uc0\\u8211{}103]","plainCitation":"[101–103]","noteIndex":0},"citationItems":[{"id":50,"uris":["http://zotero.org/users/9078202/items/7JISEMPT"],"itemData":{"id":50,"type":"article-journal","abstract":"Eukaryotic cells respond to a variety of DNA insults by triggering a common signal transduction cascade, known as checkpoint response, which temporarily halts cell-cycle progression. Although the main players involved in the cascade have been identified, there is still uncertainty about the nature of the structures that activate these surveillance mechanisms. To understand the role of nucleotide excision repair (NER) in checkpoint activation, we analyzed the UV-induced phosphorylation of the key checkpoint proteins Chk1 and p53, in primary fibroblasts from patients with xeroderma pigmentosum (XP), Cockayne syndrome (CS), trichothiodystrophy (TTD), or UV light-sensitive syndrome. These disorders are due to defects in transcription-coupled NER (TC-NER) and/or global genome NER (GG-NER), the NER subpathways repairing the transcribed strand of active genes or the rest of the genome, respectively. We show here that in G0/G1 and G2/M phases of the cell cycle, triggering of the DNA damage cascade requires recognition and processing of the lesions by the GG-NER. Loss of TC-NER does not affect checkpoint activation. Mutations in XPD, XPB, and in TTDA, encoding subunits of the TFIIH complex, involved in both transcription and NER, impair checkpoint triggering. The only exception is represented by mutations in XPD, resulting in combined features of XP and CS (XP/CS) that lead to activation of the checkpoint cascade after UV radiation. Inhibition of RNA polymerase II transcription significantly reduces the phosphorylation of key checkpoint factors in XP/CS fibroblasts on exposure to UV damage.","container-title":"Proceedings of the National Academy of Sciences of the United States of America","DOI":"10.1073/pnas.0605446103","ISSN":"0027-8424","issue":"46","journalAbbreviation":"Proc Natl Acad Sci U S A","language":"eng","note":"PMID: 17088560\nPMCID: PMC1859929","page":"17325-17330","source":"PubMed","title":"DNA nucleotide excision repair-dependent signaling to checkpoint activation","volume":"103","author":[{"family":"Marini","given":"Federica"},{"family":"Nardo","given":"Tiziana"},{"family":"Giannattasio","given":"Michele"},{"family":"Minuzzo","given":"Mario"},{"family":"Stefanini","given":"Miria"},{"family":"Plevani","given":"Paolo"},{"family":"Muzi Falconi","given":"Marco"}],"issued":{"date-parts":[["2006",11,14]]}}},{"id":49,"uris":["http://zotero.org/users/9078202/items/K4K9L8VF"],"itemData":{"id":49,"type":"article-journal","abstract":"The variant histone H2AX is phosphorylated in response to UV irradiation of primary human fibroblasts in a complex fashion that is radically different from that commonly reported after DNA double-strand breaks. H2AX phosphorylation after exposure to ionizing radiation produces foci, which are detectable by immunofluorescence microscopy and have been adopted as clear and consistent quantitative markers for DNA double-strand breaks. Here we show that in contrast to ionizing radiation, UV irradiation mainly induces H2AX phosphorylation as a diffuse, even, pan-nuclear staining. UV induced pan-nuclear phosphorylation of H2AX is present in all phases of the cell cycle and is highest in S phase. H2AX phosphorylation in G(1) cells depends on nucleotide excision repair factors that may expose the S-139 site to kinase activity, is not due to DNA double-strand breaks, and plays a larger role in UV-induced signal transduction than previously realized.","container-title":"Proceedings of the National Academy of Sciences of the United States of America","DOI":"10.1073/pnas.0603779103","ISSN":"0027-8424","issue":"26","journalAbbreviation":"Proc Natl Acad Sci U S A","language":"eng","note":"PMID: 16788066\nPMCID: PMC1502549","page":"9891-9896","source":"PubMed","title":"H2AX phosphorylation within the G1 phase after UV irradiation depends on nucleotide excision repair and not DNA double-strand breaks","volume":"103","author":[{"family":"Marti","given":"Thomas M."},{"family":"Hefner","given":"Eli"},{"family":"Feeney","given":"Luzviminda"},{"family":"Natale","given":"Valerie"},{"family":"Cleaver","given":"James E."}],"issued":{"date-parts":[["2006",6,27]]}}},{"id":48,"uris":["http://zotero.org/users/9078202/items/SSXUXQUJ"],"itemData":{"id":48,"type":"article-journal","abstract":"To address the biochemical mechanisms underlying the coordination between the various proteins required for nucleotide excision repair (NER), we employed the immobilized template system. Using either wild-type or mutated recombinant proteins, we identified the factors involved in the NER process and showed the sequential comings and goings of these factors to the immobilized damaged DNA. Firstly, we found that PCNA and RF-C arrival requires XPF 5' incision. Moreover, the positioning of RF-C is facilitated by RPA and induces XPF release. Concomitantly, XPG leads to PCNA recruitment and stabilization. Our data strongly suggest that this interaction with XPG protects PCNA and Pol delta from the effect of inhibitors such as p21. XPG and RPA are released as soon as Pol delta is recruited by the RF-C/PCNA complex. Finally, a ligation system composed of FEN1 and Ligase I can be recruited to fully restore the DNA. In addition, using XP or trichothiodystrophy patient-derived cell extracts, we were able to diagnose the biochemical defect that may prove to be important for therapeutic purposes.","container-title":"The EMBO journal","DOI":"10.1038/sj.emboj.7601948","ISSN":"1460-2075","issue":"1","journalAbbreviation":"EMBO J","language":"eng","note":"PMID: 18079701\nPMCID: PMC2206130","page":"155-167","source":"PubMed","title":"Sequential recruitment of the repair factors during NER: the role of XPG in initiating the resynthesis step","title-short":"Sequential recruitment of the repair factors during NER","volume":"27","author":[{"family":"Mocquet","given":"Vincent"},{"family":"Lainé","given":"Jean Philippe"},{"family":"Riedl","given":"Thilo"},{"family":"Yajin","given":"Zhou"},{"family":"Lee","given":"Marietta Y."},{"family":"Egly","given":"Jean Marc"}],"issued":{"date-parts":[["2008",1,9]]}}}],"schema":"https://github.com/citation-style-language/schema/raw/master/csl-citation.json"} </w:instrText>
      </w:r>
      <w:r w:rsidRPr="00107040">
        <w:rPr>
          <w:rFonts w:ascii="Times New Roman" w:hAnsi="Times New Roman"/>
          <w:sz w:val="28"/>
          <w:szCs w:val="28"/>
          <w:shd w:val="clear" w:color="auto" w:fill="F5F5F5"/>
          <w:lang w:val="en-US"/>
        </w:rPr>
        <w:fldChar w:fldCharType="separate"/>
      </w:r>
      <w:r w:rsidR="008611DC" w:rsidRPr="008611DC">
        <w:rPr>
          <w:rFonts w:ascii="Times New Roman" w:hAnsi="Times New Roman"/>
          <w:sz w:val="28"/>
          <w:szCs w:val="24"/>
        </w:rPr>
        <w:t>[101–103]</w:t>
      </w:r>
      <w:r w:rsidRPr="00107040">
        <w:rPr>
          <w:rFonts w:ascii="Times New Roman" w:hAnsi="Times New Roman"/>
          <w:sz w:val="28"/>
          <w:szCs w:val="28"/>
          <w:shd w:val="clear" w:color="auto" w:fill="F5F5F5"/>
          <w:lang w:val="en-US"/>
        </w:rPr>
        <w:fldChar w:fldCharType="end"/>
      </w:r>
      <w:r w:rsidRPr="00107040">
        <w:rPr>
          <w:rStyle w:val="jlqj4b"/>
          <w:rFonts w:ascii="Times New Roman" w:hAnsi="Times New Roman"/>
          <w:sz w:val="28"/>
          <w:szCs w:val="28"/>
          <w:shd w:val="clear" w:color="auto" w:fill="FFFFFF"/>
        </w:rPr>
        <w:t>.</w:t>
      </w:r>
    </w:p>
    <w:p w14:paraId="13CE06DD" w14:textId="60460A95"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shd w:val="clear" w:color="auto" w:fill="FFFFFF"/>
        </w:rPr>
        <w:t xml:space="preserve">На этапе разреза </w:t>
      </w:r>
      <w:r w:rsidRPr="00107040">
        <w:rPr>
          <w:rFonts w:ascii="Times New Roman" w:hAnsi="Times New Roman"/>
          <w:sz w:val="28"/>
          <w:szCs w:val="28"/>
          <w:shd w:val="clear" w:color="auto" w:fill="FFFFFF"/>
          <w:lang w:val="en-US"/>
        </w:rPr>
        <w:t>GG</w:t>
      </w:r>
      <w:r w:rsidRPr="00107040">
        <w:rPr>
          <w:rFonts w:ascii="Times New Roman" w:hAnsi="Times New Roman"/>
          <w:sz w:val="28"/>
          <w:szCs w:val="28"/>
          <w:shd w:val="clear" w:color="auto" w:fill="FFFFFF"/>
        </w:rPr>
        <w:t>-</w:t>
      </w:r>
      <w:r w:rsidRPr="00107040">
        <w:rPr>
          <w:rFonts w:ascii="Times New Roman" w:hAnsi="Times New Roman"/>
          <w:sz w:val="28"/>
          <w:szCs w:val="28"/>
          <w:shd w:val="clear" w:color="auto" w:fill="FFFFFF"/>
          <w:lang w:val="en-US"/>
        </w:rPr>
        <w:t>NER</w:t>
      </w:r>
      <w:r w:rsidRPr="00107040">
        <w:rPr>
          <w:rFonts w:ascii="Times New Roman" w:hAnsi="Times New Roman"/>
          <w:sz w:val="28"/>
          <w:szCs w:val="28"/>
          <w:shd w:val="clear" w:color="auto" w:fill="FFFFFF"/>
        </w:rPr>
        <w:t xml:space="preserve"> специфичные эндонуклеазы </w:t>
      </w:r>
      <w:r w:rsidRPr="00107040">
        <w:rPr>
          <w:rFonts w:ascii="Times New Roman" w:hAnsi="Times New Roman"/>
          <w:sz w:val="28"/>
          <w:szCs w:val="28"/>
          <w:shd w:val="clear" w:color="auto" w:fill="FFFFFF"/>
          <w:lang w:val="en-US"/>
        </w:rPr>
        <w:t>XPF</w:t>
      </w:r>
      <w:r w:rsidRPr="00107040">
        <w:rPr>
          <w:rFonts w:ascii="Times New Roman" w:hAnsi="Times New Roman"/>
          <w:sz w:val="28"/>
          <w:szCs w:val="28"/>
          <w:shd w:val="clear" w:color="auto" w:fill="FFFFFF"/>
        </w:rPr>
        <w:t>-</w:t>
      </w:r>
      <w:r w:rsidRPr="00107040">
        <w:rPr>
          <w:rFonts w:ascii="Times New Roman" w:hAnsi="Times New Roman"/>
          <w:sz w:val="28"/>
          <w:szCs w:val="28"/>
          <w:shd w:val="clear" w:color="auto" w:fill="FFFFFF"/>
          <w:lang w:val="en-US"/>
        </w:rPr>
        <w:t>ERCC</w:t>
      </w:r>
      <w:r w:rsidRPr="00107040">
        <w:rPr>
          <w:rFonts w:ascii="Times New Roman" w:hAnsi="Times New Roman"/>
          <w:sz w:val="28"/>
          <w:szCs w:val="28"/>
          <w:shd w:val="clear" w:color="auto" w:fill="FFFFFF"/>
        </w:rPr>
        <w:t xml:space="preserve">1 и </w:t>
      </w:r>
      <w:r w:rsidRPr="00107040">
        <w:rPr>
          <w:rFonts w:ascii="Times New Roman" w:hAnsi="Times New Roman"/>
          <w:sz w:val="28"/>
          <w:szCs w:val="28"/>
          <w:shd w:val="clear" w:color="auto" w:fill="FFFFFF"/>
          <w:lang w:val="en-US"/>
        </w:rPr>
        <w:t>XPG</w:t>
      </w:r>
      <w:r w:rsidRPr="00107040">
        <w:rPr>
          <w:rFonts w:ascii="Times New Roman" w:hAnsi="Times New Roman"/>
          <w:sz w:val="28"/>
          <w:szCs w:val="28"/>
          <w:shd w:val="clear" w:color="auto" w:fill="FFFFFF"/>
        </w:rPr>
        <w:t xml:space="preserve"> (также известные как </w:t>
      </w:r>
      <w:r w:rsidRPr="00107040">
        <w:rPr>
          <w:rFonts w:ascii="Times New Roman" w:hAnsi="Times New Roman"/>
          <w:sz w:val="28"/>
          <w:szCs w:val="28"/>
          <w:shd w:val="clear" w:color="auto" w:fill="FFFFFF"/>
          <w:lang w:val="en-US"/>
        </w:rPr>
        <w:t>ERCC</w:t>
      </w:r>
      <w:r w:rsidRPr="00107040">
        <w:rPr>
          <w:rFonts w:ascii="Times New Roman" w:hAnsi="Times New Roman"/>
          <w:sz w:val="28"/>
          <w:szCs w:val="28"/>
          <w:shd w:val="clear" w:color="auto" w:fill="FFFFFF"/>
        </w:rPr>
        <w:t xml:space="preserve">5) разрезают поврежденную цепь с 5'- и 3'-конца поражения соответственно </w:t>
      </w:r>
      <w:r w:rsidRPr="00107040">
        <w:rPr>
          <w:rFonts w:ascii="Times New Roman" w:hAnsi="Times New Roman"/>
          <w:sz w:val="28"/>
          <w:szCs w:val="28"/>
          <w:shd w:val="clear" w:color="auto" w:fill="FFFFFF"/>
          <w:lang w:val="en-US"/>
        </w:rPr>
        <w:fldChar w:fldCharType="begin"/>
      </w:r>
      <w:r w:rsidR="008611DC">
        <w:rPr>
          <w:rFonts w:ascii="Times New Roman" w:hAnsi="Times New Roman"/>
          <w:sz w:val="28"/>
          <w:szCs w:val="28"/>
          <w:shd w:val="clear" w:color="auto" w:fill="FFFFFF"/>
        </w:rPr>
        <w:instrText xml:space="preserve"> ADDIN ZOTERO_ITEM CSL_CITATION {"citationID":"jMtJSyp1","properties":{"formattedCitation":"[104]","plainCitation":"[104]","noteIndex":0},"citationItems":[{"id":47,"uris":["http://zotero.org/users/9078202/items/2ULMN2CJ"],"itemData":{"id":47,"type":"article-journal","abstract":"Nucleotide excision repair (NER) is a DNA repair pathway that is responsible for removing a variety of lesions caused by harmful UV light, chemical carcinogens, and environmental mutagens from DNA. NER involves the concerted action of over 30 proteins that sequentially recognize a lesion, excise it in the form of an oligonucleotide, and fill in the resulting gap by repair synthesis. ERCC1-XPF and XPG are structure-specific endonucleases responsible for carrying out the incisions 5' and 3' to the damage respectively, culminating in the release of the damaged oligonucleotide. This review focuses on the recent work that led to a greater understanding of how the activities of ERCC1-XPF and XPG are regulated in NER to prevent unwanted cuts in DNA or the persistence of gaps after incision that could result in harmful, cytotoxic DNA structures.","container-title":"DNA repair","DOI":"10.1016/j.dnarep.2011.04.022","ISSN":"1568-7856","issue":"7","journalAbbreviation":"DNA Repair (Amst)","language":"eng","note":"PMID: 21592868\nPMCID: PMC3139800","page":"722-729","source":"PubMed","title":"Regulation of endonuclease activity in human nucleotide excision repair","volume":"10","author":[{"family":"Fagbemi","given":"Adebanke F."},{"family":"Orelli","given":"Barbara"},{"family":"Schärer","given":"Orlando D."}],"issued":{"date-parts":[["2011",7,15]]}}}],"schema":"https://github.com/citation-style-language/schema/raw/master/csl-citation.json"} </w:instrText>
      </w:r>
      <w:r w:rsidRPr="00107040">
        <w:rPr>
          <w:rFonts w:ascii="Times New Roman" w:hAnsi="Times New Roman"/>
          <w:sz w:val="28"/>
          <w:szCs w:val="28"/>
          <w:shd w:val="clear" w:color="auto" w:fill="FFFFFF"/>
          <w:lang w:val="en-US"/>
        </w:rPr>
        <w:fldChar w:fldCharType="separate"/>
      </w:r>
      <w:r w:rsidR="008611DC" w:rsidRPr="008611DC">
        <w:rPr>
          <w:rFonts w:ascii="Times New Roman" w:hAnsi="Times New Roman"/>
          <w:sz w:val="28"/>
        </w:rPr>
        <w:t>[104]</w:t>
      </w:r>
      <w:r w:rsidRPr="00107040">
        <w:rPr>
          <w:rFonts w:ascii="Times New Roman" w:hAnsi="Times New Roman"/>
          <w:sz w:val="28"/>
          <w:szCs w:val="28"/>
          <w:shd w:val="clear" w:color="auto" w:fill="FFFFFF"/>
          <w:lang w:val="en-US"/>
        </w:rPr>
        <w:fldChar w:fldCharType="end"/>
      </w:r>
      <w:r w:rsidRPr="00107040">
        <w:rPr>
          <w:rFonts w:ascii="Times New Roman" w:hAnsi="Times New Roman"/>
          <w:sz w:val="28"/>
          <w:szCs w:val="28"/>
          <w:shd w:val="clear" w:color="auto" w:fill="FFFFFF"/>
        </w:rPr>
        <w:t xml:space="preserve">. Заполняющий пробел синтез и лигирование осуществляются репликационными белками PCNA (ядерный антиген пролиферирующих клеток), RFC (фактор репликации C), POL δ, POL ε или POL κ и LIG1 или XRCC1–LIG3. Пролиферативный статус клеток определяет, какая полимераза будет использоваться. Например, POL ε-зависимая репарация является основной в нереплицирующихся клетках, тогда как POL δ и POL κ преобладают в реплицирующихся клетках. Лигирование с помощью LIG1 происходит в реплицирующихся клетках. Однако в непролиферирующих клетках из-за низкой экспрессии dNTP и LIG1 лигирование происходит с помощью комплекса XRCC1-LIG3 </w:t>
      </w:r>
      <w:r w:rsidRPr="00107040">
        <w:rPr>
          <w:rFonts w:ascii="Times New Roman" w:hAnsi="Times New Roman"/>
          <w:sz w:val="28"/>
          <w:szCs w:val="28"/>
          <w:shd w:val="clear" w:color="auto" w:fill="FFFFFF"/>
          <w:lang w:val="en-US"/>
        </w:rPr>
        <w:fldChar w:fldCharType="begin"/>
      </w:r>
      <w:r w:rsidR="008611DC">
        <w:rPr>
          <w:rFonts w:ascii="Times New Roman" w:hAnsi="Times New Roman"/>
          <w:sz w:val="28"/>
          <w:szCs w:val="28"/>
          <w:shd w:val="clear" w:color="auto" w:fill="FFFFFF"/>
        </w:rPr>
        <w:instrText xml:space="preserve"> ADDIN ZOTERO_ITEM CSL_CITATION {"citationID":"xdmUDHVp","properties":{"formattedCitation":"[105]","plainCitation":"[105]","noteIndex":0},"citationItems":[{"id":45,"uris":["http://zotero.org/users/9078202/items/DFQY3SZZ"],"itemData":{"id":45,"type":"article-journal","abstract":"Nucleotide excision repair (NER) is the most versatile DNA repair system that deals with the major UV photoproducts in DNA, as well as many other DNA adducts. The early steps of NER are well understood, whereas the later steps of repair synthesis and ligation are not. In particular, which polymerases are definitely involved in repair synthesis and how they are recruited to the damaged sites has not yet been established. We report that, in human fibroblasts, approximately half of the repair synthesis requires both pol kappa and pol delta, and both polymerases can be recovered in the same repair complexes. Pol kappa is recruited to repair sites by ubiquitinated PCNA and XRCC1 and pol delta by the classical replication factor complex RFC1-RFC, together with a polymerase accessory factor, p66, and unmodified PCNA. The remaining repair synthesis is dependent on pol epsilon, recruitment of which is dependent on the alternative clamp loader CTF18-RFC.","container-title":"Molecular Cell","DOI":"10.1016/j.molcel.2010.02.009","ISSN":"1097-4164","issue":"5","journalAbbreviation":"Mol Cell","language":"eng","note":"PMID: 20227374","page":"714-727","source":"PubMed","title":"Three DNA polymerases, recruited by different mechanisms, carry out NER repair synthesis in human cells","volume":"37","author":[{"family":"Ogi","given":"Tomoo"},{"family":"Limsirichaikul","given":"Siripan"},{"family":"Overmeer","given":"René M."},{"family":"Volker","given":"Marcel"},{"family":"Takenaka","given":"Katsuya"},{"family":"Cloney","given":"Ross"},{"family":"Nakazawa","given":"Yuka"},{"family":"Niimi","given":"Atsuko"},{"family":"Miki","given":"Yoshio"},{"family":"Jaspers","given":"Nicolaas G."},{"family":"Mullenders","given":"Leon H. F."},{"family":"Yamashita","given":"Shunichi"},{"family":"Fousteri","given":"Maria I."},{"family":"Lehmann","given":"Alan R."}],"issued":{"date-parts":[["2010",3,12]]}}}],"schema":"https://github.com/citation-style-language/schema/raw/master/csl-citation.json"} </w:instrText>
      </w:r>
      <w:r w:rsidRPr="00107040">
        <w:rPr>
          <w:rFonts w:ascii="Times New Roman" w:hAnsi="Times New Roman"/>
          <w:sz w:val="28"/>
          <w:szCs w:val="28"/>
          <w:shd w:val="clear" w:color="auto" w:fill="FFFFFF"/>
          <w:lang w:val="en-US"/>
        </w:rPr>
        <w:fldChar w:fldCharType="separate"/>
      </w:r>
      <w:r w:rsidR="008611DC" w:rsidRPr="008611DC">
        <w:rPr>
          <w:rFonts w:ascii="Times New Roman" w:hAnsi="Times New Roman"/>
          <w:sz w:val="28"/>
        </w:rPr>
        <w:t>[105]</w:t>
      </w:r>
      <w:r w:rsidRPr="00107040">
        <w:rPr>
          <w:rFonts w:ascii="Times New Roman" w:hAnsi="Times New Roman"/>
          <w:sz w:val="28"/>
          <w:szCs w:val="28"/>
          <w:shd w:val="clear" w:color="auto" w:fill="FFFFFF"/>
          <w:lang w:val="en-US"/>
        </w:rPr>
        <w:fldChar w:fldCharType="end"/>
      </w:r>
      <w:r w:rsidRPr="00107040">
        <w:rPr>
          <w:rFonts w:ascii="Times New Roman" w:hAnsi="Times New Roman"/>
          <w:sz w:val="28"/>
          <w:szCs w:val="28"/>
          <w:shd w:val="clear" w:color="auto" w:fill="FFFFFF"/>
        </w:rPr>
        <w:t>.</w:t>
      </w:r>
    </w:p>
    <w:p w14:paraId="61E9F6B1" w14:textId="651D9325" w:rsidR="00107040" w:rsidRPr="00107040" w:rsidRDefault="00107040" w:rsidP="00107040">
      <w:pPr>
        <w:spacing w:after="0" w:line="240" w:lineRule="auto"/>
        <w:ind w:firstLine="567"/>
        <w:jc w:val="both"/>
        <w:rPr>
          <w:rFonts w:ascii="Times New Roman" w:hAnsi="Times New Roman"/>
          <w:sz w:val="28"/>
          <w:szCs w:val="28"/>
          <w:shd w:val="clear" w:color="auto" w:fill="FFFFFF"/>
        </w:rPr>
      </w:pPr>
      <w:r w:rsidRPr="00107040">
        <w:rPr>
          <w:rFonts w:ascii="Times New Roman" w:hAnsi="Times New Roman"/>
          <w:sz w:val="28"/>
          <w:szCs w:val="28"/>
          <w:shd w:val="clear" w:color="auto" w:fill="FFFFFF"/>
        </w:rPr>
        <w:t xml:space="preserve">Путь </w:t>
      </w:r>
      <w:r w:rsidRPr="00107040">
        <w:rPr>
          <w:rFonts w:ascii="Times New Roman" w:hAnsi="Times New Roman"/>
          <w:sz w:val="28"/>
          <w:szCs w:val="28"/>
          <w:shd w:val="clear" w:color="auto" w:fill="FFFFFF"/>
          <w:lang w:val="en-US"/>
        </w:rPr>
        <w:t>TC</w:t>
      </w:r>
      <w:r w:rsidRPr="00107040">
        <w:rPr>
          <w:rFonts w:ascii="Times New Roman" w:hAnsi="Times New Roman"/>
          <w:sz w:val="28"/>
          <w:szCs w:val="28"/>
          <w:shd w:val="clear" w:color="auto" w:fill="FFFFFF"/>
        </w:rPr>
        <w:t>-</w:t>
      </w:r>
      <w:r w:rsidRPr="00107040">
        <w:rPr>
          <w:rFonts w:ascii="Times New Roman" w:hAnsi="Times New Roman"/>
          <w:sz w:val="28"/>
          <w:szCs w:val="28"/>
          <w:shd w:val="clear" w:color="auto" w:fill="FFFFFF"/>
          <w:lang w:val="en-US"/>
        </w:rPr>
        <w:t>NER</w:t>
      </w:r>
      <w:r w:rsidRPr="00107040">
        <w:rPr>
          <w:rFonts w:ascii="Times New Roman" w:hAnsi="Times New Roman"/>
          <w:sz w:val="28"/>
          <w:szCs w:val="28"/>
          <w:shd w:val="clear" w:color="auto" w:fill="FFFFFF"/>
        </w:rPr>
        <w:t xml:space="preserve"> инициируется РНК-полимеразой </w:t>
      </w:r>
      <w:r w:rsidRPr="00107040">
        <w:rPr>
          <w:rFonts w:ascii="Times New Roman" w:hAnsi="Times New Roman"/>
          <w:sz w:val="28"/>
          <w:szCs w:val="28"/>
          <w:shd w:val="clear" w:color="auto" w:fill="FFFFFF"/>
          <w:lang w:val="en-US"/>
        </w:rPr>
        <w:t>II</w:t>
      </w:r>
      <w:r w:rsidRPr="00107040">
        <w:rPr>
          <w:rFonts w:ascii="Times New Roman" w:hAnsi="Times New Roman"/>
          <w:sz w:val="28"/>
          <w:szCs w:val="28"/>
          <w:shd w:val="clear" w:color="auto" w:fill="FFFFFF"/>
        </w:rPr>
        <w:t xml:space="preserve">, которая запускает рекрутирование </w:t>
      </w:r>
      <w:r w:rsidRPr="00107040">
        <w:rPr>
          <w:rFonts w:ascii="Times New Roman" w:hAnsi="Times New Roman"/>
          <w:sz w:val="28"/>
          <w:szCs w:val="28"/>
          <w:shd w:val="clear" w:color="auto" w:fill="FFFFFF"/>
          <w:lang w:val="en-US"/>
        </w:rPr>
        <w:t>TC</w:t>
      </w:r>
      <w:r w:rsidRPr="00107040">
        <w:rPr>
          <w:rFonts w:ascii="Times New Roman" w:hAnsi="Times New Roman"/>
          <w:sz w:val="28"/>
          <w:szCs w:val="28"/>
          <w:shd w:val="clear" w:color="auto" w:fill="FFFFFF"/>
        </w:rPr>
        <w:t>-</w:t>
      </w:r>
      <w:r w:rsidRPr="00107040">
        <w:rPr>
          <w:rFonts w:ascii="Times New Roman" w:hAnsi="Times New Roman"/>
          <w:sz w:val="28"/>
          <w:szCs w:val="28"/>
          <w:shd w:val="clear" w:color="auto" w:fill="FFFFFF"/>
          <w:lang w:val="en-US"/>
        </w:rPr>
        <w:t>NER</w:t>
      </w:r>
      <w:r w:rsidRPr="00107040">
        <w:rPr>
          <w:rFonts w:ascii="Times New Roman" w:hAnsi="Times New Roman"/>
          <w:sz w:val="28"/>
          <w:szCs w:val="28"/>
          <w:shd w:val="clear" w:color="auto" w:fill="FFFFFF"/>
        </w:rPr>
        <w:t xml:space="preserve">-специфических комплексных белков </w:t>
      </w:r>
      <w:r w:rsidRPr="00107040">
        <w:rPr>
          <w:rFonts w:ascii="Times New Roman" w:hAnsi="Times New Roman"/>
          <w:sz w:val="28"/>
          <w:szCs w:val="28"/>
          <w:shd w:val="clear" w:color="auto" w:fill="FFFFFF"/>
          <w:lang w:val="en-US"/>
        </w:rPr>
        <w:t>CSA</w:t>
      </w:r>
      <w:r w:rsidRPr="00107040">
        <w:rPr>
          <w:rFonts w:ascii="Times New Roman" w:hAnsi="Times New Roman"/>
          <w:sz w:val="28"/>
          <w:szCs w:val="28"/>
          <w:shd w:val="clear" w:color="auto" w:fill="FFFFFF"/>
        </w:rPr>
        <w:t xml:space="preserve"> (синдром Коккейна, повторяющийся белок </w:t>
      </w:r>
      <w:r w:rsidRPr="00107040">
        <w:rPr>
          <w:rFonts w:ascii="Times New Roman" w:hAnsi="Times New Roman"/>
          <w:sz w:val="28"/>
          <w:szCs w:val="28"/>
          <w:shd w:val="clear" w:color="auto" w:fill="FFFFFF"/>
          <w:lang w:val="en-US"/>
        </w:rPr>
        <w:t>A</w:t>
      </w:r>
      <w:r w:rsidRPr="00107040">
        <w:rPr>
          <w:rFonts w:ascii="Times New Roman" w:hAnsi="Times New Roman"/>
          <w:sz w:val="28"/>
          <w:szCs w:val="28"/>
          <w:shd w:val="clear" w:color="auto" w:fill="FFFFFF"/>
        </w:rPr>
        <w:t xml:space="preserve">) и </w:t>
      </w:r>
      <w:r w:rsidRPr="00107040">
        <w:rPr>
          <w:rFonts w:ascii="Times New Roman" w:hAnsi="Times New Roman"/>
          <w:sz w:val="28"/>
          <w:szCs w:val="28"/>
          <w:shd w:val="clear" w:color="auto" w:fill="FFFFFF"/>
          <w:lang w:val="en-US"/>
        </w:rPr>
        <w:t>CSB</w:t>
      </w:r>
      <w:r w:rsidRPr="00107040">
        <w:rPr>
          <w:rFonts w:ascii="Times New Roman" w:hAnsi="Times New Roman"/>
          <w:sz w:val="28"/>
          <w:szCs w:val="28"/>
          <w:shd w:val="clear" w:color="auto" w:fill="FFFFFF"/>
        </w:rPr>
        <w:t xml:space="preserve"> (белок </w:t>
      </w:r>
      <w:r w:rsidRPr="00107040">
        <w:rPr>
          <w:rFonts w:ascii="Times New Roman" w:hAnsi="Times New Roman"/>
          <w:sz w:val="28"/>
          <w:szCs w:val="28"/>
          <w:shd w:val="clear" w:color="auto" w:fill="FFFFFF"/>
          <w:lang w:val="en-US"/>
        </w:rPr>
        <w:t>B</w:t>
      </w:r>
      <w:r w:rsidRPr="00107040">
        <w:rPr>
          <w:rFonts w:ascii="Times New Roman" w:hAnsi="Times New Roman"/>
          <w:sz w:val="28"/>
          <w:szCs w:val="28"/>
          <w:shd w:val="clear" w:color="auto" w:fill="FFFFFF"/>
        </w:rPr>
        <w:t xml:space="preserve"> синдрома Коккейна). Они отвечают за сборку других компонентов, таких как основные факторы </w:t>
      </w:r>
      <w:r w:rsidRPr="00107040">
        <w:rPr>
          <w:rFonts w:ascii="Times New Roman" w:hAnsi="Times New Roman"/>
          <w:sz w:val="28"/>
          <w:szCs w:val="28"/>
          <w:shd w:val="clear" w:color="auto" w:fill="FFFFFF"/>
          <w:lang w:val="en-US"/>
        </w:rPr>
        <w:t>NER</w:t>
      </w:r>
      <w:r w:rsidRPr="00107040">
        <w:rPr>
          <w:rFonts w:ascii="Times New Roman" w:hAnsi="Times New Roman"/>
          <w:sz w:val="28"/>
          <w:szCs w:val="28"/>
          <w:shd w:val="clear" w:color="auto" w:fill="FFFFFF"/>
        </w:rPr>
        <w:t xml:space="preserve"> (за исключением </w:t>
      </w:r>
      <w:r w:rsidRPr="00107040">
        <w:rPr>
          <w:rFonts w:ascii="Times New Roman" w:hAnsi="Times New Roman"/>
          <w:sz w:val="28"/>
          <w:szCs w:val="28"/>
          <w:shd w:val="clear" w:color="auto" w:fill="FFFFFF"/>
          <w:lang w:val="en-US"/>
        </w:rPr>
        <w:t>GG</w:t>
      </w:r>
      <w:r w:rsidRPr="00107040">
        <w:rPr>
          <w:rFonts w:ascii="Times New Roman" w:hAnsi="Times New Roman"/>
          <w:sz w:val="28"/>
          <w:szCs w:val="28"/>
          <w:shd w:val="clear" w:color="auto" w:fill="FFFFFF"/>
        </w:rPr>
        <w:t>-</w:t>
      </w:r>
      <w:r w:rsidRPr="00107040">
        <w:rPr>
          <w:rFonts w:ascii="Times New Roman" w:hAnsi="Times New Roman"/>
          <w:sz w:val="28"/>
          <w:szCs w:val="28"/>
          <w:shd w:val="clear" w:color="auto" w:fill="FFFFFF"/>
          <w:lang w:val="en-US"/>
        </w:rPr>
        <w:t>NER</w:t>
      </w:r>
      <w:r w:rsidRPr="00107040">
        <w:rPr>
          <w:rFonts w:ascii="Times New Roman" w:hAnsi="Times New Roman"/>
          <w:sz w:val="28"/>
          <w:szCs w:val="28"/>
          <w:shd w:val="clear" w:color="auto" w:fill="FFFFFF"/>
        </w:rPr>
        <w:t xml:space="preserve">-специфических комплексов </w:t>
      </w:r>
      <w:r w:rsidRPr="00107040">
        <w:rPr>
          <w:rFonts w:ascii="Times New Roman" w:hAnsi="Times New Roman"/>
          <w:sz w:val="28"/>
          <w:szCs w:val="28"/>
          <w:shd w:val="clear" w:color="auto" w:fill="FFFFFF"/>
          <w:lang w:val="en-US"/>
        </w:rPr>
        <w:t>UV</w:t>
      </w:r>
      <w:r w:rsidRPr="00107040">
        <w:rPr>
          <w:rFonts w:ascii="Times New Roman" w:hAnsi="Times New Roman"/>
          <w:sz w:val="28"/>
          <w:szCs w:val="28"/>
          <w:shd w:val="clear" w:color="auto" w:fill="FFFFFF"/>
        </w:rPr>
        <w:t>-</w:t>
      </w:r>
      <w:r w:rsidRPr="00107040">
        <w:rPr>
          <w:rFonts w:ascii="Times New Roman" w:hAnsi="Times New Roman"/>
          <w:sz w:val="28"/>
          <w:szCs w:val="28"/>
          <w:shd w:val="clear" w:color="auto" w:fill="FFFFFF"/>
          <w:lang w:val="en-US"/>
        </w:rPr>
        <w:t>DDB</w:t>
      </w:r>
      <w:r w:rsidRPr="00107040">
        <w:rPr>
          <w:rFonts w:ascii="Times New Roman" w:hAnsi="Times New Roman"/>
          <w:sz w:val="28"/>
          <w:szCs w:val="28"/>
          <w:shd w:val="clear" w:color="auto" w:fill="FFFFFF"/>
        </w:rPr>
        <w:t xml:space="preserve"> и </w:t>
      </w:r>
      <w:r w:rsidRPr="00107040">
        <w:rPr>
          <w:rFonts w:ascii="Times New Roman" w:hAnsi="Times New Roman"/>
          <w:sz w:val="28"/>
          <w:szCs w:val="28"/>
          <w:shd w:val="clear" w:color="auto" w:fill="FFFFFF"/>
          <w:lang w:val="en-US"/>
        </w:rPr>
        <w:t>XPC</w:t>
      </w:r>
      <w:r w:rsidRPr="00107040">
        <w:rPr>
          <w:rFonts w:ascii="Times New Roman" w:hAnsi="Times New Roman"/>
          <w:sz w:val="28"/>
          <w:szCs w:val="28"/>
          <w:shd w:val="clear" w:color="auto" w:fill="FFFFFF"/>
        </w:rPr>
        <w:t xml:space="preserve">) и </w:t>
      </w:r>
      <w:r w:rsidRPr="00107040">
        <w:rPr>
          <w:rFonts w:ascii="Times New Roman" w:hAnsi="Times New Roman"/>
          <w:sz w:val="28"/>
          <w:szCs w:val="28"/>
          <w:shd w:val="clear" w:color="auto" w:fill="FFFFFF"/>
          <w:lang w:val="en-US"/>
        </w:rPr>
        <w:t>TC</w:t>
      </w:r>
      <w:r w:rsidRPr="00107040">
        <w:rPr>
          <w:rFonts w:ascii="Times New Roman" w:hAnsi="Times New Roman"/>
          <w:sz w:val="28"/>
          <w:szCs w:val="28"/>
          <w:shd w:val="clear" w:color="auto" w:fill="FFFFFF"/>
        </w:rPr>
        <w:t>-</w:t>
      </w:r>
      <w:r w:rsidRPr="00107040">
        <w:rPr>
          <w:rFonts w:ascii="Times New Roman" w:hAnsi="Times New Roman"/>
          <w:sz w:val="28"/>
          <w:szCs w:val="28"/>
          <w:shd w:val="clear" w:color="auto" w:fill="FFFFFF"/>
          <w:lang w:val="en-US"/>
        </w:rPr>
        <w:t>NER</w:t>
      </w:r>
      <w:r w:rsidRPr="00107040">
        <w:rPr>
          <w:rFonts w:ascii="Times New Roman" w:hAnsi="Times New Roman"/>
          <w:sz w:val="28"/>
          <w:szCs w:val="28"/>
          <w:shd w:val="clear" w:color="auto" w:fill="FFFFFF"/>
        </w:rPr>
        <w:t xml:space="preserve">-специфических белков, таких как </w:t>
      </w:r>
      <w:r w:rsidRPr="00107040">
        <w:rPr>
          <w:rFonts w:ascii="Times New Roman" w:hAnsi="Times New Roman"/>
          <w:sz w:val="28"/>
          <w:szCs w:val="28"/>
          <w:shd w:val="clear" w:color="auto" w:fill="FFFFFF"/>
          <w:lang w:val="en-US"/>
        </w:rPr>
        <w:t>UVSSA</w:t>
      </w:r>
      <w:r w:rsidRPr="00107040">
        <w:rPr>
          <w:rFonts w:ascii="Times New Roman" w:hAnsi="Times New Roman"/>
          <w:sz w:val="28"/>
          <w:szCs w:val="28"/>
          <w:shd w:val="clear" w:color="auto" w:fill="FFFFFF"/>
        </w:rPr>
        <w:t xml:space="preserve"> (стимулируемый УФ-излучением каркасный белок А), </w:t>
      </w:r>
      <w:r w:rsidRPr="00107040">
        <w:rPr>
          <w:rFonts w:ascii="Times New Roman" w:hAnsi="Times New Roman"/>
          <w:sz w:val="28"/>
          <w:szCs w:val="28"/>
          <w:shd w:val="clear" w:color="auto" w:fill="FFFFFF"/>
          <w:lang w:val="en-US"/>
        </w:rPr>
        <w:t>USP</w:t>
      </w:r>
      <w:r w:rsidRPr="00107040">
        <w:rPr>
          <w:rFonts w:ascii="Times New Roman" w:hAnsi="Times New Roman"/>
          <w:sz w:val="28"/>
          <w:szCs w:val="28"/>
          <w:shd w:val="clear" w:color="auto" w:fill="FFFFFF"/>
        </w:rPr>
        <w:t xml:space="preserve">7 (убиквитин-специфическая процессинговая протеаза 7), </w:t>
      </w:r>
      <w:r w:rsidRPr="00107040">
        <w:rPr>
          <w:rFonts w:ascii="Times New Roman" w:hAnsi="Times New Roman"/>
          <w:sz w:val="28"/>
          <w:szCs w:val="28"/>
          <w:shd w:val="clear" w:color="auto" w:fill="FFFFFF"/>
          <w:lang w:val="en-US"/>
        </w:rPr>
        <w:t>XAB</w:t>
      </w:r>
      <w:r w:rsidRPr="00107040">
        <w:rPr>
          <w:rFonts w:ascii="Times New Roman" w:hAnsi="Times New Roman"/>
          <w:sz w:val="28"/>
          <w:szCs w:val="28"/>
          <w:shd w:val="clear" w:color="auto" w:fill="FFFFFF"/>
        </w:rPr>
        <w:t>2 (</w:t>
      </w:r>
      <w:r w:rsidRPr="00107040">
        <w:rPr>
          <w:rFonts w:ascii="Times New Roman" w:hAnsi="Times New Roman"/>
          <w:sz w:val="28"/>
          <w:szCs w:val="28"/>
          <w:shd w:val="clear" w:color="auto" w:fill="FFFFFF"/>
          <w:lang w:val="en-US"/>
        </w:rPr>
        <w:t>XPA</w:t>
      </w:r>
      <w:r w:rsidRPr="00107040">
        <w:rPr>
          <w:rFonts w:ascii="Times New Roman" w:hAnsi="Times New Roman"/>
          <w:sz w:val="28"/>
          <w:szCs w:val="28"/>
          <w:shd w:val="clear" w:color="auto" w:fill="FFFFFF"/>
        </w:rPr>
        <w:t xml:space="preserve">-связывающий белок 2) и </w:t>
      </w:r>
      <w:r w:rsidRPr="00107040">
        <w:rPr>
          <w:rFonts w:ascii="Times New Roman" w:hAnsi="Times New Roman"/>
          <w:sz w:val="28"/>
          <w:szCs w:val="28"/>
          <w:shd w:val="clear" w:color="auto" w:fill="FFFFFF"/>
          <w:lang w:val="en-US"/>
        </w:rPr>
        <w:t>HMGN</w:t>
      </w:r>
      <w:r w:rsidRPr="00107040">
        <w:rPr>
          <w:rFonts w:ascii="Times New Roman" w:hAnsi="Times New Roman"/>
          <w:sz w:val="28"/>
          <w:szCs w:val="28"/>
          <w:shd w:val="clear" w:color="auto" w:fill="FFFFFF"/>
        </w:rPr>
        <w:t xml:space="preserve">1 (высокоподвижный групповой нуклеосомосвязывающий домен, содержащий белок 1) </w:t>
      </w:r>
      <w:r w:rsidRPr="00107040">
        <w:rPr>
          <w:rFonts w:ascii="Times New Roman" w:hAnsi="Times New Roman"/>
          <w:sz w:val="28"/>
          <w:szCs w:val="28"/>
          <w:shd w:val="clear" w:color="auto" w:fill="FFFFFF"/>
          <w:lang w:val="en-US"/>
        </w:rPr>
        <w:fldChar w:fldCharType="begin"/>
      </w:r>
      <w:r w:rsidR="008611DC">
        <w:rPr>
          <w:rFonts w:ascii="Times New Roman" w:hAnsi="Times New Roman"/>
          <w:sz w:val="28"/>
          <w:szCs w:val="28"/>
          <w:shd w:val="clear" w:color="auto" w:fill="FFFFFF"/>
        </w:rPr>
        <w:instrText xml:space="preserve"> ADDIN ZOTERO_ITEM CSL_CITATION {"citationID":"Nq4AKfrB","properties":{"formattedCitation":"[106]","plainCitation":"[106]","noteIndex":0},"citationItems":[{"id":43,"uris":["http://zotero.org/users/9078202/items/9Z4LPF48"],"itemData":{"id":43,"type":"article-journal","abstract":"Transcription-coupled nucleotide-excision repair (TC-NER) is a subpathway of NER that efficiently removes the highly toxic RNA polymerase II blocking lesions in DNA. Defective TC-NER gives rise to the human disorders Cockayne syndrome and UV-sensitive syndrome (UV(S)S). NER initiating factors are known to be regulated by ubiquitination. Using a SILAC-based proteomic approach, we identified UVSSA (formerly known as KIAA1530) as part of a UV-induced ubiquitinated protein complex. Knockdown of UVSSA resulted in TC-NER deficiency. UVSSA was found to be the causative gene for UV(S)S, an unresolved NER deficiency disorder. The UVSSA protein interacts with elongating RNA polymerase II, localizes specifically to UV-induced lesions, resides in chromatin-associated TC-NER complexes and is implicated in stabilizing the TC-NER master organizing protein ERCC6 (also known as CSB) by delivering the deubiquitinating enzyme USP7 to TC-NER complexes. Together, these findings indicate that UVSSA-USP7–mediated stabilization of ERCC6 represents a critical regulatory mechanism of TC-NER in restoring gene expression.","container-title":"Nature Genetics","DOI":"10.1038/ng.2230","ISSN":"1546-1718","issue":"5","journalAbbreviation":"Nat Genet","language":"eng","note":"PMID: 22466611","page":"598-602","source":"PubMed","title":"UV-sensitive syndrome protein UVSSA recruits USP7 to  regulate transcription-coupled repair","volume":"44","author":[{"family":"Schwertman","given":"Petra"},{"family":"Lagarou","given":"Anna"},{"family":"Dekkers","given":"Dick H. W."},{"family":"Raams","given":"Anja"},{"family":"Hoek","given":"Adriana C.","non-dropping-particle":"van der"},{"family":"Laffeber","given":"Charlie"},{"family":"Hoeijmakers","given":"Jan H. J."},{"family":"Demmers","given":"Jeroen A. A."},{"family":"Fousteri","given":"Maria"},{"family":"Vermeulen","given":"Wim"},{"family":"Marteijn","given":"Jurgen A."}],"issued":{"date-parts":[["2012",5]]}}}],"schema":"https://github.com/citation-style-language/schema/raw/master/csl-citation.json"} </w:instrText>
      </w:r>
      <w:r w:rsidRPr="00107040">
        <w:rPr>
          <w:rFonts w:ascii="Times New Roman" w:hAnsi="Times New Roman"/>
          <w:sz w:val="28"/>
          <w:szCs w:val="28"/>
          <w:shd w:val="clear" w:color="auto" w:fill="FFFFFF"/>
          <w:lang w:val="en-US"/>
        </w:rPr>
        <w:fldChar w:fldCharType="separate"/>
      </w:r>
      <w:r w:rsidR="008611DC" w:rsidRPr="008611DC">
        <w:rPr>
          <w:rFonts w:ascii="Times New Roman" w:hAnsi="Times New Roman"/>
          <w:sz w:val="28"/>
        </w:rPr>
        <w:t>[106]</w:t>
      </w:r>
      <w:r w:rsidRPr="00107040">
        <w:rPr>
          <w:rFonts w:ascii="Times New Roman" w:hAnsi="Times New Roman"/>
          <w:sz w:val="28"/>
          <w:szCs w:val="28"/>
          <w:shd w:val="clear" w:color="auto" w:fill="FFFFFF"/>
          <w:lang w:val="en-US"/>
        </w:rPr>
        <w:fldChar w:fldCharType="end"/>
      </w:r>
      <w:r w:rsidRPr="00107040">
        <w:rPr>
          <w:rFonts w:ascii="Times New Roman" w:hAnsi="Times New Roman"/>
          <w:sz w:val="28"/>
          <w:szCs w:val="28"/>
          <w:shd w:val="clear" w:color="auto" w:fill="FFFFFF"/>
        </w:rPr>
        <w:t>. После локализации комплекса CSA-CSB в мест</w:t>
      </w:r>
      <w:r w:rsidRPr="00107040">
        <w:rPr>
          <w:rFonts w:ascii="Times New Roman" w:hAnsi="Times New Roman"/>
          <w:sz w:val="28"/>
          <w:szCs w:val="28"/>
          <w:shd w:val="clear" w:color="auto" w:fill="FFFFFF"/>
          <w:lang w:val="kk-KZ"/>
        </w:rPr>
        <w:t>ах</w:t>
      </w:r>
      <w:r w:rsidRPr="00107040">
        <w:rPr>
          <w:rFonts w:ascii="Times New Roman" w:hAnsi="Times New Roman"/>
          <w:sz w:val="28"/>
          <w:szCs w:val="28"/>
          <w:shd w:val="clear" w:color="auto" w:fill="FFFFFF"/>
        </w:rPr>
        <w:t xml:space="preserve"> повреждения</w:t>
      </w:r>
      <w:r w:rsidRPr="00107040">
        <w:rPr>
          <w:rFonts w:ascii="Times New Roman" w:hAnsi="Times New Roman"/>
          <w:sz w:val="28"/>
          <w:szCs w:val="28"/>
          <w:shd w:val="clear" w:color="auto" w:fill="FFFFFF"/>
          <w:lang w:val="kk-KZ"/>
        </w:rPr>
        <w:t>,</w:t>
      </w:r>
      <w:r w:rsidRPr="00107040">
        <w:rPr>
          <w:rFonts w:ascii="Times New Roman" w:hAnsi="Times New Roman"/>
          <w:sz w:val="28"/>
          <w:szCs w:val="28"/>
          <w:shd w:val="clear" w:color="auto" w:fill="FFFFFF"/>
        </w:rPr>
        <w:t xml:space="preserve"> РНК-полимераза II отступает, а на ее место рекрутируется TFIIH. Последующие цепочки событий такие же, как и в GG-NER, поскольку повреждение удаляется из транскрибируемой цепи </w:t>
      </w:r>
      <w:r w:rsidRPr="00107040">
        <w:rPr>
          <w:rFonts w:ascii="Times New Roman" w:hAnsi="Times New Roman"/>
          <w:sz w:val="28"/>
          <w:szCs w:val="28"/>
          <w:shd w:val="clear" w:color="auto" w:fill="FFFFFF"/>
          <w:lang w:val="en-US"/>
        </w:rPr>
        <w:fldChar w:fldCharType="begin"/>
      </w:r>
      <w:r w:rsidR="008611DC">
        <w:rPr>
          <w:rFonts w:ascii="Times New Roman" w:hAnsi="Times New Roman"/>
          <w:sz w:val="28"/>
          <w:szCs w:val="28"/>
          <w:shd w:val="clear" w:color="auto" w:fill="FFFFFF"/>
        </w:rPr>
        <w:instrText xml:space="preserve"> ADDIN ZOTERO_ITEM CSL_CITATION {"citationID":"DnUQfpTx","properties":{"formattedCitation":"[107]","plainCitation":"[107]","noteIndex":0},"citationItems":[{"id":42,"uris":["http://zotero.org/users/9078202/items/CJAGMN5W"],"itemData":{"id":42,"type":"article-journal","abstract":"Nucleotide excision repair (NER) eliminates various structurally unrelated DNA lesions by a multiwise 'cut and patch'-type reaction. The global genome NER (GG-NER) subpathway prevents mutagenesis by probing the genome for helix-distorting lesions, whereas transcription-coupled NER (TC-NER) removes transcription-blocking lesions to permit unperturbed gene expression, thereby preventing cell death. Consequently, defects in GG-NER result in cancer predisposition, whereas defects in TC-NER cause a variety of diseases ranging from ultraviolet radiation-sensitive syndrome to severe premature ageing conditions such as Cockayne syndrome. Recent studies have uncovered new aspects of DNA-damage detection by NER, how NER is regulated by extensive post-translational modifications, and the dynamic chromatin interactions that control its efficiency. Based on these findings, a mechanistic model is proposed that explains the complex genotype-phenotype correlations of transcription-coupled repair disorders.","container-title":"Nature Reviews. Molecular Cell Biology","DOI":"10.1038/nrm3822","ISSN":"1471-0080","issue":"7","journalAbbreviation":"Nat Rev Mol Cell Biol","language":"eng","note":"PMID: 24954209","page":"465-481","source":"PubMed","title":"Understanding nucleotide excision repair and its roles in cancer and ageing","volume":"15","author":[{"family":"Marteijn","given":"Jurgen A."},{"family":"Lans","given":"Hannes"},{"family":"Vermeulen","given":"Wim"},{"family":"Hoeijmakers","given":"Jan H. J."}],"issued":{"date-parts":[["2014",7]]}}}],"schema":"https://github.com/citation-style-language/schema/raw/master/csl-citation.json"} </w:instrText>
      </w:r>
      <w:r w:rsidRPr="00107040">
        <w:rPr>
          <w:rFonts w:ascii="Times New Roman" w:hAnsi="Times New Roman"/>
          <w:sz w:val="28"/>
          <w:szCs w:val="28"/>
          <w:shd w:val="clear" w:color="auto" w:fill="FFFFFF"/>
          <w:lang w:val="en-US"/>
        </w:rPr>
        <w:fldChar w:fldCharType="separate"/>
      </w:r>
      <w:r w:rsidR="008611DC" w:rsidRPr="008611DC">
        <w:rPr>
          <w:rFonts w:ascii="Times New Roman" w:hAnsi="Times New Roman"/>
          <w:sz w:val="28"/>
        </w:rPr>
        <w:t>[107]</w:t>
      </w:r>
      <w:r w:rsidRPr="00107040">
        <w:rPr>
          <w:rFonts w:ascii="Times New Roman" w:hAnsi="Times New Roman"/>
          <w:sz w:val="28"/>
          <w:szCs w:val="28"/>
          <w:shd w:val="clear" w:color="auto" w:fill="FFFFFF"/>
          <w:lang w:val="en-US"/>
        </w:rPr>
        <w:fldChar w:fldCharType="end"/>
      </w:r>
      <w:r w:rsidRPr="00107040">
        <w:rPr>
          <w:rFonts w:ascii="Times New Roman" w:hAnsi="Times New Roman"/>
          <w:sz w:val="28"/>
          <w:szCs w:val="28"/>
          <w:shd w:val="clear" w:color="auto" w:fill="FFFFFF"/>
        </w:rPr>
        <w:t>.</w:t>
      </w:r>
    </w:p>
    <w:p w14:paraId="67A9DD28" w14:textId="77777777" w:rsidR="00107040" w:rsidRPr="00107040" w:rsidRDefault="00107040" w:rsidP="00107040">
      <w:pPr>
        <w:spacing w:after="0" w:line="240" w:lineRule="auto"/>
        <w:ind w:firstLine="567"/>
        <w:jc w:val="both"/>
        <w:rPr>
          <w:rStyle w:val="jlqj4b"/>
          <w:rFonts w:ascii="Times New Roman" w:hAnsi="Times New Roman"/>
          <w:sz w:val="28"/>
          <w:szCs w:val="28"/>
          <w:shd w:val="clear" w:color="auto" w:fill="FFFFFF"/>
        </w:rPr>
      </w:pPr>
    </w:p>
    <w:p w14:paraId="7A964735" w14:textId="77777777" w:rsidR="00107040" w:rsidRPr="00107040" w:rsidRDefault="00107040" w:rsidP="00107040">
      <w:pPr>
        <w:spacing w:after="0" w:line="240" w:lineRule="auto"/>
        <w:ind w:firstLine="567"/>
        <w:jc w:val="both"/>
        <w:rPr>
          <w:rFonts w:ascii="Times New Roman" w:hAnsi="Times New Roman"/>
          <w:sz w:val="28"/>
          <w:szCs w:val="28"/>
        </w:rPr>
      </w:pPr>
      <w:bookmarkStart w:id="16" w:name="_Hlk113268061"/>
      <w:r w:rsidRPr="00107040">
        <w:rPr>
          <w:rFonts w:ascii="Times New Roman" w:hAnsi="Times New Roman"/>
          <w:sz w:val="28"/>
          <w:szCs w:val="28"/>
          <w:lang w:val="kk-KZ"/>
        </w:rPr>
        <w:t xml:space="preserve">1.2.2.2 </w:t>
      </w:r>
      <w:r w:rsidRPr="00107040">
        <w:rPr>
          <w:rFonts w:ascii="Times New Roman" w:hAnsi="Times New Roman"/>
          <w:sz w:val="28"/>
          <w:szCs w:val="28"/>
        </w:rPr>
        <w:t>Репарация ошибочно спаренных нуклеотидов (</w:t>
      </w:r>
      <w:r w:rsidRPr="00107040">
        <w:rPr>
          <w:rFonts w:ascii="Times New Roman" w:hAnsi="Times New Roman"/>
          <w:sz w:val="28"/>
          <w:szCs w:val="28"/>
          <w:lang w:val="en-US"/>
        </w:rPr>
        <w:t>MMR</w:t>
      </w:r>
      <w:r w:rsidRPr="00107040">
        <w:rPr>
          <w:rFonts w:ascii="Times New Roman" w:hAnsi="Times New Roman"/>
          <w:sz w:val="28"/>
          <w:szCs w:val="28"/>
        </w:rPr>
        <w:t>)</w:t>
      </w:r>
    </w:p>
    <w:bookmarkEnd w:id="16"/>
    <w:p w14:paraId="7236A9DF" w14:textId="1CD6A915"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en-US"/>
        </w:rPr>
        <w:t>MMR</w:t>
      </w:r>
      <w:r w:rsidRPr="00107040">
        <w:rPr>
          <w:rFonts w:ascii="Times New Roman" w:hAnsi="Times New Roman"/>
          <w:sz w:val="28"/>
          <w:szCs w:val="28"/>
        </w:rPr>
        <w:t xml:space="preserve"> </w:t>
      </w:r>
      <w:r w:rsidRPr="00107040">
        <w:rPr>
          <w:rFonts w:ascii="Times New Roman" w:hAnsi="Times New Roman"/>
          <w:sz w:val="28"/>
          <w:szCs w:val="28"/>
        </w:rPr>
        <w:sym w:font="Symbol" w:char="F02D"/>
      </w:r>
      <w:r w:rsidRPr="00107040">
        <w:rPr>
          <w:rFonts w:ascii="Times New Roman" w:hAnsi="Times New Roman"/>
          <w:sz w:val="28"/>
          <w:szCs w:val="28"/>
        </w:rPr>
        <w:t xml:space="preserve"> это высококонсервативный путь пострепликативной репарации, обеспечивающий как минимум 100-кратную точность репликации</w:t>
      </w:r>
      <w:r w:rsidRPr="00107040">
        <w:rPr>
          <w:rFonts w:ascii="Times New Roman" w:hAnsi="Times New Roman"/>
          <w:bCs/>
          <w:sz w:val="28"/>
          <w:szCs w:val="28"/>
        </w:rPr>
        <w:t xml:space="preserve"> </w:t>
      </w:r>
      <w:r w:rsidRPr="00107040">
        <w:rPr>
          <w:rStyle w:val="jlqj4b"/>
          <w:rFonts w:ascii="Times New Roman" w:hAnsi="Times New Roman"/>
          <w:sz w:val="28"/>
          <w:szCs w:val="28"/>
          <w:lang w:val="en-US"/>
        </w:rPr>
        <w:fldChar w:fldCharType="begin"/>
      </w:r>
      <w:r w:rsidR="008611DC">
        <w:rPr>
          <w:rStyle w:val="jlqj4b"/>
          <w:rFonts w:ascii="Times New Roman" w:hAnsi="Times New Roman"/>
          <w:sz w:val="28"/>
          <w:szCs w:val="28"/>
        </w:rPr>
        <w:instrText xml:space="preserve"> ADDIN ZOTERO_ITEM CSL_CITATION {"citationID":"hR2rhXn8","properties":{"formattedCitation":"[108,109]","plainCitation":"[108,109]","noteIndex":0},"citationItems":[{"id":41,"uris":["http://zotero.org/users/9078202/items/LM6AYTZ7"],"itemData":{"id":41,"type":"article-journal","abstract":"\"It has not escaped our notice that the specific pairing we have postulated immediately suggests a possible copying mechanism for the genetic material\" (Watson and Crick 1953). In the years since this remarkable understatement, we have come to realize the enormous complexity of the cellular machinery devoted to replicating DNA with the accuracy needed to maintain genetic information over many generations, balanced by the emergence of mutations on which selection can act. This complexity is partly based on the need to remove or tolerate cytotoxic and mutagenic lesions in DNA generated by environmental stress. Considered here is the fidelity with which undamaged and damaged DNA is replicated by the many DNA polymerases now known to exist. Some of these seriously violate Watson-Crick base-pairing rules such that, depending on the polymerase, the composition and location of the error, and the ability to correct errors (or not), DNA synthesis error rates can vary by more than a millionfold. This offers the potential to modulate rates of point mutations over a wide range, with consequences that can be either deleterious or beneficial.","container-title":"Cold Spring Harbor Symposia on Quantitative Biology","DOI":"10.1101/sqb.2009.74.027","ISSN":"1943-4456","journalAbbreviation":"Cold Spring Harb Symp Quant Biol","language":"eng","note":"PMID: 19903750\nPMCID: PMC3628614","page":"91-101","source":"PubMed","title":"Evolving views of DNA replication (in)fidelity","volume":"74","author":[{"family":"Kunkel","given":"T. A."}],"issued":{"date-parts":[["2009"]]}}},{"id":40,"uris":["http://zotero.org/users/9078202/items/VIMHZY2Q"],"itemData":{"id":40,"type":"article-journal","abstract":"This article considers the fidelity of DNA replication performed by eukaryotic DNA polymerases involved in replicating the nuclear genome. DNA replication fidelity can vary widely depending on the DNA polymerase, the composition of the error, the flanking sequence, the presence of DNA damage and the ability to correct errors. As a consequence, defects in processes that determine DNA replication fidelity can confer strong mutator phenotypes whose specificity can help determine the molecular nature of the defect.","container-title":"Seminars in Cancer Biology","DOI":"10.1016/j.semcancer.2010.10.003","ISSN":"1096-3650","issue":"5","journalAbbreviation":"Semin Cancer Biol","language":"eng","note":"PMID: 20934516\nPMCID: PMC3087159","page":"304-311","source":"PubMed","title":"Mutator phenotypes due to DNA replication infidelity","volume":"20","author":[{"family":"Arana","given":"Mercedes E."},{"family":"Kunkel","given":"Thomas A."}],"issued":{"date-parts":[["2010",10]]}}}],"schema":"https://github.com/citation-style-language/schema/raw/master/csl-citation.json"} </w:instrText>
      </w:r>
      <w:r w:rsidRPr="00107040">
        <w:rPr>
          <w:rStyle w:val="jlqj4b"/>
          <w:rFonts w:ascii="Times New Roman" w:hAnsi="Times New Roman"/>
          <w:sz w:val="28"/>
          <w:szCs w:val="28"/>
          <w:lang w:val="en-US"/>
        </w:rPr>
        <w:fldChar w:fldCharType="separate"/>
      </w:r>
      <w:r w:rsidR="008611DC" w:rsidRPr="008611DC">
        <w:rPr>
          <w:rFonts w:ascii="Times New Roman" w:hAnsi="Times New Roman"/>
          <w:sz w:val="28"/>
        </w:rPr>
        <w:t>[108,109]</w:t>
      </w:r>
      <w:r w:rsidRPr="00107040">
        <w:rPr>
          <w:rStyle w:val="jlqj4b"/>
          <w:rFonts w:ascii="Times New Roman" w:hAnsi="Times New Roman"/>
          <w:sz w:val="28"/>
          <w:szCs w:val="28"/>
          <w:lang w:val="en-US"/>
        </w:rPr>
        <w:fldChar w:fldCharType="end"/>
      </w:r>
      <w:r w:rsidRPr="00107040">
        <w:rPr>
          <w:rFonts w:ascii="Times New Roman" w:hAnsi="Times New Roman"/>
          <w:sz w:val="28"/>
          <w:szCs w:val="28"/>
          <w:shd w:val="clear" w:color="auto" w:fill="FFFFFF"/>
        </w:rPr>
        <w:t xml:space="preserve">. Репликативные несовпадения оснований и петли </w:t>
      </w:r>
      <w:r w:rsidRPr="00107040">
        <w:rPr>
          <w:rFonts w:ascii="Times New Roman" w:hAnsi="Times New Roman"/>
          <w:sz w:val="28"/>
          <w:szCs w:val="28"/>
          <w:shd w:val="clear" w:color="auto" w:fill="FFFFFF"/>
          <w:lang w:val="kk-KZ"/>
        </w:rPr>
        <w:t xml:space="preserve">делеции – </w:t>
      </w:r>
      <w:r w:rsidRPr="00107040">
        <w:rPr>
          <w:rFonts w:ascii="Times New Roman" w:hAnsi="Times New Roman"/>
          <w:sz w:val="28"/>
          <w:szCs w:val="28"/>
          <w:shd w:val="clear" w:color="auto" w:fill="FFFFFF"/>
        </w:rPr>
        <w:t>вставки (</w:t>
      </w:r>
      <w:r w:rsidRPr="00107040">
        <w:rPr>
          <w:rFonts w:ascii="Times New Roman" w:hAnsi="Times New Roman"/>
          <w:sz w:val="28"/>
          <w:szCs w:val="28"/>
          <w:shd w:val="clear" w:color="auto" w:fill="FFFFFF"/>
          <w:lang w:val="en-US"/>
        </w:rPr>
        <w:t>IDL</w:t>
      </w:r>
      <w:r w:rsidRPr="00107040">
        <w:rPr>
          <w:rFonts w:ascii="Times New Roman" w:hAnsi="Times New Roman"/>
          <w:sz w:val="28"/>
          <w:szCs w:val="28"/>
          <w:shd w:val="clear" w:color="auto" w:fill="FFFFFF"/>
        </w:rPr>
        <w:t xml:space="preserve">) в повторяющихся последовательностях ДНК являются субстратами пути </w:t>
      </w:r>
      <w:r w:rsidRPr="00107040">
        <w:rPr>
          <w:rFonts w:ascii="Times New Roman" w:hAnsi="Times New Roman"/>
          <w:sz w:val="28"/>
          <w:szCs w:val="28"/>
          <w:shd w:val="clear" w:color="auto" w:fill="FFFFFF"/>
          <w:lang w:val="en-US"/>
        </w:rPr>
        <w:t>MMR</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lang w:val="en-US"/>
        </w:rPr>
        <w:fldChar w:fldCharType="begin"/>
      </w:r>
      <w:r w:rsidR="008611DC">
        <w:rPr>
          <w:rStyle w:val="jlqj4b"/>
          <w:rFonts w:ascii="Times New Roman" w:hAnsi="Times New Roman"/>
          <w:sz w:val="28"/>
          <w:szCs w:val="28"/>
        </w:rPr>
        <w:instrText xml:space="preserve"> ADDIN ZOTERO_ITEM CSL_CITATION {"citationID":"DmgtvtVC","properties":{"formattedCitation":"[69,110]","plainCitation":"[69,110]","noteIndex":0},"citationItems":[{"id":60,"uris":["http://zotero.org/users/9078202/items/YPR9V5YC"],"itemData":{"id":60,"type":"book","abstract":"An essential resource for all scientists researching cellular responses to DNA damage. • Introduces important new material reflective of the major changes and developments that have occurred in the field over the last decade.  • Discussed the field within a strong historical framework, and all aspects of biological responses to DNA damage are detailed.   • Provides information on covering sources and consequences of DNA damage; correcting altered bases in DNA: DNA repair; DNA damage tolerance and mutagenesis; regulatory responses to DNA damage in eukaryotes; and disease states associated with defective biological responses to DNA damage.","ISBN":"978-1-55581-319-2","language":"en","note":"Google-Books-ID: VAKsBAAAQBAJ","number-of-pages":"2845","publisher":"American Society for Microbiology Press","source":"Google Books","title":"DNA Repair and Mutagenesis","author":[{"family":"Friedberg","given":"Errol C."},{"family":"Walker","given":"Graham C."},{"family":"Siede","given":"Wolfram"},{"family":"Wood","given":"Richard D."}],"issued":{"date-parts":[["2005",11,22]]}}},{"id":38,"uris":["http://zotero.org/users/9078202/items/PMSIY72E"],"itemData":{"id":38,"type":"article-journal","abstract":"By removing biosynthetic errors from newly synthesized DNA, mismatch repair (MMR) improves the fidelity of DNA replication by several orders of magnitude. Loss of MMR brings about a mutator phenotype, which causes a predisposition to cancer. But MMR status also affects meiotic and mitotic recombination, DNA-damage signalling, apoptosis and cell-type-specific processes such as class-switch recombination, somatic hypermutation and triplet-repeat expansion. This article reviews our current understanding of this multifaceted DNA-repair system in human cells.","container-title":"Nature Reviews. Molecular Cell Biology","DOI":"10.1038/nrm1907","ISSN":"1471-0072","issue":"5","journalAbbreviation":"Nat Rev Mol Cell Biol","language":"eng","note":"PMID: 16612326","page":"335-346","source":"PubMed","title":"The multifaceted mismatch-repair system","volume":"7","author":[{"family":"Jiricny","given":"Josef"}],"issued":{"date-parts":[["2006",5]]}}}],"schema":"https://github.com/citation-style-language/schema/raw/master/csl-citation.json"} </w:instrText>
      </w:r>
      <w:r w:rsidRPr="00107040">
        <w:rPr>
          <w:rStyle w:val="jlqj4b"/>
          <w:rFonts w:ascii="Times New Roman" w:hAnsi="Times New Roman"/>
          <w:sz w:val="28"/>
          <w:szCs w:val="28"/>
          <w:lang w:val="en-US"/>
        </w:rPr>
        <w:fldChar w:fldCharType="separate"/>
      </w:r>
      <w:r w:rsidR="008611DC" w:rsidRPr="008611DC">
        <w:rPr>
          <w:rFonts w:ascii="Times New Roman" w:hAnsi="Times New Roman"/>
          <w:sz w:val="28"/>
        </w:rPr>
        <w:t>[69,110]</w:t>
      </w:r>
      <w:r w:rsidRPr="00107040">
        <w:rPr>
          <w:rStyle w:val="jlqj4b"/>
          <w:rFonts w:ascii="Times New Roman" w:hAnsi="Times New Roman"/>
          <w:sz w:val="28"/>
          <w:szCs w:val="28"/>
          <w:lang w:val="en-US"/>
        </w:rPr>
        <w:fldChar w:fldCharType="end"/>
      </w:r>
      <w:r w:rsidRPr="00107040">
        <w:rPr>
          <w:rFonts w:ascii="Times New Roman" w:hAnsi="Times New Roman"/>
          <w:sz w:val="28"/>
          <w:szCs w:val="28"/>
          <w:shd w:val="clear" w:color="auto" w:fill="FFFFFF"/>
        </w:rPr>
        <w:t xml:space="preserve">. </w:t>
      </w:r>
      <w:r w:rsidRPr="00107040">
        <w:rPr>
          <w:rFonts w:ascii="Times New Roman" w:hAnsi="Times New Roman"/>
          <w:sz w:val="28"/>
          <w:szCs w:val="28"/>
          <w:shd w:val="clear" w:color="auto" w:fill="FFFFFF"/>
          <w:lang w:val="en-US"/>
        </w:rPr>
        <w:t>MMR</w:t>
      </w:r>
      <w:r w:rsidRPr="00107040">
        <w:rPr>
          <w:rFonts w:ascii="Times New Roman" w:hAnsi="Times New Roman"/>
          <w:sz w:val="28"/>
          <w:szCs w:val="28"/>
          <w:shd w:val="clear" w:color="auto" w:fill="FFFFFF"/>
        </w:rPr>
        <w:t xml:space="preserve"> также участвует в таких процессах, как мейотическая и митотическая рекомбинация, передача сигналов о повреждении ДНК, апоптоз и т.д.</w:t>
      </w:r>
      <w:r w:rsidRPr="00107040">
        <w:rPr>
          <w:rStyle w:val="jlqj4b"/>
          <w:rFonts w:ascii="Times New Roman" w:hAnsi="Times New Roman"/>
          <w:sz w:val="28"/>
          <w:szCs w:val="28"/>
          <w:shd w:val="clear" w:color="auto" w:fill="FFFFFF"/>
        </w:rPr>
        <w:t xml:space="preserve"> </w:t>
      </w:r>
      <w:r w:rsidRPr="00107040">
        <w:rPr>
          <w:rStyle w:val="jlqj4b"/>
          <w:rFonts w:ascii="Times New Roman" w:hAnsi="Times New Roman"/>
          <w:sz w:val="28"/>
          <w:szCs w:val="28"/>
        </w:rPr>
        <w:fldChar w:fldCharType="begin"/>
      </w:r>
      <w:r w:rsidR="008611DC">
        <w:rPr>
          <w:rStyle w:val="jlqj4b"/>
          <w:rFonts w:ascii="Times New Roman" w:hAnsi="Times New Roman"/>
          <w:sz w:val="28"/>
          <w:szCs w:val="28"/>
        </w:rPr>
        <w:instrText xml:space="preserve"> ADDIN ZOTERO_ITEM CSL_CITATION {"citationID":"EnGSICRj","properties":{"formattedCitation":"[110\\uc0\\u8211{}112]","plainCitation":"[110–112]","noteIndex":0},"citationItems":[{"id":38,"uris":["http://zotero.org/users/9078202/items/PMSIY72E"],"itemData":{"id":38,"type":"article-journal","abstract":"By removing biosynthetic errors from newly synthesized DNA, mismatch repair (MMR) improves the fidelity of DNA replication by several orders of magnitude. Loss of MMR brings about a mutator phenotype, which causes a predisposition to cancer. But MMR status also affects meiotic and mitotic recombination, DNA-damage signalling, apoptosis and cell-type-specific processes such as class-switch recombination, somatic hypermutation and triplet-repeat expansion. This article reviews our current understanding of this multifaceted DNA-repair system in human cells.","container-title":"Nature Reviews. Molecular Cell Biology","DOI":"10.1038/nrm1907","ISSN":"1471-0072","issue":"5","journalAbbreviation":"Nat Rev Mol Cell Biol","language":"eng","note":"PMID: 16612326","page":"335-346","source":"PubMed","title":"The multifaceted mismatch-repair system","volume":"7","author":[{"family":"Jiricny","given":"Josef"}],"issued":{"date-parts":[["2006",5]]}}},{"id":37,"uris":["http://zotero.org/users/9078202/items/XQXA5YKL"],"itemData":{"id":37,"type":"article-journal","abstract":"The mismatch repair (MMR) system detects non-Watson-Crick base pairs and strand misalignments arising during DNA replication and mediates their removal by catalyzing excision of the mispair-containing tract of nascent DNA and its error-free resynthesis. In this way, MMR improves the fidelity of replication by several orders of magnitude. It also addresses mispairs and strand misalignments arising during recombination and prevents synapses between nonidentical DNA sequences. Unsurprisingly, MMR malfunction brings about genomic instability that leads to cancer in mammals. But MMR proteins have recently been implicated also in other processes of DNA metabolism, such as DNA damage signaling, antibody diversification, and repair of interstrand cross-links and oxidative DNA damage, in which their functions remain to be elucidated. This article reviews the progress in our understanding of the mechanism of replication error repair made during the past decade.","container-title":"Cold Spring Harbor Perspectives in Biology","DOI":"10.1101/cshperspect.a012633","ISSN":"1943-0264","issue":"4","journalAbbreviation":"Cold Spring Harb Perspect Biol","language":"eng","note":"PMID: 23545421\nPMCID: PMC3683899","page":"a012633","source":"PubMed","title":"Postreplicative mismatch repair","volume":"5","author":[{"family":"Jiricny","given":"Josef"}],"issued":{"date-parts":[["2013",4,1]]}}},{"id":36,"uris":["http://zotero.org/users/9078202/items/3WRWWEMN"],"itemData":{"id":36,"type":"article-journal","abstract":"Trinucleotide repeat (TNR) expansion beyond a certain threshold results in some 20 incurable neurodegenerative disorders where disease anticipation positively correlates with repeat length. Long TNRs typically display a bias toward further expansion during germinal transmission from parents to offspring, and then are highly unstable in somatic tissues of affected individuals. Understanding mechanisms of TNR instability will provide insights into disease pathogenesis. Previously, we showed that enhanced convergent transcription at long CAG repeat tracks induces TNR instability and cell death via ATR activation. Components of TC-NER (transcription-coupled nucleotide excision repair) and RNaseH enzymes that resolve RNA/DNA hybrids oppose cell death, whereas the MSH2 component of MMR (mismatch repair) enhances cell death. The exact role of the MMR pathway during convergent transcription-induced cell death at CAG repeats is not well understood. In this study, we show that siRNA knockdowns of MMR components-MSH2, MSH3, MLHI, PMS2, and PCNA-reduce DNA toxicity. Furthermore, knockdown of MSH2, MLH1, and PMS2 significantly reduces the frequency of ATR foci formation. These observations suggest that MMR proteins activate DNA toxicity by modulating ATR foci formation during convergent transcription.","container-title":"DNA repair","DOI":"10.1016/j.dnarep.2016.03.016","ISSN":"1568-7856","journalAbbreviation":"DNA Repair (Amst)","language":"eng","note":"PMID: 27131875\nPMCID: PMC4889435","page":"26-32","source":"PubMed","title":"Mismatch repair enhances convergent transcription-induced cell death at trinucleotide repeats by activating ATR","volume":"42","author":[{"family":"Chatterjee","given":"Nimrat"},{"family":"Lin","given":"Yunfu"},{"family":"Wilson","given":"John H."}],"issued":{"date-parts":[["2016",6]]}}}],"schema":"https://github.com/citation-style-language/schema/raw/master/csl-citation.json"} </w:instrText>
      </w:r>
      <w:r w:rsidRPr="00107040">
        <w:rPr>
          <w:rStyle w:val="jlqj4b"/>
          <w:rFonts w:ascii="Times New Roman" w:hAnsi="Times New Roman"/>
          <w:sz w:val="28"/>
          <w:szCs w:val="28"/>
        </w:rPr>
        <w:fldChar w:fldCharType="separate"/>
      </w:r>
      <w:r w:rsidR="008611DC" w:rsidRPr="008611DC">
        <w:rPr>
          <w:rFonts w:ascii="Times New Roman" w:hAnsi="Times New Roman"/>
          <w:sz w:val="28"/>
          <w:szCs w:val="24"/>
        </w:rPr>
        <w:t>[110–112]</w:t>
      </w:r>
      <w:r w:rsidRPr="00107040">
        <w:rPr>
          <w:rStyle w:val="jlqj4b"/>
          <w:rFonts w:ascii="Times New Roman" w:hAnsi="Times New Roman"/>
          <w:sz w:val="28"/>
          <w:szCs w:val="28"/>
        </w:rPr>
        <w:fldChar w:fldCharType="end"/>
      </w:r>
      <w:r w:rsidRPr="00107040">
        <w:rPr>
          <w:rFonts w:ascii="Times New Roman" w:hAnsi="Times New Roman"/>
          <w:sz w:val="28"/>
          <w:szCs w:val="28"/>
          <w:shd w:val="clear" w:color="auto" w:fill="FFFFFF"/>
        </w:rPr>
        <w:t xml:space="preserve">. Мутации в генах </w:t>
      </w:r>
      <w:r w:rsidRPr="00107040">
        <w:rPr>
          <w:rFonts w:ascii="Times New Roman" w:hAnsi="Times New Roman"/>
          <w:sz w:val="28"/>
          <w:szCs w:val="28"/>
          <w:shd w:val="clear" w:color="auto" w:fill="FFFFFF"/>
          <w:lang w:val="en-US"/>
        </w:rPr>
        <w:t>MMR</w:t>
      </w:r>
      <w:r w:rsidRPr="00107040">
        <w:rPr>
          <w:rFonts w:ascii="Times New Roman" w:hAnsi="Times New Roman"/>
          <w:sz w:val="28"/>
          <w:szCs w:val="28"/>
          <w:shd w:val="clear" w:color="auto" w:fill="FFFFFF"/>
        </w:rPr>
        <w:t xml:space="preserve"> приводят к синдрому Линча, также известному как наследственный неполипозный колоректальный рак или </w:t>
      </w:r>
      <w:r w:rsidRPr="00107040">
        <w:rPr>
          <w:rFonts w:ascii="Times New Roman" w:hAnsi="Times New Roman"/>
          <w:sz w:val="28"/>
          <w:szCs w:val="28"/>
          <w:shd w:val="clear" w:color="auto" w:fill="FFFFFF"/>
          <w:lang w:val="en-US"/>
        </w:rPr>
        <w:t>HNPCC</w:t>
      </w:r>
      <w:r w:rsidRPr="00107040">
        <w:rPr>
          <w:rFonts w:ascii="Times New Roman" w:hAnsi="Times New Roman"/>
          <w:sz w:val="28"/>
          <w:szCs w:val="28"/>
          <w:shd w:val="clear" w:color="auto" w:fill="FFFFFF"/>
        </w:rPr>
        <w:t xml:space="preserve"> </w:t>
      </w:r>
      <w:r w:rsidRPr="00107040">
        <w:rPr>
          <w:rStyle w:val="jlqj4b"/>
          <w:rFonts w:ascii="Times New Roman" w:hAnsi="Times New Roman"/>
          <w:sz w:val="28"/>
          <w:szCs w:val="28"/>
        </w:rPr>
        <w:fldChar w:fldCharType="begin"/>
      </w:r>
      <w:r w:rsidR="008611DC">
        <w:rPr>
          <w:rStyle w:val="jlqj4b"/>
          <w:rFonts w:ascii="Times New Roman" w:hAnsi="Times New Roman"/>
          <w:sz w:val="28"/>
          <w:szCs w:val="28"/>
        </w:rPr>
        <w:instrText xml:space="preserve"> ADDIN ZOTERO_ITEM CSL_CITATION {"citationID":"0q7iqMyd","properties":{"formattedCitation":"[113]","plainCitation":"[113]","noteIndex":0},"citationItems":[{"id":35,"uris":["http://zotero.org/users/9078202/items/N543RXN5"],"itemData":{"id":35,"type":"article-journal","abstract":"Five human DNA mismatch repair genes have been identified that, when mutated, cause susceptibility to hereditary nonpolyposis colorectal cancer (HNPCC). Mutational inactivation of both copies of a DNA mismatch repair gene results in a profound repair defect and progressive accumulation of mutations throughout the genome. Some of the mutations confer selective advantage on the cells, giving rise to cancer. Recent discoveries suggest that apart from postreplication repair, DNA mismatch repair proteins have several other functions that are highly relevant to carcinogenesis. These include DNA damage surveillance, prevention of recombination between nonidentical sequences and participation in meiotic processes (chromosome pairing). A brief overview of these different features of the human DNA mismatch repair system will be provided, with the emphasis in their implications in cancer development.","container-title":"Mutation Research","DOI":"10.1016/s1383-5742(00)00058-2","ISSN":"0027-5107","issue":"1","journalAbbreviation":"Mutat Res","language":"eng","note":"PMID: 11223406","page":"77-85","source":"PubMed","title":"DNA mismatch repair and cancer","volume":"488","author":[{"family":"Peltomäki","given":"P."}],"issued":{"date-parts":[["2001",3]]}}}],"schema":"https://github.com/citation-style-language/schema/raw/master/csl-citation.json"} </w:instrText>
      </w:r>
      <w:r w:rsidRPr="00107040">
        <w:rPr>
          <w:rStyle w:val="jlqj4b"/>
          <w:rFonts w:ascii="Times New Roman" w:hAnsi="Times New Roman"/>
          <w:sz w:val="28"/>
          <w:szCs w:val="28"/>
        </w:rPr>
        <w:fldChar w:fldCharType="separate"/>
      </w:r>
      <w:r w:rsidR="008611DC" w:rsidRPr="008611DC">
        <w:rPr>
          <w:rFonts w:ascii="Times New Roman" w:hAnsi="Times New Roman"/>
          <w:sz w:val="28"/>
        </w:rPr>
        <w:t>[113]</w:t>
      </w:r>
      <w:r w:rsidRPr="00107040">
        <w:rPr>
          <w:rStyle w:val="jlqj4b"/>
          <w:rFonts w:ascii="Times New Roman" w:hAnsi="Times New Roman"/>
          <w:sz w:val="28"/>
          <w:szCs w:val="28"/>
        </w:rPr>
        <w:fldChar w:fldCharType="end"/>
      </w:r>
      <w:r w:rsidRPr="00107040">
        <w:rPr>
          <w:rStyle w:val="jlqj4b"/>
          <w:rFonts w:ascii="Times New Roman" w:hAnsi="Times New Roman"/>
          <w:sz w:val="28"/>
          <w:szCs w:val="28"/>
        </w:rPr>
        <w:t>.</w:t>
      </w:r>
      <w:r w:rsidRPr="00107040">
        <w:rPr>
          <w:rStyle w:val="viiyi"/>
          <w:rFonts w:ascii="Times New Roman" w:hAnsi="Times New Roman"/>
          <w:sz w:val="28"/>
          <w:szCs w:val="28"/>
        </w:rPr>
        <w:t xml:space="preserve"> Было показано, что при модификации хроматина белки </w:t>
      </w:r>
      <w:r w:rsidRPr="00107040">
        <w:rPr>
          <w:rStyle w:val="viiyi"/>
          <w:rFonts w:ascii="Times New Roman" w:hAnsi="Times New Roman"/>
          <w:sz w:val="28"/>
          <w:szCs w:val="28"/>
          <w:lang w:val="en-US"/>
        </w:rPr>
        <w:t>MMR</w:t>
      </w:r>
      <w:r w:rsidRPr="00107040">
        <w:rPr>
          <w:rStyle w:val="viiyi"/>
          <w:rFonts w:ascii="Times New Roman" w:hAnsi="Times New Roman"/>
          <w:sz w:val="28"/>
          <w:szCs w:val="28"/>
        </w:rPr>
        <w:t xml:space="preserve"> получают доступ к повреждениям ДНК и инициируют репарацию </w:t>
      </w:r>
      <w:r w:rsidRPr="00107040">
        <w:rPr>
          <w:rStyle w:val="jlqj4b"/>
          <w:rFonts w:ascii="Times New Roman" w:hAnsi="Times New Roman"/>
          <w:sz w:val="28"/>
          <w:szCs w:val="28"/>
        </w:rPr>
        <w:fldChar w:fldCharType="begin"/>
      </w:r>
      <w:r w:rsidR="008611DC">
        <w:rPr>
          <w:rStyle w:val="jlqj4b"/>
          <w:rFonts w:ascii="Times New Roman" w:hAnsi="Times New Roman"/>
          <w:sz w:val="28"/>
          <w:szCs w:val="28"/>
        </w:rPr>
        <w:instrText xml:space="preserve"> ADDIN ZOTERO_ITEM CSL_CITATION {"citationID":"ypcsFMNI","properties":{"formattedCitation":"[114,115]","plainCitation":"[114,115]","noteIndex":0},"citationItems":[{"id":34,"uris":["http://zotero.org/users/9078202/items/3XA87MD7"],"itemData":{"id":34,"type":"article-journal","abstract":"DNA mismatch repair (MMR) ensures replication fidelity by correcting mismatches generated during DNA replication. Although human MMR has been reconstituted in vitro, how MMR occurs in vivo is unknown. Here, we show that an epigenetic histone mark, H3K36me3, is required in vivo to recruit the mismatch recognition protein hMutSα (hMSH2-hMSH6) onto chromatin through direct interactions with the hMSH6 PWWP domain. The abundance of H3K36me3 in G1 and early S phases ensures that hMutSα is enriched on chromatin before mispairs are introduced during DNA replication. Cells lacking the H3K36 trimethyltransferase SETD2 display microsatellite instability (MSI) and an elevated spontaneous mutation frequency, characteristic of MMR-deficient cells. This work reveals that a histone mark regulates MMR in human cells and explains the long-standing puzzle of MSI-positive cancer cells that lack detectable mutations in known MMR genes.","container-title":"Cell","DOI":"10.1016/j.cell.2013.03.025","ISSN":"1097-4172","issue":"3","journalAbbreviation":"Cell","language":"eng","note":"PMID: 23622243\nPMCID: PMC3641580","page":"590-600","source":"PubMed","title":"The histone mark H3K36me3 regulates human DNA mismatch repair through its interaction with MutSα","volume":"153","author":[{"family":"Li","given":"Feng"},{"family":"Mao","given":"Guogen"},{"family":"Tong","given":"Dan"},{"family":"Huang","given":"Jian"},{"family":"Gu","given":"Liya"},{"family":"Yang","given":"Wei"},{"family":"Li","given":"Guo-Min"}],"issued":{"date-parts":[["2013",4,25]]}}},{"id":33,"uris":["http://zotero.org/users/9078202/items/8HSPUBQJ"],"itemData":{"id":33,"type":"article-journal","abstract":"DNA mismatch repair (MMR) maintains genome stability primarily by repairing DNA replication-associated mispairs. Because loss of MMR function increases the mutation frequency genome-wide, defects in this pathway predispose affected individuals to cancer. The genes encoding essential eukaryotic MMR activities have been identified, as the recombinant proteins repair 'naked' heteroduplex DNA in vitro. However, the reconstituted system is inactive on nucleosome-containing heteroduplex DNA, and it is not understood how MMR occurs in vivo. Recent studies suggest that chromatin organization, nucleosome assembly/disassembly factors and histone modifications regulate MMR in eukaryotic cells, but the complexity and importance of the interaction between MMR and chromatin remodeling has only recently begun to be appreciated. This article reviews recent progress in understanding the mechanism of eukaryotic MMR in the context of chromatin structure and dynamics, considers the implications of these recent findings and discusses unresolved questions and challenges in understanding eukaryotic MMR.","container-title":"DNA repair","DOI":"10.1016/j.dnarep.2014.03.027","ISSN":"1568-7856","journalAbbreviation":"DNA Repair (Amst)","language":"eng","note":"PMID: 24767944\nPMCID: PMC4127414","page":"48-54","source":"PubMed","title":"New insights and challenges in mismatch repair: getting over the chromatin hurdle","title-short":"New insights and challenges in mismatch repair","volume":"19","author":[{"family":"Li","given":"Guo-Min"}],"issued":{"date-parts":[["2014",7]]}}}],"schema":"https://github.com/citation-style-language/schema/raw/master/csl-citation.json"} </w:instrText>
      </w:r>
      <w:r w:rsidRPr="00107040">
        <w:rPr>
          <w:rStyle w:val="jlqj4b"/>
          <w:rFonts w:ascii="Times New Roman" w:hAnsi="Times New Roman"/>
          <w:sz w:val="28"/>
          <w:szCs w:val="28"/>
        </w:rPr>
        <w:fldChar w:fldCharType="separate"/>
      </w:r>
      <w:r w:rsidR="008611DC" w:rsidRPr="008611DC">
        <w:rPr>
          <w:rFonts w:ascii="Times New Roman" w:hAnsi="Times New Roman"/>
          <w:sz w:val="28"/>
        </w:rPr>
        <w:t>[114,115]</w:t>
      </w:r>
      <w:r w:rsidRPr="00107040">
        <w:rPr>
          <w:rStyle w:val="jlqj4b"/>
          <w:rFonts w:ascii="Times New Roman" w:hAnsi="Times New Roman"/>
          <w:sz w:val="28"/>
          <w:szCs w:val="28"/>
        </w:rPr>
        <w:fldChar w:fldCharType="end"/>
      </w:r>
      <w:r w:rsidRPr="00107040">
        <w:rPr>
          <w:rStyle w:val="jlqj4b"/>
          <w:rFonts w:ascii="Times New Roman" w:hAnsi="Times New Roman"/>
          <w:sz w:val="28"/>
          <w:szCs w:val="28"/>
        </w:rPr>
        <w:t>.</w:t>
      </w:r>
    </w:p>
    <w:p w14:paraId="361FC653" w14:textId="05E18255" w:rsidR="00107040" w:rsidRPr="00107040" w:rsidRDefault="00107040" w:rsidP="00107040">
      <w:pPr>
        <w:pStyle w:val="17"/>
        <w:spacing w:before="0" w:beforeAutospacing="0" w:after="0" w:afterAutospacing="0"/>
        <w:ind w:firstLine="567"/>
        <w:jc w:val="both"/>
        <w:rPr>
          <w:sz w:val="28"/>
          <w:szCs w:val="28"/>
        </w:rPr>
      </w:pPr>
      <w:r w:rsidRPr="00107040">
        <w:rPr>
          <w:sz w:val="28"/>
          <w:szCs w:val="28"/>
        </w:rPr>
        <w:t xml:space="preserve">У человека есть гетеродимер MutSα (MSH2/MSH6) для распознавания несовпадений оснований и IDL, состоящих из одного-двух нуклеотидов, и гетеродимер MutSβ (MSH2/MSH3) для распознавания больших IDL </w:t>
      </w:r>
      <w:r w:rsidRPr="00107040">
        <w:rPr>
          <w:rStyle w:val="jlqj4b"/>
          <w:sz w:val="28"/>
          <w:szCs w:val="28"/>
        </w:rPr>
        <w:fldChar w:fldCharType="begin"/>
      </w:r>
      <w:r w:rsidR="008611DC">
        <w:rPr>
          <w:rStyle w:val="jlqj4b"/>
          <w:sz w:val="28"/>
          <w:szCs w:val="28"/>
        </w:rPr>
        <w:instrText xml:space="preserve"> ADDIN ZOTERO_ITEM CSL_CITATION {"citationID":"YnieqlBg","properties":{"formattedCitation":"[116,117]","plainCitation":"[116,117]","noteIndex":0},"citationItems":[{"id":32,"uris":["http://zotero.org/users/9078202/items/H82IBWXK"],"itemData":{"id":32,"type":"article-journal","abstract":"DNA mismatch repair (MMR) is an evolutionarily conserved process that corrects mismatches generated during DNA replication and escape proofreading. MMR proteins also participate in many other DNA transactions, such that inactivation of MMR can have wide-ranging biological consequences, which can be either beneficial or detrimental. We begin this review by briefly considering the multiple functions of MMR proteins and the consequences of impaired function. We then focus on the biochemical mechanism of MMR replication errors. Emphasis is on structure-function studies of MMR proteins, on how mismatches are recognized, on the process by which the newly replicated strand is identified, and on excision of the replication error.","container-title":"Annual Review of Biochemistry","DOI":"10.1146/annurev.biochem.74.082803.133243","ISSN":"0066-4154","journalAbbreviation":"Annu Rev Biochem","language":"eng","note":"PMID: 15952900","page":"681-710","source":"PubMed","title":"DNA mismatch repair","volume":"74","author":[{"family":"Kunkel","given":"Thomas A."},{"family":"Erie","given":"Dorothy A."}],"issued":{"date-parts":[["2005"]]}}},{"id":31,"uris":["http://zotero.org/users/9078202/items/NY8ZQRKU"],"itemData":{"id":31,"type":"article-journal","abstract":"The homologues of MutS, mismatch repair protein, exist in all prokaryotes, with the exception of Actinobacteria, Mollicutes and part of the Archaea. Multiple alignments of 316 MutS amino acid sequences from 169 species revealed conserved residues and sequence motifs distinguishing MutS homologues. All MutS homologues show high conservation within the ATPase domain. MutS1, the homologue responsible for DNA mismatch recognition, is common in Archaea and Bacteria. MutS1 is distinguished by the N-terminal mismatch binding domain containing the GXFXE motif shared by all MutS1 homologues and MSH6 homologues in eukaryotes. Less common than MutS1, MutS2, the suppressor of homologous recombination, is rendered distinctive by the C-terminal Smr endonuclease domain containing the conserved HGXG motif. MutS1 and MutS2 are of enormous significance in maintaining genome integrity. The functions of the other homologues: MutS2-like, MutS3, MutS4, and MutS5 have not yet been found. Each of these homologues exists in a narrower range of taxonomic groups than MutS1 or MutS2 and has neither the mismatch binding nor the Smr domain. The number of different MutS homologues in a single organism usually ranges from one to four; there are rarely five and six only occur exceptionally. The diversity of MutS types and structures begs the question as to how this diversity influenced the evolution of genomes.","container-title":"Mutation Research","DOI":"10.1016/j.mrfmmm.2010.08.009","ISSN":"0027-5107","issue":"1-2","journalAbbreviation":"Mutat Res","language":"eng","note":"PMID: 20833188","page":"20-30","source":"PubMed","title":"Conservation and diversity of MutS proteins","volume":"694","author":[{"family":"Sachadyn","given":"Paweł"}],"issued":{"date-parts":[["2010",12,10]]}}}],"schema":"https://github.com/citation-style-language/schema/raw/master/csl-citation.json"} </w:instrText>
      </w:r>
      <w:r w:rsidRPr="00107040">
        <w:rPr>
          <w:rStyle w:val="jlqj4b"/>
          <w:sz w:val="28"/>
          <w:szCs w:val="28"/>
        </w:rPr>
        <w:fldChar w:fldCharType="separate"/>
      </w:r>
      <w:r w:rsidR="008611DC" w:rsidRPr="008611DC">
        <w:rPr>
          <w:sz w:val="28"/>
        </w:rPr>
        <w:t>[116,117]</w:t>
      </w:r>
      <w:r w:rsidRPr="00107040">
        <w:rPr>
          <w:rStyle w:val="jlqj4b"/>
          <w:sz w:val="28"/>
          <w:szCs w:val="28"/>
        </w:rPr>
        <w:fldChar w:fldCharType="end"/>
      </w:r>
      <w:r w:rsidRPr="00107040">
        <w:rPr>
          <w:rStyle w:val="jlqj4b"/>
          <w:sz w:val="28"/>
          <w:szCs w:val="28"/>
        </w:rPr>
        <w:t xml:space="preserve">. Было показано, что при несоответствии оснований MutL может захватывать </w:t>
      </w:r>
      <w:r w:rsidRPr="00107040">
        <w:rPr>
          <w:rStyle w:val="jlqj4b"/>
          <w:sz w:val="28"/>
          <w:szCs w:val="28"/>
        </w:rPr>
        <w:lastRenderedPageBreak/>
        <w:t xml:space="preserve">MutS до того, как он образует скользящий зажим </w:t>
      </w:r>
      <w:r w:rsidRPr="00107040">
        <w:rPr>
          <w:rStyle w:val="jlqj4b"/>
          <w:sz w:val="28"/>
          <w:szCs w:val="28"/>
          <w:lang w:val="en"/>
        </w:rPr>
        <w:fldChar w:fldCharType="begin"/>
      </w:r>
      <w:r w:rsidR="008611DC">
        <w:rPr>
          <w:rStyle w:val="jlqj4b"/>
          <w:sz w:val="28"/>
          <w:szCs w:val="28"/>
        </w:rPr>
        <w:instrText xml:space="preserve"> ADDIN ZOTERO_ITEM CSL_CITATION {"citationID":"Xvogy45L","properties":{"formattedCitation":"[118]","plainCitation":"[118]","noteIndex":0},"citationItems":[{"id":30,"uris":["http://zotero.org/users/9078202/items/A6MDDL99"],"itemData":{"id":30,"type":"article-journal","abstract":"DNA mismatch repair (MMR) identifies and corrects errors made during replication. In all organisms except those expressing MutH, interactions between a DNA mismatch, MutS, MutL, and the replication processivity factor (β-clamp or PCNA) activate the latent MutL endonuclease to nick the error-containing daughter strand. This nick provides an entry point for downstream repair proteins. Despite the well-established significance of strand-specific nicking in MMR, the mechanism(s) by which MutS and MutL assemble on mismatch DNA to allow the subsequent activation of MutL's endonuclease activity by β-clamp/PCNA remains elusive. In both prokaryotes and eukaryotes, MutS homologs undergo conformational changes to a mobile clamp state that can move away from the mismatch. However, the function of this MutS mobile clamp is unknown. Furthermore, whether the interaction with MutL leads to a mobile MutS-MutL complex or a mismatch-localized complex is hotly debated. We used single molecule FRET to determine that Thermus aquaticus MutL traps MutS at a DNA mismatch after recognition but before its conversion to a sliding clamp. Rather than a clamp, a conformationally dynamic protein assembly typically containing more MutL than MutS is formed at the mismatch. This complex provides a local marker where interaction with β-clamp/PCNA could distinguish parent/daughter strand identity. Our finding that MutL fundamentally changes MutS actions following mismatch detection reframes current thinking on MMR signaling processes critical for genomic stability.","container-title":"Proceedings of the National Academy of Sciences of the United States of America","DOI":"10.1073/pnas.1505655112","ISSN":"1091-6490","issue":"35","journalAbbreviation":"Proc Natl Acad Sci U S A","language":"eng","note":"PMID: 26283381\nPMCID: PMC4568282","page":"10914-10919","source":"PubMed","title":"MutL traps MutS at a DNA mismatch","volume":"112","author":[{"family":"Qiu","given":"Ruoyi"},{"family":"Sakato","given":"Miho"},{"family":"Sacho","given":"Elizabeth J."},{"family":"Wilkins","given":"Hunter"},{"family":"Zhang","given":"Xingdong"},{"family":"Modrich","given":"Paul"},{"family":"Hingorani","given":"Manju M."},{"family":"Erie","given":"Dorothy A."},{"family":"Weninger","given":"Keith R."}],"issued":{"date-parts":[["2015",9,1]]}}}],"schema":"https://github.com/citation-style-language/schema/raw/master/csl-citation.json"} </w:instrText>
      </w:r>
      <w:r w:rsidRPr="00107040">
        <w:rPr>
          <w:rStyle w:val="jlqj4b"/>
          <w:sz w:val="28"/>
          <w:szCs w:val="28"/>
          <w:lang w:val="en"/>
        </w:rPr>
        <w:fldChar w:fldCharType="separate"/>
      </w:r>
      <w:r w:rsidR="008611DC" w:rsidRPr="008611DC">
        <w:rPr>
          <w:sz w:val="28"/>
        </w:rPr>
        <w:t>[118]</w:t>
      </w:r>
      <w:r w:rsidRPr="00107040">
        <w:rPr>
          <w:rStyle w:val="jlqj4b"/>
          <w:sz w:val="28"/>
          <w:szCs w:val="28"/>
          <w:lang w:val="en"/>
        </w:rPr>
        <w:fldChar w:fldCharType="end"/>
      </w:r>
      <w:r w:rsidRPr="00107040">
        <w:rPr>
          <w:rStyle w:val="jlqj4b"/>
          <w:sz w:val="28"/>
          <w:szCs w:val="28"/>
        </w:rPr>
        <w:t xml:space="preserve">, после чего комплексы </w:t>
      </w:r>
      <w:r w:rsidRPr="00107040">
        <w:rPr>
          <w:rStyle w:val="jlqj4b"/>
          <w:sz w:val="28"/>
          <w:szCs w:val="28"/>
          <w:lang w:val="en"/>
        </w:rPr>
        <w:t>MutL</w:t>
      </w:r>
      <w:r w:rsidRPr="00107040">
        <w:rPr>
          <w:rStyle w:val="jlqj4b"/>
          <w:sz w:val="28"/>
          <w:szCs w:val="28"/>
        </w:rPr>
        <w:t xml:space="preserve"> рекрутируются в ДНК </w:t>
      </w:r>
      <w:r w:rsidRPr="00107040">
        <w:rPr>
          <w:sz w:val="28"/>
          <w:szCs w:val="28"/>
          <w:shd w:val="clear" w:color="auto" w:fill="F5F5F5"/>
        </w:rPr>
        <w:fldChar w:fldCharType="begin"/>
      </w:r>
      <w:r w:rsidR="008611DC">
        <w:rPr>
          <w:sz w:val="28"/>
          <w:szCs w:val="28"/>
          <w:shd w:val="clear" w:color="auto" w:fill="F5F5F5"/>
        </w:rPr>
        <w:instrText xml:space="preserve"> ADDIN ZOTERO_ITEM CSL_CITATION {"citationID":"YDw6d8Kr","properties":{"formattedCitation":"[119]","plainCitation":"[119]","noteIndex":0},"citationItems":[{"id":28,"uris":["http://zotero.org/users/9078202/items/YPBPLI25"],"itemData":{"id":28,"type":"article-journal","abstract":"DNA mismatch repair is important because of its role in maintaining genomic integrity and its association with hereditary non-polyposis colon cancer (HNPCC). To identify new human mismatch repair proteins, we probed nuclear extracts with the conserved carboxy-terminal MLH1 interaction domain. Here we describe the cloning and complete genomic sequence of MLH3, which encodes a new DNA mismatch repair protein that interacts with MLH1. MLH3 is more similar to mismatch repair proteins from yeast, plants, worms and bacteria than to any known mammalian protein, suggesting that its conserved sequence may confer unique functions in mice and humans. Cells in culture stably expressing a dominant-negative MLH3 protein exhibit microsatellite instability. Mlh3 is highly expressed in gastrointestinal epithelium and physically maps to the mouse complex trait locus colon cancer susceptibility I (Ccs1). Although we were unable to identify a mutation in the protein-coding region of Mlh3 in the susceptible mouse strain, colon tumours from congenic Ccs1 mice exhibit microsatellite instability. Functional redundancy among Mlh3, Pms1 and Pms2 may explain why neither Pms1 nor Pms2 mutant mice develop colon cancer, and why PMS1 and PMS2 mutations are only rarely found in HNPCC families.","container-title":"Nature Genetics","DOI":"10.1038/71643","ISSN":"1061-4036","issue":"1","journalAbbreviation":"Nat Genet","language":"eng","note":"PMID: 10615123","page":"27-35","source":"PubMed","title":"MLH3: a DNA mismatch repair gene associated with mammalian microsatellite instability","title-short":"MLH3","volume":"24","author":[{"family":"Lipkin","given":"S. M."},{"family":"Wang","given":"V."},{"family":"Jacoby","given":"R."},{"family":"Banerjee-Basu","given":"S."},{"family":"Baxevanis","given":"A. D."},{"family":"Lynch","given":"H. T."},{"family":"Elliott","given":"R. M."},{"family":"Collins","given":"F. S."}],"issued":{"date-parts":[["2000",1]]}}}],"schema":"https://github.com/citation-style-language/schema/raw/master/csl-citation.json"} </w:instrText>
      </w:r>
      <w:r w:rsidRPr="00107040">
        <w:rPr>
          <w:sz w:val="28"/>
          <w:szCs w:val="28"/>
          <w:shd w:val="clear" w:color="auto" w:fill="F5F5F5"/>
        </w:rPr>
        <w:fldChar w:fldCharType="separate"/>
      </w:r>
      <w:r w:rsidR="008611DC" w:rsidRPr="008611DC">
        <w:rPr>
          <w:sz w:val="28"/>
        </w:rPr>
        <w:t>[119]</w:t>
      </w:r>
      <w:r w:rsidRPr="00107040">
        <w:rPr>
          <w:sz w:val="28"/>
          <w:szCs w:val="28"/>
          <w:shd w:val="clear" w:color="auto" w:fill="F5F5F5"/>
        </w:rPr>
        <w:fldChar w:fldCharType="end"/>
      </w:r>
      <w:r w:rsidRPr="00107040">
        <w:rPr>
          <w:sz w:val="28"/>
          <w:szCs w:val="28"/>
        </w:rPr>
        <w:t>. MutLα обладает эндонуклеазной активностью и через EXO1 (экзонуклеазу 1) в зависимости от PCNA/RFC играет роль в 3'-разрыв-направленном расщеплении</w:t>
      </w:r>
      <w:r w:rsidRPr="00107040">
        <w:rPr>
          <w:rStyle w:val="jlqj4b"/>
          <w:sz w:val="28"/>
          <w:szCs w:val="28"/>
        </w:rPr>
        <w:t xml:space="preserve"> </w:t>
      </w:r>
      <w:r w:rsidRPr="00107040">
        <w:rPr>
          <w:sz w:val="28"/>
          <w:szCs w:val="28"/>
          <w:shd w:val="clear" w:color="auto" w:fill="F5F5F5"/>
        </w:rPr>
        <w:fldChar w:fldCharType="begin"/>
      </w:r>
      <w:r w:rsidR="008611DC">
        <w:rPr>
          <w:sz w:val="28"/>
          <w:szCs w:val="28"/>
          <w:shd w:val="clear" w:color="auto" w:fill="F5F5F5"/>
        </w:rPr>
        <w:instrText xml:space="preserve"> ADDIN ZOTERO_ITEM CSL_CITATION {"citationID":"YxT0rvS9","properties":{"formattedCitation":"[120,121]","plainCitation":"[120,121]","noteIndex":0},"citationItems":[{"id":27,"uris":["http://zotero.org/users/9078202/items/9R24VCXR"],"itemData":{"id":27,"type":"article-journal","abstract":"This paper reports reconstitution of 5'-nick-directed mismatch repair using purified human proteins. The reconstituted system includes MutSalpha or MutSbeta, MutLalpha, RPA, EXO1, HMGB1, PCNA, RFC, polymerase delta, and ligase I. In this system, MutSbeta plays a limited role in repair of base-base mismatches, but it processes insertion/deletion mispairs much more efficiently than MutSalpha, which efficiently corrects both types of heteroduplexes. MutLalpha reduces the processivity of EXO1 and terminates EXO1-catalyzed excision upon mismatch removal. In the absence of MutLalpha, mismatch-provoked excision by EXO1 occurs extensively. RPA and HMGB1 play similar but complementary roles in stimulating MutSalpha-activated, EXO1-catalyzed excision in the presence of a mismatch, but RPA has a distinct role in facilitating MutLalpha-mediated excision termination past mismatch. Evidence is provided that efficient repair of a single mismatch requires multiple molecules of MutSalpha-MutLalpha complex. These data suggest a model for human mismatch repair involving coordinated initiation and termination of mismatch-provoked excision.","container-title":"Cell","DOI":"10.1016/j.cell.2005.06.027","ISSN":"0092-8674","issue":"5","journalAbbreviation":"Cell","language":"eng","note":"PMID: 16143102","page":"693-705","source":"PubMed","title":"Reconstitution of 5'-directed human mismatch repair in a purified system","volume":"122","author":[{"family":"Zhang","given":"Yanbin"},{"family":"Yuan","given":"Fenghua"},{"family":"Presnell","given":"Steven R."},{"family":"Tian","given":"Keli"},{"family":"Gao","given":"Yin"},{"family":"Tomkinson","given":"Alan E."},{"family":"Gu","given":"Liya"},{"family":"Li","given":"Guo-Min"}],"issued":{"date-parts":[["2005",9,9]]}}},{"id":26,"uris":["http://zotero.org/users/9078202/items/8Z4VHIBQ"],"itemData":{"id":26,"type":"article-journal","abstract":"Half of hereditary nonpolyposis colon cancer kindreds harbor mutations that inactivate MutLalpha (MLH1*PMS2 heterodimer). MutLalpha is required for mismatch repair, but its function in this process is unclear. We show that human MutLalpha is a latent endonuclease that is activated in a mismatch-, MutSalpha-, RFC-, PCNA-, and ATP-dependent manner. Incision of a nicked mismatch-containing DNA heteroduplex by this four-protein system is strongly biased to the nicked strand. A mismatch-containing DNA segment spanned by two strand breaks is removed by the 5'-to-3' activity of MutSalpha-activated exonuclease I. The probable endonuclease active site has been localized to a PMS2 DQHA(X)(2)E(X)(4)E motif. This motif is conserved in eukaryotic PMS2 homologs and in MutL proteins from a number of bacterial species but is lacking in MutL proteins from bacteria that rely on d(GATC) methylation for strand discrimination in mismatch repair. Therefore, the mode of excision initiation may differ in these organisms.","container-title":"Cell","DOI":"10.1016/j.cell.2006.05.039","ISSN":"0092-8674","issue":"2","journalAbbreviation":"Cell","language":"eng","note":"PMID: 16873062","page":"297-308","source":"PubMed","title":"Endonucleolytic function of MutLalpha in human mismatch repair","volume":"126","author":[{"family":"Kadyrov","given":"Farid A."},{"family":"Dzantiev","given":"Leonid"},{"family":"Constantin","given":"Nicoleta"},{"family":"Modrich","given":"Paul"}],"issued":{"date-parts":[["2006",7,28]]}}}],"schema":"https://github.com/citation-style-language/schema/raw/master/csl-citation.json"} </w:instrText>
      </w:r>
      <w:r w:rsidRPr="00107040">
        <w:rPr>
          <w:sz w:val="28"/>
          <w:szCs w:val="28"/>
          <w:shd w:val="clear" w:color="auto" w:fill="F5F5F5"/>
        </w:rPr>
        <w:fldChar w:fldCharType="separate"/>
      </w:r>
      <w:r w:rsidR="008611DC" w:rsidRPr="008611DC">
        <w:rPr>
          <w:sz w:val="28"/>
        </w:rPr>
        <w:t>[120,121]</w:t>
      </w:r>
      <w:r w:rsidRPr="00107040">
        <w:rPr>
          <w:sz w:val="28"/>
          <w:szCs w:val="28"/>
          <w:shd w:val="clear" w:color="auto" w:fill="F5F5F5"/>
        </w:rPr>
        <w:fldChar w:fldCharType="end"/>
      </w:r>
      <w:r w:rsidRPr="00107040">
        <w:rPr>
          <w:sz w:val="28"/>
          <w:szCs w:val="28"/>
        </w:rPr>
        <w:t xml:space="preserve">. EXO1 дополнительно выполняет 5'-направленное удаление несоответствующих оснований, создавая брешь </w:t>
      </w:r>
      <w:r w:rsidRPr="00107040">
        <w:rPr>
          <w:sz w:val="28"/>
          <w:szCs w:val="28"/>
        </w:rPr>
        <w:fldChar w:fldCharType="begin"/>
      </w:r>
      <w:r w:rsidR="008611DC">
        <w:rPr>
          <w:sz w:val="28"/>
          <w:szCs w:val="28"/>
        </w:rPr>
        <w:instrText xml:space="preserve"> ADDIN ZOTERO_ITEM CSL_CITATION {"citationID":"xmVQO1GD","properties":{"formattedCitation":"[120,122]","plainCitation":"[120,122]","noteIndex":0},"citationItems":[{"id":27,"uris":["http://zotero.org/users/9078202/items/9R24VCXR"],"itemData":{"id":27,"type":"article-journal","abstract":"This paper reports reconstitution of 5'-nick-directed mismatch repair using purified human proteins. The reconstituted system includes MutSalpha or MutSbeta, MutLalpha, RPA, EXO1, HMGB1, PCNA, RFC, polymerase delta, and ligase I. In this system, MutSbeta plays a limited role in repair of base-base mismatches, but it processes insertion/deletion mispairs much more efficiently than MutSalpha, which efficiently corrects both types of heteroduplexes. MutLalpha reduces the processivity of EXO1 and terminates EXO1-catalyzed excision upon mismatch removal. In the absence of MutLalpha, mismatch-provoked excision by EXO1 occurs extensively. RPA and HMGB1 play similar but complementary roles in stimulating MutSalpha-activated, EXO1-catalyzed excision in the presence of a mismatch, but RPA has a distinct role in facilitating MutLalpha-mediated excision termination past mismatch. Evidence is provided that efficient repair of a single mismatch requires multiple molecules of MutSalpha-MutLalpha complex. These data suggest a model for human mismatch repair involving coordinated initiation and termination of mismatch-provoked excision.","container-title":"Cell","DOI":"10.1016/j.cell.2005.06.027","ISSN":"0092-8674","issue":"5","journalAbbreviation":"Cell","language":"eng","note":"PMID: 16143102","page":"693-705","source":"PubMed","title":"Reconstitution of 5'-directed human mismatch repair in a purified system","volume":"122","author":[{"family":"Zhang","given":"Yanbin"},{"family":"Yuan","given":"Fenghua"},{"family":"Presnell","given":"Steven R."},{"family":"Tian","given":"Keli"},{"family":"Gao","given":"Yin"},{"family":"Tomkinson","given":"Alan E."},{"family":"Gu","given":"Liya"},{"family":"Li","given":"Guo-Min"}],"issued":{"date-parts":[["2005",9,9]]}}},{"id":25,"uris":["http://zotero.org/users/9078202/items/WZWMQCNJ"],"itemData":{"id":25,"type":"article-journal","abstract":"We have developed a purified system that supports mismatch-dependent 5'--&gt;3' excision. In the presence of RPA, ATP, and a mismatch, MutSalpha activates 5'--&gt;3' excision by EXOI, and excision terminates after removal of the mispair. MutSalpha confers high processivity on EXOI, and termination is due to RPA-dependent displacement of this processive complex from the helix and a weak ability of EXOI to reload at the RPA-bound gap in the product, as well as MutSalpha- and MutLalpha-dependent suppression of EXOI activity in the absence of a mismatch cofactor. As observed in the purified system, excision directed by a 5' strand break in HeLa nuclear extract can proceed in the absence of MutLalpha or PCNA, although 3' excision in the extract system requires both proteins.","container-title":"Molecular Cell","DOI":"10.1016/s1097-2765(03)00428-3","ISSN":"1097-2765","issue":"5","journalAbbreviation":"Mol Cell","language":"eng","note":"PMID: 14636568","page":"1077-1086","source":"PubMed","title":"Mechanism of 5'-directed excision in human mismatch repair","volume":"12","author":[{"family":"Genschel","given":"Jochen"},{"family":"Modrich","given":"Paul"}],"issued":{"date-parts":[["2003",11]]}}}],"schema":"https://github.com/citation-style-language/schema/raw/master/csl-citation.json"} </w:instrText>
      </w:r>
      <w:r w:rsidRPr="00107040">
        <w:rPr>
          <w:sz w:val="28"/>
          <w:szCs w:val="28"/>
        </w:rPr>
        <w:fldChar w:fldCharType="separate"/>
      </w:r>
      <w:r w:rsidR="008611DC" w:rsidRPr="008611DC">
        <w:rPr>
          <w:sz w:val="28"/>
        </w:rPr>
        <w:t>[120,122]</w:t>
      </w:r>
      <w:r w:rsidRPr="00107040">
        <w:rPr>
          <w:sz w:val="28"/>
          <w:szCs w:val="28"/>
        </w:rPr>
        <w:fldChar w:fldCharType="end"/>
      </w:r>
      <w:r w:rsidRPr="00107040">
        <w:rPr>
          <w:sz w:val="28"/>
          <w:szCs w:val="28"/>
        </w:rPr>
        <w:t>, который синтезируется и лигируется POL δ, RFC, HMGB1 (белок группы 1 с высокой подвижностью) и LIG1</w:t>
      </w:r>
      <w:r w:rsidRPr="00107040">
        <w:rPr>
          <w:rStyle w:val="jlqj4b"/>
          <w:sz w:val="28"/>
          <w:szCs w:val="28"/>
        </w:rPr>
        <w:t xml:space="preserve"> </w:t>
      </w:r>
      <w:hyperlink r:id="rId10" w:anchor="R142" w:history="1">
        <w:r w:rsidRPr="00107040">
          <w:rPr>
            <w:rStyle w:val="a4"/>
            <w:sz w:val="28"/>
            <w:szCs w:val="28"/>
          </w:rPr>
          <w:fldChar w:fldCharType="begin"/>
        </w:r>
        <w:r w:rsidR="008611DC">
          <w:rPr>
            <w:rStyle w:val="a4"/>
            <w:sz w:val="28"/>
            <w:szCs w:val="28"/>
          </w:rPr>
          <w:instrText xml:space="preserve"> ADDIN ZOTERO_ITEM CSL_CITATION {"citationID":"X2vFS9hD","properties":{"formattedCitation":"[122\\uc0\\u8211{}124]","plainCitation":"[122–124]","noteIndex":0},"citationItems":[{"id":25,"uris":["http://zotero.org/users/9078202/items/WZWMQCNJ"],"itemData":{"id":25,"type":"article-journal","abstract":"We have developed a purified system that supports mismatch-dependent 5'--&gt;3' excision. In the presence of RPA, ATP, and a mismatch, MutSalpha activates 5'--&gt;3' excision by EXOI, and excision terminates after removal of the mispair. MutSalpha confers high processivity on EXOI, and termination is due to RPA-dependent displacement of this processive complex from the helix and a weak ability of EXOI to reload at the RPA-bound gap in the product, as well as MutSalpha- and MutLalpha-dependent suppression of EXOI activity in the absence of a mismatch cofactor. As observed in the purified system, excision directed by a 5' strand break in HeLa nuclear extract can proceed in the absence of MutLalpha or PCNA, although 3' excision in the extract system requires both proteins.","container-title":"Molecular Cell","DOI":"10.1016/s1097-2765(03)00428-3","ISSN":"1097-2765","issue":"5","journalAbbreviation":"Mol Cell","language":"eng","note":"PMID: 14636568","page":"1077-1086","source":"PubMed","title":"Mechanism of 5'-directed excision in human mismatch repair","volume":"12","author":[{"family":"Genschel","given":"Jochen"},{"family":"Modrich","given":"Paul"}],"issued":{"date-parts":[["2003",11]]}}},{"id":24,"uris":["http://zotero.org/users/9078202/items/7QE66Z4Z"],"itemData":{"id":24,"type":"article-journal","abstract":"Defects in human DNA mismatch repair predispose to cancer, but many components of the pathway have not been identified. We report here the identification and characterization of a novel component required for mismatch repair in human cells. A 30-kDa protein was purified to homogeneity by virtue of its ability to complement a depleted HeLa extract in repair of mismatched heteroduplexes. The complementing activity was identified as HMGB1 (the high mobility group box 1 protein), a non-histone chromatin protein that facilitates protein-protein interactions and recognizes DNA damage. Evidence is also presented that HMGB1 physically interacts with MutSalpha and is required at a step prior to the excision of mispaired nucleotide in mismatch repair.","container-title":"The Journal of Biological Chemistry","DOI":"10.1074/jbc.M401931200","ISSN":"0021-9258","issue":"20","journalAbbreviation":"J Biol Chem","language":"eng","note":"PMID: 15014079","page":"20935-20940","source":"PubMed","title":"Evidence for involvement of HMGB1 protein in human DNA mismatch repair","volume":"279","author":[{"family":"Yuan","given":"Fenghua"},{"family":"Gu","given":"Liya"},{"family":"Guo","given":"Shuangli"},{"family":"Wang","given":"Chunmei"},{"family":"Li","given":"Guo-Min"}],"issued":{"date-parts":[["2004",5,14]]}}},{"id":23,"uris":["http://zotero.org/users/9078202/items/2JCQNGFY"],"itemData":{"id":23,"type":"article-journal","abstract":"Replication protein A (RPA) is involved in multiple stages of DNA mismatch repair (MMR); however, the modulation of its functions between different stages is unknown. We show here that phosphorylation likely modulates RPA functions during MMR. Unphosphorylated RPA initially binds to nicked heteroduplex DNA to facilitate assembly of the MMR initiation complex. The unphosphorylated protein preferentially stimulates mismatch-provoked excision, possibly by cooperatively binding to the resultant single-stranded DNA gap. The DNA-bound RPA begins to be phosphorylated after extensive excision, resulting in severalfold reduction in the DNA binding affinity of RPA. Thus, during the phase of repair DNA synthesis, the phosphorylated RPA readily disassociates from DNA, making the DNA template available for DNA polymerase delta-catalyzed resynthesis. These observations support a model of how phosphorylation alters the DNA binding affinity of RPA to fulfill its differential requirement at the various stages of MMR.","container-title":"The Journal of Biological Chemistry","DOI":"10.1074/jbc.M603504200","ISSN":"0021-9258","issue":"31","journalAbbreviation":"J Biol Chem","language":"eng","note":"PMID: 16731533","page":"21607-21616","source":"PubMed","title":"Regulation of replication protein A functions in DNA mismatch repair by phosphorylation","volume":"281","author":[{"family":"Guo","given":"Shuangli"},{"family":"Zhang","given":"Yanbin"},{"family":"Yuan","given":"Fenghua"},{"family":"Gao","given":"Yin"},{"family":"Gu","given":"Liya"},{"family":"Wong","given":"Isaac"},{"family":"Li","given":"Guo-Min"}],"issued":{"date-parts":[["2006",8,4]]}}}],"schema":"https://github.com/citation-style-language/schema/raw/master/csl-citation.json"} </w:instrText>
        </w:r>
        <w:r w:rsidRPr="00107040">
          <w:rPr>
            <w:rStyle w:val="a4"/>
            <w:sz w:val="28"/>
            <w:szCs w:val="28"/>
          </w:rPr>
          <w:fldChar w:fldCharType="separate"/>
        </w:r>
        <w:r w:rsidR="008611DC" w:rsidRPr="008611DC">
          <w:rPr>
            <w:sz w:val="28"/>
          </w:rPr>
          <w:t>[122–124]</w:t>
        </w:r>
        <w:r w:rsidRPr="00107040">
          <w:rPr>
            <w:rStyle w:val="a4"/>
            <w:sz w:val="28"/>
            <w:szCs w:val="28"/>
          </w:rPr>
          <w:fldChar w:fldCharType="end"/>
        </w:r>
      </w:hyperlink>
      <w:r w:rsidRPr="00107040">
        <w:rPr>
          <w:sz w:val="28"/>
          <w:szCs w:val="28"/>
        </w:rPr>
        <w:t xml:space="preserve">. Также PCNA играет важную роль как на этапе инициации MMR, так и в последующем синтезе ДНК путем взаимодействия и локализации комплексов MutSα/β и MutLα в пораженном месте </w:t>
      </w:r>
      <w:r w:rsidRPr="00107040">
        <w:rPr>
          <w:sz w:val="28"/>
          <w:szCs w:val="28"/>
        </w:rPr>
        <w:fldChar w:fldCharType="begin"/>
      </w:r>
      <w:r w:rsidR="008611DC">
        <w:rPr>
          <w:sz w:val="28"/>
          <w:szCs w:val="28"/>
        </w:rPr>
        <w:instrText xml:space="preserve"> ADDIN ZOTERO_ITEM CSL_CITATION {"citationID":"RU98rfGJ","properties":{"formattedCitation":"[110,125]","plainCitation":"[110,125]","noteIndex":0},"citationItems":[{"id":38,"uris":["http://zotero.org/users/9078202/items/PMSIY72E"],"itemData":{"id":38,"type":"article-journal","abstract":"By removing biosynthetic errors from newly synthesized DNA, mismatch repair (MMR) improves the fidelity of DNA replication by several orders of magnitude. Loss of MMR brings about a mutator phenotype, which causes a predisposition to cancer. But MMR status also affects meiotic and mitotic recombination, DNA-damage signalling, apoptosis and cell-type-specific processes such as class-switch recombination, somatic hypermutation and triplet-repeat expansion. This article reviews our current understanding of this multifaceted DNA-repair system in human cells.","container-title":"Nature Reviews. Molecular Cell Biology","DOI":"10.1038/nrm1907","ISSN":"1471-0072","issue":"5","journalAbbreviation":"Nat Rev Mol Cell Biol","language":"eng","note":"PMID: 16612326","page":"335-346","source":"PubMed","title":"The multifaceted mismatch-repair system","volume":"7","author":[{"family":"Jiricny","given":"Josef"}],"issued":{"date-parts":[["2006",5]]}}},{"id":22,"uris":["http://zotero.org/users/9078202/items/L3MZ69HD"],"itemData":{"id":22,"type":"article-journal","abstract":"Proliferating cell nuclear antigen (PCNA) is thought to play a role in DNA mismatch repair at the DNA synthesis step as well as in an earlier step. Studies showing that PCNA interacts with mispair-binding protein complexes, MSH2.MSH3 and MSH2.MSH6, and that PCNA enhances MSH2.MSH6 mispair binding specificity suggest PCNA may be involved in mispair recognition. Here we show that PCNA and MSH2.MSH6 form a stable ternary complex with a homoduplex (G/C) DNA, but MSH2.MSH6 binding to a heteroduplex (G/T) DNA disrupts MSH2.MSH6 binding to PCNA. We also found that the addition of ATP or adenosine 5'-O-(thiotriphosphate) restores MSH2.MSH6 binding to PCNA, presumably by disrupting MSH2.MSH6 binding to the heteroduplex (G/T) DNA. These results support a model in which MSH2.MSH6 binds to PCNA loaded on newly replicated DNA and is transferred from PCNA to mispaired bases in DNA.","container-title":"The Journal of Biological Chemistry","DOI":"10.1074/jbc.C200627200","ISSN":"0021-9258","issue":"1","journalAbbreviation":"J Biol Chem","language":"eng","note":"PMID: 12435741","page":"14-17","source":"PubMed","title":"Transfer of the MSH2.MSH6 complex from proliferating cell nuclear antigen to mispaired bases in DNA","volume":"278","author":[{"family":"Lau","given":"Patrick J."},{"family":"Kolodner","given":"Richard D."}],"issued":{"date-parts":[["2003",1,3]]}}}],"schema":"https://github.com/citation-style-language/schema/raw/master/csl-citation.json"} </w:instrText>
      </w:r>
      <w:r w:rsidRPr="00107040">
        <w:rPr>
          <w:sz w:val="28"/>
          <w:szCs w:val="28"/>
        </w:rPr>
        <w:fldChar w:fldCharType="separate"/>
      </w:r>
      <w:r w:rsidR="008611DC" w:rsidRPr="008611DC">
        <w:rPr>
          <w:sz w:val="28"/>
        </w:rPr>
        <w:t>[110,125]</w:t>
      </w:r>
      <w:r w:rsidRPr="00107040">
        <w:rPr>
          <w:sz w:val="28"/>
          <w:szCs w:val="28"/>
        </w:rPr>
        <w:fldChar w:fldCharType="end"/>
      </w:r>
      <w:r w:rsidRPr="00107040">
        <w:rPr>
          <w:sz w:val="28"/>
          <w:szCs w:val="28"/>
        </w:rPr>
        <w:t>.</w:t>
      </w:r>
    </w:p>
    <w:p w14:paraId="7C0830CB" w14:textId="77777777" w:rsidR="00107040" w:rsidRPr="00107040" w:rsidRDefault="00107040" w:rsidP="00107040">
      <w:pPr>
        <w:spacing w:after="0" w:line="240" w:lineRule="auto"/>
        <w:jc w:val="both"/>
        <w:rPr>
          <w:rFonts w:ascii="Times New Roman" w:hAnsi="Times New Roman"/>
          <w:sz w:val="28"/>
          <w:szCs w:val="28"/>
        </w:rPr>
      </w:pPr>
    </w:p>
    <w:p w14:paraId="6144E95C" w14:textId="77777777" w:rsidR="00107040" w:rsidRPr="00107040" w:rsidRDefault="00107040" w:rsidP="00107040">
      <w:pPr>
        <w:spacing w:after="0" w:line="240" w:lineRule="auto"/>
        <w:ind w:firstLine="567"/>
        <w:jc w:val="both"/>
        <w:rPr>
          <w:rFonts w:ascii="Times New Roman" w:hAnsi="Times New Roman"/>
          <w:sz w:val="28"/>
          <w:szCs w:val="28"/>
        </w:rPr>
      </w:pPr>
      <w:bookmarkStart w:id="17" w:name="_Hlk113268111"/>
      <w:r w:rsidRPr="00107040">
        <w:rPr>
          <w:rFonts w:ascii="Times New Roman" w:hAnsi="Times New Roman"/>
          <w:sz w:val="28"/>
          <w:szCs w:val="28"/>
          <w:lang w:val="kk-KZ"/>
        </w:rPr>
        <w:t>1.2.3 Репарация</w:t>
      </w:r>
      <w:r w:rsidRPr="00107040">
        <w:rPr>
          <w:rFonts w:ascii="Times New Roman" w:hAnsi="Times New Roman"/>
          <w:sz w:val="28"/>
          <w:szCs w:val="28"/>
        </w:rPr>
        <w:t xml:space="preserve"> разрывов ДНК</w:t>
      </w:r>
    </w:p>
    <w:p w14:paraId="2BB953F4" w14:textId="7777777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1.</w:t>
      </w:r>
      <w:r w:rsidRPr="00107040">
        <w:rPr>
          <w:rFonts w:ascii="Times New Roman" w:hAnsi="Times New Roman"/>
          <w:sz w:val="28"/>
          <w:szCs w:val="28"/>
          <w:lang w:val="kk-KZ"/>
        </w:rPr>
        <w:t>2</w:t>
      </w:r>
      <w:r w:rsidRPr="00107040">
        <w:rPr>
          <w:rFonts w:ascii="Times New Roman" w:hAnsi="Times New Roman"/>
          <w:sz w:val="28"/>
          <w:szCs w:val="28"/>
        </w:rPr>
        <w:t>.3.1 Репарация одноцепочечных разрывов (</w:t>
      </w:r>
      <w:r w:rsidRPr="00107040">
        <w:rPr>
          <w:rFonts w:ascii="Times New Roman" w:hAnsi="Times New Roman"/>
          <w:sz w:val="28"/>
          <w:szCs w:val="28"/>
          <w:lang w:val="en-US"/>
        </w:rPr>
        <w:t>SSBR</w:t>
      </w:r>
      <w:r w:rsidRPr="00107040">
        <w:rPr>
          <w:rFonts w:ascii="Times New Roman" w:hAnsi="Times New Roman"/>
          <w:sz w:val="28"/>
          <w:szCs w:val="28"/>
        </w:rPr>
        <w:t>)</w:t>
      </w:r>
    </w:p>
    <w:bookmarkEnd w:id="17"/>
    <w:p w14:paraId="7FD66FD5" w14:textId="2588FF29"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Одноцепочечные разрывы (</w:t>
      </w:r>
      <w:r w:rsidRPr="00107040">
        <w:rPr>
          <w:rFonts w:ascii="Times New Roman" w:hAnsi="Times New Roman"/>
          <w:sz w:val="28"/>
          <w:szCs w:val="28"/>
          <w:lang w:val="en-US"/>
        </w:rPr>
        <w:t>SSB</w:t>
      </w:r>
      <w:r w:rsidRPr="00107040">
        <w:rPr>
          <w:rFonts w:ascii="Times New Roman" w:hAnsi="Times New Roman"/>
          <w:sz w:val="28"/>
          <w:szCs w:val="28"/>
        </w:rPr>
        <w:t>) часто образуются из-за последующих повреждений, таких как окислительное повреждение ДНК, абазические сайты или из-за ошибочной активности фермента ДНК-топоизомеразы 1 (</w:t>
      </w:r>
      <w:r w:rsidRPr="00107040">
        <w:rPr>
          <w:rFonts w:ascii="Times New Roman" w:hAnsi="Times New Roman"/>
          <w:sz w:val="28"/>
          <w:szCs w:val="28"/>
          <w:lang w:val="en-US"/>
        </w:rPr>
        <w:t>TOP</w:t>
      </w:r>
      <w:r w:rsidRPr="00107040">
        <w:rPr>
          <w:rFonts w:ascii="Times New Roman" w:hAnsi="Times New Roman"/>
          <w:sz w:val="28"/>
          <w:szCs w:val="28"/>
        </w:rPr>
        <w:t>1)</w:t>
      </w:r>
      <w:r w:rsidRPr="00107040">
        <w:rPr>
          <w:rFonts w:ascii="Times New Roman" w:hAnsi="Times New Roman"/>
          <w:b/>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{"citationID":"Tl1mXYY3","properties":{"formattedCitation":"[126,127]","plainCitation":"[126,127]","noteIndex":0},"citationItems":[{"id":402,"uris":["http://zotero.org/users/9078202/items/NUWXEZXD"],"itemData":{"id":402,"type":"article-journal","abstract":"DNA topoisomerases are the magicians of the DNA world   by allowing DNA strands or double helices to pass through each other, they can solve all of the topological problems of DNA in replication, transcription and other cellular transactions. Extensive biochemical and structural studies over the past three decades have provided molecular models of how the various subfamilies of DNA topoisomerase manipulate DNA. In this review, the cellular roles of these enzymes are examined from a molecular point of view.","container-title":"Nature Reviews. Molecular Cell Biology","DOI":"10.1038/nrm831","ISSN":"1471-0072","issue":"6","journalAbbreviation":"Nat Rev Mol Cell Biol","language":"eng","note":"PMID: 12042765","page":"430-440","source":"PubMed","title":"Cellular roles of DNA topoisomerases: a molecular perspective","title-short":"Cellular roles of DNA topoisomerases","volume":"3","author":[{"family":"Wang","given":"James C."}],"issued":{"date-parts":[["2002",6]]}}},{"id":401,"uris":["http://zotero.org/users/9078202/items/TUMXUXXW"],"itemData":{"id":401,"type":"article-journal","abstract":"Base excision repair (BER) is an evolutionarily conserved process for maintaining genomic integrity by eliminating several dozen damaged (oxidized or alkylated) or inappropriate bases that are generated endogenously or induced by genotoxicants, predominantly, reactive oxygen species (ROS). BER involves 4-5 steps starting with base excision by a DNA glycosylase, followed by a common pathway usually involving an AP-endonuclease (APE) to generate 3' OH terminus at the damage site, followed by repair synthesis with a DNA polymerase and nick sealing by a DNA ligase. This pathway is also responsible for repairing DNA single-strand breaks with blocked termini directly generated by ROS. Nearly all glycosylases, far fewer than their substrate lesions particularly for oxidized bases, have broad and overlapping substrate range, and could serve as back-up enzymes in vivo. In contrast, mammalian cells encode only one APE, APE1, unlike two APEs in lower organisms. In spite of overall similarity, BER with distinct subpathways in the mammals is more complex than in E. coli. The glycosylases form complexes with downstream proteins to carry out efficient repair via distinct subpathways one of which, responsible for repair of strand breaks with 3' phosphate termini generated by the NEIL family glycosylases or by ROS, requires the phosphatase activity of polynucleotide kinase instead of APE1. Different complexes may utilize distinct DNA polymerases and ligases. Mammalian glycosylases have nonconserved extensions at one of the termini, dispensable for enzymatic activity but needed for interaction with other BER and non-BER proteins for complex formation and organelle targeting. The mammalian enzymes are sometimes covalently modified which may affect activity and complex formation. The focus of this review is on the early steps in mammalian BER for oxidized damage.","container-title":"Cell Research","DOI":"10.1038/cr.2008.8","ISSN":"1748-7838","issue":"1","journalAbbreviation":"Cell Res","language":"eng","note":"PMID: 18166975\nPMCID: PMC2692221","page":"27-47","source":"PubMed","title":"Early steps in the DNA base excision/single-strand interruption repair pathway in mammalian cells","volume":"18","author":[{"family":"Hegde","given":"Muralidhar L."},{"family":"Hazra","given":"Tapas K."},{"family":"Mitra","given":"Sankar"}],"issued":{"date-parts":[["2008",1]]}}}],"schema":"https://github.com/citation-style-language/schema/raw/master/csl-citation.json"}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[126,127]</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Нерепарированные </w:t>
      </w:r>
      <w:r w:rsidRPr="00107040">
        <w:rPr>
          <w:rFonts w:ascii="Times New Roman" w:hAnsi="Times New Roman"/>
          <w:sz w:val="28"/>
          <w:szCs w:val="28"/>
          <w:lang w:val="en-US"/>
        </w:rPr>
        <w:t>SSB</w:t>
      </w:r>
      <w:r w:rsidRPr="00107040">
        <w:rPr>
          <w:rFonts w:ascii="Times New Roman" w:hAnsi="Times New Roman"/>
          <w:sz w:val="28"/>
          <w:szCs w:val="28"/>
        </w:rPr>
        <w:t xml:space="preserve"> приводят к нарушению репликации ДНК, остановке текущей транскрипции и активации </w:t>
      </w:r>
      <w:r w:rsidRPr="00107040">
        <w:rPr>
          <w:rFonts w:ascii="Times New Roman" w:hAnsi="Times New Roman"/>
          <w:sz w:val="28"/>
          <w:szCs w:val="28"/>
          <w:lang w:val="en-US"/>
        </w:rPr>
        <w:t>PARP</w:t>
      </w:r>
      <w:r w:rsidRPr="00107040">
        <w:rPr>
          <w:rFonts w:ascii="Times New Roman" w:hAnsi="Times New Roman"/>
          <w:sz w:val="28"/>
          <w:szCs w:val="28"/>
        </w:rPr>
        <w:t>1, который высвобождает НАД</w:t>
      </w:r>
      <w:r w:rsidRPr="00107040">
        <w:rPr>
          <w:rFonts w:ascii="Times New Roman" w:hAnsi="Times New Roman"/>
          <w:sz w:val="28"/>
          <w:szCs w:val="28"/>
          <w:vertAlign w:val="superscript"/>
        </w:rPr>
        <w:t>+</w:t>
      </w:r>
      <w:r w:rsidRPr="00107040">
        <w:rPr>
          <w:rFonts w:ascii="Times New Roman" w:hAnsi="Times New Roman"/>
          <w:sz w:val="28"/>
          <w:szCs w:val="28"/>
        </w:rPr>
        <w:t>, АТФ и фактор, индуцирующий апоптоз (</w:t>
      </w:r>
      <w:r w:rsidRPr="00107040">
        <w:rPr>
          <w:rFonts w:ascii="Times New Roman" w:hAnsi="Times New Roman"/>
          <w:sz w:val="28"/>
          <w:szCs w:val="28"/>
          <w:lang w:val="en-US"/>
        </w:rPr>
        <w:t>AIF</w:t>
      </w:r>
      <w:r w:rsidRPr="00107040">
        <w:rPr>
          <w:rFonts w:ascii="Times New Roman" w:hAnsi="Times New Roman"/>
          <w:sz w:val="28"/>
          <w:szCs w:val="28"/>
        </w:rPr>
        <w:t xml:space="preserve">) в клетках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{"citationID":"7C8Pjej6","properties":{"formattedCitation":"[128]","plainCitation":"[128]","noteIndex":0},"citationItems":[{"id":400,"uris":["http://zotero.org/users/9078202/items/CKHWM8DE"],"itemData":{"id":400,"type":"article-journal","abstract":"Poly(ADP-ribose) polymerase (PARP) enzymes catalyze the conversion of NAD(+) to polymers of poly(ADP-ribose) (PAR). Although its role in the DNA-damage response has long been recognized, recent work indicates that PAR itself acts at the mitochondria to directly induce cell death through stimulation of apoptosis-inducing factor (AIF) release. This review discusses PAR synthesis and degradation, and the role of PAR misregulation in various disease states. Attention is given to opportunities for therapeutic intervention with small molecules that are involved in PAR signaling, with specific focus on poly(ADP-ribose) glycohydrolase (PARG) and AIF.","container-title":"Current Opinion in Chemical Biology","DOI":"10.1016/j.cbpa.2007.08.038","ISSN":"1367-5931","issue":"6","journalAbbreviation":"Curr Opin Chem Biol","language":"eng","note":"PMID: 17936669","page":"644-653","source":"PubMed","title":"Poly(ADP-ribose) makes a date with death","volume":"11","author":[{"family":"Heeres","given":"James T."},{"family":"Hergenrother","given":"Paul J."}],"issued":{"date-parts":[["2007",12]]}}}],"schema":"https://github.com/citation-style-language/schema/raw/master/csl-citation.json"}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[128]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Было предложено что в зависимости от источника </w:t>
      </w:r>
      <w:r w:rsidRPr="00107040">
        <w:rPr>
          <w:rFonts w:ascii="Times New Roman" w:hAnsi="Times New Roman"/>
          <w:sz w:val="28"/>
          <w:szCs w:val="28"/>
          <w:lang w:val="en-US"/>
        </w:rPr>
        <w:t>SSB</w:t>
      </w:r>
      <w:r w:rsidRPr="00107040">
        <w:rPr>
          <w:rFonts w:ascii="Times New Roman" w:hAnsi="Times New Roman"/>
          <w:sz w:val="28"/>
          <w:szCs w:val="28"/>
        </w:rPr>
        <w:t xml:space="preserve"> </w:t>
      </w:r>
      <w:r w:rsidRPr="00107040">
        <w:rPr>
          <w:rFonts w:ascii="Times New Roman" w:hAnsi="Times New Roman"/>
          <w:sz w:val="28"/>
          <w:szCs w:val="28"/>
          <w:lang w:val="en-US"/>
        </w:rPr>
        <w:t>SSBR</w:t>
      </w:r>
      <w:r w:rsidRPr="00107040">
        <w:rPr>
          <w:rFonts w:ascii="Times New Roman" w:hAnsi="Times New Roman"/>
          <w:sz w:val="28"/>
          <w:szCs w:val="28"/>
        </w:rPr>
        <w:t xml:space="preserve"> будет происходить тремя различными способами.</w:t>
      </w:r>
    </w:p>
    <w:p w14:paraId="608D476C" w14:textId="73E63865"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Путь длинного участка </w:t>
      </w:r>
      <w:r w:rsidRPr="00107040">
        <w:rPr>
          <w:rFonts w:ascii="Times New Roman" w:hAnsi="Times New Roman"/>
          <w:sz w:val="28"/>
          <w:szCs w:val="28"/>
          <w:lang w:val="en-US"/>
        </w:rPr>
        <w:t>SSBR</w:t>
      </w:r>
      <w:r w:rsidRPr="00107040">
        <w:rPr>
          <w:rFonts w:ascii="Times New Roman" w:hAnsi="Times New Roman"/>
          <w:sz w:val="28"/>
          <w:szCs w:val="28"/>
        </w:rPr>
        <w:t xml:space="preserve"> опосредован </w:t>
      </w:r>
      <w:r w:rsidRPr="00107040">
        <w:rPr>
          <w:rFonts w:ascii="Times New Roman" w:hAnsi="Times New Roman"/>
          <w:sz w:val="28"/>
          <w:szCs w:val="28"/>
          <w:lang w:val="en-US"/>
        </w:rPr>
        <w:t>PARP</w:t>
      </w:r>
      <w:r w:rsidRPr="00107040">
        <w:rPr>
          <w:rFonts w:ascii="Times New Roman" w:hAnsi="Times New Roman"/>
          <w:sz w:val="28"/>
          <w:szCs w:val="28"/>
        </w:rPr>
        <w:t xml:space="preserve">1, который временно обнаруживает </w:t>
      </w:r>
      <w:r w:rsidRPr="00107040">
        <w:rPr>
          <w:rFonts w:ascii="Times New Roman" w:hAnsi="Times New Roman"/>
          <w:sz w:val="28"/>
          <w:szCs w:val="28"/>
          <w:lang w:val="en-US"/>
        </w:rPr>
        <w:t>SSB</w:t>
      </w:r>
      <w:r w:rsidRPr="00107040">
        <w:rPr>
          <w:rFonts w:ascii="Times New Roman" w:hAnsi="Times New Roman"/>
          <w:sz w:val="28"/>
          <w:szCs w:val="28"/>
        </w:rPr>
        <w:t xml:space="preserve"> и подвергается быстрому циклу поли(АДФ-рибозил)ирования и деполи(АДФ)рибозилирования для обнаружения следующего </w:t>
      </w:r>
      <w:r w:rsidRPr="00107040">
        <w:rPr>
          <w:rFonts w:ascii="Times New Roman" w:hAnsi="Times New Roman"/>
          <w:sz w:val="28"/>
          <w:szCs w:val="28"/>
          <w:lang w:val="en-US"/>
        </w:rPr>
        <w:t>SSB</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{"citationID":"bANaiIqH","properties":{"formattedCitation":"[129]","plainCitation":"[129]","noteIndex":0},"citationItems":[{"id":399,"uris":["http://zotero.org/users/9078202/items/23GFPNT7"],"itemData":{"id":399,"type":"article-journal","abstract":"Poly(ADP-ribosyl)ation is a posttranslational modification that alters the functions of the acceptor proteins and is catalyzed by the poly(ADP-ribose) polymerase (PARP) family of enzymes. Following DNA damage, activated poly(ADP-ribose) polymerase-1 (PARP-1) catalyzes the elongation and branching of poly(ADP-ribose) (pADPr) covalently attached to nuclear target proteins. Although the biological role of poly(ADP-ribosyl)ation has not yet been defined, it has been implicated in many important cellular processes such as DNA repair and replication, modulation of chromatin structure, and apoptosis. The transient nature and modulation of poly(ADP-ribosyl)ation depend on the activity of a unique cytoplasmic enzyme called poly(ADP-ribose) glycohydrolase which hydrolyzes pADPr bound to acceptor proteins in free ADP-ribose residues. While the PARP homologues have been recently reviewed, there are relatively scarce data about PARG in the literature. Here we summarize the latest advances in the PARG field, addressing the question of its putative nucleo-cytoplasmic shuttling that could enable the tight regulation of pADPr metabolism. This would contribute to the elucidation of the biological significance of poly(ADP-ribosyl)ation.","container-title":"Experimental Cell Research","DOI":"10.1006/excr.2001.5263","ISSN":"0014-4827","issue":"1","journalAbbreviation":"Exp Cell Res","language":"eng","note":"PMID: 11461113","page":"7-13","source":"PubMed","title":"Importance of poly(ADP-ribose) glycohydrolase in the control of poly(ADP-ribose) metabolism","volume":"268","author":[{"family":"Davidovic","given":"L."},{"family":"Vodenicharov","given":"M."},{"family":"Affar","given":"E. B."},{"family":"Poirier","given":"G. G."}],"issued":{"date-parts":[["2001",8,1]]}}}],"schema":"https://github.com/citation-style-language/schema/raw/master/csl-citation.json"}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[129]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После этого апурин-апиримидин эндонуклеаза 1 APE1, PNKP (полинуклеотидкиназа 3'-фосфат) и апратаксин (APTX) подвергаются процессингу </w:t>
      </w:r>
      <w:r w:rsidRPr="00107040">
        <w:rPr>
          <w:rFonts w:ascii="Times New Roman" w:hAnsi="Times New Roman"/>
          <w:sz w:val="28"/>
          <w:szCs w:val="28"/>
          <w:lang w:val="en-US"/>
        </w:rPr>
        <w:fldChar w:fldCharType="begin"/>
      </w:r>
      <w:r>
        <w:rPr>
          <w:rFonts w:ascii="Times New Roman" w:hAnsi="Times New Roman"/>
          <w:sz w:val="28"/>
          <w:szCs w:val="28"/>
        </w:rPr>
        <w:instrText xml:space="preserve"> ADDIN ZOTERO_ITEM CSL_CITATION {"citationID":"ij3fOhq2","properties":{"formattedCitation":"[12]","plainCitation":"[12]","noteIndex":0},"citationItems":[{"id":398,"uris":["http://zotero.org/users/9078202/items/CUPP2ZS2"],"itemData":{"id":398,"type":"article-journal","abstract":"Each day tens of thousands of DNA single-strand breaks (SSBs) arise in every cell from the attack of deoxyribose and DNA bases by reactive oxygen species and other electrophilic molecules. DNA double-strand breaks (DSBs) also arise, albeit at a much lower frequency, from similar attacks and from the encounter of unrepaired SSBs and possibly other DNA structures by DNA replication forks. DSBs are also created during normal development of the immune system. Defects in the cellular response to DNA strand breaks underpin many human diseases, including disorders associated with cancer predisposition, immune dysfunction, radiosensitivity, and neurodegeneration. Here we provide an overview of the genetic diseases associated with defects in the repair/response to DNA strand breaks.","container-title":"Annual Review of Genomics and Human Genetics","DOI":"10.1146/annurev.genom.7.080505.115648","ISSN":"1527-8204","journalAbbreviation":"Annu Rev Genomics Hum Genet","language":"eng","note":"PMID: 17887919","page":"37-55","source":"PubMed","title":"DNA strand break repair and human genetic disease","volume":"8","author":[{"family":"McKinnon","given":"Peter J."},{"family":"Caldecott","given":"Keith W."}],"issued":{"date-parts":[["2007"]]}}}],"schema":"https://github.com/citation-style-language/schema/raw/master/csl-citation.json"} </w:instrText>
      </w:r>
      <w:r w:rsidRPr="00107040">
        <w:rPr>
          <w:rFonts w:ascii="Times New Roman" w:hAnsi="Times New Roman"/>
          <w:sz w:val="28"/>
          <w:szCs w:val="28"/>
          <w:lang w:val="en-US"/>
        </w:rPr>
        <w:fldChar w:fldCharType="separate"/>
      </w:r>
      <w:r w:rsidRPr="00107040">
        <w:rPr>
          <w:rFonts w:ascii="Times New Roman" w:hAnsi="Times New Roman"/>
          <w:sz w:val="28"/>
        </w:rPr>
        <w:t>[12]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Затем 5'-концы повреждения, вызванные </w:t>
      </w:r>
      <w:r w:rsidRPr="00107040">
        <w:rPr>
          <w:rFonts w:ascii="Times New Roman" w:hAnsi="Times New Roman"/>
          <w:sz w:val="28"/>
          <w:szCs w:val="28"/>
          <w:lang w:val="en-US"/>
        </w:rPr>
        <w:t>PARP</w:t>
      </w:r>
      <w:r w:rsidRPr="00107040">
        <w:rPr>
          <w:rFonts w:ascii="Times New Roman" w:hAnsi="Times New Roman"/>
          <w:sz w:val="28"/>
          <w:szCs w:val="28"/>
        </w:rPr>
        <w:t xml:space="preserve">1 и </w:t>
      </w:r>
      <w:r w:rsidRPr="00107040">
        <w:rPr>
          <w:rFonts w:ascii="Times New Roman" w:hAnsi="Times New Roman"/>
          <w:sz w:val="28"/>
          <w:szCs w:val="28"/>
          <w:lang w:val="en-US"/>
        </w:rPr>
        <w:t>PCNA</w:t>
      </w:r>
      <w:r w:rsidRPr="00107040">
        <w:rPr>
          <w:rFonts w:ascii="Times New Roman" w:hAnsi="Times New Roman"/>
          <w:sz w:val="28"/>
          <w:szCs w:val="28"/>
        </w:rPr>
        <w:t xml:space="preserve">, удаляются с помощью </w:t>
      </w:r>
      <w:r w:rsidRPr="00107040">
        <w:rPr>
          <w:rFonts w:ascii="Times New Roman" w:hAnsi="Times New Roman"/>
          <w:sz w:val="28"/>
          <w:szCs w:val="28"/>
          <w:lang w:val="en-US"/>
        </w:rPr>
        <w:t>FEN</w:t>
      </w:r>
      <w:r w:rsidRPr="00107040">
        <w:rPr>
          <w:rFonts w:ascii="Times New Roman" w:hAnsi="Times New Roman"/>
          <w:sz w:val="28"/>
          <w:szCs w:val="28"/>
        </w:rPr>
        <w:t xml:space="preserve">1, что создает разрыв в одноцепочечной ДНК. После этого полученная брешь заполняется </w:t>
      </w:r>
      <w:bookmarkStart w:id="18" w:name="_Hlk104055567"/>
      <w:r w:rsidRPr="00107040">
        <w:rPr>
          <w:rFonts w:ascii="Times New Roman" w:hAnsi="Times New Roman"/>
          <w:sz w:val="28"/>
          <w:szCs w:val="28"/>
          <w:lang w:val="en-US"/>
        </w:rPr>
        <w:t>POL</w:t>
      </w:r>
      <w:r w:rsidRPr="00107040">
        <w:rPr>
          <w:rFonts w:ascii="Times New Roman" w:hAnsi="Times New Roman"/>
          <w:sz w:val="28"/>
          <w:szCs w:val="28"/>
        </w:rPr>
        <w:t xml:space="preserve"> </w:t>
      </w:r>
      <w:r w:rsidRPr="00107040">
        <w:rPr>
          <w:rFonts w:ascii="Times New Roman" w:hAnsi="Times New Roman"/>
          <w:sz w:val="28"/>
          <w:szCs w:val="28"/>
          <w:lang w:val="en-US"/>
        </w:rPr>
        <w:t>β</w:t>
      </w:r>
      <w:bookmarkEnd w:id="18"/>
      <w:r w:rsidRPr="00107040">
        <w:rPr>
          <w:rFonts w:ascii="Times New Roman" w:hAnsi="Times New Roman"/>
          <w:sz w:val="28"/>
          <w:szCs w:val="28"/>
        </w:rPr>
        <w:t xml:space="preserve"> в сочетании с </w:t>
      </w:r>
      <w:r w:rsidRPr="00107040">
        <w:rPr>
          <w:rFonts w:ascii="Times New Roman" w:hAnsi="Times New Roman"/>
          <w:sz w:val="28"/>
          <w:szCs w:val="28"/>
          <w:lang w:val="en-US"/>
        </w:rPr>
        <w:t>POL</w:t>
      </w:r>
      <w:r w:rsidRPr="00107040">
        <w:rPr>
          <w:rFonts w:ascii="Times New Roman" w:hAnsi="Times New Roman"/>
          <w:sz w:val="28"/>
          <w:szCs w:val="28"/>
        </w:rPr>
        <w:t xml:space="preserve"> </w:t>
      </w:r>
      <w:r w:rsidRPr="00107040">
        <w:rPr>
          <w:rFonts w:ascii="Times New Roman" w:hAnsi="Times New Roman"/>
          <w:sz w:val="28"/>
          <w:szCs w:val="28"/>
          <w:lang w:val="en-US"/>
        </w:rPr>
        <w:t>δ</w:t>
      </w:r>
      <w:r w:rsidRPr="00107040">
        <w:rPr>
          <w:rFonts w:ascii="Times New Roman" w:hAnsi="Times New Roman"/>
          <w:sz w:val="28"/>
          <w:szCs w:val="28"/>
        </w:rPr>
        <w:t>/</w:t>
      </w:r>
      <w:r w:rsidRPr="00107040">
        <w:rPr>
          <w:rFonts w:ascii="Times New Roman" w:hAnsi="Times New Roman"/>
          <w:sz w:val="28"/>
          <w:szCs w:val="28"/>
          <w:lang w:val="en-US"/>
        </w:rPr>
        <w:t>ε</w:t>
      </w:r>
      <w:r w:rsidRPr="00107040">
        <w:rPr>
          <w:rFonts w:ascii="Times New Roman" w:hAnsi="Times New Roman"/>
          <w:sz w:val="28"/>
          <w:szCs w:val="28"/>
        </w:rPr>
        <w:t xml:space="preserve">. На последнем этапе последовательность лигируют с </w:t>
      </w:r>
      <w:bookmarkStart w:id="19" w:name="_Hlk104055581"/>
      <w:r w:rsidRPr="00107040">
        <w:rPr>
          <w:rFonts w:ascii="Times New Roman" w:hAnsi="Times New Roman"/>
          <w:sz w:val="28"/>
          <w:szCs w:val="28"/>
          <w:lang w:val="en-US"/>
        </w:rPr>
        <w:t>LIG</w:t>
      </w:r>
      <w:r w:rsidRPr="00107040">
        <w:rPr>
          <w:rFonts w:ascii="Times New Roman" w:hAnsi="Times New Roman"/>
          <w:sz w:val="28"/>
          <w:szCs w:val="28"/>
        </w:rPr>
        <w:t>1</w:t>
      </w:r>
      <w:bookmarkEnd w:id="19"/>
      <w:r w:rsidRPr="00107040">
        <w:rPr>
          <w:rFonts w:ascii="Times New Roman" w:hAnsi="Times New Roman"/>
          <w:sz w:val="28"/>
          <w:szCs w:val="28"/>
        </w:rPr>
        <w:t xml:space="preserve"> в присутствии </w:t>
      </w:r>
      <w:r w:rsidRPr="00107040">
        <w:rPr>
          <w:rFonts w:ascii="Times New Roman" w:hAnsi="Times New Roman"/>
          <w:sz w:val="28"/>
          <w:szCs w:val="28"/>
          <w:lang w:val="en-US"/>
        </w:rPr>
        <w:t>PCNA</w:t>
      </w:r>
      <w:r w:rsidRPr="00107040">
        <w:rPr>
          <w:rFonts w:ascii="Times New Roman" w:hAnsi="Times New Roman"/>
          <w:sz w:val="28"/>
          <w:szCs w:val="28"/>
        </w:rPr>
        <w:t xml:space="preserve"> и </w:t>
      </w:r>
      <w:r w:rsidRPr="00107040">
        <w:rPr>
          <w:rFonts w:ascii="Times New Roman" w:hAnsi="Times New Roman"/>
          <w:sz w:val="28"/>
          <w:szCs w:val="28"/>
          <w:lang w:val="en-US"/>
        </w:rPr>
        <w:t>XRCC</w:t>
      </w:r>
      <w:r w:rsidRPr="00107040">
        <w:rPr>
          <w:rFonts w:ascii="Times New Roman" w:hAnsi="Times New Roman"/>
          <w:sz w:val="28"/>
          <w:szCs w:val="28"/>
        </w:rPr>
        <w:t xml:space="preserve">1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{"citationID":"yLLmSRsX","properties":{"formattedCitation":"[12,130]","plainCitation":"[12,130]","noteIndex":0},"citationItems":[{"id":398,"uris":["http://zotero.org/users/9078202/items/CUPP2ZS2"],"itemData":{"id":398,"type":"article-journal","abstract":"Each day tens of thousands of DNA single-strand breaks (SSBs) arise in every cell from the attack of deoxyribose and DNA bases by reactive oxygen species and other electrophilic molecules. DNA double-strand breaks (DSBs) also arise, albeit at a much lower frequency, from similar attacks and from the encounter of unrepaired SSBs and possibly other DNA structures by DNA replication forks. DSBs are also created during normal development of the immune system. Defects in the cellular response to DNA strand breaks underpin many human diseases, including disorders associated with cancer predisposition, immune dysfunction, radiosensitivity, and neurodegeneration. Here we provide an overview of the genetic diseases associated with defects in the repair/response to DNA strand breaks.","container-title":"Annual Review of Genomics and Human Genetics","DOI":"10.1146/annurev.genom.7.080505.115648","ISSN":"1527-8204","journalAbbreviation":"Annu Rev Genomics Hum Genet","language":"eng","note":"PMID: 17887919","page":"37-55","source":"PubMed","title":"DNA strand break repair and human genetic disease","volume":"8","author":[{"family":"McKinnon","given":"Peter J."},{"family":"Caldecott","given":"Keith W."}],"issued":{"date-parts":[["2007"]]}}},{"id":397,"uris":["http://zotero.org/users/9078202/items/7D3IAVG8"],"itemData":{"id":397,"type":"article-journal","abstract":"DNA ligation is an essential step in DNA replication, repair and recombination. Mammalian cells contain three DNA Ligases that are not interchangeable although they use the same catalytic reaction mechanism. To compare the recruitment of the three eukaryotic DNA Ligases to repair sites in vivo we introduced DNA lesions in human cells by laser microirradiation. Time lapse microscopy of fluorescently tagged proteins showed that DNA Ligase III accumulated at microirradiated sites before DNA Ligase I, whereas we could detect only a faint accumulation of DNA Ligase IV. Recruitment of DNA Ligase I and III to repair sites was cell cycle independent. Mutational analysis and binding studies revealed that DNA Ligase I was recruited to DNA repair sites by interaction with PCNA while DNA Ligase III was recruited via its BRCT domain mediated interaction with XRCC1. Selective recruitment of specialized DNA Ligases may have evolved to accommodate the particular requirements of different repair pathways and may thus enhance efficiency of DNA repair.","container-title":"Nucleic Acids Research","DOI":"10.1093/nar/gkl492","ISSN":"1362-4962","issue":"12","journalAbbreviation":"Nucleic Acids Res","language":"eng","note":"PMID: 16855289\nPMCID: PMC1524911","page":"3523-3532","source":"PubMed","title":"Differential recruitment of DNA Ligase I and III to DNA repair sites","volume":"34","author":[{"family":"Mortusewicz","given":"Oliver"},{"family":"Rothbauer","given":"Ulrich"},{"family":"Cardoso","given":"M. Cristina"},{"family":"Leonhardt","given":"Heinrich"}],"issued":{"date-parts":[["2006"]]}}}],"schema":"https://github.com/citation-style-language/schema/raw/master/csl-citation.json"}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[12,130]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Путь коротких участков </w:t>
      </w:r>
      <w:r w:rsidRPr="00107040">
        <w:rPr>
          <w:rFonts w:ascii="Times New Roman" w:hAnsi="Times New Roman"/>
          <w:sz w:val="28"/>
          <w:szCs w:val="28"/>
          <w:lang w:val="en-US"/>
        </w:rPr>
        <w:t>SSBR</w:t>
      </w:r>
      <w:r w:rsidRPr="00107040">
        <w:rPr>
          <w:rFonts w:ascii="Times New Roman" w:hAnsi="Times New Roman"/>
          <w:sz w:val="28"/>
          <w:szCs w:val="28"/>
        </w:rPr>
        <w:t xml:space="preserve"> протекает так же, как и восстановление длинных участков путем распознавания </w:t>
      </w:r>
      <w:r w:rsidRPr="00107040">
        <w:rPr>
          <w:rFonts w:ascii="Times New Roman" w:hAnsi="Times New Roman"/>
          <w:sz w:val="28"/>
          <w:szCs w:val="28"/>
          <w:lang w:val="en-US"/>
        </w:rPr>
        <w:t>SSB</w:t>
      </w:r>
      <w:r w:rsidRPr="00107040">
        <w:rPr>
          <w:rFonts w:ascii="Times New Roman" w:hAnsi="Times New Roman"/>
          <w:sz w:val="28"/>
          <w:szCs w:val="28"/>
        </w:rPr>
        <w:t xml:space="preserve">, генерируемых во время </w:t>
      </w:r>
      <w:r w:rsidRPr="00107040">
        <w:rPr>
          <w:rFonts w:ascii="Times New Roman" w:hAnsi="Times New Roman"/>
          <w:sz w:val="28"/>
          <w:szCs w:val="28"/>
          <w:lang w:val="en-US"/>
        </w:rPr>
        <w:t>BER</w:t>
      </w:r>
      <w:r w:rsidRPr="00107040">
        <w:rPr>
          <w:rFonts w:ascii="Times New Roman" w:hAnsi="Times New Roman"/>
          <w:sz w:val="28"/>
          <w:szCs w:val="28"/>
        </w:rPr>
        <w:t xml:space="preserve">, с помощью </w:t>
      </w:r>
      <w:r w:rsidRPr="00107040">
        <w:rPr>
          <w:rFonts w:ascii="Times New Roman" w:hAnsi="Times New Roman"/>
          <w:sz w:val="28"/>
          <w:szCs w:val="28"/>
          <w:lang w:val="en-US"/>
        </w:rPr>
        <w:t>APE</w:t>
      </w:r>
      <w:r w:rsidRPr="00107040">
        <w:rPr>
          <w:rFonts w:ascii="Times New Roman" w:hAnsi="Times New Roman"/>
          <w:sz w:val="28"/>
          <w:szCs w:val="28"/>
        </w:rPr>
        <w:t xml:space="preserve">1, за которым следует аналогичный путь процессинга концов, за исключением этапа заполнения пробелов, выполняемого ферментом </w:t>
      </w:r>
      <w:r w:rsidRPr="00107040">
        <w:rPr>
          <w:rFonts w:ascii="Times New Roman" w:hAnsi="Times New Roman"/>
          <w:sz w:val="28"/>
          <w:szCs w:val="28"/>
          <w:lang w:val="en-US"/>
        </w:rPr>
        <w:t>POL</w:t>
      </w:r>
      <w:r w:rsidRPr="00107040">
        <w:rPr>
          <w:rFonts w:ascii="Times New Roman" w:hAnsi="Times New Roman"/>
          <w:sz w:val="28"/>
          <w:szCs w:val="28"/>
        </w:rPr>
        <w:t xml:space="preserve"> </w:t>
      </w:r>
      <w:r w:rsidRPr="00107040">
        <w:rPr>
          <w:rFonts w:ascii="Times New Roman" w:hAnsi="Times New Roman"/>
          <w:sz w:val="28"/>
          <w:szCs w:val="28"/>
          <w:lang w:val="en-US"/>
        </w:rPr>
        <w:t>β</w:t>
      </w:r>
      <w:r w:rsidRPr="00107040">
        <w:rPr>
          <w:rFonts w:ascii="Times New Roman" w:hAnsi="Times New Roman"/>
          <w:sz w:val="28"/>
          <w:szCs w:val="28"/>
        </w:rPr>
        <w:t xml:space="preserve">, за которым следует лигирование </w:t>
      </w:r>
      <w:r w:rsidRPr="00107040">
        <w:rPr>
          <w:rFonts w:ascii="Times New Roman" w:hAnsi="Times New Roman"/>
          <w:sz w:val="28"/>
          <w:szCs w:val="28"/>
          <w:lang w:val="en-US"/>
        </w:rPr>
        <w:t>LIG</w:t>
      </w:r>
      <w:r w:rsidRPr="00107040">
        <w:rPr>
          <w:rFonts w:ascii="Times New Roman" w:hAnsi="Times New Roman"/>
          <w:sz w:val="28"/>
          <w:szCs w:val="28"/>
        </w:rPr>
        <w:t xml:space="preserve">3 </w:t>
      </w:r>
      <w:r w:rsidRPr="00107040">
        <w:rPr>
          <w:rFonts w:ascii="Times New Roman" w:hAnsi="Times New Roman"/>
          <w:sz w:val="28"/>
          <w:szCs w:val="28"/>
          <w:lang w:val="en-US"/>
        </w:rPr>
        <w:fldChar w:fldCharType="begin"/>
      </w:r>
      <w:r>
        <w:rPr>
          <w:rFonts w:ascii="Times New Roman" w:hAnsi="Times New Roman"/>
          <w:sz w:val="28"/>
          <w:szCs w:val="28"/>
        </w:rPr>
        <w:instrText xml:space="preserve"> ADDIN ZOTERO_ITEM CSL_CITATION {"citationID":"Q404HuyH","properties":{"formattedCitation":"[12]","plainCitation":"[12]","noteIndex":0},"citationItems":[{"id":398,"uris":["http://zotero.org/users/9078202/items/CUPP2ZS2"],"itemData":{"id":398,"type":"article-journal","abstract":"Each day tens of thousands of DNA single-strand breaks (SSBs) arise in every cell from the attack of deoxyribose and DNA bases by reactive oxygen species and other electrophilic molecules. DNA double-strand breaks (DSBs) also arise, albeit at a much lower frequency, from similar attacks and from the encounter of unrepaired SSBs and possibly other DNA structures by DNA replication forks. DSBs are also created during normal development of the immune system. Defects in the cellular response to DNA strand breaks underpin many human diseases, including disorders associated with cancer predisposition, immune dysfunction, radiosensitivity, and neurodegeneration. Here we provide an overview of the genetic diseases associated with defects in the repair/response to DNA strand breaks.","container-title":"Annual Review of Genomics and Human Genetics","DOI":"10.1146/annurev.genom.7.080505.115648","ISSN":"1527-8204","journalAbbreviation":"Annu Rev Genomics Hum Genet","language":"eng","note":"PMID: 17887919","page":"37-55","source":"PubMed","title":"DNA strand break repair and human genetic disease","volume":"8","author":[{"family":"McKinnon","given":"Peter J."},{"family":"Caldecott","given":"Keith W."}],"issued":{"date-parts":[["2007"]]}}}],"schema":"https://github.com/citation-style-language/schema/raw/master/csl-citation.json"} </w:instrText>
      </w:r>
      <w:r w:rsidRPr="00107040">
        <w:rPr>
          <w:rFonts w:ascii="Times New Roman" w:hAnsi="Times New Roman"/>
          <w:sz w:val="28"/>
          <w:szCs w:val="28"/>
          <w:lang w:val="en-US"/>
        </w:rPr>
        <w:fldChar w:fldCharType="separate"/>
      </w:r>
      <w:r w:rsidRPr="00107040">
        <w:rPr>
          <w:rFonts w:ascii="Times New Roman" w:hAnsi="Times New Roman"/>
          <w:sz w:val="28"/>
        </w:rPr>
        <w:t>[12]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Наконец, в пути </w:t>
      </w:r>
      <w:r w:rsidRPr="00107040">
        <w:rPr>
          <w:rFonts w:ascii="Times New Roman" w:hAnsi="Times New Roman"/>
          <w:sz w:val="28"/>
          <w:szCs w:val="28"/>
          <w:lang w:val="en-US"/>
        </w:rPr>
        <w:t>TOP</w:t>
      </w:r>
      <w:r w:rsidRPr="00107040">
        <w:rPr>
          <w:rFonts w:ascii="Times New Roman" w:hAnsi="Times New Roman"/>
          <w:sz w:val="28"/>
          <w:szCs w:val="28"/>
        </w:rPr>
        <w:t>1-</w:t>
      </w:r>
      <w:r w:rsidRPr="00107040">
        <w:rPr>
          <w:rFonts w:ascii="Times New Roman" w:hAnsi="Times New Roman"/>
          <w:sz w:val="28"/>
          <w:szCs w:val="28"/>
          <w:lang w:val="en-US"/>
        </w:rPr>
        <w:t>SSB</w:t>
      </w:r>
      <w:r w:rsidRPr="00107040">
        <w:rPr>
          <w:rFonts w:ascii="Times New Roman" w:hAnsi="Times New Roman"/>
          <w:sz w:val="28"/>
          <w:szCs w:val="28"/>
        </w:rPr>
        <w:t xml:space="preserve">, который является вариантом </w:t>
      </w:r>
      <w:r w:rsidRPr="00107040">
        <w:rPr>
          <w:rFonts w:ascii="Times New Roman" w:hAnsi="Times New Roman"/>
          <w:sz w:val="28"/>
          <w:szCs w:val="28"/>
          <w:lang w:val="en-US"/>
        </w:rPr>
        <w:t>PARP</w:t>
      </w:r>
      <w:r w:rsidRPr="00107040">
        <w:rPr>
          <w:rFonts w:ascii="Times New Roman" w:hAnsi="Times New Roman"/>
          <w:sz w:val="28"/>
          <w:szCs w:val="28"/>
        </w:rPr>
        <w:t xml:space="preserve">1-зависимой репарации больших длин, процессинг концов осуществляется ферментом </w:t>
      </w:r>
      <w:r w:rsidRPr="00107040">
        <w:rPr>
          <w:rFonts w:ascii="Times New Roman" w:hAnsi="Times New Roman"/>
          <w:sz w:val="28"/>
          <w:szCs w:val="28"/>
          <w:lang w:val="en-US"/>
        </w:rPr>
        <w:t>TDP</w:t>
      </w:r>
      <w:r w:rsidRPr="00107040">
        <w:rPr>
          <w:rFonts w:ascii="Times New Roman" w:hAnsi="Times New Roman"/>
          <w:sz w:val="28"/>
          <w:szCs w:val="28"/>
        </w:rPr>
        <w:t xml:space="preserve">1 (тирозил-ДНК-фосфодиэстераза 1), который удаляет </w:t>
      </w:r>
      <w:r w:rsidRPr="00107040">
        <w:rPr>
          <w:rFonts w:ascii="Times New Roman" w:hAnsi="Times New Roman"/>
          <w:sz w:val="28"/>
          <w:szCs w:val="28"/>
          <w:lang w:val="en-US"/>
        </w:rPr>
        <w:t>TOP</w:t>
      </w:r>
      <w:r w:rsidRPr="00107040">
        <w:rPr>
          <w:rFonts w:ascii="Times New Roman" w:hAnsi="Times New Roman"/>
          <w:sz w:val="28"/>
          <w:szCs w:val="28"/>
        </w:rPr>
        <w:t xml:space="preserve">1 с 3'-конца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{"citationID":"lk9yF06V","properties":{"formattedCitation":"[131]","plainCitation":"[131]","noteIndex":0},"citationItems":[{"id":395,"uris":["http://zotero.org/users/9078202/items/DK4MHDWC"],"itemData":{"id":395,"type":"article-journal","abstract":"Hereditary defects in the repair of DNA damage are implicated in a variety of diseases, many of which are typified by neurological dysfunction and/or increased genetic instability and cancer. Of the different types of DNA damage that arise in cells, single-strand breaks (SSBs) are the most common, arising at a frequency of tens of thousands per cell per day from direct attack by intracellular metabolites and from spontaneous DNA decay. Here, the molecular mechanisms and organization of the DNA-repair pathways that remove SSBs are reviewed and the connection between defects in these pathways and hereditary neurodegenerative disease are discussed.","container-title":"Nature Reviews. Genetics","DOI":"10.1038/nrg2380","ISSN":"1471-0064","issue":"8","journalAbbreviation":"Nat Rev Genet","language":"eng","note":"PMID: 18626472","page":"619-631","source":"PubMed","title":"Single-strand break repair and genetic disease","volume":"9","author":[{"family":"Caldecott","given":"Keith W."}],"issued":{"date-parts":[["2008",8]]}}}],"schema":"https://github.com/citation-style-language/schema/raw/master/csl-citation.json"}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[131]</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26F9DC9E" w14:textId="77777777" w:rsidR="00107040" w:rsidRPr="00107040" w:rsidRDefault="00107040" w:rsidP="00107040">
      <w:pPr>
        <w:spacing w:after="0" w:line="240" w:lineRule="auto"/>
        <w:ind w:firstLine="567"/>
        <w:jc w:val="both"/>
        <w:rPr>
          <w:rFonts w:ascii="Times New Roman" w:hAnsi="Times New Roman"/>
          <w:sz w:val="28"/>
          <w:szCs w:val="28"/>
        </w:rPr>
      </w:pPr>
    </w:p>
    <w:p w14:paraId="5A915FD4" w14:textId="7777777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1.</w:t>
      </w:r>
      <w:r w:rsidRPr="00107040">
        <w:rPr>
          <w:rFonts w:ascii="Times New Roman" w:hAnsi="Times New Roman"/>
          <w:sz w:val="28"/>
          <w:szCs w:val="28"/>
          <w:lang w:val="kk-KZ"/>
        </w:rPr>
        <w:t>2</w:t>
      </w:r>
      <w:r w:rsidRPr="00107040">
        <w:rPr>
          <w:rFonts w:ascii="Times New Roman" w:hAnsi="Times New Roman"/>
          <w:sz w:val="28"/>
          <w:szCs w:val="28"/>
        </w:rPr>
        <w:t>.3.</w:t>
      </w:r>
      <w:r w:rsidRPr="00107040">
        <w:rPr>
          <w:rFonts w:ascii="Times New Roman" w:hAnsi="Times New Roman"/>
          <w:sz w:val="28"/>
          <w:szCs w:val="28"/>
          <w:lang w:val="kk-KZ"/>
        </w:rPr>
        <w:t>2</w:t>
      </w:r>
      <w:r w:rsidRPr="00107040">
        <w:rPr>
          <w:rFonts w:ascii="Times New Roman" w:hAnsi="Times New Roman"/>
          <w:sz w:val="28"/>
          <w:szCs w:val="28"/>
        </w:rPr>
        <w:t xml:space="preserve"> </w:t>
      </w:r>
      <w:bookmarkStart w:id="20" w:name="_Hlk113268129"/>
      <w:r w:rsidRPr="00107040">
        <w:rPr>
          <w:rFonts w:ascii="Times New Roman" w:hAnsi="Times New Roman"/>
          <w:sz w:val="28"/>
          <w:szCs w:val="28"/>
        </w:rPr>
        <w:t>Репарация двухцепочечных разрывов (</w:t>
      </w:r>
      <w:r w:rsidRPr="00107040">
        <w:rPr>
          <w:rFonts w:ascii="Times New Roman" w:hAnsi="Times New Roman"/>
          <w:sz w:val="28"/>
          <w:szCs w:val="28"/>
          <w:lang w:val="en-US"/>
        </w:rPr>
        <w:t>DSBR</w:t>
      </w:r>
      <w:r w:rsidRPr="00107040">
        <w:rPr>
          <w:rFonts w:ascii="Times New Roman" w:hAnsi="Times New Roman"/>
          <w:sz w:val="28"/>
          <w:szCs w:val="28"/>
        </w:rPr>
        <w:t>)</w:t>
      </w:r>
    </w:p>
    <w:bookmarkEnd w:id="20"/>
    <w:p w14:paraId="16163E55" w14:textId="5A3025F5"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Двухцепочечные разрывы ДНК (</w:t>
      </w:r>
      <w:r w:rsidRPr="00107040">
        <w:rPr>
          <w:rFonts w:ascii="Times New Roman" w:hAnsi="Times New Roman"/>
          <w:sz w:val="28"/>
          <w:szCs w:val="28"/>
          <w:lang w:val="en-US"/>
        </w:rPr>
        <w:t>DSB</w:t>
      </w:r>
      <w:r w:rsidRPr="00107040">
        <w:rPr>
          <w:rFonts w:ascii="Times New Roman" w:hAnsi="Times New Roman"/>
          <w:sz w:val="28"/>
          <w:szCs w:val="28"/>
        </w:rPr>
        <w:t>) являются одними из многих типов повреждений ДНК, вызванных ионизирующим излучением, радиомиметическими химическими веществами или активными формами кислорода, а также во время репликации ДНК, когда полимераза сталкивается с одноцепочечным повреждением в репликационной</w:t>
      </w:r>
      <w:r w:rsidRPr="00107040">
        <w:rPr>
          <w:rFonts w:ascii="Times New Roman" w:hAnsi="Times New Roman"/>
          <w:b/>
          <w:sz w:val="28"/>
          <w:szCs w:val="28"/>
        </w:rPr>
        <w:t xml:space="preserve"> </w:t>
      </w:r>
      <w:r w:rsidRPr="00107040">
        <w:rPr>
          <w:rFonts w:ascii="Times New Roman" w:hAnsi="Times New Roman"/>
          <w:sz w:val="28"/>
          <w:szCs w:val="28"/>
        </w:rPr>
        <w:t>вилке</w:t>
      </w:r>
      <w:r w:rsidRPr="00107040">
        <w:rPr>
          <w:rFonts w:ascii="Times New Roman" w:hAnsi="Times New Roman"/>
          <w:bCs/>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{"citationID":"HabZkn1c","properties":{"formattedCitation":"[132]","plainCitation":"[132]","noteIndex":0},"citationItems":[{"id":420,"uris":["http://zotero.org/users/9078202/items/4Y2K5RCE"],"itemData":{"id":420,"type":"article-journal","abstract":"The DNA double-strand break (DSB) is the principle cytotoxic lesion for ionizing radiation and radio-mimetic chemicals but can also be caused by mechanical stress on chromosomes or when a replicative DNA polymerase encounters a DNA single-strand break or other type of DNA lesion. DSBs also occur as intermediates in various biological events, such as V(D)J recombination in developing lymphoid cells. Inaccurate repair or lack of repair of a DSB can lead to mutations or to larger-scale genomic instability through the generation of dicentric or acentric chromosomal fragments. Such genome changes may have tumourigenic potential. In other instances, DSBs can be sufficient to induce apoptosis. Because of the threats posed by DSBs, eukaryotic cells have evolved complex and highly conserved systems to rapidly and efficiently detect these lesions, signal their presence and bring about their repair. Here, I provide an overview of these systems, with particular emphasis on the two major pathways of DSB repair: non-homologous end-joining and homologous recombination. Inherited or acquired defects in these pathways may lead to cancer or to other human diseases, and may affect the sensitivity of patients or tumour cells to radiotherapy and certain chemotherapies. An increased knowledge of DSB repair and of other DNA DSB responses may therefore provide opportunities for developing more effective treatments for cancer.","container-title":"Carcinogenesis","DOI":"10.1093/carcin/23.5.687","ISSN":"0143-3334","issue":"5","journalAbbreviation":"Carcinogenesis","page":"687-696","source":"Silverchair","title":"Sensing and repairing DNA double-strand breaks","URL":"https://doi.org/10.1093/carcin/23.5.687","volume":"23","author":[{"family":"Jackson","given":"Stephen P."}],"accessed":{"date-parts":[["2022",3,16]]},"issued":{"date-parts":[["2002",5,1]]}}}],"schema":"https://github.com/citation-style-language/schema/raw/master/csl-citation.json"}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[132]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Существует два </w:t>
      </w:r>
      <w:r w:rsidRPr="00107040">
        <w:rPr>
          <w:rFonts w:ascii="Times New Roman" w:hAnsi="Times New Roman"/>
          <w:sz w:val="28"/>
          <w:szCs w:val="28"/>
        </w:rPr>
        <w:lastRenderedPageBreak/>
        <w:t xml:space="preserve">основных пути разрешения DSB </w:t>
      </w:r>
      <w:r w:rsidRPr="00107040">
        <w:rPr>
          <w:rFonts w:ascii="Times New Roman" w:hAnsi="Times New Roman"/>
          <w:sz w:val="28"/>
          <w:szCs w:val="28"/>
        </w:rPr>
        <w:sym w:font="Symbol" w:char="F02D"/>
      </w:r>
      <w:r w:rsidRPr="00107040">
        <w:rPr>
          <w:rFonts w:ascii="Times New Roman" w:hAnsi="Times New Roman"/>
          <w:sz w:val="28"/>
          <w:szCs w:val="28"/>
        </w:rPr>
        <w:t xml:space="preserve"> гомологичная рекомбинация (HR) и негомологичное соединение концов (NHEJ). В присутствии DSB происходит модификация хроматина и запускается каскад событий, включая целенаправленное фосфорилирование H2AX путем активации ATM, ПАРилирование хроматина, рекрутирование </w:t>
      </w:r>
      <w:bookmarkStart w:id="21" w:name="_Hlk104055647"/>
      <w:r w:rsidRPr="00107040">
        <w:rPr>
          <w:rFonts w:ascii="Times New Roman" w:hAnsi="Times New Roman"/>
          <w:sz w:val="28"/>
          <w:szCs w:val="28"/>
        </w:rPr>
        <w:t>MDC1</w:t>
      </w:r>
      <w:bookmarkEnd w:id="21"/>
      <w:r w:rsidRPr="00107040">
        <w:rPr>
          <w:rFonts w:ascii="Times New Roman" w:hAnsi="Times New Roman"/>
          <w:sz w:val="28"/>
          <w:szCs w:val="28"/>
        </w:rPr>
        <w:t xml:space="preserve">, </w:t>
      </w:r>
      <w:bookmarkStart w:id="22" w:name="_Hlk104055661"/>
      <w:r w:rsidRPr="00107040">
        <w:rPr>
          <w:rFonts w:ascii="Times New Roman" w:hAnsi="Times New Roman"/>
          <w:sz w:val="28"/>
          <w:szCs w:val="28"/>
        </w:rPr>
        <w:t>53BP1</w:t>
      </w:r>
      <w:bookmarkEnd w:id="22"/>
      <w:r w:rsidRPr="00107040">
        <w:rPr>
          <w:rFonts w:ascii="Times New Roman" w:hAnsi="Times New Roman"/>
          <w:sz w:val="28"/>
          <w:szCs w:val="28"/>
        </w:rPr>
        <w:t xml:space="preserve"> и </w:t>
      </w:r>
      <w:bookmarkStart w:id="23" w:name="_Hlk104055679"/>
      <w:r w:rsidRPr="00107040">
        <w:rPr>
          <w:rFonts w:ascii="Times New Roman" w:hAnsi="Times New Roman"/>
          <w:sz w:val="28"/>
          <w:szCs w:val="28"/>
        </w:rPr>
        <w:t>BRCA1</w:t>
      </w:r>
      <w:bookmarkEnd w:id="23"/>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TCALcYPA","properties":{"formattedCitation":"[133\\uc0\\u8211{}137]","plainCitation":"[133–137]","noteIndex":0},"citationItems":[{"id":394,"uris":["http://zotero.org/users/9078202/items/9TJ2AN4F"],"itemData":{"id":394,"type":"article-journal","abstract":"Posttranslational modifications play a key role in recruiting chromatin remodeling and modifying enzymes to specific regions of chromosomes to modulate chromatin structure. Alc1 (amplified in liver cancer 1), a member of the SNF2 ATPase superfamily with a carboxy-terminal macrodomain, is encoded by an oncogene implicated in the pathogenesis of hepatocellular carcinoma. Here we show that Alc1 interacts transiently with chromatin-associated proteins, including histones and the poly(ADP-ribose) polymerase Parp1. Alc1 ATPase and chromatin remodeling activities are strongly activated by Parp1 and its substrate NAD and require an intact macrodomain capable of binding poly(ADP-ribose). Alc1 is rapidly recruited to nucleosomes in vitro and to chromatin in cells when Parp1 catalyzes PAR synthesis. We propose that poly(ADP-ribosyl)ation of chromatin-associated Parp1 serves as a mechanism for targeting a SNF2 family remodeler to chromatin.","container-title":"Proceedings of the National Academy of Sciences of the United States of America","DOI":"10.1073/pnas.0906920106","ISSN":"1091-6490","issue":"33","journalAbbreviation":"Proc Natl Acad Sci U S A","language":"eng","note":"PMID: 19666485\nPMCID: PMC2722505","page":"13770-13774","source":"PubMed","title":"Poly(ADP-ribosyl)ation directs recruitment and activation of an ATP-dependent chromatin remodeler","volume":"106","author":[{"family":"Gottschalk","given":"Aaron J."},{"family":"Timinszky","given":"Gyula"},{"family":"Kong","given":"Stephanie E."},{"family":"Jin","given":"Jingji"},{"family":"Cai","given":"Yong"},{"family":"Swanson","given":"Selene K."},{"family":"Washburn","given":"Michael P."},{"family":"Florens","given":"Laurence"},{"family":"Ladurner","given":"Andreas G."},{"family":"Conaway","given":"Joan W."},{"family":"Conaway","given":"Ronald C."}],"issued":{"date-parts":[["2009",8,18]]}}},{"id":393,"uris":["http://zotero.org/users/9078202/items/JPGHCZEI"],"itemData":{"id":393,"type":"article-journal","abstract":"Many proteins that respond to DNA damage are recruited to DNA lesions. We used a proteomics approach that coupled isotopic labeling with chromatin fractionation and mass spectrometry to uncover proteins that associate with damaged DNA, many of which are involved in DNA repair or nucleolar function. We show that polycomb group members are recruited by poly(ADP ribose) polymerase (PARP) to DNA lesions following UV laser microirradiation. Loss of polycomb components results in IR sensitivity of mammalian cells and Caenorhabditis elegans. PARP also recruits two components of the repressive nucleosome remodeling and deacetylase (NuRD) complex, chromodomain helicase DNA-binding protein 4 (CHD4) and metastasis associated 1 (MTA1), to DNA lesions. PARP plays a role in removing nascent RNA and elongating RNA polymerase II from sites of DNA damage. We propose that PARP sets up a transient repressive chromatin structure at sites of DNA damage to block transcription and facilitate DNA repair.","container-title":"Proceedings of the National Academy of Sciences of the United States of America","DOI":"10.1073/pnas.1012946107","ISSN":"1091-6490","issue":"43","journalAbbreviation":"Proc Natl Acad Sci U S A","language":"eng","note":"PMID: 20937877\nPMCID: PMC2972950","page":"18475-18480","source":"PubMed","title":"A chromatin localization screen reveals poly (ADP ribose)-regulated recruitment of the repressive polycomb and NuRD complexes to sites of DNA damage","volume":"107","author":[{"family":"Chou","given":"Danny M."},{"family":"Adamson","given":"Britt"},{"family":"Dephoure","given":"Noah E."},{"family":"Tan","given":"Xu"},{"family":"Nottke","given":"Amanda C."},{"family":"Hurov","given":"Kristen E."},{"family":"Gygi","given":"Steven P."},{"family":"Colaiácovo","given":"Monica P."},{"family":"Elledge","given":"Stephen J."}],"issued":{"date-parts":[["2010",10,26]]}}},{"id":392,"uris":["http://zotero.org/users/9078202/items/2GEI32WY"],"itemData":{"id":392,"type":"article-journal","abstract":"Following the discovery in 1998 of γ-H2AX, the first histone modification induced by DNA damage, interest in the changes to chromatin induced by DNA damage has exploded, and a vast amount of information has been generated. However, there has been a discrepancy between our rapidly advancing knowledge of how chromatin responds to DNA damage and the understanding of why cells mobilize large segments of chromatin to protect the genome against destabilizing effects posed by tiny DNA lesions. Recent research has provided insights into these issues and suggests that chromatin responses induced by DNA damage are not simply the accumulation of 'nuclear foci' but are mechanisms required to guard genome integrity.","container-title":"Nature Cell Biology","DOI":"10.1038/ncb2344","ISSN":"1476-4679","issue":"10","journalAbbreviation":"Nat Cell Biol","language":"eng","note":"PMID: 21968989","page":"1161-1169","source":"PubMed","title":"More than just a focus: The chromatin response to DNA damage and its role in genome integrity maintenance","title-short":"More than just a focus","volume":"13","author":[{"family":"Lukas","given":"Jiri"},{"family":"Lukas","given":"Claudia"},{"family":"Bartek","given":"Jiri"}],"issued":{"date-parts":[["2011",10,3]]}}},{"id":391,"uris":["http://zotero.org/users/9078202/items/YZXMQIHU"],"itemData":{"id":391,"type":"article-journal","abstract":"DNA double-strand breaks (DSBs) can arise from multiple sources, including exposure to ionizing radiation. The repair of DSBs involves both posttranslational modification of nucleosomes and concentration of DNA-repair proteins at the site of damage. Consequently, nucleosome packing and chromatin architecture surrounding the DSB may limit the ability of the DNA-damage response to access and repair the break. Here, we review early chromatin-based events that promote the formation of open, relaxed chromatin structures at DSBs and that allow the DNA-repair machinery to access the spatially confined region surrounding the DSB, thereby facilitating mammalian DSB repair.","container-title":"Cell","DOI":"10.1016/j.cell.2013.02.011","ISSN":"1097-4172","issue":"6","journalAbbreviation":"Cell","language":"eng","note":"PMID: 23498941\nPMCID: PMC3670600","page":"1344-1354","source":"PubMed","title":"Chromatin remodeling at DNA double-strand breaks","volume":"152","author":[{"family":"Price","given":"Brendan D."},{"family":"D'Andrea","given":"Alan D."}],"issued":{"date-parts":[["2013",3,14]]}}},{"id":390,"uris":["http://zotero.org/users/9078202/items/LCEP7W8D"],"itemData":{"id":390,"type":"article-journal","abstract":"DNA-damage response machinery is crucial to maintain the genomic integrity of cells, by enabling effective repair of even highly lethal lesions such as DNA double-strand breaks (DSBs). Defects in specific genes acquired through mutations, copy-number alterations or epigenetic changes can alter the balance of these pathways, triggering cancerous potential in cells. Selective killing of cancer cells by sensitizing them to further DNA damage, especially by induction of DSBs, therefore requires careful modulation of DSB-repair pathways. Here, we review the latest knowledge on the two DSB-repair pathways, homologous recombination and non-homologous end joining in human, describing in detail the functions of their components and the key mechanisms contributing to the repair. Such an in-depth characterization of these pathways enables a more mechanistic understanding of how cells respond to therapies, and suggests molecules and processes that can be explored as potential therapeutic targets. One such avenue that has shown immense promise is via the exploitation of synthetic lethal relationships, for which the BRCA1-PARP1 relationship is particularly notable. Here, we describe how this relationship functions and the manner in which cancer cells acquire therapy resistance by restoring their DSB repair potential.","container-title":"Nucleic Acids Research","DOI":"10.1093/nar/gku284","ISSN":"1362-4962","issue":"10","journalAbbreviation":"Nucleic Acids Res","language":"eng","note":"PMID: 24792170\nPMCID: PMC4041457","page":"6106-6127","source":"PubMed","title":"A fine-scale dissection of the DNA double-strand break repair machinery and its implications for breast cancer therapy","volume":"42","author":[{"family":"Liu","given":"Chao"},{"family":"Srihari","given":"Sriganesh"},{"family":"Cao","given":"Kim-Anh Lê"},{"family":"Chenevix-Trench","given":"Georgia"},{"family":"Simpson","given":"Peter T."},{"family":"Ragan","given":"Mark A."},{"family":"Khanna","given":"Kum Kum"}],"issued":{"date-parts":[["2014",6]]}}}],"schema":"https://github.com/citation-style-language/schema/raw/master/csl-citation.json"}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[133–137]</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6E61EF16" w14:textId="1BC6D50A"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53</w:t>
      </w:r>
      <w:r w:rsidRPr="00107040">
        <w:rPr>
          <w:rFonts w:ascii="Times New Roman" w:hAnsi="Times New Roman"/>
          <w:sz w:val="28"/>
          <w:szCs w:val="28"/>
          <w:lang w:val="en-US"/>
        </w:rPr>
        <w:t>BP</w:t>
      </w:r>
      <w:r w:rsidRPr="00107040">
        <w:rPr>
          <w:rFonts w:ascii="Times New Roman" w:hAnsi="Times New Roman"/>
          <w:sz w:val="28"/>
          <w:szCs w:val="28"/>
        </w:rPr>
        <w:t xml:space="preserve">1 играет важную регуляторную роль в пути </w:t>
      </w:r>
      <w:r w:rsidRPr="00107040">
        <w:rPr>
          <w:rFonts w:ascii="Times New Roman" w:hAnsi="Times New Roman"/>
          <w:sz w:val="28"/>
          <w:szCs w:val="28"/>
          <w:lang w:val="en-US"/>
        </w:rPr>
        <w:t>NHEJ</w:t>
      </w:r>
      <w:r w:rsidRPr="00107040">
        <w:rPr>
          <w:rFonts w:ascii="Times New Roman" w:hAnsi="Times New Roman"/>
          <w:sz w:val="28"/>
          <w:szCs w:val="28"/>
        </w:rPr>
        <w:t xml:space="preserve"> </w:t>
      </w:r>
      <w:r w:rsidRPr="00107040">
        <w:rPr>
          <w:rFonts w:ascii="Times New Roman" w:hAnsi="Times New Roman"/>
          <w:sz w:val="28"/>
          <w:szCs w:val="28"/>
          <w:lang w:val="en-US"/>
        </w:rPr>
        <w:t>DSBR</w:t>
      </w:r>
      <w:r w:rsidRPr="00107040">
        <w:rPr>
          <w:rFonts w:ascii="Times New Roman" w:hAnsi="Times New Roman"/>
          <w:sz w:val="28"/>
          <w:szCs w:val="28"/>
        </w:rPr>
        <w:t xml:space="preserve">, привлекая компоненты </w:t>
      </w:r>
      <w:r w:rsidRPr="00107040">
        <w:rPr>
          <w:rFonts w:ascii="Times New Roman" w:hAnsi="Times New Roman"/>
          <w:sz w:val="28"/>
          <w:szCs w:val="28"/>
          <w:lang w:val="en-US"/>
        </w:rPr>
        <w:t>NHEJ</w:t>
      </w:r>
      <w:r w:rsidRPr="00107040">
        <w:rPr>
          <w:rFonts w:ascii="Times New Roman" w:hAnsi="Times New Roman"/>
          <w:sz w:val="28"/>
          <w:szCs w:val="28"/>
        </w:rPr>
        <w:t xml:space="preserve"> к месту разрыва, активируя передачу сигналов контрольной точки, облегчая связывание двух концов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{"citationID":"qIMEyt7p","properties":{"formattedCitation":"[138]","plainCitation":"[138]","noteIndex":0},"citationItems":[{"id":389,"uris":["http://zotero.org/users/9078202/items/Q4Z9RVCV"],"itemData":{"id":389,"type":"article-journal","abstract":"DNA double-strand break (DSB) signalling and repair is crucial to preserve genomic integrity and maintain cellular homeostasis. p53-binding protein 1 (53BP1) is an important regulator of the cellular response to DSBs that promotes the end-joining of distal DNA ends, which is induced during V(D)J and class switch recombination as well as during the fusion of deprotected telomeres. New insights have been gained into the mechanisms underlying the recruitment of 53BP1 to damaged chromatin and how 53BP1 promotes non-homologous end-joining-mediated DSB repair while preventing homologous recombination. From these studies, a model is emerging in which 53BP1 recruitment requires the direct recognition of a DSB-specific histone code and its influence on pathway choice is mediated by mutual antagonism with breast cancer 1 (BRCA1).","container-title":"Nature Reviews. Molecular Cell Biology","DOI":"10.1038/nrm3719","ISSN":"1471-0080","issue":"1","journalAbbreviation":"Nat Rev Mol Cell Biol","language":"eng","note":"PMID: 24326623","page":"7-18","source":"PubMed","title":"Double-strand break repair: 53BP1 comes into focus","title-short":"Double-strand break repair","volume":"15","author":[{"family":"Panier","given":"Stephanie"},{"family":"Boulton","given":"Simon J."}],"issued":{"date-parts":[["2014",1]]}}}],"schema":"https://github.com/citation-style-language/schema/raw/master/csl-citation.json"}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[138]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DSB сначала распознаются и в течение нескольких секунд связываются с гетеродимером Ku (Ku70 и Ku80), чтобы предотвратить делецию концов и имеют тенденцию рекрутировать другие компоненты NHEJ в качестве каркаса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{"citationID":"yozXsc4L","properties":{"formattedCitation":"[139\\uc0\\u8211{}141]","plainCitation":"[139–141]","noteIndex":0},"citationItems":[{"id":388,"uris":["http://zotero.org/users/9078202/items/GXH5RCCN"],"itemData":{"id":388,"type":"article-journal","abstract":"DNA double-strand break (DSB) repair by nonhomologous end joining (NHEJ) requires the assembly of several proteins on DNA ends. Although biochemical studies have elucidated several aspects of the NHEJ reaction mechanism, much less is known about NHEJ in living cells, mainly because of the inability to visualize NHEJ repair proteins at DNA damage. Here we provide evidence that a pulsed near IR laser can produce DSBs without any visible alterations in the nucleus, and we show that NHEJ proteins accumulate in the irradiated areas. The levels of DSBs and Ku accumulation diminished in time, showing that this approach allows us to study DNA repair kinetics in vivo. Remarkably, the Ku heterodimers on DNA ends were in dynamic equilibrium with Ku70/80 in solution, showing that NHEJ complex assembly is reversible. Accumulation of XRCC4/ligase IV on DSBs depended on the presence of Ku70/80, but not DNA-PK(CS). We detected a direct interaction between Ku70 and XRCC4 that could explain these requirements. Our results suggest that this assembly constitutes the core of the NHEJ reaction and that XRCC4 may serve as a flexible tether between Ku70/80 and ligase IV.","container-title":"Proceedings of the National Academy of Sciences of the United States of America","DOI":"10.1073/pnas.0609061103","ISSN":"0027-8424","issue":"49","journalAbbreviation":"Proc Natl Acad Sci U S A","language":"eng","note":"PMID: 17124166\nPMCID: PMC1693708","page":"18597-18602","source":"PubMed","title":"Dynamic assembly of end-joining complexes requires interaction between Ku70/80 and XRCC4","volume":"103","author":[{"family":"Mari","given":"Pierre-Olivier"},{"family":"Florea","given":"Bogdan I."},{"family":"Persengiev","given":"Stephan P."},{"family":"Verkaik","given":"Nicole S."},{"family":"Brüggenwirth","given":"Hennie T."},{"family":"Modesti","given":"Mauro"},{"family":"Giglia-Mari","given":"Giuseppina"},{"family":"Bezstarosti","given":"Karel"},{"family":"Demmers","given":"Jeroen A. A."},{"family":"Luider","given":"Theo M."},{"family":"Houtsmuller","given":"Adriaan B."},{"family":"Gent","given":"Dik C.","non-dropping-particle":"van"}],"issued":{"date-parts":[["2006",12,5]]}}},{"id":387,"uris":["http://zotero.org/users/9078202/items/85QAIMMZ"],"itemData":{"id":387,"type":"article-journal","abstract":"Formation of cancerous translocations requires the illegitimate joining of chromosomes containing double-strand breaks (DSBs). It is unknown how broken chromosome ends find their translocation partners within the cell nucleus. Here, we have visualized and quantitatively analysed the dynamics of single DSBs in living mammalian cells. We demonstrate that broken ends are positionally stable and unable to roam the cell nucleus. Immobilization of broken chromosome ends requires the DNA-end binding protein Ku80, but is independent of DNA repair factors, H2AX, the MRN complex and the cohesion complex. DSBs preferentially undergo translocations with neighbouring chromosomes and loss of local positional constraint correlates with elevated genomic instability. These results support a contact-first model in which chromosome translocations predominantly form among spatially proximal DSBs.","container-title":"Nature Cell Biology","DOI":"10.1038/ncb1591","ISSN":"1465-7392","issue":"6","journalAbbreviation":"Nat Cell Biol","language":"eng","note":"PMID: 17486118\nPMCID: PMC2442898","page":"675-682","source":"PubMed","title":"Positional stability of single double-strand breaks in mammalian cells","volume":"9","author":[{"family":"Soutoglou","given":"Evi"},{"family":"Dorn","given":"Jonas F."},{"family":"Sengupta","given":"Kundan"},{"family":"Jasin","given":"Maria"},{"family":"Nussenzweig","given":"Andre"},{"family":"Ried","given":"Thomas"},{"family":"Danuser","given":"Gaudenz"},{"family":"Misteli","given":"Tom"}],"issued":{"date-parts":[["2007",6]]}}},{"id":386,"uris":["http://zotero.org/users/9078202/items/9SNU62WP"],"itemData":{"id":386,"type":"article-journal","abstract":"In this study, we investigate the interplay between Ku, a central non-homologous end-joining component, and the Mre11-Rad50-Xrs2 (MRX) complex and Sae2, end-processing factors crucial for initiating 5'-3' resection of double-strand break (DSB) ends. We show that in the absence of end protection by Ku, the requirement for the MRX complex is bypassed and resection is executed by Exo1. In contrast, both the Exo1 and Sgs1 resection pathways contribute to DSB processing in the absence of Ku and Sae2 or when the MRX complex is intact, but functionally compromised by elimination of the Mre11 nuclease activity. The ionizing radiation sensitivity of a mutant defective for extensive resection (exo1Δ sgs1Δ) cannot be suppressed by the yku70Δ mutation, indicating that Ku suppression is specific to the initiation of resection. We provide evidence that replication-associated DSBs need to be processed by Sae2 for repair by homologous recombination unless Ku is absent. Finally, we show that the presence of Ku exacerbates DNA end-processing defects established in the sae2Δ sgs1Δ mutant, leading to its lethality.","container-title":"The EMBO journal","DOI":"10.1038/emboj.2010.193","ISSN":"1460-2075","issue":"19","journalAbbreviation":"EMBO J","language":"eng","note":"PMID: 20729809\nPMCID: PMC2957202","page":"3358-3369","source":"PubMed","title":"Ku prevents Exo1 and Sgs1-dependent resection of DNA ends in the absence of a functional MRX complex or Sae2","volume":"29","author":[{"family":"Mimitou","given":"Eleni P."},{"family":"Symington","given":"Lorraine S."}],"issued":{"date-parts":[["2010",10,6]]}}}],"schema":"https://github.com/citation-style-language/schema/raw/master/csl-citation.json"}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[139–141]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Также рекрутируются другие компоненты, такие как </w:t>
      </w:r>
      <w:bookmarkStart w:id="24" w:name="_Hlk104055703"/>
      <w:r w:rsidRPr="00107040">
        <w:rPr>
          <w:rFonts w:ascii="Times New Roman" w:hAnsi="Times New Roman"/>
          <w:sz w:val="28"/>
          <w:szCs w:val="28"/>
          <w:lang w:val="en-US"/>
        </w:rPr>
        <w:t>DNA</w:t>
      </w:r>
      <w:r w:rsidRPr="00107040">
        <w:rPr>
          <w:rFonts w:ascii="Times New Roman" w:hAnsi="Times New Roman"/>
          <w:sz w:val="28"/>
          <w:szCs w:val="28"/>
        </w:rPr>
        <w:t>-</w:t>
      </w:r>
      <w:r w:rsidRPr="00107040">
        <w:rPr>
          <w:rFonts w:ascii="Times New Roman" w:hAnsi="Times New Roman"/>
          <w:sz w:val="28"/>
          <w:szCs w:val="28"/>
          <w:lang w:val="en-US"/>
        </w:rPr>
        <w:t>PKcs</w:t>
      </w:r>
      <w:bookmarkEnd w:id="24"/>
      <w:r w:rsidRPr="00107040">
        <w:rPr>
          <w:rFonts w:ascii="Times New Roman" w:hAnsi="Times New Roman"/>
          <w:sz w:val="28"/>
          <w:szCs w:val="28"/>
        </w:rPr>
        <w:t xml:space="preserve">, </w:t>
      </w:r>
      <w:r w:rsidRPr="00107040">
        <w:rPr>
          <w:rFonts w:ascii="Times New Roman" w:hAnsi="Times New Roman"/>
          <w:sz w:val="28"/>
          <w:szCs w:val="28"/>
          <w:lang w:val="en-US"/>
        </w:rPr>
        <w:t>XRCC</w:t>
      </w:r>
      <w:r w:rsidRPr="00107040">
        <w:rPr>
          <w:rFonts w:ascii="Times New Roman" w:hAnsi="Times New Roman"/>
          <w:sz w:val="28"/>
          <w:szCs w:val="28"/>
        </w:rPr>
        <w:t xml:space="preserve">4, </w:t>
      </w:r>
      <w:r w:rsidRPr="00107040">
        <w:rPr>
          <w:rFonts w:ascii="Times New Roman" w:hAnsi="Times New Roman"/>
          <w:sz w:val="28"/>
          <w:szCs w:val="28"/>
          <w:lang w:val="en-US"/>
        </w:rPr>
        <w:t>LIG</w:t>
      </w:r>
      <w:r w:rsidRPr="00107040">
        <w:rPr>
          <w:rFonts w:ascii="Times New Roman" w:hAnsi="Times New Roman"/>
          <w:sz w:val="28"/>
          <w:szCs w:val="28"/>
        </w:rPr>
        <w:t xml:space="preserve">4 и </w:t>
      </w:r>
      <w:r w:rsidRPr="00107040">
        <w:rPr>
          <w:rFonts w:ascii="Times New Roman" w:hAnsi="Times New Roman"/>
          <w:sz w:val="28"/>
          <w:szCs w:val="28"/>
          <w:lang w:val="en-US"/>
        </w:rPr>
        <w:t>XLF</w:t>
      </w:r>
      <w:r w:rsidRPr="00107040">
        <w:rPr>
          <w:rFonts w:ascii="Times New Roman" w:hAnsi="Times New Roman"/>
          <w:sz w:val="28"/>
          <w:szCs w:val="28"/>
        </w:rPr>
        <w:t xml:space="preserve"> (</w:t>
      </w:r>
      <w:r w:rsidRPr="00107040">
        <w:rPr>
          <w:rFonts w:ascii="Times New Roman" w:hAnsi="Times New Roman"/>
          <w:sz w:val="28"/>
          <w:szCs w:val="28"/>
          <w:lang w:val="en-US"/>
        </w:rPr>
        <w:t>XRCC</w:t>
      </w:r>
      <w:r w:rsidRPr="00107040">
        <w:rPr>
          <w:rFonts w:ascii="Times New Roman" w:hAnsi="Times New Roman"/>
          <w:sz w:val="28"/>
          <w:szCs w:val="28"/>
        </w:rPr>
        <w:t xml:space="preserve">4-подобный фактор), </w:t>
      </w:r>
      <w:r w:rsidRPr="00107040">
        <w:rPr>
          <w:rFonts w:ascii="Times New Roman" w:hAnsi="Times New Roman"/>
          <w:sz w:val="28"/>
          <w:szCs w:val="28"/>
          <w:lang w:val="en-US"/>
        </w:rPr>
        <w:t>APLF</w:t>
      </w:r>
      <w:r w:rsidRPr="00107040">
        <w:rPr>
          <w:rFonts w:ascii="Times New Roman" w:hAnsi="Times New Roman"/>
          <w:sz w:val="28"/>
          <w:szCs w:val="28"/>
        </w:rPr>
        <w:t xml:space="preserve"> (апратаксин-и-</w:t>
      </w:r>
      <w:r w:rsidRPr="00107040">
        <w:rPr>
          <w:rFonts w:ascii="Times New Roman" w:hAnsi="Times New Roman"/>
          <w:sz w:val="28"/>
          <w:szCs w:val="28"/>
          <w:lang w:val="en-US"/>
        </w:rPr>
        <w:t>PNK</w:t>
      </w:r>
      <w:r w:rsidRPr="00107040">
        <w:rPr>
          <w:rFonts w:ascii="Times New Roman" w:hAnsi="Times New Roman"/>
          <w:sz w:val="28"/>
          <w:szCs w:val="28"/>
        </w:rPr>
        <w:t xml:space="preserve">-подобный фактор)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{"citationID":"H6Bu9z1Q","properties":{"formattedCitation":"[142\\uc0\\u8211{}144]","plainCitation":"[142–144]","noteIndex":0},"citationItems":[{"id":385,"uris":["http://zotero.org/users/9078202/items/I8MHK7Z8"],"itemData":{"id":385,"type":"article-journal","abstract":"DNA non-homologous end-joining (NHEJ) is a major mechanism for repairing DNA double-stranded (ds) breaks in mammalian cells. Here, we characterize the interaction between two key components of the NHEJ machinery, the Ku heterodimer and the DNA ligase IV/Xrcc4 complex. Our results demonstrate that Ku interacts with DNA ligase IV via its tandem BRCT domain and that this interaction is enhanced in the presence of Xrcc4 and dsDNA. Moreover, residues 644-748 of DNA ligase IV encompassing the first BRCT motif are necessary for binding. We show that Ku needs to be in its heterodimeric form to bind DNA ligase IV and that the C-terminal tail of Ku80, which mediates binding to DNA-PKcs, is dispensable for DNA ligase IV recognition. Although the interaction between Ku and DNA ligase IV/Xrcc4 occurs in the absence of DNA-PKcs, the presence of the catalytic subunit of DNA-PK kinase enhances complex formation. Previous studies have shown that DNA-PK kinase activity causes disassembly of DNA-PKcs from Ku at the DNA end. Here, we show that DNA-PK kinase activity also results in disassembly of the Ku/DNA ligase IV/Xrcc4 complex. Collectively, our findings provide novel information on the protein-protein interactions that regulate NHEJ in cells.","container-title":"DNA repair","DOI":"10.1016/j.dnarep.2006.12.007","ISSN":"1568-7864","issue":"6","journalAbbreviation":"DNA Repair (Amst)","language":"eng","note":"PMID: 17241822","page":"712-722","source":"PubMed","title":"Interaction of the Ku heterodimer with the DNA ligase IV/Xrcc4 complex and its regulation by DNA-PK","volume":"6","author":[{"family":"Costantini","given":"Silvia"},{"family":"Woodbine","given":"Lisa"},{"family":"Andreoli","given":"Lucia"},{"family":"Jeggo","given":"Penny A."},{"family":"Vindigni","given":"Alessandro"}],"issued":{"date-parts":[["2007",6,1]]}}},{"id":381,"uris":["http://zotero.org/users/9078202/items/YULZKW9E"],"itemData":{"id":381,"type":"article-journal","abstract":"DNA double-strand breaks (DSBs) are introduced in cells by ionizing radiation and reactive oxygen species. In addition, they are commonly generated during V(D)J recombination, an essential aspect of the developing immune system. Failure to effectively repair these DSBs can result in chromosome breakage, cell death, onset of cancer, and defects in the immune system of higher vertebrates. Fortunately, all mammalian cells possess two enzymatic pathways that mediate the repair of DSBs: homologous recombination and non-homologous end-joining (NHEJ). The NHEJ process utilizes enzymes that capture both ends of the broken DNA molecule, bring them together in a synaptic DNA-protein complex, and finally repair the DNA break. In this review, all the known enzymes that play a role in the NHEJ process are discussed and a working model for the co-operation of these enzymes during DSB repair is presented.","container-title":"Cell Research","DOI":"10.1038/cr.2008.3","ISSN":"1748-7838","issue":"1","journalAbbreviation":"Cell Res","language":"eng","note":"PMID: 18166980","page":"114-124","source":"PubMed","title":"The endless tale of non-homologous end-joining","volume":"18","author":[{"family":"Weterings","given":"Eric"},{"family":"Chen","given":"David J."}],"issued":{"date-parts":[["2008",1]]}}},{"id":382,"uris":["http://zotero.org/users/9078202/items/Y8QE4I3D"],"itemData":{"id":382,"type":"article-journal","abstract":"XLF, also known as Cernunnos, is a newly identified core factor of the non-homologous end-joining (NHEJ) pathway for DNA double-strand breaks (DSBs) repair. XLF is known to stimulate DNA ligase IV in vitro through its interaction with XRCC4. Here, we outline the key findings on the dynamic behavior of XLF and XRCC4 at DSBs in living cells. XLF is quickly recruited to DSBs in the absence of XRCC4 or DNA-PKcs. The recruited XLF molecules constantly exchange at DSBs, and XRCC4 modulates the exchange rate of the recruited XLF. XRCC4 can be recruited to DSBs without DNA-PKcs, but DNA-PKcs stabilizes the recruited XRCC4. These observations are inconsistent with the prevailing concept that NHEJ proteins are sequentially recruited to DSBs, which is mainly supported by in vitro evidence. We propose a novel two-phase model for the assembly of NHEJ factors to DSBs in vivo. XLF, XRCC4 and DNA-PKcs are independently recruited to Ku-bound DSBs. The recruited factors are assembled into a large complex, in which the protein interactions observed in vitro define the stability of the recruited factors. This new view has broad implications for the mechanism of DSB sensing and functional protein assembly in the NHEJ pathway.","container-title":"Cell Cycle (Georgetown, Tex.)","DOI":"10.4161/cc.7.10.5898","ISSN":"1551-4005","issue":"10","journalAbbreviation":"Cell Cycle","language":"eng","note":"PMID: 18418068","page":"1321-1325","source":"PubMed","title":"Live cell imaging of XLF and XRCC4 reveals a novel view of protein assembly in the non-homologous end-joining pathway","volume":"7","author":[{"family":"Yano","given":"Ken-ichi"},{"family":"Chen","given":"David J."}],"issued":{"date-parts":[["2008",5,15]]}}}],"schema":"https://github.com/citation-style-language/schema/raw/master/csl-citation.json"}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[142–144]</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Было показано, что эти компоненты могут рекрутироваться в определенном порядке в зависимости от сложности повреждения ДНК; например, рекрутирование </w:t>
      </w:r>
      <w:r w:rsidRPr="00107040">
        <w:rPr>
          <w:rFonts w:ascii="Times New Roman" w:hAnsi="Times New Roman"/>
          <w:sz w:val="28"/>
          <w:szCs w:val="28"/>
          <w:lang w:val="en-US"/>
        </w:rPr>
        <w:t>DNA</w:t>
      </w:r>
      <w:r w:rsidRPr="00107040">
        <w:rPr>
          <w:rFonts w:ascii="Times New Roman" w:hAnsi="Times New Roman"/>
          <w:sz w:val="28"/>
          <w:szCs w:val="28"/>
        </w:rPr>
        <w:t>-</w:t>
      </w:r>
      <w:r w:rsidRPr="00107040">
        <w:rPr>
          <w:rFonts w:ascii="Times New Roman" w:hAnsi="Times New Roman"/>
          <w:sz w:val="28"/>
          <w:szCs w:val="28"/>
          <w:lang w:val="en-US"/>
        </w:rPr>
        <w:t>PKcs</w:t>
      </w:r>
      <w:r w:rsidRPr="00107040">
        <w:rPr>
          <w:rFonts w:ascii="Times New Roman" w:hAnsi="Times New Roman"/>
          <w:sz w:val="28"/>
          <w:szCs w:val="28"/>
        </w:rPr>
        <w:t xml:space="preserve"> зависит от характера разрыва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{"citationID":"0OZwLe25","properties":{"formattedCitation":"[139,145]","plainCitation":"[139,145]","noteIndex":0},"citationItems":[{"id":388,"uris":["http://zotero.org/users/9078202/items/GXH5RCCN"],"itemData":{"id":388,"type":"article-journal","abstract":"DNA double-strand break (DSB) repair by nonhomologous end joining (NHEJ) requires the assembly of several proteins on DNA ends. Although biochemical studies have elucidated several aspects of the NHEJ reaction mechanism, much less is known about NHEJ in living cells, mainly because of the inability to visualize NHEJ repair proteins at DNA damage. Here we provide evidence that a pulsed near IR laser can produce DSBs without any visible alterations in the nucleus, and we show that NHEJ proteins accumulate in the irradiated areas. The levels of DSBs and Ku accumulation diminished in time, showing that this approach allows us to study DNA repair kinetics in vivo. Remarkably, the Ku heterodimers on DNA ends were in dynamic equilibrium with Ku70/80 in solution, showing that NHEJ complex assembly is reversible. Accumulation of XRCC4/ligase IV on DSBs depended on the presence of Ku70/80, but not DNA-PK(CS). We detected a direct interaction between Ku70 and XRCC4 that could explain these requirements. Our results suggest that this assembly constitutes the core of the NHEJ reaction and that XRCC4 may serve as a flexible tether between Ku70/80 and ligase IV.","container-title":"Proceedings of the National Academy of Sciences of the United States of America","DOI":"10.1073/pnas.0609061103","ISSN":"0027-8424","issue":"49","journalAbbreviation":"Proc Natl Acad Sci U S A","language":"eng","note":"PMID: 17124166\nPMCID: PMC1693708","page":"18597-18602","source":"PubMed","title":"Dynamic assembly of end-joining complexes requires interaction between Ku70/80 and XRCC4","volume":"103","author":[{"family":"Mari","given":"Pierre-Olivier"},{"family":"Florea","given":"Bogdan I."},{"family":"Persengiev","given":"Stephan P."},{"family":"Verkaik","given":"Nicole S."},{"family":"Brüggenwirth","given":"Hennie T."},{"family":"Modesti","given":"Mauro"},{"family":"Giglia-Mari","given":"Giuseppina"},{"family":"Bezstarosti","given":"Karel"},{"family":"Demmers","given":"Jeroen A. A."},{"family":"Luider","given":"Theo M."},{"family":"Houtsmuller","given":"Adriaan B."},{"family":"Gent","given":"Dik C.","non-dropping-particle":"van"}],"issued":{"date-parts":[["2006",12,5]]}}},{"id":383,"uris":["http://zotero.org/users/9078202/items/G6XBNRGM"],"itemData":{"id":383,"type":"article-journal","abstract":"Non-homologous end joining (NHEJ) is critical for the maintenance of genetic integrity and DNA double-strand break (DSB) repair. NHEJ is regulated by a series of interactions between core components of the pathway, including Ku heterodimer, XLF/Cernunnos, and XRCC4/DNA Ligase 4 (Lig4). However, the mechanisms by which these proteins assemble into functional protein-DNA complexes are not fully understood. Here, we show that the von Willebrand (vWA) domain of Ku80 fulfills a critical role in this process by recruiting Aprataxin-and-PNK-Like Factor (APLF) into Ku-DNA complexes. APLF, in turn, functions as a scaffold protein and promotes the recruitment and/or retention of XRCC4-Lig4 and XLF, thereby assembling multi-protein Ku complexes capable of efficient DNA ligation in vitro and in cells. Disruption of the interactions between APLF and either Ku80 or XRCC4-Lig4 disrupts the assembly and activity of Ku complexes, and confers cellular hypersensitivity and reduced rates of chromosomal DSB repair in avian and human cells, respectively. Collectively, these data identify a role for the vWA domain of Ku80 and a molecular mechanism by which DNA ligase proficient complexes are assembled during NHEJ in mammalian cells, and reveal APLF to be a structural component of this critical DSB repair pathway.","container-title":"The EMBO journal","DOI":"10.1038/emboj.2012.304","ISSN":"1460-2075","issue":"1","journalAbbreviation":"EMBO J","language":"eng","note":"PMID: 23178593\nPMCID: PMC3545299","page":"112-125","source":"PubMed","title":"APLF promotes the assembly and activity of non-homologous end joining protein complexes","volume":"32","author":[{"family":"Grundy","given":"Gabrielle J."},{"family":"Rulten","given":"Stuart L."},{"family":"Zeng","given":"Zhihong"},{"family":"Arribas-Bosacoma","given":"Raquel"},{"family":"Iles","given":"Natasha"},{"family":"Manley","given":"Katie"},{"family":"Oliver","given":"Antony"},{"family":"Caldecott","given":"Keith W."}],"issued":{"date-parts":[["2013",1,9]]}}}],"schema":"https://github.com/citation-style-language/schema/raw/master/csl-citation.json"}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[139,145]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Однако, как только </w:t>
      </w:r>
      <w:r w:rsidRPr="00107040">
        <w:rPr>
          <w:rFonts w:ascii="Times New Roman" w:hAnsi="Times New Roman"/>
          <w:sz w:val="28"/>
          <w:szCs w:val="28"/>
          <w:lang w:val="en-US"/>
        </w:rPr>
        <w:t>DNA</w:t>
      </w:r>
      <w:r w:rsidRPr="00107040">
        <w:rPr>
          <w:rFonts w:ascii="Times New Roman" w:hAnsi="Times New Roman"/>
          <w:sz w:val="28"/>
          <w:szCs w:val="28"/>
        </w:rPr>
        <w:t>-</w:t>
      </w:r>
      <w:r w:rsidRPr="00107040">
        <w:rPr>
          <w:rFonts w:ascii="Times New Roman" w:hAnsi="Times New Roman"/>
          <w:sz w:val="28"/>
          <w:szCs w:val="28"/>
          <w:lang w:val="en-US"/>
        </w:rPr>
        <w:t>PKcs</w:t>
      </w:r>
      <w:r w:rsidRPr="00107040">
        <w:rPr>
          <w:rFonts w:ascii="Times New Roman" w:hAnsi="Times New Roman"/>
          <w:sz w:val="28"/>
          <w:szCs w:val="28"/>
        </w:rPr>
        <w:t xml:space="preserve"> рекрутируется, он внедряет </w:t>
      </w:r>
      <w:r w:rsidRPr="00107040">
        <w:rPr>
          <w:rFonts w:ascii="Times New Roman" w:hAnsi="Times New Roman"/>
          <w:sz w:val="28"/>
          <w:szCs w:val="28"/>
          <w:lang w:val="en-US"/>
        </w:rPr>
        <w:t>Ku</w:t>
      </w:r>
      <w:r w:rsidRPr="00107040">
        <w:rPr>
          <w:rFonts w:ascii="Times New Roman" w:hAnsi="Times New Roman"/>
          <w:sz w:val="28"/>
          <w:szCs w:val="28"/>
        </w:rPr>
        <w:t xml:space="preserve"> в ДНК, а затем фосфорилирует другие близлежащие компоненты, включая само аутофосфорилирование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{"citationID":"xR3dR89u","properties":{"formattedCitation":"[143]","plainCitation":"[143]","noteIndex":0},"citationItems":[{"id":381,"uris":["http://zotero.org/users/9078202/items/YULZKW9E"],"itemData":{"id":381,"type":"article-journal","abstract":"DNA double-strand breaks (DSBs) are introduced in cells by ionizing radiation and reactive oxygen species. In addition, they are commonly generated during V(D)J recombination, an essential aspect of the developing immune system. Failure to effectively repair these DSBs can result in chromosome breakage, cell death, onset of cancer, and defects in the immune system of higher vertebrates. Fortunately, all mammalian cells possess two enzymatic pathways that mediate the repair of DSBs: homologous recombination and non-homologous end-joining (NHEJ). The NHEJ process utilizes enzymes that capture both ends of the broken DNA molecule, bring them together in a synaptic DNA-protein complex, and finally repair the DNA break. In this review, all the known enzymes that play a role in the NHEJ process are discussed and a working model for the co-operation of these enzymes during DSB repair is presented.","container-title":"Cell Research","DOI":"10.1038/cr.2008.3","ISSN":"1748-7838","issue":"1","journalAbbreviation":"Cell Res","language":"eng","note":"PMID: 18166980","page":"114-124","source":"PubMed","title":"The endless tale of non-homologous end-joining","volume":"18","author":[{"family":"Weterings","given":"Eric"},{"family":"Chen","given":"David J."}],"issued":{"date-parts":[["2008",1]]}}}],"schema":"https://github.com/citation-style-language/schema/raw/master/csl-citation.json"}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[143]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 то же время считается, что </w:t>
      </w:r>
      <w:r w:rsidRPr="00107040">
        <w:rPr>
          <w:rFonts w:ascii="Times New Roman" w:hAnsi="Times New Roman"/>
          <w:sz w:val="28"/>
          <w:szCs w:val="28"/>
          <w:lang w:val="en-US"/>
        </w:rPr>
        <w:t>XRCC</w:t>
      </w:r>
      <w:r w:rsidRPr="00107040">
        <w:rPr>
          <w:rFonts w:ascii="Times New Roman" w:hAnsi="Times New Roman"/>
          <w:sz w:val="28"/>
          <w:szCs w:val="28"/>
        </w:rPr>
        <w:t xml:space="preserve">4 стабилизирует комплекс </w:t>
      </w:r>
      <w:r w:rsidRPr="00107040">
        <w:rPr>
          <w:rFonts w:ascii="Times New Roman" w:hAnsi="Times New Roman"/>
          <w:sz w:val="28"/>
          <w:szCs w:val="28"/>
          <w:lang w:val="en-US"/>
        </w:rPr>
        <w:t>NHEJ</w:t>
      </w:r>
      <w:r w:rsidRPr="00107040">
        <w:rPr>
          <w:rFonts w:ascii="Times New Roman" w:hAnsi="Times New Roman"/>
          <w:sz w:val="28"/>
          <w:szCs w:val="28"/>
        </w:rPr>
        <w:t xml:space="preserve">, связывая концы и привлекая другие компоненты наряду с </w:t>
      </w:r>
      <w:r w:rsidRPr="00107040">
        <w:rPr>
          <w:rFonts w:ascii="Times New Roman" w:hAnsi="Times New Roman"/>
          <w:sz w:val="28"/>
          <w:szCs w:val="28"/>
          <w:lang w:val="en-US"/>
        </w:rPr>
        <w:t>Ku</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{"citationID":"ooHdKkNk","properties":{"formattedCitation":"[146\\uc0\\u8211{}148]","plainCitation":"[146–148]","noteIndex":0},"citationItems":[{"id":380,"uris":["http://zotero.org/users/9078202/items/TYGPV6B6"],"itemData":{"id":380,"type":"article-journal","abstract":"In mammals, the majority of DNA double-strand breaks are processed by the nonhomologous end-joining (NHEJ) pathway, composed of seven factors: Ku70, Ku80, DNA-PKcs, Artemis, Xrcc4 (X4), DNA-ligase IV (L4), and Cernunnos/XLF. Cernunnos is part of the ligation complex, constituted by X4 and L4. To improve our knowledge on the structure and function of Cernunnos, we performed a systematic mutagenesis study on positions selected from an analysis of the recent three-dimensional structures of this factor. Ten of 27 screened mutants were nonfunctional in several DNA repair assays. Outside amino acids critical for the expression and stability of Cernunnos, we identified three amino acids (Arg(64), Leu(65), and Leu(115)) essential for the interaction with X4 and the proper function of Cernunnos. Docking the crystal structures of the two factors further validated this probable interaction surface of Cernunnos with X4.","container-title":"The Journal of Biological Chemistry","DOI":"10.1074/jbc.M110.138156","ISSN":"1083-351X","issue":"34","journalAbbreviation":"J Biol Chem","language":"eng","note":"PMID: 20558749\nPMCID: PMC2924081","page":"26475-26483","source":"PubMed","title":"Delineation of the Xrcc4-interacting region in the globular head domain of cernunnos/XLF","volume":"285","author":[{"family":"Malivert","given":"Laurent"},{"family":"Ropars","given":"Virginie"},{"family":"Nunez","given":"Marcela"},{"family":"Drevet","given":"Pascal"},{"family":"Miron","given":"Simona"},{"family":"Faure","given":"Guilhem"},{"family":"Guerois","given":"Raphael"},{"family":"Mornon","given":"Jean-Paul"},{"family":"Revy","given":"Patrick"},{"family":"Charbonnier","given":"Jean-Baptiste"},{"family":"Callebaut","given":"Isabelle"},{"family":"Villartay","given":"Jean-Pierre","non-dropping-particle":"de"}],"issued":{"date-parts":[["2010",8,20]]}}},{"id":379,"uris":["http://zotero.org/users/9078202/items/J5LTIJED"],"itemData":{"id":379,"type":"article-journal","abstract":"The XRCC4-like factor (XLF)-XRCC4 complex is essential for nonhomologous end joining, the major repair pathway for DNA double strand breaks in human cells. Yet, how XLF binds XRCC4 and impacts nonhomologous end joining functions has been enigmatic. Here, we report the XLF-XRCC4 complex crystal structure in combination with biophysical and mutational analyses to define the XLF-XRCC4 interactions. Crystal and solution structures plus mutations characterize alternating XRCC4 and XLF head domain interfaces forming parallel super-helical filaments. XLF Leu-115 (\"Leu-lock\") inserts into a hydrophobic pocket formed by XRCC4 Met-59, Met-61, Lys-65, Lys-99, Phe-106, and Leu-108 in synergy with pseudo-symmetric β-zipper hydrogen bonds to drive specificity. XLF C terminus and DNA enhance parallel filament formation. Super-helical XLF-XRCC4 filaments form a positively charged channel to bind DNA and align ends for efficient ligation. Collective results reveal how human XLF and XRCC4 interact to bind DNA, suggest consequences of patient mutations, and support a unified molecular mechanism for XLF-XRCC4 stimulation of DNA ligation.","container-title":"The Journal of Biological Chemistry","DOI":"10.1074/jbc.M111.272641","ISSN":"1083-351X","issue":"37","journalAbbreviation":"J Biol Chem","language":"eng","note":"PMID: 21775435\nPMCID: PMC3173232","page":"32638-32650","source":"PubMed","title":"XRCC4 protein interactions with XRCC4-like factor (XLF) create an extended grooved scaffold for DNA ligation and double strand break repair","volume":"286","author":[{"family":"Hammel","given":"Michal"},{"family":"Rey","given":"Martial"},{"family":"Yu","given":"Yaping"},{"family":"Mani","given":"Rajam S."},{"family":"Classen","given":"Scott"},{"family":"Liu","given":"Mona"},{"family":"Pique","given":"Michael E."},{"family":"Fang","given":"Shujuan"},{"family":"Mahaney","given":"Brandi L."},{"family":"Weinfeld","given":"Michael"},{"family":"Schriemer","given":"David C."},{"family":"Lees-Miller","given":"Susan P."},{"family":"Tainer","given":"John A."}],"issued":{"date-parts":[["2011",9,16]]}}},{"id":378,"uris":["http://zotero.org/users/9078202/items/XQGRJV46"],"itemData":{"id":378,"type":"article-journal","abstract":"DNA double-strand breaks pose a significant threat to cell survival and must be repaired. In higher eukaryotes, such damage is repaired efficiently by non-homologous end joining (NHEJ). Within this pathway, XRCC4 and XLF fulfill key roles required for end joining. Using DNA-binding and -bridging assays, combined with direct visualization, we present evidence for how XRCC4-XLF complexes robustly bridge DNA molecules. This unanticipated, DNA Ligase IV-independent bridging activity by XRCC4-XLF suggests an early role for this complex during end joining, in addition to its more well-established later functions. Mutational analysis of the XRCC4-XLF C-terminal tail regions further identifies specialized functions in complex formation and interaction with DNA and DNA Ligase IV. Based on these data and the crystal structure of an extended protein filament of XRCC4-XLF at 3.94 Å, a model for XRCC4-XLF complex function in NHEJ is presented.","container-title":"Nucleic Acids Research","DOI":"10.1093/nar/gks022","ISSN":"1362-4962","issue":"4","journalAbbreviation":"Nucleic Acids Res","language":"eng","note":"PMID: 22287571\nPMCID: PMC3287209","page":"1868-1878","source":"PubMed","title":"A human XRCC4-XLF complex bridges DNA","volume":"40","author":[{"family":"Andres","given":"Sara N."},{"family":"Vergnes","given":"Alexandra"},{"family":"Ristic","given":"Dejan"},{"family":"Wyman","given":"Claire"},{"family":"Modesti","given":"Mauro"},{"family":"Junop","given":"Murray"}],"issued":{"date-parts":[["2012",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[146–148]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Процессинг концов ДНК инициируется </w:t>
      </w:r>
      <w:r w:rsidRPr="00107040">
        <w:rPr>
          <w:rFonts w:ascii="Times New Roman" w:hAnsi="Times New Roman"/>
          <w:sz w:val="28"/>
          <w:szCs w:val="28"/>
          <w:lang w:val="en-US"/>
        </w:rPr>
        <w:t>Artemis</w:t>
      </w:r>
      <w:r w:rsidRPr="00107040">
        <w:rPr>
          <w:rFonts w:ascii="Times New Roman" w:hAnsi="Times New Roman"/>
          <w:sz w:val="28"/>
          <w:szCs w:val="28"/>
        </w:rPr>
        <w:t xml:space="preserve">, </w:t>
      </w:r>
      <w:r w:rsidRPr="00107040">
        <w:rPr>
          <w:rFonts w:ascii="Times New Roman" w:hAnsi="Times New Roman"/>
          <w:sz w:val="28"/>
          <w:szCs w:val="28"/>
          <w:lang w:val="en-US"/>
        </w:rPr>
        <w:t>PNKP</w:t>
      </w:r>
      <w:r w:rsidRPr="00107040">
        <w:rPr>
          <w:rFonts w:ascii="Times New Roman" w:hAnsi="Times New Roman"/>
          <w:sz w:val="28"/>
          <w:szCs w:val="28"/>
        </w:rPr>
        <w:t xml:space="preserve">, </w:t>
      </w:r>
      <w:r w:rsidRPr="00107040">
        <w:rPr>
          <w:rFonts w:ascii="Times New Roman" w:hAnsi="Times New Roman"/>
          <w:sz w:val="28"/>
          <w:szCs w:val="28"/>
          <w:lang w:val="en-US"/>
        </w:rPr>
        <w:t>APLF</w:t>
      </w:r>
      <w:r w:rsidRPr="00107040">
        <w:rPr>
          <w:rFonts w:ascii="Times New Roman" w:hAnsi="Times New Roman"/>
          <w:sz w:val="28"/>
          <w:szCs w:val="28"/>
        </w:rPr>
        <w:t xml:space="preserve">, </w:t>
      </w:r>
      <w:r w:rsidRPr="00107040">
        <w:rPr>
          <w:rFonts w:ascii="Times New Roman" w:hAnsi="Times New Roman"/>
          <w:sz w:val="28"/>
          <w:szCs w:val="28"/>
          <w:lang w:val="en-US"/>
        </w:rPr>
        <w:t>WRN</w:t>
      </w:r>
      <w:r w:rsidRPr="00107040">
        <w:rPr>
          <w:rFonts w:ascii="Times New Roman" w:hAnsi="Times New Roman"/>
          <w:sz w:val="28"/>
          <w:szCs w:val="28"/>
        </w:rPr>
        <w:t xml:space="preserve">, </w:t>
      </w:r>
      <w:r w:rsidRPr="00107040">
        <w:rPr>
          <w:rFonts w:ascii="Times New Roman" w:hAnsi="Times New Roman"/>
          <w:sz w:val="28"/>
          <w:szCs w:val="28"/>
          <w:lang w:val="en-US"/>
        </w:rPr>
        <w:t>Aprataxin</w:t>
      </w:r>
      <w:r w:rsidRPr="00107040">
        <w:rPr>
          <w:rFonts w:ascii="Times New Roman" w:hAnsi="Times New Roman"/>
          <w:sz w:val="28"/>
          <w:szCs w:val="28"/>
        </w:rPr>
        <w:t xml:space="preserve"> и </w:t>
      </w:r>
      <w:r w:rsidRPr="00107040">
        <w:rPr>
          <w:rFonts w:ascii="Times New Roman" w:hAnsi="Times New Roman"/>
          <w:sz w:val="28"/>
          <w:szCs w:val="28"/>
          <w:lang w:val="en-US"/>
        </w:rPr>
        <w:t>Ku</w:t>
      </w:r>
      <w:r w:rsidRPr="00107040">
        <w:rPr>
          <w:rFonts w:ascii="Times New Roman" w:hAnsi="Times New Roman"/>
          <w:sz w:val="28"/>
          <w:szCs w:val="28"/>
        </w:rPr>
        <w:t xml:space="preserve"> после соединения и стабилизации концов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v1WpNYJR","properties":{"formattedCitation":"[149\\uc0\\u8211{}153]","plainCitation":"[149–153]","noteIndex":0},"citationItems":[{"id":377,"uris":["http://zotero.org/users/9078202/items/Y5J8AX5C"],"itemData":{"id":377,"type":"article-journal","abstract":"Mammalian polynucleotide kinase (PNK) is a key component of both the base excision repair (BER) and nonhomologous end-joining (NHEJ) DNA repair pathways. PNK acts as a 5'-kinase/3'-phosphatase to create 5'-phosphate/3'-hydroxyl termini, which are a necessary prerequisite for ligation during repair. PNK is recruited to repair complexes through interactions between its N-terminal FHA domain and phosphorylated components of either pathway. Here, we describe the crystal structure of intact mammalian PNK and a structure of the PNK FHA bound to a cognate phosphopeptide. The kinase domain has a broad substrate binding pocket, which preferentially recognizes double-stranded substrates with recessed 5' termini. In contrast, the phosphatase domain efficiently dephosphorylates single-stranded 3'-phospho termini as well as double-stranded substrates. The FHA domain is linked to the kinase/phosphatase catalytic domain by a flexible tether, and it exhibits a mode of target selection based on electrostatic complementarity between the binding surface and the phosphothreonine peptide.","container-title":"Molecular Cell","DOI":"10.1016/j.molcel.2005.02.012","ISSN":"1097-2765","issue":"5","journalAbbreviation":"Mol Cell","language":"eng","note":"PMID: 15749016","page":"657-670","source":"PubMed","title":"The molecular architecture of the mammalian DNA repair enzyme, polynucleotide kinase","volume":"17","author":[{"family":"Bernstein","given":"Nina K."},{"family":"Williams","given":"R. Scott"},{"family":"Rakovszky","given":"Melissa L."},{"family":"Cui","given":"Diana"},{"family":"Green","given":"Ruth"},{"family":"Karimi-Busheri","given":"Feridoun"},{"family":"Mani","given":"Rajam S."},{"family":"Galicia","given":"Sarah"},{"family":"Koch","given":"C. Anne"},{"family":"Cass","given":"Carol E."},{"family":"Durocher","given":"Daniel"},{"family":"Weinfeld","given":"Michael"},{"family":"Glover","given":"J. N. Mark"}],"issued":{"date-parts":[["2005",3,4]]}}},{"id":375,"uris":["http://zotero.org/users/9078202/items/VRDY8III"],"itemData":{"id":375,"type":"article-journal","abstract":"Aprataxin cleans up unfinished DNA ligation intermediates. By cleaving off an adenylate group at the site of a ligatable nick, aprataxin generates ends that can then be re-ligated. This suggests that neurodegeneration results from the accumulation of these intermediates in post-mitotic neuronal cells.","container-title":"Nature","DOI":"10.1038/nature05164","ISSN":"1476-4687","issue":"7112","language":"en","license":"2006 Nature Publishing Group","note":"number: 7112\npublisher: Nature Publishing Group","page":"713-716","source":"www.nature.com","title":"The neurodegenerative disease protein aprataxin resolves abortive DNA ligation intermediates","URL":"https://www.nature.com/articles/nature05164","volume":"443","author":[{"family":"Ahel","given":"Ivan"},{"family":"Rass","given":"Ulrich"},{"family":"El-Khamisy","given":"Sherif F."},{"family":"Katyal","given":"Sachin"},{"family":"Clements","given":"Paula M."},{"family":"McKinnon","given":"Peter J."},{"family":"Caldecott","given":"Keith W."},{"family":"West","given":"Stephen C."}],"accessed":{"date-parts":[["2022",3,16]]},"issued":{"date-parts":[["2006",10]]}}},{"id":374,"uris":["http://zotero.org/users/9078202/items/3IFN7SZQ"],"itemData":{"id":374,"type":"article-journal","abstract":"WRN is unique among the five human RecQ DNA helicases in having a functional exonuclease domain (WRN-exo) and being defective in the premature aging and cancer-related disorder Werner syndrome. Here, we characterize WRN-exo crystal structures, biochemical activity and participation in DNA end joining. Metal-ion complex structures, active site mutations and activity assays reveal a nuclease mechanism mediated by two metal ions. The DNA end-binding Ku70/80 complex specifically stimulates WRN-exo activity, and structure-based mutational inactivation of WRN-exo alters DNA end joining in human cells. We furthermore establish structural and biochemical similarities of WRN-exo to DnaQ-family replicative proofreading exonucleases, describing WRN-specific adaptations consistent with double-stranded DNA specificity and functionally important conformational changes. These results indicate WRN-exo is a human DnaQ family member and support DnaQ-like proofreading activities stimulated by Ku70/80, with implications for WRN functions in age-related pathologies and maintenance of genomic integrity.","container-title":"Nature Structural &amp; Molecular Biology","DOI":"10.1038/nsmb1088","ISSN":"1545-9993","issue":"5","journalAbbreviation":"Nat Struct Mol Biol","language":"eng","note":"PMID: 16622405","page":"414-422","source":"PubMed","title":"WRN exonuclease structure and molecular mechanism imply an editing role in DNA end processing","volume":"13","author":[{"family":"Perry","given":"J. Jefferson P."},{"family":"Yannone","given":"Steven M."},{"family":"Holden","given":"Lauren G."},{"family":"Hitomi","given":"Chiharu"},{"family":"Asaithamby","given":"Aroumougame"},{"family":"Han","given":"Seungil"},{"family":"Cooper","given":"Priscilla K."},{"family":"Chen","given":"David J."},{"family":"Tainer","given":"John A."}],"issued":{"date-parts":[["2006",5]]}}},{"id":373,"uris":["http://zotero.org/users/9078202/items/8SZXNGNG"],"itemData":{"id":373,"type":"article-journal","abstract":"Mammalian cells require non-homologous end joining (NHEJ) for the efficient repair of chromosomal DNA double-strand breaks. A key feature of biological sources of strand breaks is associated nucleotide damage, including base loss (abasic or apurinic/apyrimidinic (AP) sites). At single-strand breaks, 5'-terminal abasic sites are excised by the 5'-deoxyribose-5-phosphate (5'-dRP) lyase activity of DNA polymerase beta (pol beta): here we show, in vitro and in cells, that accurate and efficient repair by NHEJ of double-strand breaks with such damage similarly requires 5'-dRP/AP lyase activity. Classically defined NHEJ is moreover uniquely effective at coupling this end-cleaning step to joining in cells, helping to distinguish this pathway from otherwise robust alternative NHEJ pathways. The NHEJ factor Ku can be identified as an effective 5'-dRP/AP lyase. In a similar manner to other lyases, Ku nicks DNA 3' of an abasic site by a mechanism involving a Schiff-base covalent intermediate with the abasic site. We show by using cell extracts that Ku is essential for the efficient removal of AP sites near double-strand breaks and, consistent with this result, that joining of such breaks is specifically decreased in cells complemented with a lyase-attenuated Ku mutant. Ku had previously been presumed only to recognize ends and recruit other factors that process ends; our data support an unexpected direct role for Ku in end-processing steps as well.","container-title":"Nature","DOI":"10.1038/nature08926","ISSN":"1476-4687","issue":"7292","journalAbbreviation":"Nature","language":"eng","note":"PMID: 20383123\nPMCID: PMC2859099","page":"1214-1217","source":"PubMed","title":"Ku is a 5'-dRP/AP lyase that excises nucleotide damage near broken ends","volume":"464","author":[{"family":"Roberts","given":"Steven A."},{"family":"Strande","given":"Natasha"},{"family":"Burkhalter","given":"Martin D."},{"family":"Strom","given":"Christina"},{"family":"Havener","given":"Jody M."},{"family":"Hasty","given":"Paul"},{"family":"Ramsden","given":"Dale A."}],"issued":{"date-parts":[["2010",4,22]]}}},{"id":372,"uris":["http://zotero.org/users/9078202/items/4T4S2WSX"],"itemData":{"id":372,"type":"article-journal","abstract":"Polynucleotide kinase and aprataxin-like forkhead-associated protein (PALF, also called aprataxin- and PNK-like factor (APLF)) has been shown to have nuclease activity and to use its forkhead-associated domain to bind to x-ray repair complementing defective repair in Chinese hamster cells 4 (XRCC4). Because XRCC4 is a key component of the ligase IV complex that is central to the nonhomologous DNA end joining (NHEJ) pathway, this raises the possibility that PALF might play a role in NHEJ. For this reason, we further studied the nucleolytic properties of PALF, and we searched for any modulation of PALF by NHEJ components. We verified that PALF has 3' exonuclease activity. However, PALF also possesses single-stranded DNA endonuclease activity. This single-stranded DNA endonuclease activity can act at all single-stranded sites except those within four nucleotides 3' of a double-stranded DNA junction, suggesting that PALF minimally requires approximately four nucleotides of single-strandedness. Ku, DNA-dependent protein kinase catalytic subunit, and XRCC4-DNA ligase IV do not modulate PALF nuclease activity on single-stranded DNA or overhangs of duplex substrates. PALF does not open DNA hairpins. However, in a reconstituted end joining assay that includes Ku, XRCC4-DNA ligase IV, and PALF, PALF is able to resect 3' overhanging nucleotides and permit XRCC4-DNA ligase IV to complete the joining process in a manner that is as efficient as Artemis. Reduction of PALF in vivo reduces the joining of incompatible DNA ends. Hence, PALF can function in concert with other NHEJ proteins.","container-title":"The Journal of Biological Chemistry","DOI":"10.1074/jbc.M111.287797","ISSN":"1083-351X","issue":"42","journalAbbreviation":"J Biol Chem","language":"eng","note":"PMID: 21885877\nPMCID: PMC3196146","page":"36368-36377","source":"PubMed","title":"Polynucleotide kinase and aprataxin-like forkhead-associated protein (PALF) acts as both a single-stranded DNA endonuclease and a single-stranded DNA 3' exonuclease and can participate in DNA end joining in a biochemical system","volume":"286","author":[{"family":"Li","given":"Sicong"},{"family":"Kanno","given":"Shin-ichiro"},{"family":"Watanabe","given":"Reiko"},{"family":"Ogiwara","given":"Hideaki"},{"family":"Kohno","given":"Takashi"},{"family":"Watanabe","given":"Go"},{"family":"Yasui","given":"Akira"},{"family":"Lieber","given":"Michael R."}],"issued":{"date-parts":[["2011",10,21]]}}}],"schema":"https://github.com/citation-style-language/schema/raw/master/csl-citation.json"}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[149–153]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Синтез бреши, оставшихся после удаления концов, осуществляется полимеразами семейства X матрично-зависимым (POL μ) или матрикс-независимым (POL λ) образом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{"citationID":"9buy7fmY","properties":{"formattedCitation":"[154,155]","plainCitation":"[154,155]","noteIndex":0},"citationItems":[{"id":368,"uris":["http://zotero.org/users/9078202/items/8BR2SND4"],"itemData":{"id":368,"type":"article-journal","abstract":"The ataxia telangiectasia mutant (ATM) protein kinase regulates the cell's response to DNA damage through the phosphorylation of proteins involved in cell-cycle checkpoints and DNA repair. However, the signal-transduction pathway linking DNA strand breaks to activation of ATM's kinase activity is not clearly defined. Here, we demonstrate that DNA damage induces the rapid acetylation of ATM. This acetylation depends on the Tip60 histone acetyltransferase (HAT). Suppression of Tip60 blocks the activation of ATM's kinase activity and prevents the ATM-dependent phosphorylation of p53 and chk2. Further, inactivation of Tip60 sensitizes cells to ionizing radiation. ATM forms a stable complex with Tip60 through the conserved FATC domain of ATM. The interaction between ATM and Tip60 is not regulated in response to DNA damage. Instead, the HAT activity of the ATM-Tip60 complex is specifically activated by DNA damage. Furthermore, this activation of Tip60 by DNA damage and the recruitment of the ATM-Tip60 complex to sites of DNA damage is independent of ATM's kinase activity. The results demonstrate that the Tip60 HAT plays a key role in the activation of ATM's kinase activity in response to DNA damage.","container-title":"Proceedings of the National Academy of Sciences of the United States of America","DOI":"10.1073/pnas.0504211102","ISSN":"0027-8424","issue":"37","journalAbbreviation":"Proc Natl Acad Sci U S A","language":"eng","note":"PMID: 16141325\nPMCID: PMC1197271","page":"13182-13187","source":"PubMed","title":"A role for the Tip60 histone acetyltransferase in the acetylation and activation of ATM","volume":"102","author":[{"family":"Sun","given":"Yingli"},{"family":"Jiang","given":"Xiaofeng"},{"family":"Chen","given":"Shujuan"},{"family":"Fernandes","given":"Norvin"},{"family":"Price","given":"Brendan D."}],"issued":{"date-parts":[["2005",9,13]]}}},{"id":367,"uris":["http://zotero.org/users/9078202/items/7WLW6H4T"],"itemData":{"id":367,"type":"article-journal","abstract":"The maintenance of genome stability depends on the DNA damage response (DDR), which is a functional network comprising signal transduction, cell cycle regulation and DNA repair. The metabolism of DNA double-strand breaks governed by the DDR is important for preventing genomic alterations and sporadic cancers, and hereditary defects in this response cause debilitating human pathologies, including developmental defects and cancer. The MRE11 complex, composed of the meiotic recombination 11 (MRE11), RAD50 and Nijmegen breakage syndrome 1 (NBS1; also known as nibrin) proteins is central to the DDR, and recent insights into its structure and function have been gained from in vitro structural analysis and studies of animal models in which the DDR response is deficient.","container-title":"Nature Reviews. Molecular Cell Biology","DOI":"10.1038/nrm3047","ISSN":"1471-0080","issue":"2","journalAbbreviation":"Nat Rev Mol Cell Biol","language":"eng","note":"PMID: 21252998\nPMCID: PMC3905242","page":"90-103","source":"PubMed","title":"The MRE11 complex: starting from the ends","title-short":"The MRE11 complex","volume":"12","author":[{"family":"Stracker","given":"Travis H."},{"family":"Petrini","given":"John H. J."}],"issued":{"date-parts":[["2011",2]]}}}],"schema":"https://github.com/citation-style-language/schema/raw/master/csl-citation.json"}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[154,155]</w:t>
      </w:r>
      <w:r w:rsidRPr="00107040">
        <w:rPr>
          <w:rFonts w:ascii="Times New Roman" w:hAnsi="Times New Roman"/>
          <w:sz w:val="28"/>
          <w:szCs w:val="28"/>
          <w:lang w:val="en-US"/>
        </w:rPr>
        <w:fldChar w:fldCharType="end"/>
      </w:r>
      <w:r w:rsidRPr="00107040">
        <w:rPr>
          <w:rFonts w:ascii="Times New Roman" w:hAnsi="Times New Roman"/>
          <w:sz w:val="28"/>
          <w:szCs w:val="28"/>
        </w:rPr>
        <w:t>.</w:t>
      </w:r>
      <w:r w:rsidRPr="00107040">
        <w:rPr>
          <w:rFonts w:ascii="Times New Roman" w:hAnsi="Times New Roman"/>
          <w:sz w:val="28"/>
          <w:szCs w:val="28"/>
          <w:lang w:val="kk-KZ"/>
        </w:rPr>
        <w:t xml:space="preserve"> </w:t>
      </w:r>
      <w:r w:rsidRPr="00107040">
        <w:rPr>
          <w:rFonts w:ascii="Times New Roman" w:hAnsi="Times New Roman"/>
          <w:sz w:val="28"/>
          <w:szCs w:val="28"/>
        </w:rPr>
        <w:t xml:space="preserve">Процесс </w:t>
      </w:r>
      <w:r w:rsidRPr="00107040">
        <w:rPr>
          <w:rFonts w:ascii="Times New Roman" w:hAnsi="Times New Roman"/>
          <w:sz w:val="28"/>
          <w:szCs w:val="28"/>
          <w:lang w:val="en-US"/>
        </w:rPr>
        <w:t>NHEJ</w:t>
      </w:r>
      <w:r w:rsidRPr="00107040">
        <w:rPr>
          <w:rFonts w:ascii="Times New Roman" w:hAnsi="Times New Roman"/>
          <w:sz w:val="28"/>
          <w:szCs w:val="28"/>
        </w:rPr>
        <w:t xml:space="preserve"> завершается соединением концов с помощью </w:t>
      </w:r>
      <w:r w:rsidRPr="00107040">
        <w:rPr>
          <w:rFonts w:ascii="Times New Roman" w:hAnsi="Times New Roman"/>
          <w:sz w:val="28"/>
          <w:szCs w:val="28"/>
          <w:lang w:val="en-US"/>
        </w:rPr>
        <w:t>LIG</w:t>
      </w:r>
      <w:r w:rsidRPr="00107040">
        <w:rPr>
          <w:rFonts w:ascii="Times New Roman" w:hAnsi="Times New Roman"/>
          <w:sz w:val="28"/>
          <w:szCs w:val="28"/>
        </w:rPr>
        <w:t xml:space="preserve">4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{"citationID":"iv7gWUy1","properties":{"formattedCitation":"[156]","plainCitation":"[156]","noteIndex":0},"citationItems":[{"id":369,"uris":["http://zotero.org/users/9078202/items/M27CRMXF"],"itemData":{"id":369,"type":"article-journal","abstract":"Mutation of the XRCC4 gene in mammalian cells prevents the formation of the signal and coding joints in the V(D)J recombination reaction, which is necessary for production of a functional immunoglobulin gene, and renders the cells highly sensitive to ionizing radiation. However, XRCC4 shares no sequence homology with other proteins, nor does it have a biochemical activity to indicate what its function might be. Here we show that DNA ligase IV co-immunoprecipitates with XRCC4 and that these two proteins specifically interact with one another in a yeast two-hybrid system. Ligation of DNA double-strand breaks in a cell-free system by DNA ligase IV is increased fivefold by purified XRCC4 and seven- to eightfold when XRCC4 is co-expressed with DNA ligase IV. We conclude that the biological consequences of mutating XRCC4 are primarily due to the loss of its stimulatory effect on DNA ligase IV: the function of the XRCC4-DNA ligase IV complex may be to carry out the final steps of V(D)J recombination and joining of DNA ends.","container-title":"Nature","DOI":"10.1038/41358","ISSN":"0028-0836","issue":"6641","journalAbbreviation":"Nature","language":"eng","note":"PMID: 9242410","page":"492-495","source":"PubMed","title":"Activity of DNA ligase IV stimulated by complex formation with XRCC4 protein in mammalian cells","volume":"388","author":[{"family":"Grawunder","given":"U."},{"family":"Wilm","given":"M."},{"family":"Wu","given":"X."},{"family":"Kulesza","given":"P."},{"family":"Wilson","given":"T. E."},{"family":"Mann","given":"M."},{"family":"Lieber","given":"M. R."}],"issued":{"date-parts":[["1997",7,31]]}}}],"schema":"https://github.com/citation-style-language/schema/raw/master/csl-citation.json"}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[156]</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3E1DFF47" w14:textId="1522DD5A"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en-US"/>
        </w:rPr>
        <w:t>DSB</w:t>
      </w:r>
      <w:r w:rsidRPr="00107040">
        <w:rPr>
          <w:rFonts w:ascii="Times New Roman" w:hAnsi="Times New Roman"/>
          <w:sz w:val="28"/>
          <w:szCs w:val="28"/>
        </w:rPr>
        <w:t xml:space="preserve"> распознаются и связываются комплексом </w:t>
      </w:r>
      <w:r w:rsidRPr="00107040">
        <w:rPr>
          <w:rFonts w:ascii="Times New Roman" w:hAnsi="Times New Roman"/>
          <w:sz w:val="28"/>
          <w:szCs w:val="28"/>
          <w:lang w:val="en-US"/>
        </w:rPr>
        <w:t>MRN</w:t>
      </w:r>
      <w:r w:rsidRPr="00107040">
        <w:rPr>
          <w:rFonts w:ascii="Times New Roman" w:hAnsi="Times New Roman"/>
          <w:sz w:val="28"/>
          <w:szCs w:val="28"/>
        </w:rPr>
        <w:t xml:space="preserve"> (</w:t>
      </w:r>
      <w:r w:rsidRPr="00107040">
        <w:rPr>
          <w:rFonts w:ascii="Times New Roman" w:hAnsi="Times New Roman"/>
          <w:sz w:val="28"/>
          <w:szCs w:val="28"/>
          <w:lang w:val="en-US"/>
        </w:rPr>
        <w:t>MRE</w:t>
      </w:r>
      <w:r w:rsidRPr="00107040">
        <w:rPr>
          <w:rFonts w:ascii="Times New Roman" w:hAnsi="Times New Roman"/>
          <w:sz w:val="28"/>
          <w:szCs w:val="28"/>
        </w:rPr>
        <w:t>11-</w:t>
      </w:r>
      <w:r w:rsidRPr="00107040">
        <w:rPr>
          <w:rFonts w:ascii="Times New Roman" w:hAnsi="Times New Roman"/>
          <w:sz w:val="28"/>
          <w:szCs w:val="28"/>
          <w:lang w:val="en-US"/>
        </w:rPr>
        <w:t>RAD</w:t>
      </w:r>
      <w:r w:rsidRPr="00107040">
        <w:rPr>
          <w:rFonts w:ascii="Times New Roman" w:hAnsi="Times New Roman"/>
          <w:sz w:val="28"/>
          <w:szCs w:val="28"/>
        </w:rPr>
        <w:t>50-</w:t>
      </w:r>
      <w:r w:rsidRPr="00107040">
        <w:rPr>
          <w:rFonts w:ascii="Times New Roman" w:hAnsi="Times New Roman"/>
          <w:sz w:val="28"/>
          <w:szCs w:val="28"/>
          <w:lang w:val="en-US"/>
        </w:rPr>
        <w:t>NBS</w:t>
      </w:r>
      <w:r w:rsidRPr="00107040">
        <w:rPr>
          <w:rFonts w:ascii="Times New Roman" w:hAnsi="Times New Roman"/>
          <w:sz w:val="28"/>
          <w:szCs w:val="28"/>
        </w:rPr>
        <w:t xml:space="preserve">1), чтобы инициировать путь </w:t>
      </w:r>
      <w:r w:rsidRPr="00107040">
        <w:rPr>
          <w:rFonts w:ascii="Times New Roman" w:hAnsi="Times New Roman"/>
          <w:sz w:val="28"/>
          <w:szCs w:val="28"/>
          <w:lang w:val="en-US"/>
        </w:rPr>
        <w:t>HR</w:t>
      </w:r>
      <w:r w:rsidRPr="00107040">
        <w:rPr>
          <w:rFonts w:ascii="Times New Roman" w:hAnsi="Times New Roman"/>
          <w:sz w:val="28"/>
          <w:szCs w:val="28"/>
        </w:rPr>
        <w:t xml:space="preserve">, который затем рекрутирует </w:t>
      </w:r>
      <w:r w:rsidRPr="00107040">
        <w:rPr>
          <w:rFonts w:ascii="Times New Roman" w:hAnsi="Times New Roman"/>
          <w:sz w:val="28"/>
          <w:szCs w:val="28"/>
          <w:lang w:val="en-US"/>
        </w:rPr>
        <w:t>ATM</w:t>
      </w:r>
      <w:r w:rsidRPr="00107040">
        <w:rPr>
          <w:rFonts w:ascii="Times New Roman" w:hAnsi="Times New Roman"/>
          <w:sz w:val="28"/>
          <w:szCs w:val="28"/>
        </w:rPr>
        <w:t xml:space="preserve"> и </w:t>
      </w:r>
      <w:r w:rsidRPr="00107040">
        <w:rPr>
          <w:rFonts w:ascii="Times New Roman" w:hAnsi="Times New Roman"/>
          <w:sz w:val="28"/>
          <w:szCs w:val="28"/>
          <w:lang w:val="en-US"/>
        </w:rPr>
        <w:t>TIP</w:t>
      </w:r>
      <w:r w:rsidRPr="00107040">
        <w:rPr>
          <w:rFonts w:ascii="Times New Roman" w:hAnsi="Times New Roman"/>
          <w:sz w:val="28"/>
          <w:szCs w:val="28"/>
        </w:rPr>
        <w:t xml:space="preserve">60 в ДНК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{"citationID":"0h9cdZ0T","properties":{"unsorted":true,"formattedCitation":"[154,155]","plainCitation":"[154,155]","noteIndex":0},"citationItems":[{"id":368,"uris":["http://zotero.org/users/9078202/items/8BR2SND4"],"itemData":{"id":368,"type":"article-journal","abstract":"The ataxia telangiectasia mutant (ATM) protein kinase regulates the cell's response to DNA damage through the phosphorylation of proteins involved in cell-cycle checkpoints and DNA repair. However, the signal-transduction pathway linking DNA strand breaks to activation of ATM's kinase activity is not clearly defined. Here, we demonstrate that DNA damage induces the rapid acetylation of ATM. This acetylation depends on the Tip60 histone acetyltransferase (HAT). Suppression of Tip60 blocks the activation of ATM's kinase activity and prevents the ATM-dependent phosphorylation of p53 and chk2. Further, inactivation of Tip60 sensitizes cells to ionizing radiation. ATM forms a stable complex with Tip60 through the conserved FATC domain of ATM. The interaction between ATM and Tip60 is not regulated in response to DNA damage. Instead, the HAT activity of the ATM-Tip60 complex is specifically activated by DNA damage. Furthermore, this activation of Tip60 by DNA damage and the recruitment of the ATM-Tip60 complex to sites of DNA damage is independent of ATM's kinase activity. The results demonstrate that the Tip60 HAT plays a key role in the activation of ATM's kinase activity in response to DNA damage.","container-title":"Proceedings of the National Academy of Sciences of the United States of America","DOI":"10.1073/pnas.0504211102","ISSN":"0027-8424","issue":"37","journalAbbreviation":"Proc Natl Acad Sci U S A","language":"eng","note":"PMID: 16141325\nPMCID: PMC1197271","page":"13182-13187","source":"PubMed","title":"A role for the Tip60 histone acetyltransferase in the acetylation and activation of ATM","volume":"102","author":[{"family":"Sun","given":"Yingli"},{"family":"Jiang","given":"Xiaofeng"},{"family":"Chen","given":"Shujuan"},{"family":"Fernandes","given":"Norvin"},{"family":"Price","given":"Brendan D."}],"issued":{"date-parts":[["2005",9,13]]}}},{"id":367,"uris":["http://zotero.org/users/9078202/items/7WLW6H4T"],"itemData":{"id":367,"type":"article-journal","abstract":"The maintenance of genome stability depends on the DNA damage response (DDR), which is a functional network comprising signal transduction, cell cycle regulation and DNA repair. The metabolism of DNA double-strand breaks governed by the DDR is important for preventing genomic alterations and sporadic cancers, and hereditary defects in this response cause debilitating human pathologies, including developmental defects and cancer. The MRE11 complex, composed of the meiotic recombination 11 (MRE11), RAD50 and Nijmegen breakage syndrome 1 (NBS1; also known as nibrin) proteins is central to the DDR, and recent insights into its structure and function have been gained from in vitro structural analysis and studies of animal models in which the DDR response is deficient.","container-title":"Nature Reviews. Molecular Cell Biology","DOI":"10.1038/nrm3047","ISSN":"1471-0080","issue":"2","journalAbbreviation":"Nat Rev Mol Cell Biol","language":"eng","note":"PMID: 21252998\nPMCID: PMC3905242","page":"90-103","source":"PubMed","title":"The MRE11 complex: starting from the ends","title-short":"The MRE11 complex","volume":"12","author":[{"family":"Stracker","given":"Travis H."},{"family":"Petrini","given":"John H. J."}],"issued":{"date-parts":[["2011",2]]}}}],"schema":"https://github.com/citation-style-language/schema/raw/master/csl-citation.json"}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[154,155]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Активированный </w:t>
      </w:r>
      <w:r w:rsidRPr="00107040">
        <w:rPr>
          <w:rFonts w:ascii="Times New Roman" w:hAnsi="Times New Roman"/>
          <w:sz w:val="28"/>
          <w:szCs w:val="28"/>
          <w:lang w:val="en-US"/>
        </w:rPr>
        <w:t>ATM</w:t>
      </w:r>
      <w:r w:rsidRPr="00107040">
        <w:rPr>
          <w:rFonts w:ascii="Times New Roman" w:hAnsi="Times New Roman"/>
          <w:sz w:val="28"/>
          <w:szCs w:val="28"/>
        </w:rPr>
        <w:t xml:space="preserve"> (из </w:t>
      </w:r>
      <w:r w:rsidRPr="00107040">
        <w:rPr>
          <w:rFonts w:ascii="Times New Roman" w:hAnsi="Times New Roman"/>
          <w:sz w:val="28"/>
          <w:szCs w:val="28"/>
          <w:lang w:val="en-US"/>
        </w:rPr>
        <w:t>TIP</w:t>
      </w:r>
      <w:r w:rsidRPr="00107040">
        <w:rPr>
          <w:rFonts w:ascii="Times New Roman" w:hAnsi="Times New Roman"/>
          <w:sz w:val="28"/>
          <w:szCs w:val="28"/>
        </w:rPr>
        <w:t xml:space="preserve">60) фосфорилирует </w:t>
      </w:r>
      <w:r w:rsidRPr="00107040">
        <w:rPr>
          <w:rFonts w:ascii="Times New Roman" w:hAnsi="Times New Roman"/>
          <w:sz w:val="28"/>
          <w:szCs w:val="28"/>
          <w:lang w:val="en-US"/>
        </w:rPr>
        <w:t>H</w:t>
      </w:r>
      <w:r w:rsidRPr="00107040">
        <w:rPr>
          <w:rFonts w:ascii="Times New Roman" w:hAnsi="Times New Roman"/>
          <w:sz w:val="28"/>
          <w:szCs w:val="28"/>
        </w:rPr>
        <w:t>2</w:t>
      </w:r>
      <w:r w:rsidRPr="00107040">
        <w:rPr>
          <w:rFonts w:ascii="Times New Roman" w:hAnsi="Times New Roman"/>
          <w:sz w:val="28"/>
          <w:szCs w:val="28"/>
          <w:lang w:val="en-US"/>
        </w:rPr>
        <w:t>AX</w:t>
      </w:r>
      <w:r w:rsidRPr="00107040">
        <w:rPr>
          <w:rFonts w:ascii="Times New Roman" w:hAnsi="Times New Roman"/>
          <w:sz w:val="28"/>
          <w:szCs w:val="28"/>
        </w:rPr>
        <w:t xml:space="preserve"> и </w:t>
      </w:r>
      <w:r w:rsidRPr="00107040">
        <w:rPr>
          <w:rFonts w:ascii="Times New Roman" w:hAnsi="Times New Roman"/>
          <w:sz w:val="28"/>
          <w:szCs w:val="28"/>
          <w:lang w:val="en-US"/>
        </w:rPr>
        <w:t>MDC</w:t>
      </w:r>
      <w:r w:rsidRPr="00107040">
        <w:rPr>
          <w:rFonts w:ascii="Times New Roman" w:hAnsi="Times New Roman"/>
          <w:sz w:val="28"/>
          <w:szCs w:val="28"/>
        </w:rPr>
        <w:t xml:space="preserve">1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{"citationID":"K6LFOgH2","properties":{"formattedCitation":"[157]","plainCitation":"[157]","noteIndex":0},"citationItems":[{"id":365,"uris":["http://zotero.org/users/9078202/items/PCSKSEUH"],"itemData":{"id":365,"type":"article-journal","abstract":"ATM is the most significant molecule involved in monitoring the genomic integrity of the cell. Any damage done to DNA relentlessly challenges the cellular machinery involved in recognition, processing and repair of these insults. ATM kinase is activated early to detect and signal lesions in DNA, arrest the cell cycle, establish DNA repair signaling and faithfully restore the damaged chromatin. ATM activation plays an important role as a barrier to tumorigenesis, metabolic syndrome and neurodegeneration. Therefore, studies of ATM-dependent DNA damage signaling pathways hold promise for treatment of a variety of debilitating diseases through the development of new therapeutics capable of modulating cellular responses to stress. In this review, we have tried to untangle the complex web of ATM signaling pathways with the purpose of pinpointing multiple roles of ATM underlying the complex phenotypes observed in AT patients.","container-title":"Cellular and molecular life sciences: CMLS","DOI":"10.1007/s00018-011-0683-9","ISSN":"1420-9071","issue":"18","journalAbbreviation":"Cell Mol Life Sci","language":"eng","note":"PMID: 21533982","page":"2977-3006","source":"PubMed","title":"ATM protein kinase: the linchpin of cellular defenses to stress","title-short":"ATM protein kinase","volume":"68","author":[{"family":"Bhatti","given":"Shahzad"},{"family":"Kozlov","given":"Sergei"},{"family":"Farooqi","given":"Ammad Ahmad"},{"family":"Naqi","given":"Ali"},{"family":"Lavin","given":"Martin"},{"family":"Khanna","given":"Kum Kum"}],"issued":{"date-parts":[["2011",9]]}}}],"schema":"https://github.com/citation-style-language/schema/raw/master/csl-citation.json"}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[157]</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Затем фосфорилированный </w:t>
      </w:r>
      <w:r w:rsidRPr="00107040">
        <w:rPr>
          <w:rFonts w:ascii="Times New Roman" w:hAnsi="Times New Roman"/>
          <w:sz w:val="28"/>
          <w:szCs w:val="28"/>
          <w:lang w:val="en-US"/>
        </w:rPr>
        <w:t>MDC</w:t>
      </w:r>
      <w:r w:rsidRPr="00107040">
        <w:rPr>
          <w:rFonts w:ascii="Times New Roman" w:hAnsi="Times New Roman"/>
          <w:sz w:val="28"/>
          <w:szCs w:val="28"/>
        </w:rPr>
        <w:t xml:space="preserve">1 рекрутирует убиквитин </w:t>
      </w:r>
      <w:r w:rsidRPr="00107040">
        <w:rPr>
          <w:rFonts w:ascii="Times New Roman" w:hAnsi="Times New Roman"/>
          <w:sz w:val="28"/>
          <w:szCs w:val="28"/>
          <w:lang w:val="en-US"/>
        </w:rPr>
        <w:t>E</w:t>
      </w:r>
      <w:r w:rsidRPr="00107040">
        <w:rPr>
          <w:rFonts w:ascii="Times New Roman" w:hAnsi="Times New Roman"/>
          <w:sz w:val="28"/>
          <w:szCs w:val="28"/>
        </w:rPr>
        <w:t xml:space="preserve">3 лигазы </w:t>
      </w:r>
      <w:r w:rsidRPr="00107040">
        <w:rPr>
          <w:rFonts w:ascii="Times New Roman" w:hAnsi="Times New Roman"/>
          <w:sz w:val="28"/>
          <w:szCs w:val="28"/>
          <w:lang w:val="en-US"/>
        </w:rPr>
        <w:t>RNF</w:t>
      </w:r>
      <w:r w:rsidRPr="00107040">
        <w:rPr>
          <w:rFonts w:ascii="Times New Roman" w:hAnsi="Times New Roman"/>
          <w:sz w:val="28"/>
          <w:szCs w:val="28"/>
        </w:rPr>
        <w:t xml:space="preserve">8 и </w:t>
      </w:r>
      <w:r w:rsidRPr="00107040">
        <w:rPr>
          <w:rFonts w:ascii="Times New Roman" w:hAnsi="Times New Roman"/>
          <w:sz w:val="28"/>
          <w:szCs w:val="28"/>
          <w:lang w:val="en-US"/>
        </w:rPr>
        <w:t>RNF</w:t>
      </w:r>
      <w:r w:rsidRPr="00107040">
        <w:rPr>
          <w:rFonts w:ascii="Times New Roman" w:hAnsi="Times New Roman"/>
          <w:sz w:val="28"/>
          <w:szCs w:val="28"/>
        </w:rPr>
        <w:t xml:space="preserve">168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{"citationID":"jfCncK2N","properties":{"formattedCitation":"[158]","plainCitation":"[158]","noteIndex":0},"citationItems":[{"id":366,"uris":["http://zotero.org/users/9078202/items/XZ6GAZRJ"],"itemData":{"id":366,"type":"article-journal","abstract":"Chromatin modifications in response to DNA damage are vital for genome integrity. Multiple proteins and pathways required to generate specialized chromatin domains around DNA lesions have been identified and the increasing amount of information calls for unifying concepts that would allow us to grasp the ever-increasing complexity. This review aims at contributing to this trend by focusing on feed-forward and feedback mechanisms, which in mammalian cells determine the extent of chromatin modifications after DNA damage. We highlight the emerging notion that the nodal points of these highly dynamic pathways operate in a rate-limiting mode, whose deregulation can disrupt physiological boundaries between damaged and undamaged chromatin, dictate repair pathway choice, and determine the fate of cells exposed to genotoxic stress.","container-title":"Current Opinion in Genetics &amp; Development","DOI":"10.1016/j.gde.2012.11.001","ISSN":"1879-0380","issue":"2","journalAbbreviation":"Curr Opin Genet Dev","language":"eng","note":"PMID: 23312207","page":"156-165","source":"PubMed","title":"To spread or not to spread--chromatin modifications in response to DNA damage","volume":"23","author":[{"family":"Altmeyer","given":"Matthias"},{"family":"Lukas","given":"Jiri"}],"issued":{"date-parts":[["2013",4]]}}}],"schema":"https://github.com/citation-style-language/schema/raw/master/csl-citation.json"}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[158]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Затем </w:t>
      </w:r>
      <w:r w:rsidRPr="00107040">
        <w:rPr>
          <w:rFonts w:ascii="Times New Roman" w:hAnsi="Times New Roman"/>
          <w:sz w:val="28"/>
          <w:szCs w:val="28"/>
          <w:lang w:val="en-US"/>
        </w:rPr>
        <w:t>H</w:t>
      </w:r>
      <w:r w:rsidRPr="00107040">
        <w:rPr>
          <w:rFonts w:ascii="Times New Roman" w:hAnsi="Times New Roman"/>
          <w:sz w:val="28"/>
          <w:szCs w:val="28"/>
        </w:rPr>
        <w:t>2</w:t>
      </w:r>
      <w:r w:rsidRPr="00107040">
        <w:rPr>
          <w:rFonts w:ascii="Times New Roman" w:hAnsi="Times New Roman"/>
          <w:sz w:val="28"/>
          <w:szCs w:val="28"/>
          <w:lang w:val="en-US"/>
        </w:rPr>
        <w:t>AX</w:t>
      </w:r>
      <w:r w:rsidRPr="00107040">
        <w:rPr>
          <w:rFonts w:ascii="Times New Roman" w:hAnsi="Times New Roman"/>
          <w:sz w:val="28"/>
          <w:szCs w:val="28"/>
        </w:rPr>
        <w:t xml:space="preserve"> убиквитинируется этими лигазами </w:t>
      </w:r>
      <w:r w:rsidRPr="00107040">
        <w:rPr>
          <w:rFonts w:ascii="Times New Roman" w:hAnsi="Times New Roman"/>
          <w:sz w:val="28"/>
          <w:szCs w:val="28"/>
          <w:lang w:val="en-US"/>
        </w:rPr>
        <w:t>E</w:t>
      </w:r>
      <w:r w:rsidRPr="00107040">
        <w:rPr>
          <w:rFonts w:ascii="Times New Roman" w:hAnsi="Times New Roman"/>
          <w:sz w:val="28"/>
          <w:szCs w:val="28"/>
        </w:rPr>
        <w:t>3, способствуя стыковке 53</w:t>
      </w:r>
      <w:r w:rsidRPr="00107040">
        <w:rPr>
          <w:rFonts w:ascii="Times New Roman" w:hAnsi="Times New Roman"/>
          <w:sz w:val="28"/>
          <w:szCs w:val="28"/>
          <w:lang w:val="en-US"/>
        </w:rPr>
        <w:t>BP</w:t>
      </w:r>
      <w:r w:rsidRPr="00107040">
        <w:rPr>
          <w:rFonts w:ascii="Times New Roman" w:hAnsi="Times New Roman"/>
          <w:sz w:val="28"/>
          <w:szCs w:val="28"/>
        </w:rPr>
        <w:t xml:space="preserve">1 и </w:t>
      </w:r>
      <w:r w:rsidRPr="00107040">
        <w:rPr>
          <w:rFonts w:ascii="Times New Roman" w:hAnsi="Times New Roman"/>
          <w:sz w:val="28"/>
          <w:szCs w:val="28"/>
          <w:lang w:val="en-US"/>
        </w:rPr>
        <w:t>BRCA</w:t>
      </w:r>
      <w:r w:rsidRPr="00107040">
        <w:rPr>
          <w:rFonts w:ascii="Times New Roman" w:hAnsi="Times New Roman"/>
          <w:sz w:val="28"/>
          <w:szCs w:val="28"/>
        </w:rPr>
        <w:t xml:space="preserve">1. В фазе </w:t>
      </w:r>
      <w:r w:rsidRPr="00107040">
        <w:rPr>
          <w:rFonts w:ascii="Times New Roman" w:hAnsi="Times New Roman"/>
          <w:sz w:val="28"/>
          <w:szCs w:val="28"/>
          <w:lang w:val="en-US"/>
        </w:rPr>
        <w:t>S</w:t>
      </w:r>
      <w:r w:rsidRPr="00107040">
        <w:rPr>
          <w:rFonts w:ascii="Times New Roman" w:hAnsi="Times New Roman"/>
          <w:sz w:val="28"/>
          <w:szCs w:val="28"/>
        </w:rPr>
        <w:t>/</w:t>
      </w:r>
      <w:r w:rsidRPr="00107040">
        <w:rPr>
          <w:rFonts w:ascii="Times New Roman" w:hAnsi="Times New Roman"/>
          <w:sz w:val="28"/>
          <w:szCs w:val="28"/>
          <w:lang w:val="en-US"/>
        </w:rPr>
        <w:t>G</w:t>
      </w:r>
      <w:r w:rsidRPr="00107040">
        <w:rPr>
          <w:rFonts w:ascii="Times New Roman" w:hAnsi="Times New Roman"/>
          <w:sz w:val="28"/>
          <w:szCs w:val="28"/>
        </w:rPr>
        <w:t xml:space="preserve">2, где преобладает </w:t>
      </w:r>
      <w:r w:rsidRPr="00107040">
        <w:rPr>
          <w:rFonts w:ascii="Times New Roman" w:hAnsi="Times New Roman"/>
          <w:sz w:val="28"/>
          <w:szCs w:val="28"/>
          <w:lang w:val="en-US"/>
        </w:rPr>
        <w:t>HR</w:t>
      </w:r>
      <w:r w:rsidRPr="00107040">
        <w:rPr>
          <w:rFonts w:ascii="Times New Roman" w:hAnsi="Times New Roman"/>
          <w:sz w:val="28"/>
          <w:szCs w:val="28"/>
        </w:rPr>
        <w:t xml:space="preserve">, </w:t>
      </w:r>
      <w:r w:rsidRPr="00107040">
        <w:rPr>
          <w:rFonts w:ascii="Times New Roman" w:hAnsi="Times New Roman"/>
          <w:sz w:val="28"/>
          <w:szCs w:val="28"/>
          <w:lang w:val="en-US"/>
        </w:rPr>
        <w:t>BRCA</w:t>
      </w:r>
      <w:r w:rsidRPr="00107040">
        <w:rPr>
          <w:rFonts w:ascii="Times New Roman" w:hAnsi="Times New Roman"/>
          <w:sz w:val="28"/>
          <w:szCs w:val="28"/>
        </w:rPr>
        <w:t>1 (рекрутируемый убиквитинированным хроматином) противодействует 53</w:t>
      </w:r>
      <w:r w:rsidRPr="00107040">
        <w:rPr>
          <w:rFonts w:ascii="Times New Roman" w:hAnsi="Times New Roman"/>
          <w:sz w:val="28"/>
          <w:szCs w:val="28"/>
          <w:lang w:val="en-US"/>
        </w:rPr>
        <w:t>BP</w:t>
      </w:r>
      <w:r w:rsidRPr="00107040">
        <w:rPr>
          <w:rFonts w:ascii="Times New Roman" w:hAnsi="Times New Roman"/>
          <w:sz w:val="28"/>
          <w:szCs w:val="28"/>
        </w:rPr>
        <w:t xml:space="preserve">1 и инициирует убиквитинирование </w:t>
      </w:r>
      <w:bookmarkStart w:id="25" w:name="_Hlk104055738"/>
      <w:r w:rsidRPr="00107040">
        <w:rPr>
          <w:rFonts w:ascii="Times New Roman" w:hAnsi="Times New Roman"/>
          <w:sz w:val="28"/>
          <w:szCs w:val="28"/>
          <w:lang w:val="en-US"/>
        </w:rPr>
        <w:t>CtIP</w:t>
      </w:r>
      <w:bookmarkEnd w:id="25"/>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{"citationID":"59nY98RB","properties":{"formattedCitation":"[159,160]","plainCitation":"[159,160]","noteIndex":0},"citationItems":[{"id":364,"uris":["http://zotero.org/users/9078202/items/72RMG65Q"],"itemData":{"id":364,"type":"article-journal","abstract":"BRCA1 (Breast Cancer Susceptibility Gene 1) possesses an N-terminal Ring domain and tandem C-terminal BRCT motifs. While the Ring domain has E3 ubiquitin ligase activity, the BRCA1 BRCT domains specifically recognize phospho-serine motifs. Here, we demonstrate that BRCA1 Ring domain catalyzes CtIP ubiquitination in a manner that depends on a phosphorylation-mediated interaction between CtIP and BRCA1 BRCT domains. The BRCA1-dependent ubiquitination of CtIP does not target CtIP for degradation. Instead, ubiquitinated CtIP associates with chromatin following DNA damage and participates in G2/M checkpoint control. Thus, we propose that BRCA1 can regulate the functions of its substrates through nonproteasomal pathways that do not involve substrate degradation.","container-title":"Genes &amp; Development","DOI":"10.1101/gad.1431006","ISSN":"0890-9369","issue":"13","journalAbbreviation":"Genes Dev","language":"eng","note":"PMID: 16818604\nPMCID: PMC1522068","page":"1721-1726","source":"PubMed","title":"BRCA1 ubiquitinates its phosphorylation-dependent binding partner CtIP","volume":"20","author":[{"family":"Yu","given":"Xiaochun"},{"family":"Fu","given":"Shuang"},{"family":"Lai","given":"Maoyi"},{"family":"Baer","given":"Richard"},{"family":"Chen","given":"Junjie"}],"issued":{"date-parts":[["2006",7,1]]}}},{"id":363,"uris":["http://zotero.org/users/9078202/items/PE9Q33YV"],"itemData":{"id":363,"type":"article-journal","abstract":"DNA double-strand breaks (DSBs) are highly toxic lesions that can drive genetic instability. To preserve genome integrity, organisms have evolved several DSB repair mechanisms, of which nonhomologous end-joining (NHEJ) and homologous recombination (HR) represent the two most prominent. It has recently become apparent that multiple layers of regulation exist to ensure these repair pathways are accurate and restricted to the appropriate cellular contexts. Such regulation is crucial, as failure to properly execute DSB repair is known to accelerate tumorigenesis and is associated with several human genetic syndromes. Here, we review recent insights into the mechanisms that influence the choice between competing DSB repair pathways, how this is regulated during the cell cycle, and how imbalances in this equilibrium result in genome instability.","container-title":"Molecular Cell","DOI":"10.1016/j.molcel.2012.07.029","ISSN":"1097-4164","issue":"4","journalAbbreviation":"Mol Cell","language":"eng","note":"PMID: 22920291","page":"497-510","source":"PubMed","title":"Playing the end game: DNA double-strand break repair pathway choice","title-short":"Playing the end game","volume":"47","author":[{"family":"Chapman","given":"J. Ross"},{"family":"Taylor","given":"Martin R. G."},{"family":"Boulton","given":"Simon J."}],"issued":{"date-parts":[["2012",8,24]]}}}],"schema":"https://github.com/citation-style-language/schema/raw/master/csl-citation.json"}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[159,160]</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1FD70A02" w14:textId="100C9686"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Для создания 3'-выступов первоначальная резекция происходит за счет эндонуклеазной активности </w:t>
      </w:r>
      <w:r w:rsidRPr="00107040">
        <w:rPr>
          <w:rFonts w:ascii="Times New Roman" w:hAnsi="Times New Roman"/>
          <w:sz w:val="28"/>
          <w:szCs w:val="28"/>
          <w:lang w:val="en-US"/>
        </w:rPr>
        <w:t>MRN</w:t>
      </w:r>
      <w:r w:rsidRPr="00107040">
        <w:rPr>
          <w:rFonts w:ascii="Times New Roman" w:hAnsi="Times New Roman"/>
          <w:sz w:val="28"/>
          <w:szCs w:val="28"/>
        </w:rPr>
        <w:t xml:space="preserve"> с </w:t>
      </w:r>
      <w:bookmarkStart w:id="26" w:name="_Hlk104297768"/>
      <w:r w:rsidRPr="00107040">
        <w:rPr>
          <w:rFonts w:ascii="Times New Roman" w:hAnsi="Times New Roman"/>
          <w:sz w:val="28"/>
          <w:szCs w:val="28"/>
          <w:lang w:val="en-US"/>
        </w:rPr>
        <w:t>CtIP</w:t>
      </w:r>
      <w:bookmarkEnd w:id="26"/>
      <w:r w:rsidRPr="00107040">
        <w:rPr>
          <w:rFonts w:ascii="Times New Roman" w:hAnsi="Times New Roman"/>
          <w:sz w:val="28"/>
          <w:szCs w:val="28"/>
        </w:rPr>
        <w:t xml:space="preserve">, после чего следует резекция на большом расстоянии с помощью </w:t>
      </w:r>
      <w:bookmarkStart w:id="27" w:name="_Hlk104055763"/>
      <w:r w:rsidRPr="00107040">
        <w:rPr>
          <w:rFonts w:ascii="Times New Roman" w:hAnsi="Times New Roman"/>
          <w:sz w:val="28"/>
          <w:szCs w:val="28"/>
          <w:lang w:val="en-US"/>
        </w:rPr>
        <w:t>EXO</w:t>
      </w:r>
      <w:r w:rsidRPr="00107040">
        <w:rPr>
          <w:rFonts w:ascii="Times New Roman" w:hAnsi="Times New Roman"/>
          <w:sz w:val="28"/>
          <w:szCs w:val="28"/>
        </w:rPr>
        <w:t>1</w:t>
      </w:r>
      <w:bookmarkEnd w:id="27"/>
      <w:r w:rsidRPr="00107040">
        <w:rPr>
          <w:rFonts w:ascii="Times New Roman" w:hAnsi="Times New Roman"/>
          <w:sz w:val="28"/>
          <w:szCs w:val="28"/>
        </w:rPr>
        <w:t xml:space="preserve"> или </w:t>
      </w:r>
      <w:r w:rsidRPr="00107040">
        <w:rPr>
          <w:rFonts w:ascii="Times New Roman" w:hAnsi="Times New Roman"/>
          <w:sz w:val="28"/>
          <w:szCs w:val="28"/>
          <w:lang w:val="en-US"/>
        </w:rPr>
        <w:t>BLM</w:t>
      </w:r>
      <w:r w:rsidRPr="00107040">
        <w:rPr>
          <w:rFonts w:ascii="Times New Roman" w:hAnsi="Times New Roman"/>
          <w:sz w:val="28"/>
          <w:szCs w:val="28"/>
        </w:rPr>
        <w:t xml:space="preserve"> вместе с </w:t>
      </w:r>
      <w:r w:rsidRPr="00107040">
        <w:rPr>
          <w:rFonts w:ascii="Times New Roman" w:hAnsi="Times New Roman"/>
          <w:sz w:val="28"/>
          <w:szCs w:val="28"/>
          <w:lang w:val="en-US"/>
        </w:rPr>
        <w:t>DNA</w:t>
      </w:r>
      <w:r w:rsidRPr="00107040">
        <w:rPr>
          <w:rFonts w:ascii="Times New Roman" w:hAnsi="Times New Roman"/>
          <w:sz w:val="28"/>
          <w:szCs w:val="28"/>
        </w:rPr>
        <w:t xml:space="preserve">2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{"citationID":"57ATKX1F","properties":{"formattedCitation":"[161,162]","plainCitation":"[161,162]","noteIndex":0},"citationItems":[{"id":362,"uris":["http://zotero.org/users/9078202/items/MK38KIDJ"],"itemData":{"id":362,"type":"article-journal","abstract":"BRCA1 plays an important role in the homologous recombination (HR)-mediated DNA double-strand break (DSB) repair, but the mechanism is not clear. Here we describe that BRCA1 forms a complex with CtIP and MRN (Mre11/Rad50/Nbs1) in a cell cycle-dependent manner. Significantly, the complex formation, especially the ionizing radiation-enhanced association of BRCA1 with MRN, requires cyclin-dependent kinase activity. CtIP directly interacts with Nbs1. The in vivo association of BRCA1 with MRN is largely dependent on the association of CtIP with the BRCT domains at the C terminus of BRCA1, whereas the N terminus of BRCA1 also contributes to its association with MRN. CtIP, as well as the interaction of BRCA1 with CtIP and MRN, is critical for IR-induced single-stranded DNA formation and cellular resistance to radiation. Consistently, CtIP itself is required for efficient HR-mediated DSB repair, like BRCA1 and MRN. These studies suggest that the complex formation of BRCA1.CtIP.MRN is important for facilitating DSB resection to generate single-stranded DNA that is needed for HR-mediated DSB repair. Because cyclin-dependent kinase is important for establishing IR-enhanced interaction of MRN with BRCA1, we propose that the cell cycle-dependent complex formation of BRCA1, CtIP, and MRN contributes to the activation of HR-mediated DSB repair in the S and G(2) phases of the cell cycle.","container-title":"The Journal of Biological Chemistry","DOI":"10.1074/jbc.M710245200","ISSN":"0021-9258","issue":"12","journalAbbreviation":"J Biol Chem","language":"eng","note":"PMID: 18171670","page":"7713-7720","source":"PubMed","title":"Cell cycle-dependent complex formation of BRCA1.CtIP.MRN is important for DNA double-strand break repair","volume":"283","author":[{"family":"Chen","given":"Longchuan"},{"family":"Nievera","given":"Christian J."},{"family":"Lee","given":"Alan Yueh-Luen"},{"family":"Wu","given":"Xiaohua"}],"issued":{"date-parts":[["2008",3,21]]}}},{"id":361,"uris":["http://zotero.org/users/9078202/items/FUQKXG78"],"itemData":{"id":361,"type":"article-journal","abstract":"Repair of dsDNA breaks requires processing to produce 3'-terminated ssDNA. We biochemically reconstituted DNA end resection using purified human proteins: Bloom helicase (BLM); DNA2 helicase/nuclease; Exonuclease 1 (EXO1); the complex comprising MRE11, RAD50, and NBS1 (MRN); and Replication protein A (RPA). Resection occurs via two routes. In one, BLM and DNA2 physically and specifically interact to resect DNA in a process that is ATP-dependent and requires BLM helicase and DNA2 nuclease functions. RPA is essential for both DNA unwinding by BLM and enforcing 5' → 3' resection polarity by DNA2. MRN accelerates processing by recruiting BLM to the end. In the other, EXO1 resects the DNA and is stimulated by BLM, MRN, and RPA. BLM increases the affinity of EXO1 for ends, and MRN recruits and enhances the processivity of EXO1. Our results establish two of the core machineries that initiate recombinational DNA repair in human cells.","container-title":"Genes &amp; Development","DOI":"10.1101/gad.2003811","ISSN":"1549-5477","issue":"4","journalAbbreviation":"Genes Dev","language":"eng","note":"PMID: 21325134\nPMCID: PMC3042158","page":"350-362","source":"PubMed","title":"BLM-DNA2-RPA-MRN and EXO1-BLM-RPA-MRN constitute two DNA end resection machineries for human DNA break repair","volume":"25","author":[{"family":"Nimonkar","given":"Amitabh V."},{"family":"Genschel","given":"Jochen"},{"family":"Kinoshita","given":"Eri"},{"family":"Polaczek","given":"Piotr"},{"family":"Campbell","given":"Judith L."},{"family":"Wyman","given":"Claire"},{"family":"Modrich","given":"Paul"},{"family":"Kowalczykowski","given":"Stephen C."}],"issued":{"date-parts":[["2011",2,15]]}}}],"schema":"https://github.com/citation-style-language/schema/raw/master/csl-citation.json"}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[161,162]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Затем </w:t>
      </w:r>
      <w:r w:rsidRPr="00107040">
        <w:rPr>
          <w:rFonts w:ascii="Times New Roman" w:hAnsi="Times New Roman"/>
          <w:sz w:val="28"/>
          <w:szCs w:val="28"/>
          <w:lang w:val="en-US"/>
        </w:rPr>
        <w:t>RPA</w:t>
      </w:r>
      <w:r w:rsidRPr="00107040">
        <w:rPr>
          <w:rFonts w:ascii="Times New Roman" w:hAnsi="Times New Roman"/>
          <w:sz w:val="28"/>
          <w:szCs w:val="28"/>
        </w:rPr>
        <w:t xml:space="preserve"> и </w:t>
      </w:r>
      <w:r w:rsidRPr="00107040">
        <w:rPr>
          <w:rFonts w:ascii="Times New Roman" w:hAnsi="Times New Roman"/>
          <w:sz w:val="28"/>
          <w:szCs w:val="28"/>
          <w:lang w:val="en-US"/>
        </w:rPr>
        <w:t>RAD</w:t>
      </w:r>
      <w:r w:rsidRPr="00107040">
        <w:rPr>
          <w:rFonts w:ascii="Times New Roman" w:hAnsi="Times New Roman"/>
          <w:sz w:val="28"/>
          <w:szCs w:val="28"/>
        </w:rPr>
        <w:t xml:space="preserve">51 генерируют нуклеопротеиновую цепь в 3'-выступающем сайте. </w:t>
      </w:r>
      <w:r w:rsidRPr="00107040">
        <w:rPr>
          <w:rFonts w:ascii="Times New Roman" w:hAnsi="Times New Roman"/>
          <w:sz w:val="28"/>
          <w:szCs w:val="28"/>
          <w:lang w:val="en-US"/>
        </w:rPr>
        <w:t>BRCA</w:t>
      </w:r>
      <w:r w:rsidRPr="00107040">
        <w:rPr>
          <w:rFonts w:ascii="Times New Roman" w:hAnsi="Times New Roman"/>
          <w:sz w:val="28"/>
          <w:szCs w:val="28"/>
        </w:rPr>
        <w:t xml:space="preserve">2 и </w:t>
      </w:r>
      <w:r w:rsidRPr="00107040">
        <w:rPr>
          <w:rFonts w:ascii="Times New Roman" w:hAnsi="Times New Roman"/>
          <w:sz w:val="28"/>
          <w:szCs w:val="28"/>
          <w:lang w:val="en-US"/>
        </w:rPr>
        <w:t>PALB</w:t>
      </w:r>
      <w:r w:rsidRPr="00107040">
        <w:rPr>
          <w:rFonts w:ascii="Times New Roman" w:hAnsi="Times New Roman"/>
          <w:sz w:val="28"/>
          <w:szCs w:val="28"/>
        </w:rPr>
        <w:t xml:space="preserve">2 образуют нуклеопротеиновую цепь, которая проникает в близлежащий дуплекс ДНК, образуя </w:t>
      </w:r>
      <w:r w:rsidRPr="00107040">
        <w:rPr>
          <w:rFonts w:ascii="Times New Roman" w:hAnsi="Times New Roman"/>
          <w:sz w:val="28"/>
          <w:szCs w:val="28"/>
          <w:lang w:val="en-US"/>
        </w:rPr>
        <w:t>D</w:t>
      </w:r>
      <w:r w:rsidRPr="00107040">
        <w:rPr>
          <w:rFonts w:ascii="Times New Roman" w:hAnsi="Times New Roman"/>
          <w:sz w:val="28"/>
          <w:szCs w:val="28"/>
        </w:rPr>
        <w:t xml:space="preserve">-петлю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{"citationID":"a4EGYoPT","properties":{"formattedCitation":"[163,164]","plainCitation":"[163,164]","noteIndex":0},"citationItems":[{"id":360,"uris":["http://zotero.org/users/9078202/items/HCDMET3A"],"itemData":{"id":360,"type":"article-journal","abstract":"BRCA1 and BRCA2 are prominently associated with inherited breast and ovarian cancer. The encoded proteins function in DNA damage responses, but no functional link between BRCA1 and BRCA2 has been established. We show here that PALB2 physically and functionally connects BRCA1 and BRCA2 into a DNA damage response network that also includes the RAD51 recombinase. PALB2 directly binds BRCA1, as determined with bacterially expressed fragments of each protein. Furthermore, PALB2 independently interacts with BRCA1 and BRCA2 through its NH2 and COOH termini, respectively. Critically, two point mutants (L21P and L24P) of the PALB2 coiled-coil domain or an NH2-terminal deletion (Delta1-70) disrupt its interaction with BRCA1. We have reconstituted PALB2-deficient cells with PALB2Delta1-70, PALB2-L21P, or PALB2-L24P, or with COOH-terminally truncated PALB2 that is deficient for interaction with BRCA2. Using extracts from these cells, we find that PALB2 mediates the physical interaction of BRCA2 with a COOH-terminal fragment of BRCA1. Analysis of the assembly of foci in these cells by BRCA1, PALB2, BRCA2, and RAD51 suggests that BRCA1 recruits PALB2, which in turn organizes BRCA2 and RAD51. Resistance to mitomycin C and the repair of DNA double-strand breaks by homologous recombination require the interaction of PALB2 with both BRCA1 and BRCA2. These results suggest that BRCA1 and BRCA2 cooperate in DNA damage responses in a PALB2-dependent manner, and have important implications for the genesis of breast/ovarian cancer and for chemotherapy with DNA interstrand cross-linking agents.","container-title":"Molecular cancer research: MCR","DOI":"10.1158/1541-7786.MCR-09-0123","ISSN":"1557-3125","issue":"7","journalAbbreviation":"Mol Cancer Res","language":"eng","note":"PMID: 19584259\nPMCID: PMC4928587","page":"1110-1118","source":"PubMed","title":"PALB2 functionally connects the breast cancer susceptibility proteins BRCA1 and BRCA2","volume":"7","author":[{"family":"Zhang","given":"Fan"},{"family":"Fan","given":"Qiang"},{"family":"Ren","given":"Keqin"},{"family":"Andreassen","given":"Paul R."}],"issued":{"date-parts":[["2009",7]]}}},{"id":359,"uris":["http://zotero.org/users/9078202/items/UR5M3ZY8"],"itemData":{"id":359,"type":"article-journal","abstract":"BRCA2 is the product of a breast cancer susceptibility gene in humans and the founding member of an emerging family of proteins present throughout the eukaryotic domain that serve in homologous recombination. The function of BRCA2 in recombination is to control RAD51, a protein that catalyzes homologous pairing and DNA strand exchange. By physically interacting with both RAD51 and single-stranded DNA, BRCA2 mediates delivery of RAD51 preferentially to sites of single-stranded DNA (ssDNA) exposed as a result of DNA damage or replication problems. Through its action, BRCA2 helps restore and maintain integrity of the genome. This review highlights recent studies on BRCA2 and its orthologs that have begun to illuminate the molecular mechanisms by which these proteins control homologous recombination.","container-title":"Nature Structural &amp; Molecular Biology","DOI":"10.1038/nsmb.2096","ISSN":"1545-9985","issue":"7","journalAbbreviation":"Nat Struct Mol Biol","language":"eng","note":"PMID: 21731065\nPMCID: PMC3647347","page":"748-754","source":"PubMed","title":"Unraveling the mechanism of BRCA2 in homologous recombination","volume":"18","author":[{"family":"Holloman","given":"William K."}],"issued":{"date-parts":[["2011",7,6]]}}}],"schema":"https://github.com/citation-style-language/schema/raw/master/csl-citation.json"}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[163,164]</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Удаление </w:t>
      </w:r>
      <w:r w:rsidRPr="00107040">
        <w:rPr>
          <w:rFonts w:ascii="Times New Roman" w:hAnsi="Times New Roman"/>
          <w:sz w:val="28"/>
          <w:szCs w:val="28"/>
          <w:lang w:val="en-US"/>
        </w:rPr>
        <w:t>RAD</w:t>
      </w:r>
      <w:r w:rsidRPr="00107040">
        <w:rPr>
          <w:rFonts w:ascii="Times New Roman" w:hAnsi="Times New Roman"/>
          <w:sz w:val="28"/>
          <w:szCs w:val="28"/>
        </w:rPr>
        <w:t xml:space="preserve">51 с помощью </w:t>
      </w:r>
      <w:r w:rsidRPr="00107040">
        <w:rPr>
          <w:rFonts w:ascii="Times New Roman" w:hAnsi="Times New Roman"/>
          <w:sz w:val="28"/>
          <w:szCs w:val="28"/>
          <w:lang w:val="en-US"/>
        </w:rPr>
        <w:t>RAD</w:t>
      </w:r>
      <w:r w:rsidRPr="00107040">
        <w:rPr>
          <w:rFonts w:ascii="Times New Roman" w:hAnsi="Times New Roman"/>
          <w:sz w:val="28"/>
          <w:szCs w:val="28"/>
        </w:rPr>
        <w:t xml:space="preserve">54 и </w:t>
      </w:r>
      <w:r w:rsidRPr="00107040">
        <w:rPr>
          <w:rFonts w:ascii="Times New Roman" w:hAnsi="Times New Roman"/>
          <w:sz w:val="28"/>
          <w:szCs w:val="28"/>
          <w:lang w:val="en-US"/>
        </w:rPr>
        <w:t>RAD</w:t>
      </w:r>
      <w:r w:rsidRPr="00107040">
        <w:rPr>
          <w:rFonts w:ascii="Times New Roman" w:hAnsi="Times New Roman"/>
          <w:sz w:val="28"/>
          <w:szCs w:val="28"/>
        </w:rPr>
        <w:t>54</w:t>
      </w:r>
      <w:r w:rsidRPr="00107040">
        <w:rPr>
          <w:rFonts w:ascii="Times New Roman" w:hAnsi="Times New Roman"/>
          <w:sz w:val="28"/>
          <w:szCs w:val="28"/>
          <w:lang w:val="en-US"/>
        </w:rPr>
        <w:t>B</w:t>
      </w:r>
      <w:r w:rsidRPr="00107040">
        <w:rPr>
          <w:rFonts w:ascii="Times New Roman" w:hAnsi="Times New Roman"/>
          <w:sz w:val="28"/>
          <w:szCs w:val="28"/>
        </w:rPr>
        <w:t xml:space="preserve"> позволяет полимеразам </w:t>
      </w:r>
      <w:r w:rsidRPr="00107040">
        <w:rPr>
          <w:rFonts w:ascii="Times New Roman" w:hAnsi="Times New Roman"/>
          <w:sz w:val="28"/>
          <w:szCs w:val="28"/>
          <w:lang w:val="en-US"/>
        </w:rPr>
        <w:t>δ</w:t>
      </w:r>
      <w:r w:rsidRPr="00107040">
        <w:rPr>
          <w:rFonts w:ascii="Times New Roman" w:hAnsi="Times New Roman"/>
          <w:sz w:val="28"/>
          <w:szCs w:val="28"/>
        </w:rPr>
        <w:t xml:space="preserve">, </w:t>
      </w:r>
      <w:r w:rsidRPr="00107040">
        <w:rPr>
          <w:rFonts w:ascii="Times New Roman" w:hAnsi="Times New Roman"/>
          <w:sz w:val="28"/>
          <w:szCs w:val="28"/>
          <w:lang w:val="en-US"/>
        </w:rPr>
        <w:t>κ</w:t>
      </w:r>
      <w:r w:rsidRPr="00107040">
        <w:rPr>
          <w:rFonts w:ascii="Times New Roman" w:hAnsi="Times New Roman"/>
          <w:sz w:val="28"/>
          <w:szCs w:val="28"/>
        </w:rPr>
        <w:t xml:space="preserve"> и </w:t>
      </w:r>
      <w:r w:rsidRPr="00107040">
        <w:rPr>
          <w:rFonts w:ascii="Times New Roman" w:hAnsi="Times New Roman"/>
          <w:sz w:val="28"/>
          <w:szCs w:val="28"/>
          <w:lang w:val="en-US"/>
        </w:rPr>
        <w:t>ν</w:t>
      </w:r>
      <w:r w:rsidRPr="00107040">
        <w:rPr>
          <w:rFonts w:ascii="Times New Roman" w:hAnsi="Times New Roman"/>
          <w:sz w:val="28"/>
          <w:szCs w:val="28"/>
        </w:rPr>
        <w:t xml:space="preserve"> начать синтез с использованием 3'-</w:t>
      </w:r>
      <w:r w:rsidRPr="00107040">
        <w:rPr>
          <w:rFonts w:ascii="Times New Roman" w:hAnsi="Times New Roman"/>
          <w:sz w:val="28"/>
          <w:szCs w:val="28"/>
          <w:lang w:val="en-US"/>
        </w:rPr>
        <w:t>OH</w:t>
      </w:r>
      <w:r w:rsidRPr="00107040">
        <w:rPr>
          <w:rFonts w:ascii="Times New Roman" w:hAnsi="Times New Roman"/>
          <w:sz w:val="28"/>
          <w:szCs w:val="28"/>
        </w:rPr>
        <w:t xml:space="preserve"> группы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{"citationID":"iVJ8cj7u","properties":{"formattedCitation":"[165,166]","plainCitation":"[165,166]","noteIndex":0},"citationItems":[{"id":358,"uris":["http://zotero.org/users/9078202/items/BEA9HZ4N"],"itemData":{"id":358,"type":"article-journal","abstract":"Homologous recombination (HR) performs crucial functions including DNA repair, segregation of homologous chromosomes, propagation of genetic diversity, and maintenance of telomeres. HR is responsible for the repair of DNA double-strand breaks and DNA interstrand cross-links. The process of HR is initiated at the site of DNA breaks and gaps and involves a search for homologous sequences promoted by Rad51 and auxiliary proteins followed by the subsequent invasion of broken DNA ends into the homologous duplex DNA that then serves as a template for repair. The invasion produces a cross-stranded structure, known as the Holliday junction. Here, we describe the properties of Rad54, an important and versatile HR protein that is evolutionarily conserved in eukaryotes. Rad54 is a motor protein that translocates along dsDNA and performs several important functions in HR. The current review focuses on the recently identified Rad54 activities which contribute to the late phase of HR, especially the branch migration of Holliday junctions.","container-title":"DNA repair","DOI":"10.1016/j.dnarep.2009.12.006","ISSN":"1568-7856","issue":"3","journalAbbreviation":"DNA Repair (Amst)","language":"eng","note":"PMID: 20089461\nPMCID: PMC2827677","page":"286-302","source":"PubMed","title":"Rad54, the motor of homologous recombination","volume":"9","author":[{"family":"Mazin","given":"Alexander V."},{"family":"Mazina","given":"Olga M."},{"family":"Bugreev","given":"Dmitry V."},{"family":"Rossi","given":"Matthew J."}],"issued":{"date-parts":[["2010",3,2]]}}},{"id":357,"uris":["http://zotero.org/users/9078202/items/NHMWUN54"],"itemData":{"id":357,"type":"article-journal","abstract":"Homologous recombination (HR) is essential for maintaining genomic integrity, which is challenged by a wide variety of potentially lethal DNA lesions. Regardless of the damage type, recombination is known to proceed by RAD51-mediated D-loop formation, followed by DNA repair synthesis. Nevertheless, the participating polymerases and extension mechanism are not well characterized. Here, we present a reconstitution of this step using purified human proteins. In addition to Pol δ, TLS polymerases, including Pol η and Pol κ, also can extend D-loops. In vivo characterization reveals that Pol η and Pol κ are involved in redundant pathways for HR. In addition, the presence of PCNA on the D-loop regulates the length of the extension tracks by recruiting various polymerases and might present a regulatory point for the various recombination outcomes.","container-title":"DNA repair","DOI":"10.1016/j.dnarep.2013.05.001","ISSN":"1568-7856","issue":"9","journalAbbreviation":"DNA Repair (Amst)","language":"eng","note":"PMID: 23731732\nPMCID: PMC3744802","page":"691-698","source":"PubMed","title":"Role of PCNA and TLS polymerases in D-loop extension during homologous recombination in humans","volume":"12","author":[{"family":"Sebesta","given":"Marek"},{"family":"Burkovics","given":"Peter"},{"family":"Juhasz","given":"Szilvia"},{"family":"Zhang","given":"Sufang"},{"family":"Szabo","given":"Judit E."},{"family":"Lee","given":"Marietta Y. W. T."},{"family":"Haracska","given":"Lajos"},{"family":"Krejci","given":"Lumir"}],"issued":{"date-parts":[["2013",9]]}}}],"schema":"https://github.com/citation-style-language/schema/raw/master/csl-citation.json"}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[165,166]</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Если синтез новой ДНК прекращается через определенное расстояние, то </w:t>
      </w:r>
      <w:r w:rsidRPr="00107040">
        <w:rPr>
          <w:rFonts w:ascii="Times New Roman" w:hAnsi="Times New Roman"/>
          <w:sz w:val="28"/>
          <w:szCs w:val="28"/>
          <w:lang w:val="en-US"/>
        </w:rPr>
        <w:t>D</w:t>
      </w:r>
      <w:r w:rsidRPr="00107040">
        <w:rPr>
          <w:rFonts w:ascii="Times New Roman" w:hAnsi="Times New Roman"/>
          <w:sz w:val="28"/>
          <w:szCs w:val="28"/>
        </w:rPr>
        <w:t xml:space="preserve">-петля растворяется ферментом </w:t>
      </w:r>
      <w:r w:rsidRPr="00107040">
        <w:rPr>
          <w:rFonts w:ascii="Times New Roman" w:hAnsi="Times New Roman"/>
          <w:sz w:val="28"/>
          <w:szCs w:val="28"/>
          <w:lang w:val="en-US"/>
        </w:rPr>
        <w:t>RTEL</w:t>
      </w:r>
      <w:r w:rsidRPr="00107040">
        <w:rPr>
          <w:rFonts w:ascii="Times New Roman" w:hAnsi="Times New Roman"/>
          <w:sz w:val="28"/>
          <w:szCs w:val="28"/>
        </w:rPr>
        <w:t xml:space="preserve">1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{"citationID":"XvCGqoC0","properties":{"formattedCitation":"[167]","plainCitation":"[167]","noteIndex":0},"citationItems":[{"id":356,"uris":["http://zotero.org/users/9078202/items/AGMKXTC8"],"itemData":{"id":356,"type":"article-journal","abstract":"Homologous recombination (HR) is an important conserved process for DNA repair and ensures maintenance of genome integrity. Inappropriate HR causes gross chromosomal rearrangements and tumorigenesis in mammals. In yeast, the Srs2 helicase eliminates inappropriate recombination events, but the functional equivalent of Srs2 in higher eukaryotes has been elusive. Here, we identify C. elegans RTEL-1 as a functional analog of Srs2 and describe its vertebrate counterpart, RTEL1, which is required for genome stability and tumor avoidance. We find that rtel-1 mutant worms and RTEL1-depleted human cells share characteristic phenotypes with yeast srs2 mutants: lethality upon deletion of the sgs1/BLM homolog, hyperrecombination, and DNA damage sensitivity. In vitro, purified human RTEL1 antagonizes HR by promoting the disassembly of D loop recombination intermediates in a reaction dependent upon ATP hydrolysis. We propose that loss of HR control after deregulation of RTEL1 may be a critical event that drives genome instability and cancer.","container-title":"Cell","DOI":"10.1016/j.cell.2008.08.016","ISSN":"1097-4172","issue":"2","journalAbbreviation":"Cell","language":"eng","note":"PMID: 18957201\nPMCID: PMC3726190","page":"261-271","source":"PubMed","title":"RTEL1 maintains genomic stability by suppressing homologous recombination","volume":"135","author":[{"family":"Barber","given":"Louise J."},{"family":"Youds","given":"Jillian L."},{"family":"Ward","given":"Jordan D."},{"family":"McIlwraith","given":"Michael J."},{"family":"O'Neil","given":"Nigel J."},{"family":"Petalcorin","given":"Mark I. R."},{"family":"Martin","given":"Julie S."},{"family":"Collis","given":"Spencer J."},{"family":"Cantor","given":"Sharon B."},{"family":"Auclair","given":"Melissa"},{"family":"Tissenbaum","given":"Heidi"},{"family":"West","given":"Stephen C."},{"family":"Rose","given":"Ann M."},{"family":"Boulton","given":"Simon J."}],"issued":{"date-parts":[["2008",10,17]]}}}],"schema":"https://github.com/citation-style-language/schema/raw/master/csl-citation.json"}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[167]</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Если же этого не происходит, то соединение Холлидея обрабатывается сборкой комплекса </w:t>
      </w:r>
      <w:r w:rsidRPr="00107040">
        <w:rPr>
          <w:rFonts w:ascii="Times New Roman" w:hAnsi="Times New Roman"/>
          <w:sz w:val="28"/>
          <w:szCs w:val="28"/>
          <w:lang w:val="en-US"/>
        </w:rPr>
        <w:t>BLM</w:t>
      </w:r>
      <w:r w:rsidRPr="00107040">
        <w:rPr>
          <w:rFonts w:ascii="Times New Roman" w:hAnsi="Times New Roman"/>
          <w:sz w:val="28"/>
          <w:szCs w:val="28"/>
        </w:rPr>
        <w:t>-</w:t>
      </w:r>
      <w:r w:rsidRPr="00107040">
        <w:rPr>
          <w:rFonts w:ascii="Times New Roman" w:hAnsi="Times New Roman"/>
          <w:sz w:val="28"/>
          <w:szCs w:val="28"/>
          <w:lang w:val="en-US"/>
        </w:rPr>
        <w:t>TOPOIII</w:t>
      </w:r>
      <w:r w:rsidRPr="00107040">
        <w:rPr>
          <w:rFonts w:ascii="Times New Roman" w:hAnsi="Times New Roman"/>
          <w:sz w:val="28"/>
          <w:szCs w:val="28"/>
        </w:rPr>
        <w:t>-</w:t>
      </w:r>
      <w:r w:rsidRPr="00107040">
        <w:rPr>
          <w:rFonts w:ascii="Times New Roman" w:hAnsi="Times New Roman"/>
          <w:sz w:val="28"/>
          <w:szCs w:val="28"/>
          <w:lang w:val="en-US"/>
        </w:rPr>
        <w:t>RMI</w:t>
      </w:r>
      <w:r w:rsidRPr="00107040">
        <w:rPr>
          <w:rFonts w:ascii="Times New Roman" w:hAnsi="Times New Roman"/>
          <w:sz w:val="28"/>
          <w:szCs w:val="28"/>
        </w:rPr>
        <w:t>1-</w:t>
      </w:r>
      <w:r w:rsidRPr="00107040">
        <w:rPr>
          <w:rFonts w:ascii="Times New Roman" w:hAnsi="Times New Roman"/>
          <w:sz w:val="28"/>
          <w:szCs w:val="28"/>
          <w:lang w:val="en-US"/>
        </w:rPr>
        <w:t>RMI</w:t>
      </w:r>
      <w:r w:rsidRPr="00107040">
        <w:rPr>
          <w:rFonts w:ascii="Times New Roman" w:hAnsi="Times New Roman"/>
          <w:sz w:val="28"/>
          <w:szCs w:val="28"/>
        </w:rPr>
        <w:t xml:space="preserve">2, эндонуклеазы </w:t>
      </w:r>
      <w:r w:rsidRPr="00107040">
        <w:rPr>
          <w:rFonts w:ascii="Times New Roman" w:hAnsi="Times New Roman"/>
          <w:sz w:val="28"/>
          <w:szCs w:val="28"/>
          <w:lang w:val="en-US"/>
        </w:rPr>
        <w:t>GEN</w:t>
      </w:r>
      <w:r w:rsidRPr="00107040">
        <w:rPr>
          <w:rFonts w:ascii="Times New Roman" w:hAnsi="Times New Roman"/>
          <w:sz w:val="28"/>
          <w:szCs w:val="28"/>
        </w:rPr>
        <w:t xml:space="preserve">1, комплекса </w:t>
      </w:r>
      <w:r w:rsidRPr="00107040">
        <w:rPr>
          <w:rFonts w:ascii="Times New Roman" w:hAnsi="Times New Roman"/>
          <w:sz w:val="28"/>
          <w:szCs w:val="28"/>
          <w:lang w:val="en-US"/>
        </w:rPr>
        <w:t>MUS</w:t>
      </w:r>
      <w:r w:rsidRPr="00107040">
        <w:rPr>
          <w:rFonts w:ascii="Times New Roman" w:hAnsi="Times New Roman"/>
          <w:sz w:val="28"/>
          <w:szCs w:val="28"/>
        </w:rPr>
        <w:t>81-</w:t>
      </w:r>
      <w:r w:rsidRPr="00107040">
        <w:rPr>
          <w:rFonts w:ascii="Times New Roman" w:hAnsi="Times New Roman"/>
          <w:sz w:val="28"/>
          <w:szCs w:val="28"/>
          <w:lang w:val="en-US"/>
        </w:rPr>
        <w:t>EME</w:t>
      </w:r>
      <w:r w:rsidRPr="00107040">
        <w:rPr>
          <w:rFonts w:ascii="Times New Roman" w:hAnsi="Times New Roman"/>
          <w:sz w:val="28"/>
          <w:szCs w:val="28"/>
        </w:rPr>
        <w:t xml:space="preserve">1 и комплекса </w:t>
      </w:r>
      <w:r w:rsidRPr="00107040">
        <w:rPr>
          <w:rFonts w:ascii="Times New Roman" w:hAnsi="Times New Roman"/>
          <w:sz w:val="28"/>
          <w:szCs w:val="28"/>
          <w:lang w:val="en-US"/>
        </w:rPr>
        <w:t>SLX</w:t>
      </w:r>
      <w:r w:rsidRPr="00107040">
        <w:rPr>
          <w:rFonts w:ascii="Times New Roman" w:hAnsi="Times New Roman"/>
          <w:sz w:val="28"/>
          <w:szCs w:val="28"/>
        </w:rPr>
        <w:t>1-</w:t>
      </w:r>
      <w:r w:rsidRPr="00107040">
        <w:rPr>
          <w:rFonts w:ascii="Times New Roman" w:hAnsi="Times New Roman"/>
          <w:sz w:val="28"/>
          <w:szCs w:val="28"/>
          <w:lang w:val="en-US"/>
        </w:rPr>
        <w:t>SLX</w:t>
      </w:r>
      <w:r w:rsidRPr="00107040">
        <w:rPr>
          <w:rFonts w:ascii="Times New Roman" w:hAnsi="Times New Roman"/>
          <w:sz w:val="28"/>
          <w:szCs w:val="28"/>
        </w:rPr>
        <w:t xml:space="preserve">4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{"citationID":"qnnvZY5A","properties":{"formattedCitation":"[168\\uc0\\u8211{}172]","plainCitation":"[168–172]","noteIndex":0},"citationItems":[{"id":355,"uris":["http://zotero.org/users/9078202/items/DWNCMX4M"],"itemData":{"id":355,"type":"article-journal","abstract":"The Mus81-Eme1 complex is a structure-specific endonuclease that plays an important role in rescuing stalled replication forks and resolving the meiotic recombination intermediates in eukaryotes. We have determined the crystal structure of the Mus81-Eme1 complex. Both Mus81 and Eme1 consist of a central nuclease domain, two repeats of the helix-hairpin-helix (HhH) motif at their C-terminal region, and a linker helix. While each domain structure resembles archaeal XPF homologs, the overall structure is significantly different from those due to the structure of a linker helix. We show that a flexible intradomain linker that formed with 36 residues in the nuclease domain of Eme1 is essential for the recognition of DNA. We identified several basic residues lining the outer surface of the active site cleft of Mus81 that are involved in the interaction with a flexible arm of a nicked Holliday junction (HJ). These interactions might contribute to the optimal positioning of the opposite junction across the nick into the catalytic site, which provided the basis for the \"nick and counternick\" mechanism of Mus81-Eme1 and for the nicked HJ to be the favored in vitro substrate of this enzyme.","container-title":"Genes &amp; Development","DOI":"10.1101/gad.1618708","ISSN":"0890-9369","issue":"8","journalAbbreviation":"Genes Dev","language":"eng","note":"PMID: 18413719\nPMCID: PMC2335329","page":"1093-1106","source":"PubMed","title":"Crystal structure of the Mus81-Eme1 complex","volume":"22","author":[{"family":"Chang","given":"Jeong Ho"},{"family":"Kim","given":"Jeong Joo"},{"family":"Choi","given":"Jung Min"},{"family":"Lee","given":"Jung Hoon"},{"family":"Cho","given":"Yunje"}],"issued":{"date-parts":[["2008",4,15]]}}},{"id":354,"uris":["http://zotero.org/users/9078202/items/VX4RML3W"],"itemData":{"id":354,"type":"article-journal","abstract":"Proteins belonging to the XPF/MUS81 family play important roles in the repair of DNA lesions caused by UV-light or DNA cross-linking agents. Most eukaryotes have four family members that assemble into two distinct heterodimeric complexes, XPF-ERCC1 and MUS81-EME1. Each complex contains one catalytic and one noncatalytic subunit and exhibits endonuclease activity with a variety of 3'-flap or fork DNA structures. The catalytic subunits share a characteristic core containing an excision repair cross complementation group 4 (ERCC4) nuclease domain and a tandem helix-hairpin-helix (HhH)(2) domain. Diverged domains are present in the noncatalytic subunits and may be required for substrate targeting. Vertebrates possess two additional family members, FANCM and Fanconi anemia-associated protein 24 kDa (FAAP24), which possess inactive nuclease domains. Instead, FANCM contains a functional Superfamily 2 (SF2) helicase domain that is required for DNA translocation. Determining how these enzymes recognize specific DNA substrates and promote key repair reactions is an important challenge for the future.","container-title":"Annual Review of Biochemistry","DOI":"10.1146/annurev.biochem.77.070306.102408","ISSN":"0066-4154","journalAbbreviation":"Annu Rev Biochem","language":"eng","note":"PMID: 18518821","page":"259-287","source":"PubMed","title":"Structural and functional relationships of the XPF/MUS81 family of proteins","volume":"77","author":[{"family":"Ciccia","given":"Alberto"},{"family":"McDonald","given":"Neil"},{"family":"West","given":"Stephen C."}],"issued":{"date-parts":[["2008"]]}}},{"id":353,"uris":["http://zotero.org/users/9078202/items/9N439M8Y"],"itemData":{"id":353,"type":"article-journal","abstract":"BLM, the helicase mutated in Bloom syndrome, associates with topoisomerase 3alpha, RMI1 (RecQ-mediated genome instability), and RPA, to form a complex essential for the maintenance of genome stability. Here we report a novel component of the BLM complex, RMI2, which interacts with RMI1 through two oligonucleotide-binding (OB)-fold domains similar to those in RPA. The resulting complex, named RMI, differs from RPA in that it lacks obvious DNA-binding activity. Nevertheless, RMI stimulates the dissolution of a homologous recombination intermediate in vitro and is essential for the stability, localization, and function of the BLM complex in vivo. Notably, inactivation of RMI2 in chicken DT40 cells results in an increased level of sister chromatid exchange (SCE)--the hallmark feature of Bloom syndrome cells. Epistasis analysis revealed that RMI2 and BLM suppress SCE within the same pathway. A point mutation in the OB domain of RMI2 disrupts the association between BLM and the rest of the complex, and abrogates the ability of RMI2 to suppress elevated SCE. Our data suggest that multi-OB-fold complexes mediate two modes of BLM action: via RPA-mediated protein-DNA interaction, and via RMI-mediated protein-protein interactions.","container-title":"Genes &amp; Development","DOI":"10.1101/gad.1708608","ISSN":"0890-9369","issue":"20","journalAbbreviation":"Genes Dev","language":"eng","note":"PMID: 18923082\nPMCID: PMC2569887","page":"2843-2855","source":"PubMed","title":"RMI, a new OB-fold complex essential for Bloom syndrome protein to maintain genome stability","volume":"22","author":[{"family":"Xu","given":"Dongyi"},{"family":"Guo","given":"Rong"},{"family":"Sobeck","given":"Alexandra"},{"family":"Bachrati","given":"Csanad Z."},{"family":"Yang","given":"Jay"},{"family":"Enomoto","given":"Takemi"},{"family":"Brown","given":"Grant W."},{"family":"Hoatlin","given":"Maureen E."},{"family":"Hickson","given":"Ian D."},{"family":"Wang","given":"Weidong"}],"issued":{"date-parts":[["2008",10,15]]}}},{"id":351,"uris":["http://zotero.org/users/9078202/items/2FTD3BA6"],"itemData":{"id":351,"type":"article-journal","abstract":"Structure-specific endonucleases resolve DNA secondary structures generated during DNA repair and recombination. The yeast 5' flap endonuclease Slx1-Slx4 has received particular attention with the finding that Slx4 has Slx1-independent key functions in genome maintenance. Although Slx1 is a highly conserved protein in eukaryotes, no orthologs of Slx4 were reported other than in fungi. Here we report the identification of Slx4 orthologs in metazoa, including fly MUS312, essential for meiotic recombination, and human BTBD12, an ATM/ATR checkpoint kinase substrate. Human SLX1-SLX4 displays robust Holliday junction resolvase activity in addition to 5' flap endonuclease activity. Depletion of SLX1 and SLX4 results in 53BP1 foci accumulation and H2AX phosphorylation as well as cellular hypersensitivity to MMS. Furthermore, we show that SLX4 binds the XPF(ERCC4) and MUS81 subunits of the XPF-ERCC1 and MUS81-EME1 endonucleases and is required for DNA interstrand crosslink repair. We propose that SLX4 acts as a docking platform for multiple structure-specific endonucleases.","container-title":"Cell","DOI":"10.1016/j.cell.2009.06.029","ISSN":"1097-4172","issue":"1","journalAbbreviation":"Cell","language":"eng","note":"PMID: 19596236\nPMCID: PMC2861413","page":"78-89","source":"PubMed","title":"Human SLX4 is a Holliday junction resolvase subunit that binds multiple DNA repair/recombination endonucleases","volume":"138","author":[{"family":"Fekairi","given":"Samira"},{"family":"Scaglione","given":"Sarah"},{"family":"Chahwan","given":"Charly"},{"family":"Taylor","given":"Ewan R."},{"family":"Tissier","given":"Agnès"},{"family":"Coulon","given":"Stéphane"},{"family":"Dong","given":"Meng-Qiu"},{"family":"Ruse","given":"Cristian"},{"family":"Yates","given":"John R."},{"family":"Russell","given":"Paul"},{"family":"Fuchs","given":"Robert P."},{"family":"McGowan","given":"Clare H."},{"family":"Gaillard","given":"Pierre-Henri L."}],"issued":{"date-parts":[["2009",7,10]]}}},{"id":350,"uris":["http://zotero.org/users/9078202/items/MSXATS7N"],"itemData":{"id":350,"type":"article-journal","abstract":"Holliday junction (HJ) resolution is essential for chromosome segregation at meiosis and the repair of stalled/collapsed replication forks in mitotic cells. All organisms possess nucleases that promote HJ resolution by the introduction of symmetrically related nicks in two strands at, or close to, the junction point. GEN1, a member of the Rad2/XPG nuclease family, was isolated recently from human cells and shown to promote HJ resolution in vitro and in vivo. Here, we provide the first biochemical/structural characterization of GEN1, showing that, like the Escherichia coli HJ resolvase RuvC, it binds specifically to HJs and resolves them by a dual incision mechanism in which nicks are introduced in the pair of continuous (noncrossing) strands within the lifetime of the GEN1-HJ complex. In contrast to RuvC, but like other Rad2/XPG family members such as FEN1, GEN1 is a monomeric 5'-flap endonuclease. However, the unique feature of GEN1 that distinguishes it from other Rad2/XPG nucleases is its ability to dimerize on HJs. This functional adaptation provides the two symmetrically aligned active sites required for HJ resolution.","container-title":"Genes &amp; Development","DOI":"10.1101/gad.585310","ISSN":"1549-5477","issue":"14","journalAbbreviation":"Genes Dev","language":"eng","note":"PMID: 20634321\nPMCID: PMC2904945","page":"1559-1569","source":"PubMed","title":"Mechanism of Holliday junction resolution by the human GEN1 protein","volume":"24","author":[{"family":"Rass","given":"Ulrich"},{"family":"Compton","given":"Sarah A."},{"family":"Matos","given":"Joao"},{"family":"Singleton","given":"Martin R."},{"family":"Ip","given":"Stephen C. Y."},{"family":"Blanco","given":"Miguel G."},{"family":"Griffith","given":"Jack D."},{"family":"West","given":"Stephen C."}],"issued":{"date-parts":[["2010",7,15]]}}}],"schema":"https://github.com/citation-style-language/schema/raw/master/csl-citation.json"}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[168–172]</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17A79F95" w14:textId="74FBD2E0"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lastRenderedPageBreak/>
        <w:t>ДНК постоянно подвергается воздействию эндогенных и экзогенных агентов, которые ее повреждают, в таком случае не</w:t>
      </w:r>
      <w:r w:rsidRPr="00107040">
        <w:rPr>
          <w:rFonts w:ascii="Times New Roman" w:hAnsi="Times New Roman"/>
          <w:sz w:val="28"/>
          <w:szCs w:val="28"/>
          <w:lang w:val="kk-KZ"/>
        </w:rPr>
        <w:t>репа</w:t>
      </w:r>
      <w:r w:rsidRPr="00107040">
        <w:rPr>
          <w:rFonts w:ascii="Times New Roman" w:hAnsi="Times New Roman"/>
          <w:sz w:val="28"/>
          <w:szCs w:val="28"/>
        </w:rPr>
        <w:t xml:space="preserve">рированные повреждения ДНК могут привести к заболеваниям и раку. Однако надежные пути репарации ДНК и толерантности к повреждениям помогают удалить или перенести повреждение, чтобы обеспечить выживание. Понимание этих путей помогает оценить возможные токсические эффекты и разработать стратегии контроля вредного воздействия на </w:t>
      </w:r>
      <w:r w:rsidRPr="00107040">
        <w:rPr>
          <w:rFonts w:ascii="Times New Roman" w:hAnsi="Times New Roman"/>
          <w:sz w:val="28"/>
          <w:szCs w:val="28"/>
          <w:lang w:val="kk-KZ"/>
        </w:rPr>
        <w:t>организм</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FB5E68">
        <w:rPr>
          <w:rFonts w:ascii="Times New Roman" w:hAnsi="Times New Roman"/>
          <w:sz w:val="28"/>
          <w:szCs w:val="28"/>
        </w:rPr>
        <w:instrText xml:space="preserve"> ADDIN ZOTERO_ITEM CSL_CITATION {"citationID":"nhKSByba","properties":{"formattedCitation":"[173]","plainCitation":"[173]","noteIndex":0},"citationItems":[{"id":"MPjqK5ng/0A6V9KV8","uris":["http://zotero.org/users/9078202/items/4GKL4PB8"],"itemData":{"id":29,"type":"article-journal","abstract":"Living organisms are continuously exposed to a myriad of DNA damaging agents that can impact health and modulate disease-states. However, robust DNA repair and damage-bypass mechanisms faithfully protect the DNA by either removing or tolerating the damage to ensure an overall survival. Deviations in this fine-tuning are known to destabilize cellular metabolic homeostasis, as exemplified in diverse cancers where disruption or deregulation of DNA repair pathways results in genome instability. Because routinely used biological, physical and chemical agents impact human health, testing their genotoxicity and regulating their use have become important. In this introductory review, we will delineate mechanisms of DNA damage and the counteracting repair/tolerance pathways to provide insights into the molecular basis of genotoxicity in cells that lays the foundation for subsequent articles in this issue.","container-title":"Environmental and molecular mutagenesis","DOI":"10.1002/em.22087","ISSN":"0893-6692","issue":"5","journalAbbreviation":"Environ Mol Mutagen","note":"PMID: 28485537\nPMCID: PMC5474181","page":"235-263","source":"PubMed Central","title":"Mechanisms of DNA damage, repair and mutagenesis","URL":"https://www.ncbi.nlm.nih.gov/pmc/articles/PMC5474181/","volume":"58","author":[{"family":"Chatterjee","given":"Nimrat"},{"family":"Walker","given":"Graham C."}],"accessed":{"date-parts":[["2022",3,4]]},"issued":{"date-parts":[["2017",6]]}}}],"schema":"https://github.com/citation-style-language/schema/raw/master/csl-citation.json"}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[173]</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14A1DB18" w14:textId="77777777" w:rsidR="00107040" w:rsidRPr="00107040" w:rsidRDefault="00107040" w:rsidP="00107040">
      <w:pPr>
        <w:spacing w:after="0" w:line="240" w:lineRule="auto"/>
        <w:jc w:val="both"/>
        <w:rPr>
          <w:rFonts w:ascii="Times New Roman" w:hAnsi="Times New Roman"/>
          <w:sz w:val="28"/>
          <w:szCs w:val="28"/>
        </w:rPr>
      </w:pPr>
    </w:p>
    <w:p w14:paraId="205ED188" w14:textId="77777777" w:rsidR="00107040" w:rsidRPr="00107040" w:rsidRDefault="00107040" w:rsidP="00107040">
      <w:pPr>
        <w:spacing w:after="0" w:line="240" w:lineRule="auto"/>
        <w:ind w:firstLine="567"/>
        <w:jc w:val="both"/>
        <w:rPr>
          <w:rFonts w:ascii="Times New Roman" w:hAnsi="Times New Roman"/>
          <w:b/>
          <w:sz w:val="28"/>
          <w:szCs w:val="28"/>
        </w:rPr>
      </w:pPr>
      <w:bookmarkStart w:id="28" w:name="_Hlk113268148"/>
      <w:r w:rsidRPr="00107040">
        <w:rPr>
          <w:rFonts w:ascii="Times New Roman" w:hAnsi="Times New Roman"/>
          <w:b/>
          <w:sz w:val="28"/>
          <w:szCs w:val="28"/>
        </w:rPr>
        <w:t>1.</w:t>
      </w:r>
      <w:r w:rsidRPr="00107040">
        <w:rPr>
          <w:rFonts w:ascii="Times New Roman" w:hAnsi="Times New Roman"/>
          <w:b/>
          <w:sz w:val="28"/>
          <w:szCs w:val="28"/>
          <w:lang w:val="kk-KZ"/>
        </w:rPr>
        <w:t>3</w:t>
      </w:r>
      <w:r w:rsidRPr="00107040">
        <w:rPr>
          <w:rFonts w:ascii="Times New Roman" w:hAnsi="Times New Roman"/>
          <w:b/>
          <w:sz w:val="28"/>
          <w:szCs w:val="28"/>
        </w:rPr>
        <w:t xml:space="preserve"> НАД</w:t>
      </w:r>
      <w:r w:rsidRPr="00107040">
        <w:rPr>
          <w:rFonts w:ascii="Times New Roman" w:hAnsi="Times New Roman"/>
          <w:b/>
          <w:sz w:val="28"/>
          <w:szCs w:val="28"/>
          <w:vertAlign w:val="superscript"/>
        </w:rPr>
        <w:t>+</w:t>
      </w:r>
      <w:r w:rsidRPr="00107040">
        <w:rPr>
          <w:rFonts w:ascii="Times New Roman" w:hAnsi="Times New Roman"/>
          <w:b/>
          <w:sz w:val="28"/>
          <w:szCs w:val="28"/>
        </w:rPr>
        <w:t xml:space="preserve"> и АДФ-рибозилирование</w:t>
      </w:r>
    </w:p>
    <w:bookmarkEnd w:id="28"/>
    <w:p w14:paraId="70990F84" w14:textId="1B0DC75D"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Никотинамидадениндинуклеотид </w:t>
      </w:r>
      <w:r w:rsidRPr="00107040">
        <w:rPr>
          <w:rFonts w:ascii="Times New Roman" w:hAnsi="Times New Roman"/>
          <w:sz w:val="28"/>
          <w:szCs w:val="28"/>
        </w:rPr>
        <w:sym w:font="Symbol" w:char="F02D"/>
      </w:r>
      <w:r w:rsidRPr="00107040">
        <w:rPr>
          <w:rFonts w:ascii="Times New Roman" w:hAnsi="Times New Roman"/>
          <w:sz w:val="28"/>
          <w:szCs w:val="28"/>
        </w:rPr>
        <w:t xml:space="preserve"> важная органическая молекула, обнаруженная во всех живых организмах. Он состоит из двух мононуклеотидов, аденозин-5'-монофосфата (</w:t>
      </w:r>
      <w:r w:rsidRPr="00107040">
        <w:rPr>
          <w:rFonts w:ascii="Times New Roman" w:hAnsi="Times New Roman"/>
          <w:sz w:val="28"/>
          <w:szCs w:val="28"/>
          <w:lang w:val="en-US"/>
        </w:rPr>
        <w:t>AMP</w:t>
      </w:r>
      <w:r w:rsidRPr="00107040">
        <w:rPr>
          <w:rFonts w:ascii="Times New Roman" w:hAnsi="Times New Roman"/>
          <w:sz w:val="28"/>
          <w:szCs w:val="28"/>
        </w:rPr>
        <w:t>) и никотинамидмононуклеотида (</w:t>
      </w:r>
      <w:r w:rsidRPr="00107040">
        <w:rPr>
          <w:rFonts w:ascii="Times New Roman" w:hAnsi="Times New Roman"/>
          <w:sz w:val="28"/>
          <w:szCs w:val="28"/>
          <w:lang w:val="en-US"/>
        </w:rPr>
        <w:t>NMN</w:t>
      </w:r>
      <w:r w:rsidRPr="00107040">
        <w:rPr>
          <w:rFonts w:ascii="Times New Roman" w:hAnsi="Times New Roman"/>
          <w:sz w:val="28"/>
          <w:szCs w:val="28"/>
        </w:rPr>
        <w:t>), соединенных фосфодиэфирной связью. Установлено, что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служит коферментом клеточных окислительно-восстановительных реакций, катализируемых оксидоредуктазами, переносит электроны на пиридиновое кольцо никотинамидного основания </w:t>
      </w:r>
      <w:r w:rsidRPr="00107040">
        <w:rPr>
          <w:rFonts w:ascii="Times New Roman" w:hAnsi="Times New Roman"/>
          <w:sz w:val="28"/>
          <w:szCs w:val="28"/>
          <w:lang w:val="en-US"/>
        </w:rPr>
        <w:fldChar w:fldCharType="begin"/>
      </w:r>
      <w:r>
        <w:rPr>
          <w:rFonts w:ascii="Times New Roman" w:hAnsi="Times New Roman"/>
          <w:sz w:val="28"/>
          <w:szCs w:val="28"/>
        </w:rPr>
        <w:instrText xml:space="preserve"> ADDIN ZOTERO_ITEM CSL_CITATION {"citationID":"foE9tag5","properties":{"formattedCitation":"[32]","plainCitation":"[32]","noteIndex":0},"citationItems":[{"id":348,"uris":["http://zotero.org/users/9078202/items/MK2LQJHU"],"itemData":{"id":348,"type":"article-journal","abstract":"Since the beginning of the last century, seminal discoveries have identified pyridine nucleotides as the major redox carriers in all organisms. Recent research has unravelled an unexpectedly wide array of signalling pathways that involve nicotinamide adenine dinucleotide (NAD) and its phosphorylated form, NADP. NAD serves as substrate for protein modification including protein deacetylation, and mono- and poly-ADP-ribosylation. Both NAD and NADP represent precursors of intracellular calcium-mobilizing molecules. It is now beyond doubt that NAD(P)-mediated signal transduction does not merely regulate metabolic pathways, but might hold a key position in the control of fundamental cellular processes. The comprehensive molecular characterization of NAD biosynthetic pathways over the past few years has further extended the understanding of the multiple roles of pyridine nucleotides in cell biology.","container-title":"Trends in Biochemical Sciences","DOI":"10.1016/j.tibs.2004.01.007","ISSN":"0968-0004","issue":"3","journalAbbreviation":"Trends Biochem Sci","language":"eng","note":"PMID: 15003268","page":"111-118","source":"PubMed","title":"The new life of a centenarian: signalling functions of NAD(P)","title-short":"The new life of a centenarian","volume":"29","author":[{"family":"Berger","given":"Felicitas"},{"family":"Ramírez-Hernández","given":"María H."},{"family":"Ziegler","given":"Mathias"}],"issued":{"date-parts":[["2004",3]]}}}],"schema":"https://github.com/citation-style-language/schema/raw/master/csl-citation.json"} </w:instrText>
      </w:r>
      <w:r w:rsidRPr="00107040">
        <w:rPr>
          <w:rFonts w:ascii="Times New Roman" w:hAnsi="Times New Roman"/>
          <w:sz w:val="28"/>
          <w:szCs w:val="28"/>
          <w:lang w:val="en-US"/>
        </w:rPr>
        <w:fldChar w:fldCharType="separate"/>
      </w:r>
      <w:r w:rsidRPr="00107040">
        <w:rPr>
          <w:rFonts w:ascii="Times New Roman" w:hAnsi="Times New Roman"/>
          <w:sz w:val="28"/>
        </w:rPr>
        <w:t>[32]</w:t>
      </w:r>
      <w:r w:rsidRPr="00107040">
        <w:rPr>
          <w:rFonts w:ascii="Times New Roman" w:hAnsi="Times New Roman"/>
          <w:sz w:val="28"/>
          <w:szCs w:val="28"/>
          <w:lang w:val="en-US"/>
        </w:rPr>
        <w:fldChar w:fldCharType="end"/>
      </w:r>
      <w:r w:rsidRPr="00107040">
        <w:rPr>
          <w:rFonts w:ascii="Times New Roman" w:hAnsi="Times New Roman"/>
          <w:sz w:val="28"/>
          <w:szCs w:val="28"/>
        </w:rPr>
        <w:t>. Таким образом, в клетках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существует в двух состояниях: в окисленной форме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действует как окислитель и отбирает электроны у другой молекулы, а восстанавливаясь в НАДН </w:t>
      </w:r>
      <w:r w:rsidRPr="00107040">
        <w:rPr>
          <w:rFonts w:ascii="Times New Roman" w:hAnsi="Times New Roman"/>
          <w:sz w:val="28"/>
          <w:szCs w:val="28"/>
        </w:rPr>
        <w:sym w:font="Symbol" w:char="F02D"/>
      </w:r>
      <w:r w:rsidRPr="00107040">
        <w:rPr>
          <w:rFonts w:ascii="Times New Roman" w:hAnsi="Times New Roman"/>
          <w:sz w:val="28"/>
          <w:szCs w:val="28"/>
        </w:rPr>
        <w:t xml:space="preserve"> служит восстановителем и отдает электроны (рисунок </w:t>
      </w:r>
      <w:r w:rsidRPr="00107040">
        <w:rPr>
          <w:rFonts w:ascii="Times New Roman" w:hAnsi="Times New Roman"/>
          <w:sz w:val="28"/>
          <w:szCs w:val="28"/>
          <w:lang w:val="kk-KZ"/>
        </w:rPr>
        <w:t>3</w:t>
      </w:r>
      <w:r w:rsidRPr="00107040">
        <w:rPr>
          <w:rFonts w:ascii="Times New Roman" w:hAnsi="Times New Roman"/>
          <w:sz w:val="28"/>
          <w:szCs w:val="28"/>
        </w:rPr>
        <w:t>). Основное поле действия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w:t>
      </w:r>
      <w:r w:rsidRPr="00107040">
        <w:rPr>
          <w:rFonts w:ascii="Times New Roman" w:hAnsi="Times New Roman"/>
          <w:sz w:val="28"/>
          <w:szCs w:val="28"/>
        </w:rPr>
        <w:sym w:font="Symbol" w:char="F02D"/>
      </w:r>
      <w:r w:rsidRPr="00107040">
        <w:rPr>
          <w:rFonts w:ascii="Times New Roman" w:hAnsi="Times New Roman"/>
          <w:sz w:val="28"/>
          <w:szCs w:val="28"/>
        </w:rPr>
        <w:t xml:space="preserve"> реакции, связанные с переносом электронов, однако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выполняет в клетке и другие функции, в частности, служит субстратом для ферментов, удаляющих или присоединяющих химические группы к белкам в ходе посттрансляционных модификаций. В связи с важностью функций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ферменты, участвующие в его метаболизме, являются мишенями для поиска новых лекарственных средств. Одними из таких ферментов, использующих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в качестве вспомогательного субстрата, являются трансферазы. Эти реакции переноса включают аденилирование и АДФ-рибозилирование, при которых фосфодиэфирная связь и </w:t>
      </w:r>
      <w:r w:rsidRPr="00107040">
        <w:rPr>
          <w:rFonts w:ascii="Times New Roman" w:hAnsi="Times New Roman"/>
          <w:sz w:val="28"/>
          <w:szCs w:val="28"/>
          <w:lang w:val="en-US"/>
        </w:rPr>
        <w:t>N</w:t>
      </w:r>
      <w:r w:rsidRPr="00107040">
        <w:rPr>
          <w:rFonts w:ascii="Times New Roman" w:hAnsi="Times New Roman"/>
          <w:sz w:val="28"/>
          <w:szCs w:val="28"/>
        </w:rPr>
        <w:t>-гликозидная связь расщепляются в присутствии никотинамида соответственно. НАД</w:t>
      </w:r>
      <w:r w:rsidRPr="00107040">
        <w:rPr>
          <w:rFonts w:ascii="Times New Roman" w:hAnsi="Times New Roman"/>
          <w:sz w:val="28"/>
          <w:szCs w:val="28"/>
          <w:vertAlign w:val="superscript"/>
        </w:rPr>
        <w:t>+</w:t>
      </w:r>
      <w:r w:rsidRPr="00107040">
        <w:rPr>
          <w:rFonts w:ascii="Times New Roman" w:hAnsi="Times New Roman"/>
          <w:sz w:val="28"/>
          <w:szCs w:val="28"/>
        </w:rPr>
        <w:t>-зависимые ДНК-лигазы многих видов бактерий катализируют НАД</w:t>
      </w:r>
      <w:r w:rsidRPr="00107040">
        <w:rPr>
          <w:rFonts w:ascii="Times New Roman" w:hAnsi="Times New Roman"/>
          <w:sz w:val="28"/>
          <w:szCs w:val="28"/>
          <w:vertAlign w:val="superscript"/>
        </w:rPr>
        <w:t>+</w:t>
      </w:r>
      <w:r w:rsidRPr="00107040">
        <w:rPr>
          <w:rFonts w:ascii="Times New Roman" w:hAnsi="Times New Roman"/>
          <w:sz w:val="28"/>
          <w:szCs w:val="28"/>
        </w:rPr>
        <w:t>-зависимые реакции аденилирования. Эти ферменты используют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для образования промежуточного соединения аденилатлигазы, которое затем переносит фрагмент </w:t>
      </w:r>
      <w:r w:rsidRPr="00107040">
        <w:rPr>
          <w:rFonts w:ascii="Times New Roman" w:hAnsi="Times New Roman"/>
          <w:sz w:val="28"/>
          <w:szCs w:val="28"/>
          <w:lang w:val="en-US"/>
        </w:rPr>
        <w:t>AMP</w:t>
      </w:r>
      <w:r w:rsidRPr="00107040">
        <w:rPr>
          <w:rFonts w:ascii="Times New Roman" w:hAnsi="Times New Roman"/>
          <w:sz w:val="28"/>
          <w:szCs w:val="28"/>
        </w:rPr>
        <w:t xml:space="preserve"> на 5'-фосфатные концы ДНК с разрывом. Аденилирование 5'-конца ДНК облегчает последующее лигирование ДНК, что приводит к высвобождению свободного </w:t>
      </w:r>
      <w:r w:rsidRPr="00107040">
        <w:rPr>
          <w:rFonts w:ascii="Times New Roman" w:hAnsi="Times New Roman"/>
          <w:sz w:val="28"/>
          <w:szCs w:val="28"/>
          <w:lang w:val="en-US"/>
        </w:rPr>
        <w:t>AM</w:t>
      </w:r>
      <w:r w:rsidRPr="00107040">
        <w:rPr>
          <w:rFonts w:ascii="Times New Roman" w:hAnsi="Times New Roman"/>
          <w:sz w:val="28"/>
          <w:szCs w:val="28"/>
        </w:rPr>
        <w:t xml:space="preserve">Ф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{"citationID":"MCJuZUfl","properties":{"formattedCitation":"[174,175]","plainCitation":"[174,175]","noteIndex":0},"citationItems":[{"id":346,"uris":["http://zotero.org/users/9078202/items/E4S9FWX5"],"itemData":{"id":346,"type":"article-journal","abstract":"ADP-ribosylation is a post-translational modification of proteins catalyzed by ADP-ribosyltransferases. It comprises the transfer of the ADP-ribose moiety from NAD+ to specific amino acid residues on substrate proteins or to ADP-ribose itself. Currently, 22 human genes encoding proteins that possess an ADP-ribosyltransferase catalytic domain are known. Recent structural and enzymological evidence of poly(ADP-ribose)polymerase (PARP) family members demonstrate that earlier proposed names and classifications of these proteins are no longer accurate. Here we summarize these new findings and propose a new consensus nomenclature for all ADP-ribosyltransferases (ARTs) based on the catalyzed reaction and on structural features. A unified nomenclature would facilitate communication between researchers both inside and outside the ADP-ribosylation field.","container-title":"Trends in Biochemical Sciences","DOI":"10.1016/j.tibs.2009.12.003","ISSN":"0968-0004","issue":"4","journalAbbreviation":"Trends Biochem Sci","language":"eng","note":"PMID: 20106667","page":"208-219","source":"PubMed","title":"Toward a unified nomenclature for mammalian ADP-ribosyltransferases","volume":"35","author":[{"family":"Hottiger","given":"Michael O."},{"family":"Hassa","given":"Paul O."},{"family":"Lüscher","given":"Bernhard"},{"family":"Schüler","given":"Herwig"},{"family":"Koch-Nolte","given":"Friedrich"}],"issued":{"date-parts":[["2010",4]]}}},{"id":347,"uris":["http://zotero.org/users/9078202/items/3NJBZYDL"],"itemData":{"id":347,"type":"article-journal","abstract":"DNA ligases are enzymes required for the repair, replication and recombination of DNA. DNA ligases catalyse the formation of phosphodiester bonds at single-strand breaks in double-stranded DNA. Despite their occurrence in all organisms, DNA ligases show a wide diversity of amino acid sequences, molecular sizes and properties. The enzymes fall into two groups based on their cofactor specificity, those requiring NAD+ for activity and those requiring ATP. The eukaryotic, viral and archael bacteria encoded enzymes all require ATP. NAD+-requiring DNA ligases have only been found in prokaryotic organisms. Recently, the crystal structures of a number of DNA ligases have been reported. It is the purpose of this review to summarise the current knowledge of the structure and catalytic mechanism of DNA ligases.","container-title":"Nucleic Acids Research","ISSN":"0305-1048","issue":"21","journalAbbreviation":"Nucleic Acids Res","note":"PMID: 11058099\nPMCID: PMC113121","page":"4051-4058","source":"PubMed Central","title":"Structural and mechanistic conservation in DNA ligases","URL":"https://www.ncbi.nlm.nih.gov/pmc/articles/PMC113121/","volume":"28","author":[{"family":"Doherty","given":"Aidan J."},{"family":"Suh","given":"Se Won"}],"accessed":{"date-parts":[["2022",3,24]]},"issued":{"date-parts":[["2000",11,1]]}}}],"schema":"https://github.com/citation-style-language/schema/raw/master/csl-citation.json"}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[174,175]</w:t>
      </w:r>
      <w:r w:rsidRPr="00107040">
        <w:rPr>
          <w:rFonts w:ascii="Times New Roman" w:hAnsi="Times New Roman"/>
          <w:sz w:val="28"/>
          <w:szCs w:val="28"/>
          <w:lang w:val="en-US"/>
        </w:rPr>
        <w:fldChar w:fldCharType="end"/>
      </w:r>
      <w:r w:rsidRPr="00107040">
        <w:rPr>
          <w:rFonts w:ascii="Times New Roman" w:hAnsi="Times New Roman"/>
          <w:sz w:val="28"/>
          <w:szCs w:val="28"/>
        </w:rPr>
        <w:t>. Большинство ферментов, потребляющих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катализируют реакцию переноса АДФ-рибозилтрансферазы или реакцию АДФ-рибозилирования (рисунок </w:t>
      </w:r>
      <w:r w:rsidRPr="00107040">
        <w:rPr>
          <w:rFonts w:ascii="Times New Roman" w:hAnsi="Times New Roman"/>
          <w:sz w:val="28"/>
          <w:szCs w:val="28"/>
          <w:lang w:val="kk-KZ"/>
        </w:rPr>
        <w:t>3</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{"citationID":"iovzrV3N","properties":{"formattedCitation":"[174]","plainCitation":"[174]","noteIndex":0},"citationItems":[{"id":346,"uris":["http://zotero.org/users/9078202/items/E4S9FWX5"],"itemData":{"id":346,"type":"article-journal","abstract":"ADP-ribosylation is a post-translational modification of proteins catalyzed by ADP-ribosyltransferases. It comprises the transfer of the ADP-ribose moiety from NAD+ to specific amino acid residues on substrate proteins or to ADP-ribose itself. Currently, 22 human genes encoding proteins that possess an ADP-ribosyltransferase catalytic domain are known. Recent structural and enzymological evidence of poly(ADP-ribose)polymerase (PARP) family members demonstrate that earlier proposed names and classifications of these proteins are no longer accurate. Here we summarize these new findings and propose a new consensus nomenclature for all ADP-ribosyltransferases (ARTs) based on the catalyzed reaction and on structural features. A unified nomenclature would facilitate communication between researchers both inside and outside the ADP-ribosylation field.","container-title":"Trends in Biochemical Sciences","DOI":"10.1016/j.tibs.2009.12.003","ISSN":"0968-0004","issue":"4","journalAbbreviation":"Trends Biochem Sci","language":"eng","note":"PMID: 20106667","page":"208-219","source":"PubMed","title":"Toward a unified nomenclature for mammalian ADP-ribosyltransferases","volume":"35","author":[{"family":"Hottiger","given":"Michael O."},{"family":"Hassa","given":"Paul O."},{"family":"Lüscher","given":"Bernhard"},{"family":"Schüler","given":"Herwig"},{"family":"Koch-Nolte","given":"Friedrich"}],"issued":{"date-parts":[["2010",4]]}}}],"schema":"https://github.com/citation-style-language/schema/raw/master/csl-citation.json"}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[174]</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3AF5353D" w14:textId="77777777" w:rsidR="00107040" w:rsidRPr="00107040" w:rsidRDefault="00107040" w:rsidP="00107040">
      <w:pPr>
        <w:spacing w:after="0" w:line="240" w:lineRule="auto"/>
        <w:ind w:firstLine="567"/>
        <w:jc w:val="both"/>
        <w:rPr>
          <w:rFonts w:ascii="Times New Roman" w:hAnsi="Times New Roman"/>
          <w:sz w:val="28"/>
          <w:szCs w:val="28"/>
        </w:rPr>
      </w:pPr>
    </w:p>
    <w:p w14:paraId="6C08296B" w14:textId="77777777" w:rsidR="00107040" w:rsidRPr="00107040" w:rsidRDefault="00107040" w:rsidP="00107040">
      <w:pPr>
        <w:spacing w:after="0" w:line="240" w:lineRule="auto"/>
        <w:ind w:firstLine="567"/>
        <w:jc w:val="center"/>
        <w:rPr>
          <w:rFonts w:ascii="Times New Roman" w:hAnsi="Times New Roman"/>
          <w:sz w:val="28"/>
          <w:szCs w:val="28"/>
        </w:rPr>
      </w:pPr>
      <w:r w:rsidRPr="00107040">
        <w:rPr>
          <w:rFonts w:ascii="Times New Roman" w:hAnsi="Times New Roman"/>
          <w:noProof/>
          <w:sz w:val="28"/>
          <w:szCs w:val="28"/>
          <w:lang w:val="ru-RU" w:eastAsia="ru-RU"/>
        </w:rPr>
        <w:lastRenderedPageBreak/>
        <w:drawing>
          <wp:inline distT="0" distB="0" distL="0" distR="0" wp14:anchorId="1FDA96B5" wp14:editId="1FD46371">
            <wp:extent cx="3985260" cy="5049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5260" cy="5049520"/>
                    </a:xfrm>
                    <a:prstGeom prst="rect">
                      <a:avLst/>
                    </a:prstGeom>
                    <a:noFill/>
                    <a:ln>
                      <a:noFill/>
                    </a:ln>
                  </pic:spPr>
                </pic:pic>
              </a:graphicData>
            </a:graphic>
          </wp:inline>
        </w:drawing>
      </w:r>
    </w:p>
    <w:p w14:paraId="1029D9EC" w14:textId="77777777" w:rsidR="00107040" w:rsidRPr="00107040" w:rsidRDefault="00107040" w:rsidP="00107040">
      <w:pPr>
        <w:spacing w:after="0" w:line="240" w:lineRule="auto"/>
        <w:ind w:firstLine="567"/>
        <w:jc w:val="center"/>
        <w:rPr>
          <w:rFonts w:ascii="Times New Roman" w:hAnsi="Times New Roman"/>
          <w:sz w:val="28"/>
          <w:szCs w:val="28"/>
        </w:rPr>
      </w:pPr>
    </w:p>
    <w:p w14:paraId="3099E384" w14:textId="77777777" w:rsidR="00107040" w:rsidRPr="00107040" w:rsidRDefault="00107040" w:rsidP="00107040">
      <w:pPr>
        <w:spacing w:after="0" w:line="240" w:lineRule="auto"/>
        <w:ind w:firstLine="567"/>
        <w:jc w:val="center"/>
        <w:rPr>
          <w:rFonts w:ascii="Times New Roman" w:hAnsi="Times New Roman"/>
          <w:sz w:val="28"/>
          <w:szCs w:val="28"/>
        </w:rPr>
      </w:pPr>
      <w:r w:rsidRPr="00107040">
        <w:rPr>
          <w:rFonts w:ascii="Times New Roman" w:hAnsi="Times New Roman"/>
          <w:sz w:val="28"/>
          <w:szCs w:val="28"/>
        </w:rPr>
        <w:t xml:space="preserve">А), В) окислительно-восстановительная (восстановительно-окислительная) реакция; </w:t>
      </w:r>
      <w:r w:rsidRPr="00107040">
        <w:rPr>
          <w:rFonts w:ascii="Times New Roman" w:hAnsi="Times New Roman"/>
          <w:sz w:val="28"/>
          <w:szCs w:val="28"/>
          <w:lang w:val="en-US"/>
        </w:rPr>
        <w:t>C</w:t>
      </w:r>
      <w:r w:rsidRPr="00107040">
        <w:rPr>
          <w:rFonts w:ascii="Times New Roman" w:hAnsi="Times New Roman"/>
          <w:sz w:val="28"/>
          <w:szCs w:val="28"/>
        </w:rPr>
        <w:t>) Реакция АДФ-рибозилирования.</w:t>
      </w:r>
    </w:p>
    <w:p w14:paraId="1AB9FBF3" w14:textId="77777777" w:rsidR="00107040" w:rsidRPr="00107040" w:rsidRDefault="00107040" w:rsidP="00107040">
      <w:pPr>
        <w:spacing w:after="0" w:line="240" w:lineRule="auto"/>
        <w:ind w:firstLine="567"/>
        <w:jc w:val="center"/>
        <w:rPr>
          <w:rFonts w:ascii="Times New Roman" w:hAnsi="Times New Roman"/>
          <w:sz w:val="28"/>
          <w:szCs w:val="28"/>
        </w:rPr>
      </w:pPr>
    </w:p>
    <w:p w14:paraId="6C034735" w14:textId="77777777" w:rsidR="00107040" w:rsidRPr="00107040" w:rsidRDefault="00107040" w:rsidP="00107040">
      <w:pPr>
        <w:spacing w:after="0" w:line="240" w:lineRule="auto"/>
        <w:jc w:val="center"/>
        <w:rPr>
          <w:rFonts w:ascii="Times New Roman" w:hAnsi="Times New Roman"/>
          <w:sz w:val="28"/>
          <w:szCs w:val="28"/>
        </w:rPr>
      </w:pPr>
      <w:r w:rsidRPr="00107040">
        <w:rPr>
          <w:rFonts w:ascii="Times New Roman" w:hAnsi="Times New Roman"/>
          <w:sz w:val="28"/>
          <w:szCs w:val="28"/>
        </w:rPr>
        <w:t xml:space="preserve">Рисунок </w:t>
      </w:r>
      <w:r w:rsidRPr="00107040">
        <w:rPr>
          <w:rFonts w:ascii="Times New Roman" w:hAnsi="Times New Roman"/>
          <w:sz w:val="28"/>
          <w:szCs w:val="28"/>
          <w:lang w:val="kk-KZ"/>
        </w:rPr>
        <w:t>3</w:t>
      </w:r>
      <w:r w:rsidRPr="00107040">
        <w:rPr>
          <w:rFonts w:ascii="Times New Roman" w:hAnsi="Times New Roman"/>
          <w:sz w:val="28"/>
          <w:szCs w:val="28"/>
        </w:rPr>
        <w:t xml:space="preserve"> – НАД</w:t>
      </w:r>
      <w:r w:rsidRPr="00107040">
        <w:rPr>
          <w:rFonts w:ascii="Times New Roman" w:hAnsi="Times New Roman"/>
          <w:sz w:val="28"/>
          <w:szCs w:val="28"/>
          <w:vertAlign w:val="superscript"/>
        </w:rPr>
        <w:t>+</w:t>
      </w:r>
      <w:r w:rsidRPr="00107040">
        <w:rPr>
          <w:rFonts w:ascii="Times New Roman" w:hAnsi="Times New Roman"/>
          <w:sz w:val="28"/>
          <w:szCs w:val="28"/>
        </w:rPr>
        <w:t xml:space="preserve">-зависимые реакции. </w:t>
      </w:r>
    </w:p>
    <w:p w14:paraId="7886DE4B" w14:textId="77777777" w:rsidR="00E11A5F" w:rsidRPr="00107040" w:rsidRDefault="00E11A5F" w:rsidP="00107040">
      <w:pPr>
        <w:spacing w:after="0" w:line="240" w:lineRule="auto"/>
        <w:jc w:val="both"/>
        <w:rPr>
          <w:rFonts w:ascii="Times New Roman" w:hAnsi="Times New Roman"/>
          <w:bCs/>
          <w:sz w:val="28"/>
          <w:szCs w:val="28"/>
        </w:rPr>
      </w:pPr>
    </w:p>
    <w:p w14:paraId="3CBAB180" w14:textId="53C1BC5D"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Поли (АДФ-рибозил)ирование (ПАРилирование) является ключевой посттрансляционной модификацией белка (ПТМ), которая быстро появляется в местах повреждения ДНК. У человека поли(АДФ-рибоза) полимеразы (PARP) состоят из 17 членов, которые катализируют АДФ-рибозилирование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w6N96axa","properties":{"formattedCitation":"[176\\uc0\\u8211{}178]","plainCitation":"[176–178]","noteIndex":0},"citationItems":[{"id":341,"uris":["http://zotero.org/users/9078202/items/TVXEVWRG"],"itemData":{"id":341,"type":"article-journal","abstract":"Poly(ADP-ribosyl)ation is a post-translational modification of proteins that is mediated by poly(ADP-ribose) polymerases (PARPs). Although the existence and nature of the nucleic acid-like molecule poly(ADP-ribose) (PAR) has been known for 40 years, understanding its biological functions?originally thought to be only the regulation of chromatin superstructure when DNA is broken?is still the subject of intense research. Here, we review the mechanisms controlling the biosynthesis of this complex macromolecule and some of its main biological functions, with an emphasis on the most recent advances and hypotheses that have developed in this rapidly growing field.","container-title":"EMBO reports","DOI":"10.1038/embor.2008.191","ISSN":"1469-221X","issue":"11","note":"publisher: John Wiley &amp; Sons, Ltd","page":"1094-1100","source":"embopress.org (Atypon)","title":"The expanding field of poly(ADP-ribosyl)ation reactions","URL":"https://www.embopress.org/doi/full/10.1038/embor.2008.191","volume":"9","accessed":{"date-parts":[["2022",3,29]]},"issued":{"date-parts":[["2008",10]]}}},{"id":335,"uris":["http://zotero.org/users/9078202/items/EESS5S5A"],"itemData":{"id":335,"type":"article-journal","abstract":"Protein ADP-ribosylation is an ancient posttranslational modification with high biochemical complexity. It alters the function of modified proteins or provides a scaffold for the recruitment of other proteins and thus regulates several cellular processes. ADP-ribosylation is governed by ADP-ribosyltransferases and a subclass of sirtuins (writers), is sensed by proteins that contain binding modules (readers) that recognize specific parts of the ADP-ribosyl posttranslational modification, and is removed by ADP-ribosylhydrolases (erasers). The large amount of experimental data generated and technical progress made in the last decade have significantly advanced our knowledge of the function of ADP-ribosylation at the molecular level. This review summarizes the current knowledge of nuclear ADP-ribosylation reactions and their role in chromatin plasticity, cell differentiation, and epigenetics and discusses current progress and future perspectives.","container-title":"Annual Review of Biochemistry","DOI":"10.1146/annurev-biochem-060614-034506","issue":"1","note":"_eprint: https://doi.org/10.1146/annurev-biochem-060614-034506\nPMID: 25747399","page":"227-263","source":"Annual Reviews","title":"Nuclear ADP-Ribosylation and Its Role in Chromatin Plasticity, Cell Differentiation, and Epigenetics","URL":"https://doi.org/10.1146/annurev-biochem-060614-034506","volume":"84","author":[{"family":"Hottiger","given":"Michael O."}],"accessed":{"date-parts":[["2022",3,29]]},"issued":{"date-parts":[["2015"]]}}},{"id":333,"uris":["http://zotero.org/users/9078202/items/KB8ZF6KN"],"itemData":{"id":333,"type":"article-journal","abstract":"Recent findings have thrust poly(ADP-ribose) polymerases (PARPs) into the limelight as potential chemotherapeutic targets. What is known about the structures and functions of the family of PARP enzymes and which questions do we need answered to guide the rational development of PARP inhibitors as anticancer agents?","container-title":"Nature Reviews Cancer","DOI":"10.1038/nrc2812","ISSN":"1474-1768","issue":"4","journalAbbreviation":"Nat Rev Cancer","language":"en","license":"2010 Nature Publishing Group","note":"number: 4\npublisher: Nature Publishing Group","page":"293-301","source":"www.nature.com","title":"PARP inhibition: PARP1 and beyond","title-short":"PARP inhibition","URL":"https://www.nature.com/articles/nrc2812","volume":"10","author":[{"family":"Rouleau","given":"Michèle"},{"family":"Patel","given":"Anand"},{"family":"Hendzel","given":"Michael J."},{"family":"Kaufmann","given":"Scott H."},{"family":"Poirier","given":"Guy G."}],"accessed":{"date-parts":[["2022",3,29]]},"issued":{"date-parts":[["2010",4]]}}}],"schema":"https://github.com/citation-style-language/schema/raw/master/csl-citation.json"}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[176–178]</w:t>
      </w:r>
      <w:r w:rsidRPr="00107040">
        <w:rPr>
          <w:rFonts w:ascii="Times New Roman" w:hAnsi="Times New Roman"/>
          <w:sz w:val="28"/>
          <w:szCs w:val="28"/>
          <w:lang w:val="en-US"/>
        </w:rPr>
        <w:fldChar w:fldCharType="end"/>
      </w:r>
      <w:r w:rsidRPr="00107040">
        <w:rPr>
          <w:rFonts w:ascii="Times New Roman" w:hAnsi="Times New Roman"/>
          <w:sz w:val="28"/>
          <w:szCs w:val="28"/>
        </w:rPr>
        <w:t>. Первая АДФ-рибоза (</w:t>
      </w:r>
      <w:r w:rsidRPr="00107040">
        <w:rPr>
          <w:rFonts w:ascii="Times New Roman" w:hAnsi="Times New Roman"/>
          <w:sz w:val="28"/>
          <w:szCs w:val="28"/>
          <w:lang w:val="en-US"/>
        </w:rPr>
        <w:t>A</w:t>
      </w:r>
      <w:r w:rsidRPr="00107040">
        <w:rPr>
          <w:rFonts w:ascii="Times New Roman" w:hAnsi="Times New Roman"/>
          <w:sz w:val="28"/>
          <w:szCs w:val="28"/>
        </w:rPr>
        <w:t xml:space="preserve">ДФр) ковалентно присоединяется к карбоксильной группе аминокислотных остатков, как остатки глутамата или аспартата белков-мишеней, с помощью </w:t>
      </w:r>
      <w:r w:rsidRPr="00107040">
        <w:rPr>
          <w:rFonts w:ascii="Times New Roman" w:hAnsi="Times New Roman"/>
          <w:sz w:val="28"/>
          <w:szCs w:val="28"/>
          <w:lang w:val="en-US"/>
        </w:rPr>
        <w:t xml:space="preserve">PARP </w:t>
      </w:r>
      <w:r w:rsidRPr="00107040">
        <w:rPr>
          <w:rFonts w:ascii="Times New Roman" w:hAnsi="Times New Roman"/>
          <w:sz w:val="28"/>
          <w:szCs w:val="28"/>
          <w:lang w:val="en-US"/>
        </w:rPr>
        <w:fldChar w:fldCharType="begin"/>
      </w:r>
      <w:r w:rsidR="008611DC">
        <w:rPr>
          <w:rFonts w:ascii="Times New Roman" w:hAnsi="Times New Roman"/>
          <w:sz w:val="28"/>
          <w:szCs w:val="28"/>
          <w:lang w:val="en-US"/>
        </w:rPr>
        <w:instrText xml:space="preserve"> ADDIN ZOTERO_ITEM CSL_CITATION {"citationID":"7OZEV1gN","properties":{"formattedCitation":"[179,180]","plainCitation":"[179,180]","noteIndex":0},"citationItems":[{"id":232,"uris":["http://zotero.org/users/9078202/items/Z7E9BSB4"],"itemData":{"id":232,"type":"article-journal","abstract":"Poly(ADP-ribosyl)ation is a post-translational modification of proteins. During this process, molecules of ADP-ribose are added successively on to acceptor proteins to form branched polymers. This modification is transient but very extensive in vivo, as polymer chains can reach more than 200 units on protein acceptors. The existence of the poly(ADP-ribose) polymer was first reported nearly 40 years ago. Since then, the importance of poly(ADP-ribose) synthesis has been established in many cellular processes. However, a clear and unified picture of the physiological role of poly(ADP-ribosyl)ation still remains to be established. The total dependence of poly(ADP-ribose) synthesis on DNA strand breaks strongly suggests that this post-translational modification is involved in the metabolism of nucleic acids. This view is also supported by the identification of direct protein-protein interactions involving poly(ADP-ribose) polymerase (113 kDa PARP), an enzyme catalysing the formation of poly(ADP-ribose), and key effectors of DNA repair, replication and transcription reactions. The presence of PARP in these multiprotein complexes, in addition to the actual poly(ADP-ribosyl)ation of some components of these complexes, clearly supports an important role for poly(ADP-ribosyl)ation reactions in DNA transactions. Accordingly, inhibition of poly(ADP-ribose) synthesis by any of several approaches and the analysis of PARP-deficient cells has revealed that the absence of poly(ADP-ribosyl)ation strongly affects DNA metabolism, most notably DNA repair. The recent identification of new poly(ADP-ribosyl)ating enzymes with distinct (non-standard) structures in eukaryotes and archaea has revealed a novel level of complexity in the regulation of poly(ADP-ribose) metabolism.","container-title":"Biochemical Journal","DOI":"10.1042/bj3420249","ISSN":"0264-6021","issue":"2","journalAbbreviation":"Biochemical Journal","page":"249-268","source":"Silverchair","title":"Poly(ADP-ribosyl)ation reactions in the regulation of nuclear functions","URL":"https://doi.org/10.1042/bj3420249","volume":"342","author":[{"family":"AMOURS","given":"Damien","non-dropping-particle":"d'"},{"family":"DESNOYERS","given":"Serge"},{"family":"SILVA","given":"Icy","non-dropping-particle":"d'"},{"family":"POIRIER","given":"Guy G."}],"accessed":{"date-parts":[["2022",3,29]]},"issued":{"date-parts":[["1999",8,24]]}}},{"id":231,"uris":["http://zotero.org/users/9078202/items/FEMMQBNH"],"itemData":{"id":231,"type":"article-journal","abstract":"Poly(ADP-ribose)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PAR</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is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post</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translational</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modification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of</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proteins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and</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is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synthesised</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by</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PAR</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polymerases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PARPs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which</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have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long</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been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associated</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with</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the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coordination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of</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the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cellular</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response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to</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DNA</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damage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amongst</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other</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processes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Binding</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of</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some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PARPs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such</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PARP</w:instrText>
      </w:r>
      <w:r w:rsidR="008611DC" w:rsidRPr="00FB5E68">
        <w:rPr>
          <w:rFonts w:ascii="Times New Roman" w:hAnsi="Times New Roman"/>
          <w:sz w:val="28"/>
          <w:szCs w:val="28"/>
          <w:lang w:val="ru-RU"/>
        </w:rPr>
        <w:instrText xml:space="preserve">1 </w:instrText>
      </w:r>
      <w:r w:rsidR="008611DC">
        <w:rPr>
          <w:rFonts w:ascii="Times New Roman" w:hAnsi="Times New Roman"/>
          <w:sz w:val="28"/>
          <w:szCs w:val="28"/>
          <w:lang w:val="en-US"/>
        </w:rPr>
        <w:instrText>to</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broken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DNA</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induces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substantial</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wave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of</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PARylation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which</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results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in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significant</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re</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structuring</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of</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the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chromatin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microenvironment</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through</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modification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of</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chromatin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associated</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proteins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and</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recruitment</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of</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chromatin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modifying</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proteins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Similarly</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other</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DNA</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damage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response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proteins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are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recruited</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to</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the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damaged</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sites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via</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PAR</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specific</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binding</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modules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and</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in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this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way</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PAR</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mediates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not</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only</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local</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chromatin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architecture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but</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also</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DNA</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repair</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Here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we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discuss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the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expanding</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role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of</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PAR</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in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the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DNA</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damage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response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with</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particular</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focus</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chromatin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regulation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container</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title</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Chromosoma</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DOI</w:instrText>
      </w:r>
      <w:r w:rsidR="008611DC" w:rsidRPr="00FB5E68">
        <w:rPr>
          <w:rFonts w:ascii="Times New Roman" w:hAnsi="Times New Roman"/>
          <w:sz w:val="28"/>
          <w:szCs w:val="28"/>
          <w:lang w:val="ru-RU"/>
        </w:rPr>
        <w:instrText>":"10.1007/</w:instrText>
      </w:r>
      <w:r w:rsidR="008611DC">
        <w:rPr>
          <w:rFonts w:ascii="Times New Roman" w:hAnsi="Times New Roman"/>
          <w:sz w:val="28"/>
          <w:szCs w:val="28"/>
          <w:lang w:val="en-US"/>
        </w:rPr>
        <w:instrText>s</w:instrText>
      </w:r>
      <w:r w:rsidR="008611DC" w:rsidRPr="00FB5E68">
        <w:rPr>
          <w:rFonts w:ascii="Times New Roman" w:hAnsi="Times New Roman"/>
          <w:sz w:val="28"/>
          <w:szCs w:val="28"/>
          <w:lang w:val="ru-RU"/>
        </w:rPr>
        <w:instrText>00412-013-0442-9","</w:instrText>
      </w:r>
      <w:r w:rsidR="008611DC">
        <w:rPr>
          <w:rFonts w:ascii="Times New Roman" w:hAnsi="Times New Roman"/>
          <w:sz w:val="28"/>
          <w:szCs w:val="28"/>
          <w:lang w:val="en-US"/>
        </w:rPr>
        <w:instrText>ISSN</w:instrText>
      </w:r>
      <w:r w:rsidR="008611DC" w:rsidRPr="00FB5E68">
        <w:rPr>
          <w:rFonts w:ascii="Times New Roman" w:hAnsi="Times New Roman"/>
          <w:sz w:val="28"/>
          <w:szCs w:val="28"/>
          <w:lang w:val="ru-RU"/>
        </w:rPr>
        <w:instrText>":"1432-0886","</w:instrText>
      </w:r>
      <w:r w:rsidR="008611DC">
        <w:rPr>
          <w:rFonts w:ascii="Times New Roman" w:hAnsi="Times New Roman"/>
          <w:sz w:val="28"/>
          <w:szCs w:val="28"/>
          <w:lang w:val="en-US"/>
        </w:rPr>
        <w:instrText>issue</w:instrText>
      </w:r>
      <w:r w:rsidR="008611DC" w:rsidRPr="00FB5E68">
        <w:rPr>
          <w:rFonts w:ascii="Times New Roman" w:hAnsi="Times New Roman"/>
          <w:sz w:val="28"/>
          <w:szCs w:val="28"/>
          <w:lang w:val="ru-RU"/>
        </w:rPr>
        <w:instrText>":"1","</w:instrText>
      </w:r>
      <w:r w:rsidR="008611DC">
        <w:rPr>
          <w:rFonts w:ascii="Times New Roman" w:hAnsi="Times New Roman"/>
          <w:sz w:val="28"/>
          <w:szCs w:val="28"/>
          <w:lang w:val="en-US"/>
        </w:rPr>
        <w:instrText>journalAbbreviation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Chromosoma</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language</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en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page</w:instrText>
      </w:r>
      <w:r w:rsidR="008611DC" w:rsidRPr="00FB5E68">
        <w:rPr>
          <w:rFonts w:ascii="Times New Roman" w:hAnsi="Times New Roman"/>
          <w:sz w:val="28"/>
          <w:szCs w:val="28"/>
          <w:lang w:val="ru-RU"/>
        </w:rPr>
        <w:instrText>":"79-90","</w:instrText>
      </w:r>
      <w:r w:rsidR="008611DC">
        <w:rPr>
          <w:rFonts w:ascii="Times New Roman" w:hAnsi="Times New Roman"/>
          <w:sz w:val="28"/>
          <w:szCs w:val="28"/>
          <w:lang w:val="en-US"/>
        </w:rPr>
        <w:instrText>source</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Springer</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Link</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title</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Poly</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ADP</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ribosyl</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ation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in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regulation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of</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chromatin</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structure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and</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the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DNA</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damage</w:instrText>
      </w:r>
      <w:r w:rsidR="008611DC" w:rsidRPr="00FB5E68">
        <w:rPr>
          <w:rFonts w:ascii="Times New Roman" w:hAnsi="Times New Roman"/>
          <w:sz w:val="28"/>
          <w:szCs w:val="28"/>
          <w:lang w:val="ru-RU"/>
        </w:rPr>
        <w:instrText xml:space="preserve"> </w:instrText>
      </w:r>
      <w:r w:rsidR="008611DC">
        <w:rPr>
          <w:rFonts w:ascii="Times New Roman" w:hAnsi="Times New Roman"/>
          <w:sz w:val="28"/>
          <w:szCs w:val="28"/>
          <w:lang w:val="en-US"/>
        </w:rPr>
        <w:instrText>response</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URL</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https</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doi</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org</w:instrText>
      </w:r>
      <w:r w:rsidR="008611DC" w:rsidRPr="00FB5E68">
        <w:rPr>
          <w:rFonts w:ascii="Times New Roman" w:hAnsi="Times New Roman"/>
          <w:sz w:val="28"/>
          <w:szCs w:val="28"/>
          <w:lang w:val="ru-RU"/>
        </w:rPr>
        <w:instrText>/10.1007/</w:instrText>
      </w:r>
      <w:r w:rsidR="008611DC">
        <w:rPr>
          <w:rFonts w:ascii="Times New Roman" w:hAnsi="Times New Roman"/>
          <w:sz w:val="28"/>
          <w:szCs w:val="28"/>
          <w:lang w:val="en-US"/>
        </w:rPr>
        <w:instrText>s</w:instrText>
      </w:r>
      <w:r w:rsidR="008611DC" w:rsidRPr="00FB5E68">
        <w:rPr>
          <w:rFonts w:ascii="Times New Roman" w:hAnsi="Times New Roman"/>
          <w:sz w:val="28"/>
          <w:szCs w:val="28"/>
          <w:lang w:val="ru-RU"/>
        </w:rPr>
        <w:instrText>00412-013-0442-9","</w:instrText>
      </w:r>
      <w:r w:rsidR="008611DC">
        <w:rPr>
          <w:rFonts w:ascii="Times New Roman" w:hAnsi="Times New Roman"/>
          <w:sz w:val="28"/>
          <w:szCs w:val="28"/>
          <w:lang w:val="en-US"/>
        </w:rPr>
        <w:instrText>volume</w:instrText>
      </w:r>
      <w:r w:rsidR="008611DC" w:rsidRPr="00FB5E68">
        <w:rPr>
          <w:rFonts w:ascii="Times New Roman" w:hAnsi="Times New Roman"/>
          <w:sz w:val="28"/>
          <w:szCs w:val="28"/>
          <w:lang w:val="ru-RU"/>
        </w:rPr>
        <w:instrText>":"123","</w:instrText>
      </w:r>
      <w:r w:rsidR="008611DC">
        <w:rPr>
          <w:rFonts w:ascii="Times New Roman" w:hAnsi="Times New Roman"/>
          <w:sz w:val="28"/>
          <w:szCs w:val="28"/>
          <w:lang w:val="en-US"/>
        </w:rPr>
        <w:instrText>author</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family</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Tallis</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given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Michael</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family</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Morra</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given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Rosa</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family</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Barkauskaite</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given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Eva</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family</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Ahel</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given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Ivan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accessed</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date</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parts</w:instrText>
      </w:r>
      <w:r w:rsidR="008611DC" w:rsidRPr="00FB5E68">
        <w:rPr>
          <w:rFonts w:ascii="Times New Roman" w:hAnsi="Times New Roman"/>
          <w:sz w:val="28"/>
          <w:szCs w:val="28"/>
          <w:lang w:val="ru-RU"/>
        </w:rPr>
        <w:instrText>":[["2022",3,29]]},"</w:instrText>
      </w:r>
      <w:r w:rsidR="008611DC">
        <w:rPr>
          <w:rFonts w:ascii="Times New Roman" w:hAnsi="Times New Roman"/>
          <w:sz w:val="28"/>
          <w:szCs w:val="28"/>
          <w:lang w:val="en-US"/>
        </w:rPr>
        <w:instrText>issued</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date</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parts</w:instrText>
      </w:r>
      <w:r w:rsidR="008611DC" w:rsidRPr="00FB5E68">
        <w:rPr>
          <w:rFonts w:ascii="Times New Roman" w:hAnsi="Times New Roman"/>
          <w:sz w:val="28"/>
          <w:szCs w:val="28"/>
          <w:lang w:val="ru-RU"/>
        </w:rPr>
        <w:instrText>":[["2014",3,1]]}}}],"</w:instrText>
      </w:r>
      <w:r w:rsidR="008611DC">
        <w:rPr>
          <w:rFonts w:ascii="Times New Roman" w:hAnsi="Times New Roman"/>
          <w:sz w:val="28"/>
          <w:szCs w:val="28"/>
          <w:lang w:val="en-US"/>
        </w:rPr>
        <w:instrText>schema</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https</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github</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com</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citation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style</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language</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schema</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raw</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master</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csl</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citation</w:instrText>
      </w:r>
      <w:r w:rsidR="008611DC" w:rsidRPr="00FB5E68">
        <w:rPr>
          <w:rFonts w:ascii="Times New Roman" w:hAnsi="Times New Roman"/>
          <w:sz w:val="28"/>
          <w:szCs w:val="28"/>
          <w:lang w:val="ru-RU"/>
        </w:rPr>
        <w:instrText>.</w:instrText>
      </w:r>
      <w:r w:rsidR="008611DC">
        <w:rPr>
          <w:rFonts w:ascii="Times New Roman" w:hAnsi="Times New Roman"/>
          <w:sz w:val="28"/>
          <w:szCs w:val="28"/>
          <w:lang w:val="en-US"/>
        </w:rPr>
        <w:instrText>json</w:instrText>
      </w:r>
      <w:r w:rsidR="008611DC" w:rsidRPr="00FB5E68">
        <w:rPr>
          <w:rFonts w:ascii="Times New Roman" w:hAnsi="Times New Roman"/>
          <w:sz w:val="28"/>
          <w:szCs w:val="28"/>
          <w:lang w:val="ru-RU"/>
        </w:rPr>
        <w:instrText xml:space="preserve">"}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[179,180]</w:t>
      </w:r>
      <w:r w:rsidRPr="00107040">
        <w:rPr>
          <w:rFonts w:ascii="Times New Roman" w:hAnsi="Times New Roman"/>
          <w:sz w:val="28"/>
          <w:szCs w:val="28"/>
          <w:lang w:val="en-US"/>
        </w:rPr>
        <w:fldChar w:fldCharType="end"/>
      </w:r>
      <w:r w:rsidRPr="00107040">
        <w:rPr>
          <w:rFonts w:ascii="Times New Roman" w:hAnsi="Times New Roman"/>
          <w:sz w:val="28"/>
          <w:szCs w:val="28"/>
        </w:rPr>
        <w:t>. Остатки цистеина (</w:t>
      </w:r>
      <w:r w:rsidRPr="00107040">
        <w:rPr>
          <w:rFonts w:ascii="Times New Roman" w:hAnsi="Times New Roman"/>
          <w:sz w:val="28"/>
          <w:szCs w:val="28"/>
          <w:lang w:val="en-US"/>
        </w:rPr>
        <w:t>Cys</w:t>
      </w:r>
      <w:r w:rsidRPr="00107040">
        <w:rPr>
          <w:rFonts w:ascii="Times New Roman" w:hAnsi="Times New Roman"/>
          <w:sz w:val="28"/>
          <w:szCs w:val="28"/>
        </w:rPr>
        <w:t>) и лизина (</w:t>
      </w:r>
      <w:r w:rsidRPr="00107040">
        <w:rPr>
          <w:rFonts w:ascii="Times New Roman" w:hAnsi="Times New Roman"/>
          <w:sz w:val="28"/>
          <w:szCs w:val="28"/>
          <w:lang w:val="en-US"/>
        </w:rPr>
        <w:t>Lys</w:t>
      </w:r>
      <w:r w:rsidRPr="00107040">
        <w:rPr>
          <w:rFonts w:ascii="Times New Roman" w:hAnsi="Times New Roman"/>
          <w:sz w:val="28"/>
          <w:szCs w:val="28"/>
        </w:rPr>
        <w:t xml:space="preserve">) также могут действовать как акцепторы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{"citationID":"FyT3eg01","properties":{"formattedCitation":"[181,182]","plainCitation":"[181,182]","noteIndex":0},"citationItems":[{"id":230,"uris":["http://zotero.org/users/9078202/items/YC5N9V54"],"itemData":{"id":230,"type":"article-journal","abstract":"Aging | doi:10.18632/aging.100052. Matthias Altmeyer, Michael O. Hottiger","container-title":"Aging","DOI":"10.18632/aging.100052","ISSN":"1945-4589","issue":"5","note":"PMID: 20157531","page":"458-469","source":"www.aging-us.com","title":"Poly(ADP-ribose) polymerase 1 at the crossroad of metabolic stress and inflammation in aging","URL":"https://www.aging-us.com/article/100052/text","volume":"1","author":[{"family":"Altmeyer","given":"Matthias"},{"family":"Hottiger","given":"Michael O."}],"accessed":{"date-parts":[["2022",3,29]]},"issued":{"date-parts":[["2009",5,20]]}}},{"id":212,"uris":["http://zotero.org/users/9078202/items/9IWMSJ37"],"itemData":{"id":212,"type":"article-journal","abstract":"The poly(ADP-ribose) polymerase (PARP) protein family generates ADP-ribose (ADPr) modifications onto target proteins using NAD+ as substrate. Based on the composition of three NAD+ coordinating amino acids, the H-Y-E motif, each PARP is predicted to generate either poly(ADP-ribose) (PAR) or mono(ADP-ribose) (MAR). However, the reaction product of each PARP has not been clearly defined, and is an important priority since PAR and MAR function via distinct mechanisms. Here we show that the majority of PARPs generate MAR, not PAR, and demonstrate that the H-Y-E motif is not the sole indicator of PARP activity. We identify automodification sites on seven PARPs, and demonstrate that MAR and PAR generating PARPs modify similar amino acids, suggesting that the sequence and structural constraints limiting PARPs to MAR synthesis do not limit their ability to modify canonical amino acid targets. In addition, we identify cysteine as a novel amino acid target for ADP-ribosylation on PARPs.","container-title":"Nature communications","DOI":"10.1038/ncomms5426","ISSN":"2041-1723","journalAbbreviation":"Nat Commun","note":"PMID: 25043379\nPMCID: PMC4123609","page":"4426","source":"PubMed Central","title":"Family-wide analysis of poly(ADP-ribose) polymerase activity","URL":"https://www.ncbi.nlm.nih.gov/pmc/articles/PMC4123609/","volume":"5","author":[{"family":"Vyas","given":"Sejal"},{"family":"Matic","given":"Ivan"},{"family":"Uchima","given":"Lilen"},{"family":"Rood","given":"Jenny"},{"family":"Zaja","given":"Roko"},{"family":"Hay","given":"Ronald T."},{"family":"Ahel","given":"Ivan"},{"family":"Chang","given":"Paul"}],"accessed":{"date-parts":[["2022",3,29]]},"issued":{"date-parts":[["2014",7,21]]}}}],"schema":"https://github.com/citation-style-language/schema/raw/master/csl-citation.json"}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[181,182]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Однако большинство членов семейства </w:t>
      </w:r>
      <w:r w:rsidRPr="00107040">
        <w:rPr>
          <w:rFonts w:ascii="Times New Roman" w:hAnsi="Times New Roman"/>
          <w:sz w:val="28"/>
          <w:szCs w:val="28"/>
          <w:lang w:val="en-US"/>
        </w:rPr>
        <w:t>PARP</w:t>
      </w:r>
      <w:r w:rsidRPr="00107040">
        <w:rPr>
          <w:rFonts w:ascii="Times New Roman" w:hAnsi="Times New Roman"/>
          <w:sz w:val="28"/>
          <w:szCs w:val="28"/>
        </w:rPr>
        <w:t xml:space="preserve"> способны переносить только одну группу моно (АДФ-рибозы) (МАР) на свои белки-мишени. Было обнаружено, что </w:t>
      </w:r>
      <w:r w:rsidRPr="00107040">
        <w:rPr>
          <w:rFonts w:ascii="Times New Roman" w:hAnsi="Times New Roman"/>
          <w:sz w:val="28"/>
          <w:szCs w:val="28"/>
          <w:lang w:val="en-US"/>
        </w:rPr>
        <w:t>PARP</w:t>
      </w:r>
      <w:r w:rsidRPr="00107040">
        <w:rPr>
          <w:rFonts w:ascii="Times New Roman" w:hAnsi="Times New Roman"/>
          <w:sz w:val="28"/>
          <w:szCs w:val="28"/>
        </w:rPr>
        <w:t>1, 2 и 3 катализируют ПАРилирование во время ответа на повреждение ДНК (</w:t>
      </w:r>
      <w:r w:rsidRPr="00107040">
        <w:rPr>
          <w:rFonts w:ascii="Times New Roman" w:hAnsi="Times New Roman"/>
          <w:sz w:val="28"/>
          <w:szCs w:val="28"/>
          <w:lang w:val="en-US"/>
        </w:rPr>
        <w:t>DDR</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{"citationID":"fxerlsAB","properties":{"formattedCitation":"[183]","plainCitation":"[183]","noteIndex":0},"citationItems":[{"id":227,"uris":["http://zotero.org/users/9078202/items/FV5GVZH3"],"itemData":{"id":227,"type":"article-journal","abstract":"Poly(ADP-ribosyl)ation (PARylation) is a post-translational modification in which ADP-ribose units are added to Glu, Asp and Lys residues of target (or acceptor) proteins by members of the poly(ADP-ribose) polymerase (PARP) family. Seventeen PARP family members have been identified on the basis of homology to PARP1, which is the founding member of the PARP family.PARylation is important for cellular signalling pathways, cytoplasmic and nuclear functions and the response to cellular stress.A number of proteins with poly(ADP-ribose) (PAR) degrading activities have been characterized, such as the endo- and exoglycohydrolase poly(ADP-ribose) glycohydrolase (PARG). PARG promotes the rapid catabolic destruction of PAR almost immediately after synthesis, thus allowing temporal control of PAR functions.Recognition of and binding to PAR occurs through four distinct protein modules: PAR-binding motifs (PBMs), PAR-binding zinc-finger (PBZ) domains, macrodomain folds and WWE domains. Some of these domains are found in PARPs themselves.New evidence has shown that the activation and destruction of PAR modifications can alter protein substrate specificity, localization and stability, and these findings implicate PARPs as a promising target for therapeutic intervention in human disease.The key mechanisms by which PARylation regulates many cellular responses include the inhibition of protein–protein or protein–DNA interactions, nucleation of protein localization and interaction scaffolds, as well as the regulation of other protein modifications, such as ubiquitylation.The involvement of PARP proteins in DNA damage detection and repair, telomere maintenance, and stress responses and recovery gives hope for the use of PARP inhibition as a means for selective 'next generation' therapies for cancer, as well as stress-related diseases that exhibit pro-inflammatory signatures (for example, cardiovascular diseases, stroke, metabolic disorders, diabetes, and autoimmunity). As such, PARPs have recently been targeted with small molecules in clinical trials for a number of human diseases.","container-title":"Nature Reviews Molecular Cell Biology","DOI":"10.1038/nrm3376","ISSN":"1471-0080","issue":"7","journalAbbreviation":"Nat Rev Mol Cell Biol","language":"en","license":"2012 Nature Publishing Group, a division of Macmillan Publishers Limited. All Rights Reserved.","note":"number: 7\npublisher: Nature Publishing Group","page":"411-424","source":"www.nature.com","title":"New insights into the molecular and cellular functions of poly(ADP-ribose) and PARPs","URL":"https://www.nature.com/articles/nrm3376","volume":"13","author":[{"family":"Gibson","given":"Bryan A."},{"family":"Kraus","given":"W. Lee"}],"accessed":{"date-parts":[["2022",3,29]]},"issued":{"date-parts":[["2012",7]]}}}],"schema":"https://github.com/citation-style-language/schema/raw/master/csl-citation.json"}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[183]</w:t>
      </w:r>
      <w:r w:rsidRPr="00107040">
        <w:rPr>
          <w:rFonts w:ascii="Times New Roman" w:hAnsi="Times New Roman"/>
          <w:sz w:val="28"/>
          <w:szCs w:val="28"/>
          <w:lang w:val="en-US"/>
        </w:rPr>
        <w:fldChar w:fldCharType="end"/>
      </w:r>
      <w:r w:rsidRPr="00107040">
        <w:rPr>
          <w:rFonts w:ascii="Times New Roman" w:hAnsi="Times New Roman"/>
          <w:sz w:val="28"/>
          <w:szCs w:val="28"/>
        </w:rPr>
        <w:t>. Кроме того, было продемонстрировано, что танкиразы, включая танкиразу-1 (</w:t>
      </w:r>
      <w:r w:rsidRPr="00107040">
        <w:rPr>
          <w:rFonts w:ascii="Times New Roman" w:hAnsi="Times New Roman"/>
          <w:sz w:val="28"/>
          <w:szCs w:val="28"/>
          <w:lang w:val="en-US"/>
        </w:rPr>
        <w:t>PARP</w:t>
      </w:r>
      <w:r w:rsidRPr="00107040">
        <w:rPr>
          <w:rFonts w:ascii="Times New Roman" w:hAnsi="Times New Roman"/>
          <w:sz w:val="28"/>
          <w:szCs w:val="28"/>
        </w:rPr>
        <w:t>5</w:t>
      </w:r>
      <w:r w:rsidRPr="00107040">
        <w:rPr>
          <w:rFonts w:ascii="Times New Roman" w:hAnsi="Times New Roman"/>
          <w:sz w:val="28"/>
          <w:szCs w:val="28"/>
          <w:lang w:val="en-US"/>
        </w:rPr>
        <w:t>a</w:t>
      </w:r>
      <w:r w:rsidRPr="00107040">
        <w:rPr>
          <w:rFonts w:ascii="Times New Roman" w:hAnsi="Times New Roman"/>
          <w:sz w:val="28"/>
          <w:szCs w:val="28"/>
        </w:rPr>
        <w:t>) и танкиразу-2 (</w:t>
      </w:r>
      <w:r w:rsidRPr="00107040">
        <w:rPr>
          <w:rFonts w:ascii="Times New Roman" w:hAnsi="Times New Roman"/>
          <w:sz w:val="28"/>
          <w:szCs w:val="28"/>
          <w:lang w:val="en-US"/>
        </w:rPr>
        <w:t>PARP</w:t>
      </w:r>
      <w:r w:rsidRPr="00107040">
        <w:rPr>
          <w:rFonts w:ascii="Times New Roman" w:hAnsi="Times New Roman"/>
          <w:sz w:val="28"/>
          <w:szCs w:val="28"/>
        </w:rPr>
        <w:t>5</w:t>
      </w:r>
      <w:r w:rsidRPr="00107040">
        <w:rPr>
          <w:rFonts w:ascii="Times New Roman" w:hAnsi="Times New Roman"/>
          <w:sz w:val="28"/>
          <w:szCs w:val="28"/>
          <w:lang w:val="en-US"/>
        </w:rPr>
        <w:t>b</w:t>
      </w:r>
      <w:r w:rsidRPr="00107040">
        <w:rPr>
          <w:rFonts w:ascii="Times New Roman" w:hAnsi="Times New Roman"/>
          <w:sz w:val="28"/>
          <w:szCs w:val="28"/>
        </w:rPr>
        <w:t xml:space="preserve">), участвуют в стабильности генома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{"citationID":"us5CSARQ","properties":{"formattedCitation":"[184]","plainCitation":"[184]","noteIndex":0},"citationItems":[{"id":224,"uris":["http://zotero.org/users/9078202/items/6HW44C2D"],"itemData":{"id":224,"type":"article-journal","abstract":"Aging | doi:10.18632/aging.100210. Ryan C. Dregalla, Junqing Zhou, Rupa R. Idate, Christine L.R. Battaglia, Howard L. Liber, Susan M. Bailey","container-title":"Aging","DOI":"10.18632/aging.100210","ISSN":"1945-4589","issue":"10","note":"PMID: 21037379","page":"691-708","source":"www.aging-us.com","title":"Regulatory roles of tankyrase 1 at telomeres and in DNA repair: suppression of T-SCE and stabilization of DNA-PKcs","title-short":"Regulatory roles of tankyrase 1 at telomeres and in DNA repair","URL":"https://www.aging-us.com/article/100210/text","volume":"2","author":[{"family":"Dregalla","given":"Ryan C."},{"family":"Zhou","given":"Junqing"},{"family":"Idate","given":"Rupa R."},{"family":"Battaglia","given":"Christine L. R."},{"family":"Liber","given":"Howard L."},{"family":"Bailey","given":"Susan M."}],"accessed":{"date-parts":[["2022",3,29]]},"issued":{"date-parts":[["2022",2,15]]}}}],"schema":"https://github.com/citation-style-language/schema/raw/master/csl-citation.json"}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[184]</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Среди семейства PARP, PARP1 синтезируют большинство цепей ПАР, а также хорошо известно, </w:t>
      </w:r>
      <w:r w:rsidRPr="00107040">
        <w:rPr>
          <w:rFonts w:ascii="Times New Roman" w:hAnsi="Times New Roman"/>
          <w:sz w:val="28"/>
          <w:szCs w:val="28"/>
        </w:rPr>
        <w:lastRenderedPageBreak/>
        <w:t xml:space="preserve">что PARP1 активируется одноцепочечными и двухцепочечными разрывами ДНК (SSB и DSB)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{"citationID":"rcPAnsFz","properties":{"formattedCitation":"[185]","plainCitation":"[185]","noteIndex":0},"citationItems":[{"id":1940,"uris":["http://zotero.org/users/9078202/items/ZABNUMG7"],"itemData":{"id":1940,"type":"article-journal","abstract":"We have searched for the presence of branching in the chromosomal polymer poly(ADP-ribose) as it occurs in vivo. Treatment of the polymer with phosphodiesterase asnd phosphomonoesterase results in the conversion of internal residues to the nucleoside ribosyladenosine and the conversion of points of branching to diribosyladenosine. We have detected diribosyladenosine in digests of the polymer derived from carcinogen-treated SV40 virus-formed 3T3 cells and in normal rat liver, kidney, and spleen. The frequency of residues involved in branching varied from 0.8 to 1.6 mole % over a 50-fold range of total levels of poly(ADP-ribose). Thus, branching seems to be a general feature of poly(ADP-ribose) as it occurs in vivo.","container-title":"The Journal of Biological Chemistry","ISSN":"0021-9258","issue":"2","journalAbbreviation":"J Biol Chem","language":"eng","note":"PMID: 6274856","page":"607-609","source":"PubMed","title":"Poly(ADP-ribose) has a branched structure in vivo","volume":"257","author":[{"family":"Juarez-Salinas","given":"H."},{"family":"Levi","given":"V."},{"family":"Jacobson","given":"E. L."},{"family":"Jacobson","given":"M. K."}],"issued":{"date-parts":[["1982",1,25]]}}}],"schema":"https://github.com/citation-style-language/schema/raw/master/csl-citation.json"}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[185]</w:t>
      </w:r>
      <w:r w:rsidRPr="00107040">
        <w:rPr>
          <w:rFonts w:ascii="Times New Roman" w:hAnsi="Times New Roman"/>
          <w:sz w:val="28"/>
          <w:szCs w:val="28"/>
          <w:lang w:val="en-US"/>
        </w:rPr>
        <w:fldChar w:fldCharType="end"/>
      </w:r>
      <w:r w:rsidRPr="00107040">
        <w:rPr>
          <w:rFonts w:ascii="Times New Roman" w:hAnsi="Times New Roman"/>
          <w:sz w:val="28"/>
          <w:szCs w:val="28"/>
        </w:rPr>
        <w:t>. PARP катализируют перенос фрагментов AДФр, используя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в качестве донора AДФр, через уникальную 2',1''-</w:t>
      </w:r>
      <w:r w:rsidRPr="00107040">
        <w:rPr>
          <w:rFonts w:ascii="Times New Roman" w:hAnsi="Times New Roman"/>
          <w:sz w:val="28"/>
          <w:szCs w:val="28"/>
          <w:lang w:val="en-US"/>
        </w:rPr>
        <w:t>O</w:t>
      </w:r>
      <w:r w:rsidRPr="00107040">
        <w:rPr>
          <w:rFonts w:ascii="Times New Roman" w:hAnsi="Times New Roman"/>
          <w:sz w:val="28"/>
          <w:szCs w:val="28"/>
        </w:rPr>
        <w:t xml:space="preserve">-гликозидную рибозо-рибозную связь к белкам-мишеням, образуя цепь ПАР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{"citationID":"lW2fYF5T","properties":{"formattedCitation":"[183]","plainCitation":"[183]","noteIndex":0},"citationItems":[{"id":227,"uris":["http://zotero.org/users/9078202/items/FV5GVZH3"],"itemData":{"id":227,"type":"article-journal","abstract":"Poly(ADP-ribosyl)ation (PARylation) is a post-translational modification in which ADP-ribose units are added to Glu, Asp and Lys residues of target (or acceptor) proteins by members of the poly(ADP-ribose) polymerase (PARP) family. Seventeen PARP family members have been identified on the basis of homology to PARP1, which is the founding member of the PARP family.PARylation is important for cellular signalling pathways, cytoplasmic and nuclear functions and the response to cellular stress.A number of proteins with poly(ADP-ribose) (PAR) degrading activities have been characterized, such as the endo- and exoglycohydrolase poly(ADP-ribose) glycohydrolase (PARG). PARG promotes the rapid catabolic destruction of PAR almost immediately after synthesis, thus allowing temporal control of PAR functions.Recognition of and binding to PAR occurs through four distinct protein modules: PAR-binding motifs (PBMs), PAR-binding zinc-finger (PBZ) domains, macrodomain folds and WWE domains. Some of these domains are found in PARPs themselves.New evidence has shown that the activation and destruction of PAR modifications can alter protein substrate specificity, localization and stability, and these findings implicate PARPs as a promising target for therapeutic intervention in human disease.The key mechanisms by which PARylation regulates many cellular responses include the inhibition of protein–protein or protein–DNA interactions, nucleation of protein localization and interaction scaffolds, as well as the regulation of other protein modifications, such as ubiquitylation.The involvement of PARP proteins in DNA damage detection and repair, telomere maintenance, and stress responses and recovery gives hope for the use of PARP inhibition as a means for selective 'next generation' therapies for cancer, as well as stress-related diseases that exhibit pro-inflammatory signatures (for example, cardiovascular diseases, stroke, metabolic disorders, diabetes, and autoimmunity). As such, PARPs have recently been targeted with small molecules in clinical trials for a number of human diseases.","container-title":"Nature Reviews Molecular Cell Biology","DOI":"10.1038/nrm3376","ISSN":"1471-0080","issue":"7","journalAbbreviation":"Nat Rev Mol Cell Biol","language":"en","license":"2012 Nature Publishing Group, a division of Macmillan Publishers Limited. All Rights Reserved.","note":"number: 7\npublisher: Nature Publishing Group","page":"411-424","source":"www.nature.com","title":"New insights into the molecular and cellular functions of poly(ADP-ribose) and PARPs","URL":"https://www.nature.com/articles/nrm3376","volume":"13","author":[{"family":"Gibson","given":"Bryan A."},{"family":"Kraus","given":"W. Lee"}],"accessed":{"date-parts":[["2022",3,29]]},"issued":{"date-parts":[["2012",7]]}}}],"schema":"https://github.com/citation-style-language/schema/raw/master/csl-citation.json"}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Было продемонстрировано, что цепи ПАР могут содержать до 200 единиц АДФр в длину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BmF0v5dh","properties":{"formattedCitation":"[179,183,185]","plainCitation":"[179,183,185]","noteIndex":0},"citationItems":[{"id":232,"uris":["http://zotero.org/users/9078202/items/Z7E9BSB4"],"itemData":{"id":232,"type":"article-journal","abstract":"Poly(ADP-ribosyl)ation is a post-translational modification of proteins. During this process, molecules of ADP-ribose are added successively on to acceptor proteins to form branched polymers. This modification is transient but very extensive in vivo, as polymer chains can reach more than 200 units on protein acceptors. The existence of the poly(ADP-ribose) polymer was first reported nearly 40 years ago. Since then, the importance of poly(ADP-ribose) synthesis has been established in many cellular processes. However, a clear and unified picture of the physiological role of poly(ADP-ribosyl)ation still remains to be established. The total dependence of poly(ADP-ribose) synthesis on DNA strand breaks strongly suggests that this post-translational modification is involved in the metabolism of nucleic acids. This view is also supported by the identification of direct protein-protein interactions involving poly(ADP-ribose) polymerase (113 kDa PARP), an enzyme catalysing the formation of poly(ADP-ribose), and key effectors of DNA repair, replication and transcription reactions. The presence of PARP in these multiprotein complexes, in addition to the actual poly(ADP-ribosyl)ation of some components of these complexes, clearly supports an important role for poly(ADP-ribosyl)ation reactions in DNA transactions. Accordingly, inhibition of poly(ADP-ribose) synthesis by any of several approaches and the analysis of PARP-deficient cells has revealed that the absence of poly(ADP-ribosyl)ation strongly affects DNA metabolism, most notably DNA repair. The recent identification of new poly(ADP-ribosyl)ating enzymes with distinct (non-standard) structures in eukaryotes and archaea has revealed a novel level of complexity in the regulation of poly(ADP-ribose) metabolism.","container-title":"Biochemical Journal","DOI":"10.1042/bj3420249","ISSN":"0264-6021","issue":"2","journalAbbreviation":"Biochemical Journal","page":"249-268","source":"Silverchair","title":"Poly(ADP-ribosyl)ation reactions in the regulation of nuclear functions","URL":"https://doi.org/10.1042/bj3420249","volume":"342","author":[{"family":"AMOURS","given":"Damien","non-dropping-particle":"d'"},{"family":"DESNOYERS","given":"Serge"},{"family":"SILVA","given":"Icy","non-dropping-particle":"d'"},{"family":"POIRIER","given":"Guy G."}],"accessed":{"date-parts":[["2022",3,29]]},"issued":{"date-parts":[["1999",8,24]]}}},{"id":227,"uris":["http://zotero.org/users/9078202/items/FV5GVZH3"],"itemData":{"id":227,"type":"article-journal","abstract":"Poly(ADP-ribosyl)ation (PARylation) is a post-translational modification in which ADP-ribose units are added to Glu, Asp and Lys residues of target (or acceptor) proteins by members of the poly(ADP-ribose) polymerase (PARP) family. Seventeen PARP family members have been identified on the basis of homology to PARP1, which is the founding member of the PARP family.PARylation is important for cellular signalling pathways, cytoplasmic and nuclear functions and the response to cellular stress.A number of proteins with poly(ADP-ribose) (PAR) degrading activities have been characterized, such as the endo- and exoglycohydrolase poly(ADP-ribose) glycohydrolase (PARG). PARG promotes the rapid catabolic destruction of PAR almost immediately after synthesis, thus allowing temporal control of PAR functions.Recognition of and binding to PAR occurs through four distinct protein modules: PAR-binding motifs (PBMs), PAR-binding zinc-finger (PBZ) domains, macrodomain folds and WWE domains. Some of these domains are found in PARPs themselves.New evidence has shown that the activation and destruction of PAR modifications can alter protein substrate specificity, localization and stability, and these findings implicate PARPs as a promising target for therapeutic intervention in human disease.The key mechanisms by which PARylation regulates many cellular responses include the inhibition of protein–protein or protein–DNA interactions, nucleation of protein localization and interaction scaffolds, as well as the regulation of other protein modifications, such as ubiquitylation.The involvement of PARP proteins in DNA damage detection and repair, telomere maintenance, and stress responses and recovery gives hope for the use of PARP inhibition as a means for selective 'next generation' therapies for cancer, as well as stress-related diseases that exhibit pro-inflammatory signatures (for example, cardiovascular diseases, stroke, metabolic disorders, diabetes, and autoimmunity). As such, PARPs have recently been targeted with small molecules in clinical trials for a number of human diseases.","container-title":"Nature Reviews Molecular Cell Biology","DOI":"10.1038/nrm3376","ISSN":"1471-0080","issue":"7","journalAbbreviation":"Nat Rev Mol Cell Biol","language":"en","license":"2012 Nature Publishing Group, a division of Macmillan Publishers Limited. All Rights Reserved.","note":"number: 7\npublisher: Nature Publishing Group","page":"411-424","source":"www.nature.com","title":"New insights into the molecular and cellular functions of poly(ADP-ribose) and PARPs","URL":"https://www.nature.com/articles/nrm3376","volume":"13","author":[{"family":"Gibson","given":"Bryan A."},{"family":"Kraus","given":"W. Lee"}],"accessed":{"date-parts":[["2022",3,29]]},"issued":{"date-parts":[["2012",7]]}}},{"id":1940,"uris":["http://zotero.org/users/9078202/items/ZABNUMG7"],"itemData":{"id":1940,"type":"article-journal","abstract":"We have searched for the presence of branching in the chromosomal polymer poly(ADP-ribose) as it occurs in vivo. Treatment of the polymer with phosphodiesterase asnd phosphomonoesterase results in the conversion of internal residues to the nucleoside ribosyladenosine and the conversion of points of branching to diribosyladenosine. We have detected diribosyladenosine in digests of the polymer derived from carcinogen-treated SV40 virus-formed 3T3 cells and in normal rat liver, kidney, and spleen. The frequency of residues involved in branching varied from 0.8 to 1.6 mole % over a 50-fold range of total levels of poly(ADP-ribose). Thus, branching seems to be a general feature of poly(ADP-ribose) as it occurs in vivo.","container-title":"The Journal of Biological Chemistry","ISSN":"0021-9258","issue":"2","journalAbbreviation":"J Biol Chem","language":"eng","note":"PMID: 6274856","page":"607-609","source":"PubMed","title":"Poly(ADP-ribose) has a branched structure in vivo","volume":"257","author":[{"family":"Juarez-Salinas","given":"H."},{"family":"Levi","given":"V."},{"family":"Jacobson","given":"E. L."},{"family":"Jacobson","given":"M. K."}],"issued":{"date-parts":[["1982",1,25]]}}}],"schema":"https://github.com/citation-style-language/schema/raw/master/csl-citation.json"}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[179,183,185]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Кроме того, разветвление цепей ПАР с помощью </w:t>
      </w:r>
      <w:r w:rsidRPr="00107040">
        <w:rPr>
          <w:rFonts w:ascii="Times New Roman" w:hAnsi="Times New Roman"/>
          <w:sz w:val="28"/>
          <w:szCs w:val="28"/>
          <w:lang w:val="en-US"/>
        </w:rPr>
        <w:t>PARP</w:t>
      </w:r>
      <w:r w:rsidRPr="00107040">
        <w:rPr>
          <w:rFonts w:ascii="Times New Roman" w:hAnsi="Times New Roman"/>
          <w:sz w:val="28"/>
          <w:szCs w:val="28"/>
        </w:rPr>
        <w:t xml:space="preserve">1 может происходить через 2″,1‴-гликозидную связь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{"citationID":"6Bt0RTku","properties":{"formattedCitation":"[186,187]","plainCitation":"[186,187]","noteIndex":0},"citationItems":[{"id":217,"uris":["http://zotero.org/users/9078202/items/NF9JYJIG"],"itemData":{"id":217,"type":"article-journal","container-title":"Proceedings of the National Academy of Sciences","DOI":"10.1073/pnas.76.2.595","issue":"2","note":"publisher: Proceedings of the National Academy of Sciences","page":"595-599","source":"pnas.org (Atypon)","title":"Structure of poly(adenosine diphosphate ribose): identification of 2'-[1''-ribosyl-2''-(or 3''-)(1'''-ribosyl)]adenosine-5',5'',5'''-tris(phosphate) as a branch linkage.","title-short":"Structure of poly(adenosine diphosphate ribose)","URL":"https://www.pnas.org/doi/abs/10.1073/pnas.76.2.595","volume":"76","author":[{"family":"Miwa","given":"M"},{"family":"Saikawa","given":"N"},{"family":"Yamaizumi","given":"Z"},{"family":"Nishimura","given":"S"},{"family":"Sugimura","given":"T"}],"accessed":{"date-parts":[["2022",3,29]]},"issued":{"date-parts":[["1979",2]]}}},{"id":219,"uris":["http://zotero.org/users/9078202/items/SVFRQENG"],"itemData":{"id":219,"type":"article-journal","abstract":"Change in the level of poly(ADP-ribosyl)ation during the cell cycle of HeLa S3 cells was examined in three different in vitro systems: isolated nuclei, chromatin, and poly(ADP-ribose) polymerase extracted from isolated nuclei, and by the direct immunofluorescent antibody technique in situ. In isolated nuclei, after release from thymidine-hydroxyurea double block, the level of poly(ADP-ribosyl)ation was low in the S phase and increased in the late G2 phase with a peak in the M phase. In chromatin, the level began to increase in the mid-late S phase, was maintained at a high level throughout the G2 phase, decreased in the M phase, and became basal during the G1 phase. The activity of poly(ADP-ribose) polymerase extracted from isolated nuclei was relatively high throughout the cell cycle and was highest in the G2 phase. Similar changes during the HeLa S3 cell cycle were observed in the three systems after release from Colcemid block. In synchronously growing HeLa S3 cells in situ, nuclei in the G2-M phase were stained strongest for poly(ADP-ribose) by the immunofluorescent staining. These results were consistent with the peak of poly(ADP-ribosyl)ation in the G2-M phase observed in the nuclear system in vitro.","container-title":"Journal of Biological Chemistry","DOI":"10.1016/S0021-9258(20)65179-1","ISSN":"0021-9258","issue":"11","journalAbbreviation":"Journal of Biological Chemistry","language":"en","page":"6565-6570","source":"ScienceDirect","title":"Poly(ADP-ribosyl)ation of chromosomal proteins in the HeLa S3 cell cycle.","URL":"https://www.sciencedirect.com/science/article/pii/S0021925820651791","volume":"257","author":[{"family":"Tanuma","given":"S"},{"family":"Kanai","given":"Y"}],"accessed":{"date-parts":[["2022",3,29]]},"issued":{"date-parts":[["1982",6,10]]}}}],"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[186,187]</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6138545D" w14:textId="56CF77EF"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Все члены семейства </w:t>
      </w:r>
      <w:r w:rsidRPr="00107040">
        <w:rPr>
          <w:rFonts w:ascii="Times New Roman" w:hAnsi="Times New Roman"/>
          <w:sz w:val="28"/>
          <w:szCs w:val="28"/>
          <w:lang w:val="en-US"/>
        </w:rPr>
        <w:t>PARP</w:t>
      </w:r>
      <w:r w:rsidRPr="00107040">
        <w:rPr>
          <w:rFonts w:ascii="Times New Roman" w:hAnsi="Times New Roman"/>
          <w:sz w:val="28"/>
          <w:szCs w:val="28"/>
        </w:rPr>
        <w:t xml:space="preserve"> имеют высококонсервативное каталитическое ядро </w:t>
      </w:r>
      <w:r w:rsidRPr="00107040">
        <w:rPr>
          <w:rFonts w:ascii="Times New Roman" w:hAnsi="Times New Roman"/>
          <w:sz w:val="28"/>
          <w:szCs w:val="28"/>
          <w:lang w:val="en-US"/>
        </w:rPr>
        <w:t>PARP</w:t>
      </w:r>
      <w:r w:rsidRPr="00107040">
        <w:rPr>
          <w:rFonts w:ascii="Times New Roman" w:hAnsi="Times New Roman"/>
          <w:sz w:val="28"/>
          <w:szCs w:val="28"/>
        </w:rPr>
        <w:t>1, домен (АДФ-рибозил)трансферазы (</w:t>
      </w:r>
      <w:r w:rsidRPr="00107040">
        <w:rPr>
          <w:rFonts w:ascii="Times New Roman" w:hAnsi="Times New Roman"/>
          <w:sz w:val="28"/>
          <w:szCs w:val="28"/>
          <w:lang w:val="en-US"/>
        </w:rPr>
        <w:t>ART</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{"citationID":"L6DikY7Z","properties":{"formattedCitation":"[174]","plainCitation":"[174]","noteIndex":0},"citationItems":[{"id":346,"uris":["http://zotero.org/users/9078202/items/E4S9FWX5"],"itemData":{"id":346,"type":"article-journal","abstract":"ADP-ribosylation is a post-translational modification of proteins catalyzed by ADP-ribosyltransferases. It comprises the transfer of the ADP-ribose moiety from NAD+ to specific amino acid residues on substrate proteins or to ADP-ribose itself. Currently, 22 human genes encoding proteins that possess an ADP-ribosyltransferase catalytic domain are known. Recent structural and enzymological evidence of poly(ADP-ribose)polymerase (PARP) family members demonstrate that earlier proposed names and classifications of these proteins are no longer accurate. Here we summarize these new findings and propose a new consensus nomenclature for all ADP-ribosyltransferases (ARTs) based on the catalyzed reaction and on structural features. A unified nomenclature would facilitate communication between researchers both inside and outside the ADP-ribosylation field.","container-title":"Trends in Biochemical Sciences","DOI":"10.1016/j.tibs.2009.12.003","ISSN":"0968-0004","issue":"4","journalAbbreviation":"Trends Biochem Sci","language":"eng","note":"PMID: 20106667","page":"208-219","source":"PubMed","title":"Toward a unified nomenclature for mammalian ADP-ribosyltransferases","volume":"35","author":[{"family":"Hottiger","given":"Michael O."},{"family":"Hassa","given":"Paul O."},{"family":"Lüscher","given":"Bernhard"},{"family":"Schüler","given":"Herwig"},{"family":"Koch-Nolte","given":"Friedrich"}],"issued":{"date-parts":[["2010",4]]}}}],"schema":"https://github.com/citation-style-language/schema/raw/master/csl-citation.json"}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[174]</w:t>
      </w:r>
      <w:r w:rsidRPr="00107040">
        <w:rPr>
          <w:rFonts w:ascii="Times New Roman" w:hAnsi="Times New Roman"/>
          <w:sz w:val="28"/>
          <w:szCs w:val="28"/>
          <w:lang w:val="en-US"/>
        </w:rPr>
        <w:fldChar w:fldCharType="end"/>
      </w:r>
      <w:r w:rsidRPr="00107040">
        <w:rPr>
          <w:rFonts w:ascii="Times New Roman" w:hAnsi="Times New Roman"/>
          <w:sz w:val="28"/>
          <w:szCs w:val="28"/>
        </w:rPr>
        <w:t>. Домен ART содержит НАД</w:t>
      </w:r>
      <w:r w:rsidRPr="00107040">
        <w:rPr>
          <w:rFonts w:ascii="Times New Roman" w:hAnsi="Times New Roman"/>
          <w:sz w:val="28"/>
          <w:szCs w:val="28"/>
          <w:vertAlign w:val="superscript"/>
        </w:rPr>
        <w:t>+</w:t>
      </w:r>
      <w:r w:rsidRPr="00107040">
        <w:rPr>
          <w:rFonts w:ascii="Times New Roman" w:hAnsi="Times New Roman"/>
          <w:sz w:val="28"/>
          <w:szCs w:val="28"/>
        </w:rPr>
        <w:t xml:space="preserve">-связывающий сайт, который позиционирует «донорскую» АДФ-рибозу для трансферазной реакции, и акцепторный сайт, который связывает либо мишень ПАРилирования во время инициации, либо дистальную АДФ-рибозу цепи разветвления/элонгации ПАР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{"citationID":"aokYoDE8","properties":{"formattedCitation":"[188]","plainCitation":"[188]","noteIndex":0},"citationItems":[{"id":215,"uris":["http://zotero.org/users/9078202/items/TGLM9IFD"],"itemData":{"id":215,"type":"article-journal","abstract":"The poly(ADP-ribose) polymerases (PARPs) are a major family of enzymes capable of modifying proteins by ADP-ribosylation. Due to the large size and diversity of this family, PARPs affect almost every aspect of cellular life and have fundamental roles in DNA repair, transcription, heat shock and cytoplasmic stress responses, cell division, protein degradation, and much more. In the past decade, our understanding of the PARP enzymatic mechanism and activation, as well as regulation of ADP-ribosylation signals by the readers and erasers of protein ADP-ribosylation, has been significantly advanced by the emergence of new structural data, reviewed herein, which allow for better understanding of the biological roles of this widespread post-translational modification.","container-title":"Molecular Cell","DOI":"10.1016/j.molcel.2015.05.007","ISSN":"1097-4164","issue":"6","journalAbbreviation":"Mol Cell","language":"eng","note":"PMID: 26091342","page":"935-946","source":"PubMed","title":"Structures and Mechanisms of Enzymes Employed in the Synthesis and Degradation of PARP-Dependent Protein ADP-Ribosylation","volume":"58","author":[{"family":"Barkauskaite","given":"Eva"},{"family":"Jankevicius","given":"Gytis"},{"family":"Ahel","given":"Ivan"}],"issued":{"date-parts":[["2015",6,18]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Донорский сайт состоит из никотинамидсвязывающего кармана, фосфатсвязывающего сайта и сайта связывания аденин-рибозы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{"citationID":"SsvszuNa","properties":{"formattedCitation":"[189]","plainCitation":"[189]","noteIndex":0},"citationItems":[{"id":214,"uris":["http://zotero.org/users/9078202/items/B2T9GBNP"],"itemData":{"id":214,"type":"article-journal","abstract":"Poly(ADP-ribose) polymerases (PARPs) are a family of enzymes that use NAD(+) as a substrate to synthesize polymers of ADP-ribose (PAR) as post-translational modifications of proteins. PARPs have important cellular roles that include preserving genomic integrity, telomere maintenance, transcriptional regulation, and cell fate determination. The diverse biological roles of PARPs have made them attractive therapeutic targets, which have fueled the pursuit of small molecule PARP inhibitors. The design of PARP inhibitors has matured over the past several years resulting in several lead candidates in clinical trials. PARP inhibitors are mainly used in clinical trials to treat cancer, particularly as sensitizing agents in combination with traditional chemotherapy to reduce side effects. An exciting aspect of PARP inhibitors is that they are also used to selectivity kill tumors with deficiencies in DNA repair proteins (e.g., BRCA1/2) through an approach termed \"synthetic lethality.\" In the midst of the tremendous efforts that have brought PARP inhibitors to the forefront of modern chemotherapy, most clinically used PARP inhibitors bind to conserved regions that permits cross-selectivity with other PARPs containing homologous catalytic domains. Thus, the differences between therapeutic effects and adverse effects stemming from pan-PARP inhibition compared to selective inhibition are not well understood. In this review, we discuss current literature that has found ways to gain selectivity for one PARP over another. We furthermore provide insights into targeting other domains that make up PARPs, and how new classes of drugs that target these domains could provide a high degree of selectivity by affecting specific cellular functions. A clear understanding of the inhibition profiles of PARP inhibitors will not only enhance our understanding of the biology of individual PARPs, but may provide improved therapeutic options for patients.","container-title":"Frontiers in Oncology","DOI":"10.3389/fonc.2013.00301","ISSN":"2234-943X","journalAbbreviation":"Front Oncol","language":"eng","note":"PMID: 24392349\nPMCID: PMC3868897","page":"301","source":"PubMed","title":"Structural Implications for Selective Targeting of PARPs","volume":"3","author":[{"family":"Steffen","given":"Jamin D."},{"family":"Brody","given":"Jonathan R."},{"family":"Armen","given":"Roger S."},{"family":"Pascal","given":"John M."}],"issued":{"date-parts":[["2013",12,20]]}}}],"schema":"https://github.com/citation-style-language/schema/raw/master/csl-citation.json"}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Существует консервативная триада </w:t>
      </w:r>
      <w:r w:rsidRPr="00107040">
        <w:rPr>
          <w:rFonts w:ascii="Times New Roman" w:hAnsi="Times New Roman"/>
          <w:sz w:val="28"/>
          <w:szCs w:val="28"/>
          <w:lang w:val="en-US"/>
        </w:rPr>
        <w:t>His</w:t>
      </w:r>
      <w:r w:rsidRPr="00107040">
        <w:rPr>
          <w:rFonts w:ascii="Times New Roman" w:hAnsi="Times New Roman"/>
          <w:sz w:val="28"/>
          <w:szCs w:val="28"/>
        </w:rPr>
        <w:t>-</w:t>
      </w:r>
      <w:r w:rsidRPr="00107040">
        <w:rPr>
          <w:rFonts w:ascii="Times New Roman" w:hAnsi="Times New Roman"/>
          <w:sz w:val="28"/>
          <w:szCs w:val="28"/>
          <w:lang w:val="en-US"/>
        </w:rPr>
        <w:t>Tyr</w:t>
      </w:r>
      <w:r w:rsidRPr="00107040">
        <w:rPr>
          <w:rFonts w:ascii="Times New Roman" w:hAnsi="Times New Roman"/>
          <w:sz w:val="28"/>
          <w:szCs w:val="28"/>
        </w:rPr>
        <w:t>-</w:t>
      </w:r>
      <w:r w:rsidRPr="00107040">
        <w:rPr>
          <w:rFonts w:ascii="Times New Roman" w:hAnsi="Times New Roman"/>
          <w:sz w:val="28"/>
          <w:szCs w:val="28"/>
          <w:lang w:val="en-US"/>
        </w:rPr>
        <w:t>Glu</w:t>
      </w:r>
      <w:r w:rsidRPr="00107040">
        <w:rPr>
          <w:rFonts w:ascii="Times New Roman" w:hAnsi="Times New Roman"/>
          <w:sz w:val="28"/>
          <w:szCs w:val="28"/>
        </w:rPr>
        <w:t xml:space="preserve"> (</w:t>
      </w:r>
      <w:r w:rsidRPr="00107040">
        <w:rPr>
          <w:rFonts w:ascii="Times New Roman" w:hAnsi="Times New Roman"/>
          <w:sz w:val="28"/>
          <w:szCs w:val="28"/>
          <w:lang w:val="en-US"/>
        </w:rPr>
        <w:t>H</w:t>
      </w:r>
      <w:r w:rsidRPr="00107040">
        <w:rPr>
          <w:rFonts w:ascii="Times New Roman" w:hAnsi="Times New Roman"/>
          <w:sz w:val="28"/>
          <w:szCs w:val="28"/>
        </w:rPr>
        <w:t>-</w:t>
      </w:r>
      <w:r w:rsidRPr="00107040">
        <w:rPr>
          <w:rFonts w:ascii="Times New Roman" w:hAnsi="Times New Roman"/>
          <w:sz w:val="28"/>
          <w:szCs w:val="28"/>
          <w:lang w:val="en-US"/>
        </w:rPr>
        <w:t>Y</w:t>
      </w:r>
      <w:r w:rsidRPr="00107040">
        <w:rPr>
          <w:rFonts w:ascii="Times New Roman" w:hAnsi="Times New Roman"/>
          <w:sz w:val="28"/>
          <w:szCs w:val="28"/>
        </w:rPr>
        <w:t>-</w:t>
      </w:r>
      <w:r w:rsidRPr="00107040">
        <w:rPr>
          <w:rFonts w:ascii="Times New Roman" w:hAnsi="Times New Roman"/>
          <w:sz w:val="28"/>
          <w:szCs w:val="28"/>
          <w:lang w:val="en-US"/>
        </w:rPr>
        <w:t>E</w:t>
      </w:r>
      <w:r w:rsidRPr="00107040">
        <w:rPr>
          <w:rFonts w:ascii="Times New Roman" w:hAnsi="Times New Roman"/>
          <w:sz w:val="28"/>
          <w:szCs w:val="28"/>
        </w:rPr>
        <w:t xml:space="preserve">) («сигнатура АРТ») в никотинамид-связывающем кармане, которая является общей для </w:t>
      </w:r>
      <w:r w:rsidRPr="00107040">
        <w:rPr>
          <w:rFonts w:ascii="Times New Roman" w:hAnsi="Times New Roman"/>
          <w:sz w:val="28"/>
          <w:szCs w:val="28"/>
          <w:lang w:val="en-US"/>
        </w:rPr>
        <w:t>PARP</w:t>
      </w:r>
      <w:r w:rsidRPr="00107040">
        <w:rPr>
          <w:rFonts w:ascii="Times New Roman" w:hAnsi="Times New Roman"/>
          <w:sz w:val="28"/>
          <w:szCs w:val="28"/>
        </w:rPr>
        <w:t xml:space="preserve"> 1-6, но изменена в других (АДФ-рибозил) трансферазах. Аминокислотные остатки триады </w:t>
      </w:r>
      <w:r w:rsidRPr="00107040">
        <w:rPr>
          <w:rFonts w:ascii="Times New Roman" w:hAnsi="Times New Roman"/>
          <w:sz w:val="28"/>
          <w:szCs w:val="28"/>
          <w:lang w:val="en-US"/>
        </w:rPr>
        <w:t>His</w:t>
      </w:r>
      <w:r w:rsidRPr="00107040">
        <w:rPr>
          <w:rFonts w:ascii="Times New Roman" w:hAnsi="Times New Roman"/>
          <w:sz w:val="28"/>
          <w:szCs w:val="28"/>
        </w:rPr>
        <w:t xml:space="preserve">862 и </w:t>
      </w:r>
      <w:r w:rsidRPr="00107040">
        <w:rPr>
          <w:rFonts w:ascii="Times New Roman" w:hAnsi="Times New Roman"/>
          <w:sz w:val="28"/>
          <w:szCs w:val="28"/>
          <w:lang w:val="en-US"/>
        </w:rPr>
        <w:t>Tyr</w:t>
      </w:r>
      <w:r w:rsidRPr="00107040">
        <w:rPr>
          <w:rFonts w:ascii="Times New Roman" w:hAnsi="Times New Roman"/>
          <w:sz w:val="28"/>
          <w:szCs w:val="28"/>
        </w:rPr>
        <w:t>896 необходимы для связывания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тогда как </w:t>
      </w:r>
      <w:r w:rsidRPr="00107040">
        <w:rPr>
          <w:rFonts w:ascii="Times New Roman" w:hAnsi="Times New Roman"/>
          <w:sz w:val="28"/>
          <w:szCs w:val="28"/>
          <w:lang w:val="en-US"/>
        </w:rPr>
        <w:t>Glu</w:t>
      </w:r>
      <w:r w:rsidRPr="00107040">
        <w:rPr>
          <w:rFonts w:ascii="Times New Roman" w:hAnsi="Times New Roman"/>
          <w:sz w:val="28"/>
          <w:szCs w:val="28"/>
        </w:rPr>
        <w:t xml:space="preserve">988 необходим для позиционирования субстрата и катализа. </w:t>
      </w:r>
      <w:r w:rsidRPr="00107040">
        <w:rPr>
          <w:rFonts w:ascii="Times New Roman" w:hAnsi="Times New Roman"/>
          <w:sz w:val="28"/>
          <w:szCs w:val="28"/>
          <w:lang w:val="en-US"/>
        </w:rPr>
        <w:t>His</w:t>
      </w:r>
      <w:r w:rsidRPr="00107040">
        <w:rPr>
          <w:rFonts w:ascii="Times New Roman" w:hAnsi="Times New Roman"/>
          <w:sz w:val="28"/>
          <w:szCs w:val="28"/>
        </w:rPr>
        <w:t>862 связывается с 2'-ОН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аденинрибозы, и его замены были обнаружены в каталитически неактивных </w:t>
      </w:r>
      <w:r w:rsidRPr="00107040">
        <w:rPr>
          <w:rFonts w:ascii="Times New Roman" w:hAnsi="Times New Roman"/>
          <w:sz w:val="28"/>
          <w:szCs w:val="28"/>
          <w:lang w:val="en-US"/>
        </w:rPr>
        <w:t>PARP</w:t>
      </w:r>
      <w:r w:rsidRPr="00107040">
        <w:rPr>
          <w:rFonts w:ascii="Times New Roman" w:hAnsi="Times New Roman"/>
          <w:sz w:val="28"/>
          <w:szCs w:val="28"/>
        </w:rPr>
        <w:t xml:space="preserve">9 и </w:t>
      </w:r>
      <w:r w:rsidRPr="00107040">
        <w:rPr>
          <w:rFonts w:ascii="Times New Roman" w:hAnsi="Times New Roman"/>
          <w:sz w:val="28"/>
          <w:szCs w:val="28"/>
          <w:lang w:val="en-US"/>
        </w:rPr>
        <w:t>PARP</w:t>
      </w:r>
      <w:r w:rsidRPr="00107040">
        <w:rPr>
          <w:rFonts w:ascii="Times New Roman" w:hAnsi="Times New Roman"/>
          <w:sz w:val="28"/>
          <w:szCs w:val="28"/>
        </w:rPr>
        <w:t>13, предотвращая связывание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{"citationID":"OECpxput","properties":{"formattedCitation":"[188,190]","plainCitation":"[188,190]","noteIndex":0},"citationItems":[{"id":215,"uris":["http://zotero.org/users/9078202/items/TGLM9IFD"],"itemData":{"id":215,"type":"article-journal","abstract":"The poly(ADP-ribose) polymerases (PARPs) are a major family of enzymes capable of modifying proteins by ADP-ribosylation. Due to the large size and diversity of this family, PARPs affect almost every aspect of cellular life and have fundamental roles in DNA repair, transcription, heat shock and cytoplasmic stress responses, cell division, protein degradation, and much more. In the past decade, our understanding of the PARP enzymatic mechanism and activation, as well as regulation of ADP-ribosylation signals by the readers and erasers of protein ADP-ribosylation, has been significantly advanced by the emergence of new structural data, reviewed herein, which allow for better understanding of the biological roles of this widespread post-translational modification.","container-title":"Molecular Cell","DOI":"10.1016/j.molcel.2015.05.007","ISSN":"1097-4164","issue":"6","journalAbbreviation":"Mol Cell","language":"eng","note":"PMID: 26091342","page":"935-946","source":"PubMed","title":"Structures and Mechanisms of Enzymes Employed in the Synthesis and Degradation of PARP-Dependent Protein ADP-Ribosylation","volume":"58","author":[{"family":"Barkauskaite","given":"Eva"},{"family":"Jankevicius","given":"Gytis"},{"family":"Ahel","given":"Ivan"}],"issued":{"date-parts":[["2015",6,18]]}}},{"id":317,"uris":["http://zotero.org/users/9078202/items/PWNMYUL8"],"itemData":{"id":317,"type":"article-journal","abstract":"Poly-ADP-ribosylation is a post-translational modification that regulates processes involved in genome stability. Breakdown of the poly(ADP-ribose) (PAR) polymer is catalysed by poly(ADP-ribose) glycohydrolase (PARG), whose endo-glycohydrolase activity generates PAR fragments. Here we present the crystal structure of PARG incorporating the PAR substrate. The two terminal ADP-ribose units of the polymeric substrate are bound in exo-mode. Biochemical and modelling studies reveal that PARG acts predominantly as an exo-glycohydrolase. This preference is linked to Phe902 (human numbering), which is responsible for low-affinity binding of the substrate in endo-mode. Our data reveal the mechanism of poly-ADP-ribosylation reversal, with ADP-ribose as the dominant product, and suggest that the release of apoptotic PAR fragments occurs at unusual PAR/PARG ratios.","container-title":"Nature Communications","DOI":"10.1038/ncomms3164","ISSN":"2041-1723","journalAbbreviation":"Nat Commun","language":"eng","note":"PMID: 23917065\nPMCID: PMC3741636","page":"2164","source":"PubMed","title":"Visualization of poly(ADP-ribose) bound to PARG reveals inherent balance between exo- and endo-glycohydrolase activities","volume":"4","author":[{"family":"Barkauskaite","given":"Eva"},{"family":"Brassington","given":"Amy"},{"family":"Tan","given":"Edwin S."},{"family":"Warwicker","given":"Jim"},{"family":"Dunstan","given":"Mark S."},{"family":"Banos","given":"Benito"},{"family":"Lafite","given":"Pierre"},{"family":"Ahel","given":"Marijan"},{"family":"Mitchison","given":"Timothy J."},{"family":"Ahel","given":"Ivan"},{"family":"Leys","given":"David"}],"issued":{"date-parts":[["2013"]]}}}],"schema":"https://github.com/citation-style-language/schema/raw/master/csl-citation.json"}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[188,190]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Tyr</w:t>
      </w:r>
      <w:r w:rsidRPr="00107040">
        <w:rPr>
          <w:rFonts w:ascii="Times New Roman" w:hAnsi="Times New Roman"/>
          <w:sz w:val="28"/>
          <w:szCs w:val="28"/>
        </w:rPr>
        <w:t xml:space="preserve">896 связывается с никотинамидным кольцом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{"citationID":"pIMjI8or","properties":{"formattedCitation":"[189]","plainCitation":"[189]","noteIndex":0},"citationItems":[{"id":214,"uris":["http://zotero.org/users/9078202/items/B2T9GBNP"],"itemData":{"id":214,"type":"article-journal","abstract":"Poly(ADP-ribose) polymerases (PARPs) are a family of enzymes that use NAD(+) as a substrate to synthesize polymers of ADP-ribose (PAR) as post-translational modifications of proteins. PARPs have important cellular roles that include preserving genomic integrity, telomere maintenance, transcriptional regulation, and cell fate determination. The diverse biological roles of PARPs have made them attractive therapeutic targets, which have fueled the pursuit of small molecule PARP inhibitors. The design of PARP inhibitors has matured over the past several years resulting in several lead candidates in clinical trials. PARP inhibitors are mainly used in clinical trials to treat cancer, particularly as sensitizing agents in combination with traditional chemotherapy to reduce side effects. An exciting aspect of PARP inhibitors is that they are also used to selectivity kill tumors with deficiencies in DNA repair proteins (e.g., BRCA1/2) through an approach termed \"synthetic lethality.\" In the midst of the tremendous efforts that have brought PARP inhibitors to the forefront of modern chemotherapy, most clinically used PARP inhibitors bind to conserved regions that permits cross-selectivity with other PARPs containing homologous catalytic domains. Thus, the differences between therapeutic effects and adverse effects stemming from pan-PARP inhibition compared to selective inhibition are not well understood. In this review, we discuss current literature that has found ways to gain selectivity for one PARP over another. We furthermore provide insights into targeting other domains that make up PARPs, and how new classes of drugs that target these domains could provide a high degree of selectivity by affecting specific cellular functions. A clear understanding of the inhibition profiles of PARP inhibitors will not only enhance our understanding of the biology of individual PARPs, but may provide improved therapeutic options for patients.","container-title":"Frontiers in Oncology","DOI":"10.3389/fonc.2013.00301","ISSN":"2234-943X","journalAbbreviation":"Front Oncol","language":"eng","note":"PMID: 24392349\nPMCID: PMC3868897","page":"301","source":"PubMed","title":"Structural Implications for Selective Targeting of PARPs","volume":"3","author":[{"family":"Steffen","given":"Jamin D."},{"family":"Brody","given":"Jonathan R."},{"family":"Armen","given":"Roger S."},{"family":"Pascal","given":"John M."}],"issued":{"date-parts":[["2013",12,20]]}}}],"schema":"https://github.com/citation-style-language/schema/raw/master/csl-citation.json"}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Glu</w:t>
      </w:r>
      <w:r w:rsidRPr="00107040">
        <w:rPr>
          <w:rFonts w:ascii="Times New Roman" w:hAnsi="Times New Roman"/>
          <w:sz w:val="28"/>
          <w:szCs w:val="28"/>
        </w:rPr>
        <w:t xml:space="preserve">988 образует водородную связь с 2'-ОН никотинамидрибозой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{"citationID":"RlUo1foQ","properties":{"formattedCitation":"[191]","plainCitation":"[191]","noteIndex":0},"citationItems":[{"id":213,"uris":["http://zotero.org/users/9078202/items/KMGZBK4X"],"itemData":{"id":213,"type":"article-journal","abstract":"The binding site for the acceptor substrate poly(ADP-ribose) in the elongation reaction of the ADP-ribosyl transferase poly(ADP-ribose) polymerase (PARP) was detected by cocrystallizing the enzyme with an NAD+ analogue. The site was confirmed by mutagenesis studies. In conjunction with the binding site of the donor NAD+, the bound acceptor reveals the geometry of the elongation reaction. It shows in particular that the strictly conserved glutamate residue of all ADP-ribosylating enzymes (Glu988 of PARP) facilitates the reaction by polarizing both, donor and acceptor. Moreover, the binding properties of the acceptor site suggest a mechanism for the branching reaction, that also explains the dual specificity of this transferase for elongation and branching, which is unique among polymer-forming enzymes.","container-title":"Journal of Molecular Biology","DOI":"10.1006/jmbi.1998.1673","ISSN":"0022-2836","issue":"1","journalAbbreviation":"J Mol Biol","language":"eng","note":"PMID: 9571033","page":"57-65","source":"PubMed","title":"The mechanism of the elongation and branching reaction of poly(ADP-ribose) polymerase as derived from crystal structures and mutagenesis","volume":"278","author":[{"family":"Ruf","given":"A."},{"family":"Rolli","given":"V."},{"family":"Murcia","given":"G.","non-dropping-particle":"de"},{"family":"Schulz","given":"G. E."}],"issued":{"date-parts":[["1998",4,24]]}}}],"schema":"https://github.com/citation-style-language/schema/raw/master/csl-citation.json"}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[191]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 </w:t>
      </w:r>
      <w:r w:rsidRPr="00107040">
        <w:rPr>
          <w:rFonts w:ascii="Times New Roman" w:hAnsi="Times New Roman"/>
          <w:sz w:val="28"/>
          <w:szCs w:val="28"/>
          <w:lang w:val="en-US"/>
        </w:rPr>
        <w:t>PARP</w:t>
      </w:r>
      <w:r w:rsidRPr="00107040">
        <w:rPr>
          <w:rFonts w:ascii="Times New Roman" w:hAnsi="Times New Roman"/>
          <w:sz w:val="28"/>
          <w:szCs w:val="28"/>
        </w:rPr>
        <w:t xml:space="preserve"> 6-8, 10-12 и 14-16 остаток </w:t>
      </w:r>
      <w:r w:rsidRPr="00107040">
        <w:rPr>
          <w:rFonts w:ascii="Times New Roman" w:hAnsi="Times New Roman"/>
          <w:sz w:val="28"/>
          <w:szCs w:val="28"/>
          <w:lang w:val="en-US"/>
        </w:rPr>
        <w:t>Glu</w:t>
      </w:r>
      <w:r w:rsidRPr="00107040">
        <w:rPr>
          <w:rFonts w:ascii="Times New Roman" w:hAnsi="Times New Roman"/>
          <w:sz w:val="28"/>
          <w:szCs w:val="28"/>
        </w:rPr>
        <w:t xml:space="preserve"> заменен на </w:t>
      </w:r>
      <w:r w:rsidRPr="00107040">
        <w:rPr>
          <w:rFonts w:ascii="Times New Roman" w:hAnsi="Times New Roman"/>
          <w:sz w:val="28"/>
          <w:szCs w:val="28"/>
          <w:lang w:val="en-US"/>
        </w:rPr>
        <w:t>Leu</w:t>
      </w:r>
      <w:r w:rsidRPr="00107040">
        <w:rPr>
          <w:rFonts w:ascii="Times New Roman" w:hAnsi="Times New Roman"/>
          <w:sz w:val="28"/>
          <w:szCs w:val="28"/>
        </w:rPr>
        <w:t xml:space="preserve">, </w:t>
      </w:r>
      <w:r w:rsidRPr="00107040">
        <w:rPr>
          <w:rFonts w:ascii="Times New Roman" w:hAnsi="Times New Roman"/>
          <w:sz w:val="28"/>
          <w:szCs w:val="28"/>
          <w:lang w:val="en-US"/>
        </w:rPr>
        <w:t>Ile</w:t>
      </w:r>
      <w:r w:rsidRPr="00107040">
        <w:rPr>
          <w:rFonts w:ascii="Times New Roman" w:hAnsi="Times New Roman"/>
          <w:sz w:val="28"/>
          <w:szCs w:val="28"/>
        </w:rPr>
        <w:t xml:space="preserve">, </w:t>
      </w:r>
      <w:r w:rsidRPr="00107040">
        <w:rPr>
          <w:rFonts w:ascii="Times New Roman" w:hAnsi="Times New Roman"/>
          <w:sz w:val="28"/>
          <w:szCs w:val="28"/>
          <w:lang w:val="en-US"/>
        </w:rPr>
        <w:t>Tyr</w:t>
      </w:r>
      <w:r w:rsidRPr="00107040">
        <w:rPr>
          <w:rFonts w:ascii="Times New Roman" w:hAnsi="Times New Roman"/>
          <w:sz w:val="28"/>
          <w:szCs w:val="28"/>
        </w:rPr>
        <w:t xml:space="preserve">, </w:t>
      </w:r>
      <w:r w:rsidRPr="00107040">
        <w:rPr>
          <w:rFonts w:ascii="Times New Roman" w:hAnsi="Times New Roman"/>
          <w:sz w:val="28"/>
          <w:szCs w:val="28"/>
          <w:lang w:val="en-US"/>
        </w:rPr>
        <w:t>Val</w:t>
      </w:r>
      <w:r w:rsidRPr="00107040">
        <w:rPr>
          <w:rFonts w:ascii="Times New Roman" w:hAnsi="Times New Roman"/>
          <w:sz w:val="28"/>
          <w:szCs w:val="28"/>
        </w:rPr>
        <w:t xml:space="preserve"> или </w:t>
      </w:r>
      <w:r w:rsidRPr="00107040">
        <w:rPr>
          <w:rFonts w:ascii="Times New Roman" w:hAnsi="Times New Roman"/>
          <w:sz w:val="28"/>
          <w:szCs w:val="28"/>
          <w:lang w:val="en-US"/>
        </w:rPr>
        <w:t>Thr</w:t>
      </w:r>
      <w:r w:rsidRPr="00107040">
        <w:rPr>
          <w:rFonts w:ascii="Times New Roman" w:hAnsi="Times New Roman"/>
          <w:sz w:val="28"/>
          <w:szCs w:val="28"/>
        </w:rPr>
        <w:t xml:space="preserve">, что делает эти члены семейства </w:t>
      </w:r>
      <w:r w:rsidRPr="00107040">
        <w:rPr>
          <w:rFonts w:ascii="Times New Roman" w:hAnsi="Times New Roman"/>
          <w:sz w:val="28"/>
          <w:szCs w:val="28"/>
          <w:lang w:val="en-US"/>
        </w:rPr>
        <w:t>PARP</w:t>
      </w:r>
      <w:r w:rsidRPr="00107040">
        <w:rPr>
          <w:rFonts w:ascii="Times New Roman" w:hAnsi="Times New Roman"/>
          <w:sz w:val="28"/>
          <w:szCs w:val="28"/>
        </w:rPr>
        <w:t xml:space="preserve"> моно (АДФ-рибозо) трансферазами </w:t>
      </w:r>
      <w:r w:rsidRPr="00107040">
        <w:rPr>
          <w:rFonts w:ascii="Times New Roman" w:hAnsi="Times New Roman"/>
          <w:i/>
          <w:sz w:val="28"/>
          <w:szCs w:val="28"/>
          <w:lang w:val="en-US"/>
        </w:rPr>
        <w:t>in</w:t>
      </w:r>
      <w:r w:rsidRPr="00107040">
        <w:rPr>
          <w:rFonts w:ascii="Times New Roman" w:hAnsi="Times New Roman"/>
          <w:i/>
          <w:sz w:val="28"/>
          <w:szCs w:val="28"/>
        </w:rPr>
        <w:t xml:space="preserve"> </w:t>
      </w:r>
      <w:r w:rsidRPr="00107040">
        <w:rPr>
          <w:rFonts w:ascii="Times New Roman" w:hAnsi="Times New Roman"/>
          <w:i/>
          <w:sz w:val="28"/>
          <w:szCs w:val="28"/>
          <w:lang w:val="en-US"/>
        </w:rPr>
        <w:t>vitro</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{"citationID":"TH06vmlg","properties":{"formattedCitation":"[188]","plainCitation":"[188]","noteIndex":0},"citationItems":[{"id":215,"uris":["http://zotero.org/users/9078202/items/TGLM9IFD"],"itemData":{"id":215,"type":"article-journal","abstract":"The poly(ADP-ribose) polymerases (PARPs) are a major family of enzymes capable of modifying proteins by ADP-ribosylation. Due to the large size and diversity of this family, PARPs affect almost every aspect of cellular life and have fundamental roles in DNA repair, transcription, heat shock and cytoplasmic stress responses, cell division, protein degradation, and much more. In the past decade, our understanding of the PARP enzymatic mechanism and activation, as well as regulation of ADP-ribosylation signals by the readers and erasers of protein ADP-ribosylation, has been significantly advanced by the emergence of new structural data, reviewed herein, which allow for better understanding of the biological roles of this widespread post-translational modification.","container-title":"Molecular Cell","DOI":"10.1016/j.molcel.2015.05.007","ISSN":"1097-4164","issue":"6","journalAbbreviation":"Mol Cell","language":"eng","note":"PMID: 26091342","page":"935-946","source":"PubMed","title":"Structures and Mechanisms of Enzymes Employed in the Synthesis and Degradation of PARP-Dependent Protein ADP-Ribosylation","volume":"58","author":[{"family":"Barkauskaite","given":"Eva"},{"family":"Jankevicius","given":"Gytis"},{"family":"Ahel","given":"Ivan"}],"issued":{"date-parts":[["2015",6,18]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[188]</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49095DF5" w14:textId="77777777" w:rsidR="00107040" w:rsidRPr="00107040" w:rsidRDefault="00107040" w:rsidP="00107040">
      <w:pPr>
        <w:spacing w:after="0" w:line="240" w:lineRule="auto"/>
        <w:ind w:firstLine="567"/>
        <w:jc w:val="both"/>
        <w:rPr>
          <w:rFonts w:ascii="Times New Roman" w:hAnsi="Times New Roman"/>
          <w:sz w:val="28"/>
          <w:szCs w:val="28"/>
        </w:rPr>
      </w:pPr>
    </w:p>
    <w:p w14:paraId="0766689C" w14:textId="77777777" w:rsidR="00107040" w:rsidRPr="00107040" w:rsidRDefault="00107040" w:rsidP="00107040">
      <w:pPr>
        <w:spacing w:after="0" w:line="240" w:lineRule="auto"/>
        <w:ind w:firstLine="567"/>
        <w:jc w:val="both"/>
        <w:rPr>
          <w:rFonts w:ascii="Times New Roman" w:hAnsi="Times New Roman"/>
          <w:b/>
          <w:sz w:val="28"/>
          <w:szCs w:val="28"/>
        </w:rPr>
      </w:pPr>
      <w:bookmarkStart w:id="29" w:name="_Hlk113268173"/>
      <w:r w:rsidRPr="00107040">
        <w:rPr>
          <w:rFonts w:ascii="Times New Roman" w:hAnsi="Times New Roman"/>
          <w:b/>
          <w:sz w:val="28"/>
          <w:szCs w:val="28"/>
        </w:rPr>
        <w:t>1.</w:t>
      </w:r>
      <w:r w:rsidRPr="00107040">
        <w:rPr>
          <w:rFonts w:ascii="Times New Roman" w:hAnsi="Times New Roman"/>
          <w:b/>
          <w:sz w:val="28"/>
          <w:szCs w:val="28"/>
          <w:lang w:val="kk-KZ"/>
        </w:rPr>
        <w:t>4</w:t>
      </w:r>
      <w:r w:rsidRPr="00107040">
        <w:rPr>
          <w:rFonts w:ascii="Times New Roman" w:hAnsi="Times New Roman"/>
          <w:b/>
          <w:sz w:val="28"/>
          <w:szCs w:val="28"/>
        </w:rPr>
        <w:t xml:space="preserve"> Семейство поли (АДФ-рибоза) полимеразы (</w:t>
      </w:r>
      <w:r w:rsidRPr="00107040">
        <w:rPr>
          <w:rFonts w:ascii="Times New Roman" w:hAnsi="Times New Roman"/>
          <w:b/>
          <w:sz w:val="28"/>
          <w:szCs w:val="28"/>
          <w:lang w:val="en-US"/>
        </w:rPr>
        <w:t>PARP</w:t>
      </w:r>
      <w:r w:rsidRPr="00107040">
        <w:rPr>
          <w:rFonts w:ascii="Times New Roman" w:hAnsi="Times New Roman"/>
          <w:b/>
          <w:sz w:val="28"/>
          <w:szCs w:val="28"/>
        </w:rPr>
        <w:t>) млекопитающих</w:t>
      </w:r>
    </w:p>
    <w:bookmarkEnd w:id="29"/>
    <w:p w14:paraId="7EC7CBA9" w14:textId="1FD5BCDF"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Семейство </w:t>
      </w:r>
      <w:r w:rsidRPr="00107040">
        <w:rPr>
          <w:rFonts w:ascii="Times New Roman" w:hAnsi="Times New Roman"/>
          <w:sz w:val="28"/>
          <w:szCs w:val="28"/>
          <w:lang w:val="en-US"/>
        </w:rPr>
        <w:t>PARP</w:t>
      </w:r>
      <w:r w:rsidRPr="00107040">
        <w:rPr>
          <w:rFonts w:ascii="Times New Roman" w:hAnsi="Times New Roman"/>
          <w:sz w:val="28"/>
          <w:szCs w:val="28"/>
        </w:rPr>
        <w:t xml:space="preserve"> включает 17 членов с различными структурными доменами, активностью, субклеточной локализацией и функциями</w:t>
      </w:r>
      <w:r w:rsidRPr="00107040">
        <w:rPr>
          <w:rFonts w:ascii="Times New Roman" w:hAnsi="Times New Roman"/>
          <w:sz w:val="28"/>
          <w:szCs w:val="28"/>
          <w:lang w:val="kk-KZ"/>
        </w:rPr>
        <w:t xml:space="preserve"> (рисунок 4)</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{"citationID":"C3Se2Xss","properties":{"formattedCitation":"[183,192]","plainCitation":"[183,192]","noteIndex":0},"citationItems":[{"id":227,"uris":["http://zotero.org/users/9078202/items/FV5GVZH3"],"itemData":{"id":227,"type":"article-journal","abstract":"Poly(ADP-ribosyl)ation (PARylation) is a post-translational modification in which ADP-ribose units are added to Glu, Asp and Lys residues of target (or acceptor) proteins by members of the poly(ADP-ribose) polymerase (PARP) family. Seventeen PARP family members have been identified on the basis of homology to PARP1, which is the founding member of the PARP family.PARylation is important for cellular signalling pathways, cytoplasmic and nuclear functions and the response to cellular stress.A number of proteins with poly(ADP-ribose) (PAR) degrading activities have been characterized, such as the endo- and exoglycohydrolase poly(ADP-ribose) glycohydrolase (PARG). PARG promotes the rapid catabolic destruction of PAR almost immediately after synthesis, thus allowing temporal control of PAR functions.Recognition of and binding to PAR occurs through four distinct protein modules: PAR-binding motifs (PBMs), PAR-binding zinc-finger (PBZ) domains, macrodomain folds and WWE domains. Some of these domains are found in PARPs themselves.New evidence has shown that the activation and destruction of PAR modifications can alter protein substrate specificity, localization and stability, and these findings implicate PARPs as a promising target for therapeutic intervention in human disease.The key mechanisms by which PARylation regulates many cellular responses include the inhibition of protein–protein or protein–DNA interactions, nucleation of protein localization and interaction scaffolds, as well as the regulation of other protein modifications, such as ubiquitylation.The involvement of PARP proteins in DNA damage detection and repair, telomere maintenance, and stress responses and recovery gives hope for the use of PARP inhibition as a means for selective 'next generation' therapies for cancer, as well as stress-related diseases that exhibit pro-inflammatory signatures (for example, cardiovascular diseases, stroke, metabolic disorders, diabetes, and autoimmunity). As such, PARPs have recently been targeted with small molecules in clinical trials for a number of human diseases.","container-title":"Nature Reviews Molecular Cell Biology","DOI":"10.1038/nrm3376","ISSN":"1471-0080","issue":"7","journalAbbreviation":"Nat Rev Mol Cell Biol","language":"en","license":"2012 Nature Publishing Group, a division of Macmillan Publishers Limited. All Rights Reserved.","note":"number: 7\npublisher: Nature Publishing Group","page":"411-424","source":"www.nature.com","title":"New insights into the molecular and cellular functions of poly(ADP-ribose) and PARPs","URL":"https://www.nature.com/articles/nrm3376","volume":"13","author":[{"family":"Gibson","given":"Bryan A."},{"family":"Kraus","given":"W. Lee"}],"accessed":{"date-parts":[["2022",3,29]]},"issued":{"date-parts":[["2012",7]]}}},{"id":211,"uris":["http://zotero.org/users/9078202/items/LKHTX3CZ"],"itemData":{"id":211,"type":"article-journal","abstract":"The poly(ADP-ribose) polymerase (PARP) family of proteins use NAD+ as their substrate to modify acceptor proteins with ADP-ribose modifications. The function of most PARPs under physiological conditions is unknown. Here, to better understand this protein family, we systematically analyse the cell cycle localization of each PARP and of poly(ADP-ribose), a product of PARP activity, then identify the knockdown phenotype of each protein and perform secondary assays to elucidate function. We show that most PARPs are cytoplasmic, identify cell cycle differences in the ratio of nuclear to cytoplasmic poly(ADP-ribose) and identify four phenotypic classes of PARP function. These include the regulation of membrane structures, cell viability, cell division and the actin cytoskeleton. Further analysis of PARP14 shows that it is a component of focal adhesion complexes required for proper cell motility and focal adhesion function. In total, we show that PARP proteins are critical regulators of eukaryotic physiology.","container-title":"Nature Communications","DOI":"10.1038/ncomms3240","ISSN":"2041-1723","issue":"1","journalAbbreviation":"Nat Commun","language":"en","license":"2013 Nature Publishing Group, a division of Macmillan Publishers Limited. All Rights Reserved.","note":"number: 1\npublisher: Nature Publishing Group","page":"2240","source":"www.nature.com","title":"A systematic analysis of the PARP protein family identifies new functions critical for cell physiology","URL":"https://www.nature.com/articles/ncomms3240","volume":"4","author":[{"family":"Vyas","given":"Sejal"},{"family":"Chesarone-Cataldo","given":"Melissa"},{"family":"Todorova","given":"Tanya"},{"family":"Huang","given":"Yun-Han"},{"family":"Chang","given":"Paul"}],"accessed":{"date-parts":[["2022",3,31]]},"issued":{"date-parts":[["2013",8,6]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[183,192]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Различные PARP по их структурным доменам и функциям можно разделить на ДНК-зависимые PARP-PARP 1, PARP 2 и PARP 3, танкиразы </w:t>
      </w:r>
      <w:r w:rsidRPr="00107040">
        <w:rPr>
          <w:rFonts w:ascii="Times New Roman" w:hAnsi="Times New Roman"/>
          <w:sz w:val="28"/>
          <w:szCs w:val="28"/>
        </w:rPr>
        <w:sym w:font="Symbol" w:char="F02D"/>
      </w:r>
      <w:r w:rsidRPr="00107040">
        <w:rPr>
          <w:rFonts w:ascii="Times New Roman" w:hAnsi="Times New Roman"/>
          <w:sz w:val="28"/>
          <w:szCs w:val="28"/>
        </w:rPr>
        <w:t xml:space="preserve"> PARP 5a, PARP 5b, Cys-Cys-Cys-His-содержащие цинковые пальцы (CCCH) и PARP, содержащие домен WWE - PARP 7, PARP 12, PARP 13.1 и PARP 13.2, и ПАР-связывающие макродомены, содержащие "макро" PARP - PARP 9, PARP 14 и PARP 15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{"citationID":"sUkeAPmE","properties":{"formattedCitation":"[193]","plainCitation":"[193]","noteIndex":0},"citationItems":[{"id":208,"uris":["http://zotero.org/users/9078202/items/RWP2ZGT8"],"itemData":{"id":208,"type":"article-journal","abstract":"Poly(ADP-ribosyl)ation is an immediate DNA-damage-dependent post-translational modification of histones and other nuclear proteins that contributes to the survival of injured proliferating cells. Poly(ADP-ribose) polymerases (PARPs) now constitute a large family of 18 proteins, encoded by different genes and displaying a conserved catalytic domain in which PARP-1 (113 kDa), the founding member, and PARP-2 (62 kDa) are so far the sole enzymes whose catalytic activity has been shown to be immediately stimulated by DNA strand breaks. A large repertoire of sequences encoding novel PARPs now extends considerably the field of poly(ADP-ribosyl)ation reactions to various aspects of the cell biology including cell proliferation and cell death. Some of these new members interact with each other, share common partners and common subcellular localizations suggesting possible fine tuning in the regulation of this post-translational modification of proteins. This review summarizes our present knowledge of this emerging superfamily, which might ultimately improve pharmacological strategies to enhance both antitumor efficacy and the treatment of a number of inflammatory and neurodegenerative disorders. A provisional nomenclature is proposed. BioEssays 26:882–893, 2004. © 2004 Wiley Periodicals, Inc.","container-title":"BioEssays","DOI":"10.1002/bies.20085","ISSN":"1521-1878","issue":"8","language":"en","note":"_eprint: https://onlinelibrary.wiley.com/doi/pdf/10.1002/bies.20085","page":"882-893","source":"Wiley Online Library","title":"The PARP superfamily","URL":"https://onlinelibrary.wiley.com/doi/abs/10.1002/bies.20085","volume":"26","author":[{"family":"Amé","given":"Jean-Christophe"},{"family":"Spenlehauer","given":"Catherine"},{"family":"Murcia","given":"Gilbert","non-dropping-particle":"de"}],"accessed":{"date-parts":[["2022",3,31]]},"issued":{"date-parts":[["2004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[193]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Также, в зависимости от их каталитической активности, члены семейства </w:t>
      </w:r>
      <w:r w:rsidRPr="00107040">
        <w:rPr>
          <w:rFonts w:ascii="Times New Roman" w:hAnsi="Times New Roman"/>
          <w:sz w:val="28"/>
          <w:szCs w:val="28"/>
          <w:lang w:val="en-US"/>
        </w:rPr>
        <w:t>PARP</w:t>
      </w:r>
      <w:r w:rsidRPr="00107040">
        <w:rPr>
          <w:rFonts w:ascii="Times New Roman" w:hAnsi="Times New Roman"/>
          <w:sz w:val="28"/>
          <w:szCs w:val="28"/>
        </w:rPr>
        <w:t xml:space="preserve"> делятся на: «моно», «поли» или неактивные. Моно (АДФ-рибозил)трансферазы (MART), такие как PARP 3, PARP 4, PARP 6, PARP 10, PARP 14, PARP 15 и PARP 16, катализируют добавление одной единицы АДФ-рибозы к белкам-мишеням путем MAРилирования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{"citationID":"30EXvp1Q","properties":{"formattedCitation":"[182]","plainCitation":"[182]","noteIndex":0},"citationItems":[{"id":212,"uris":["http://zotero.org/users/9078202/items/9IWMSJ37"],"itemData":{"id":212,"type":"article-journal","abstract":"The poly(ADP-ribose) polymerase (PARP) protein family generates ADP-ribose (ADPr) modifications onto target proteins using NAD+ as substrate. Based on the composition of three NAD+ coordinating amino acids, the H-Y-E motif, each PARP is predicted to generate either poly(ADP-ribose) (PAR) or mono(ADP-ribose) (MAR). However, the reaction product of each PARP has not been clearly defined, and is an important priority since PAR and MAR function via distinct mechanisms. Here we show that the majority of PARPs generate MAR, not PAR, and demonstrate that the H-Y-E motif is not the sole indicator of PARP activity. We identify automodification sites on seven PARPs, and demonstrate that MAR and PAR generating PARPs modify similar amino acids, suggesting that the sequence and structural constraints limiting PARPs to MAR synthesis do not limit their ability to modify canonical amino acid targets. In addition, we identify cysteine as a novel amino acid target for ADP-ribosylation on PARPs.","container-title":"Nature communications","DOI":"10.1038/ncomms5426","ISSN":"2041-1723","journalAbbreviation":"Nat Commun","note":"PMID: 25043379\nPMCID: PMC4123609","page":"4426","source":"PubMed Central","title":"Family-wide analysis of poly(ADP-ribose) polymerase activity","URL":"https://www.ncbi.nlm.nih.gov/pmc/articles/PMC4123609/","volume":"5","author":[{"family":"Vyas","given":"Sejal"},{"family":"Matic","given":"Ivan"},{"family":"Uchima","given":"Lilen"},{"family":"Rood","given":"Jenny"},{"family":"Zaja","given":"Roko"},{"family":"Hay","given":"Ronald T."},{"family":"Ahel","given":"Ivan"},{"family":"Chang","given":"Paul"}],"accessed":{"date-parts":[["2022",3,29]]},"issued":{"date-parts":[["2014",7,21]]}}}],"schema":"https://github.com/citation-style-language/schema/raw/master/csl-citation.json"}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Тогда как такие полимеразы, как </w:t>
      </w:r>
      <w:r w:rsidRPr="00107040">
        <w:rPr>
          <w:rFonts w:ascii="Times New Roman" w:hAnsi="Times New Roman"/>
          <w:sz w:val="28"/>
          <w:szCs w:val="28"/>
          <w:lang w:val="en-US"/>
        </w:rPr>
        <w:t>PARP</w:t>
      </w:r>
      <w:r w:rsidRPr="00107040">
        <w:rPr>
          <w:rFonts w:ascii="Times New Roman" w:hAnsi="Times New Roman"/>
          <w:sz w:val="28"/>
          <w:szCs w:val="28"/>
        </w:rPr>
        <w:t xml:space="preserve">-1, </w:t>
      </w:r>
      <w:r w:rsidRPr="00107040">
        <w:rPr>
          <w:rFonts w:ascii="Times New Roman" w:hAnsi="Times New Roman"/>
          <w:sz w:val="28"/>
          <w:szCs w:val="28"/>
          <w:lang w:val="en-US"/>
        </w:rPr>
        <w:t>PARP</w:t>
      </w:r>
      <w:r w:rsidRPr="00107040">
        <w:rPr>
          <w:rFonts w:ascii="Times New Roman" w:hAnsi="Times New Roman"/>
          <w:sz w:val="28"/>
          <w:szCs w:val="28"/>
        </w:rPr>
        <w:t xml:space="preserve">-2, </w:t>
      </w:r>
      <w:r w:rsidRPr="00107040">
        <w:rPr>
          <w:rFonts w:ascii="Times New Roman" w:hAnsi="Times New Roman"/>
          <w:sz w:val="28"/>
          <w:szCs w:val="28"/>
          <w:lang w:val="en-US"/>
        </w:rPr>
        <w:t>PARP</w:t>
      </w:r>
      <w:r w:rsidRPr="00107040">
        <w:rPr>
          <w:rFonts w:ascii="Times New Roman" w:hAnsi="Times New Roman"/>
          <w:sz w:val="28"/>
          <w:szCs w:val="28"/>
        </w:rPr>
        <w:t>-5</w:t>
      </w:r>
      <w:r w:rsidRPr="00107040">
        <w:rPr>
          <w:rFonts w:ascii="Times New Roman" w:hAnsi="Times New Roman"/>
          <w:sz w:val="28"/>
          <w:szCs w:val="28"/>
          <w:lang w:val="en-US"/>
        </w:rPr>
        <w:t>a</w:t>
      </w:r>
      <w:r w:rsidRPr="00107040">
        <w:rPr>
          <w:rFonts w:ascii="Times New Roman" w:hAnsi="Times New Roman"/>
          <w:sz w:val="28"/>
          <w:szCs w:val="28"/>
        </w:rPr>
        <w:t xml:space="preserve"> и </w:t>
      </w:r>
      <w:r w:rsidRPr="00107040">
        <w:rPr>
          <w:rFonts w:ascii="Times New Roman" w:hAnsi="Times New Roman"/>
          <w:sz w:val="28"/>
          <w:szCs w:val="28"/>
          <w:lang w:val="en-US"/>
        </w:rPr>
        <w:t>PARP</w:t>
      </w:r>
      <w:r w:rsidRPr="00107040">
        <w:rPr>
          <w:rFonts w:ascii="Times New Roman" w:hAnsi="Times New Roman"/>
          <w:sz w:val="28"/>
          <w:szCs w:val="28"/>
        </w:rPr>
        <w:t>-5</w:t>
      </w:r>
      <w:r w:rsidRPr="00107040">
        <w:rPr>
          <w:rFonts w:ascii="Times New Roman" w:hAnsi="Times New Roman"/>
          <w:sz w:val="28"/>
          <w:szCs w:val="28"/>
          <w:lang w:val="en-US"/>
        </w:rPr>
        <w:t>b</w:t>
      </w:r>
      <w:r w:rsidRPr="00107040">
        <w:rPr>
          <w:rFonts w:ascii="Times New Roman" w:hAnsi="Times New Roman"/>
          <w:sz w:val="28"/>
          <w:szCs w:val="28"/>
        </w:rPr>
        <w:t xml:space="preserve">, катализируют присоединение звеньев АДФ-рибозы в линейные или разветвленные цепи через </w:t>
      </w:r>
      <w:r w:rsidRPr="00107040">
        <w:rPr>
          <w:rFonts w:ascii="Times New Roman" w:hAnsi="Times New Roman"/>
          <w:sz w:val="28"/>
          <w:szCs w:val="28"/>
          <w:lang w:val="en-US"/>
        </w:rPr>
        <w:t>α</w:t>
      </w:r>
      <w:r w:rsidRPr="00107040">
        <w:rPr>
          <w:rFonts w:ascii="Times New Roman" w:hAnsi="Times New Roman"/>
          <w:sz w:val="28"/>
          <w:szCs w:val="28"/>
        </w:rPr>
        <w:t xml:space="preserve">(1 → 2) </w:t>
      </w:r>
      <w:r w:rsidRPr="00107040">
        <w:rPr>
          <w:rFonts w:ascii="Times New Roman" w:hAnsi="Times New Roman"/>
          <w:sz w:val="28"/>
          <w:szCs w:val="28"/>
          <w:lang w:val="en-US"/>
        </w:rPr>
        <w:t>O</w:t>
      </w:r>
      <w:r w:rsidRPr="00107040">
        <w:rPr>
          <w:rFonts w:ascii="Times New Roman" w:hAnsi="Times New Roman"/>
          <w:sz w:val="28"/>
          <w:szCs w:val="28"/>
        </w:rPr>
        <w:t xml:space="preserve">-гликозидные связи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{"citationID":"coX74cDH","properties":{"formattedCitation":"[183]","plainCitation":"[183]","noteIndex":0},"citationItems":[{"id":227,"uris":["http://zotero.org/users/9078202/items/FV5GVZH3"],"itemData":{"id":227,"type":"article-journal","abstract":"Poly(ADP-ribosyl)ation (PARylation) is a post-translational modification in which ADP-ribose units are added to Glu, Asp and Lys residues of target (or acceptor) proteins by members of the poly(ADP-ribose) polymerase (PARP) family. Seventeen PARP family members have been identified on the basis of homology to PARP1, which is the founding member of the PARP family.PARylation is important for cellular signalling pathways, cytoplasmic and nuclear functions and the response to cellular stress.A number of proteins with poly(ADP-ribose) (PAR) degrading activities have been characterized, such as the endo- and exoglycohydrolase poly(ADP-ribose) glycohydrolase (PARG). PARG promotes the rapid catabolic destruction of PAR almost immediately after synthesis, thus allowing temporal control of PAR functions.Recognition of and binding to PAR occurs through four distinct protein modules: PAR-binding motifs (PBMs), PAR-binding zinc-finger (PBZ) domains, macrodomain folds and WWE domains. Some of these domains are found in PARPs themselves.New evidence has shown that the activation and destruction of PAR modifications can alter protein substrate specificity, localization and stability, and these findings implicate PARPs as a promising target for therapeutic intervention in human disease.The key mechanisms by which PARylation regulates many cellular responses include the inhibition of protein–protein or protein–DNA interactions, nucleation of protein localization and interaction scaffolds, as well as the regulation of other protein modifications, such as ubiquitylation.The involvement of PARP proteins in DNA damage detection and repair, telomere maintenance, and stress responses and recovery gives hope for the use of PARP inhibition as a means for selective 'next generation' therapies for cancer, as well as stress-related diseases that exhibit pro-inflammatory signatures (for example, cardiovascular diseases, stroke, metabolic disorders, diabetes, and autoimmunity). As such, PARPs have recently been targeted with small molecules in clinical trials for a number of human diseases.","container-title":"Nature Reviews Molecular Cell Biology","DOI":"10.1038/nrm3376","ISSN":"1471-0080","issue":"7","journalAbbreviation":"Nat Rev Mol Cell Biol","language":"en","license":"2012 Nature Publishing Group, a division of Macmillan Publishers Limited. All Rights Reserved.","note":"number: 7\npublisher: Nature Publishing Group","page":"411-424","source":"www.nature.com","title":"New insights into the molecular and cellular functions of poly(ADP-ribose) and PARPs","URL":"https://www.nature.com/articles/nrm3376","volume":"13","author":[{"family":"Gibson","given":"Bryan A."},{"family":"Kraus","given":"W. Lee"}],"accessed":{"date-parts":[["2022",3,29]]},"issued":{"date-parts":[["2012",7]]}}}],"schema":"https://github.com/citation-style-language/schema/raw/master/csl-citation.json"}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Для </w:t>
      </w:r>
      <w:r w:rsidRPr="00107040">
        <w:rPr>
          <w:rFonts w:ascii="Times New Roman" w:hAnsi="Times New Roman"/>
          <w:sz w:val="28"/>
          <w:szCs w:val="28"/>
          <w:lang w:val="en-US"/>
        </w:rPr>
        <w:t>PARP</w:t>
      </w:r>
      <w:r w:rsidRPr="00107040">
        <w:rPr>
          <w:rFonts w:ascii="Times New Roman" w:hAnsi="Times New Roman"/>
          <w:sz w:val="28"/>
          <w:szCs w:val="28"/>
        </w:rPr>
        <w:t xml:space="preserve">-9 и </w:t>
      </w:r>
      <w:r w:rsidRPr="00107040">
        <w:rPr>
          <w:rFonts w:ascii="Times New Roman" w:hAnsi="Times New Roman"/>
          <w:sz w:val="28"/>
          <w:szCs w:val="28"/>
          <w:lang w:val="en-US"/>
        </w:rPr>
        <w:t>PARP</w:t>
      </w:r>
      <w:r w:rsidRPr="00107040">
        <w:rPr>
          <w:rFonts w:ascii="Times New Roman" w:hAnsi="Times New Roman"/>
          <w:sz w:val="28"/>
          <w:szCs w:val="28"/>
        </w:rPr>
        <w:t xml:space="preserve">-13 ферментативная активность не описана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{"citationID":"j8PPTOHF","properties":{"formattedCitation":"[182]","plainCitation":"[182]","noteIndex":0},"citationItems":[{"id":212,"uris":["http://zotero.org/users/9078202/items/9IWMSJ37"],"itemData":{"id":212,"type":"article-journal","abstract":"The poly(ADP-ribose) polymerase (PARP) protein family generates ADP-ribose (ADPr) modifications onto target proteins using NAD+ as substrate. Based on the composition of three NAD+ coordinating amino acids, the H-Y-E motif, each PARP is predicted to generate either poly(ADP-ribose) (PAR) or mono(ADP-ribose) (MAR). However, the reaction product of each PARP has not been clearly defined, and is an important priority since PAR and MAR function via distinct mechanisms. Here we show that the majority of PARPs generate MAR, not PAR, and demonstrate that the H-Y-E motif is not the sole indicator of PARP activity. We identify automodification sites on seven PARPs, and demonstrate that MAR and PAR generating PARPs modify similar amino acids, suggesting that the sequence and structural constraints limiting PARPs to MAR synthesis do not limit their ability to modify canonical amino acid targets. In addition, we identify cysteine as a novel amino acid target for ADP-ribosylation on PARPs.","container-title":"Nature communications","DOI":"10.1038/ncomms5426","ISSN":"2041-1723","journalAbbreviation":"Nat Commun","note":"PMID: 25043379\nPMCID: PMC4123609","page":"4426","source":"PubMed Central","title":"Family-wide analysis of poly(ADP-ribose) polymerase activity","URL":"https://www.ncbi.nlm.nih.gov/pmc/articles/PMC4123609/","volume":"5","author":[{"family":"Vyas","given":"Sejal"},{"family":"Matic","given":"Ivan"},{"family":"Uchima","given":"Lilen"},{"family":"Rood","given":"Jenny"},{"family":"Zaja","given":"Roko"},{"family":"Hay","given":"Ronald T."},{"family":"Ahel","given":"Ivan"},{"family":"Chang","given":"Paul"}],"accessed":{"date-parts":[["2022",3,29]]},"issued":{"date-parts":[["2014",7,21]]}}}],"schema":"https://github.com/citation-style-language/schema/raw/master/csl-citation.json"}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[182]</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51DD0BED" w14:textId="12BE2FD2"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lastRenderedPageBreak/>
        <w:t xml:space="preserve">Фермент </w:t>
      </w:r>
      <w:r w:rsidRPr="00107040">
        <w:rPr>
          <w:rFonts w:ascii="Times New Roman" w:hAnsi="Times New Roman"/>
          <w:sz w:val="28"/>
          <w:szCs w:val="28"/>
          <w:lang w:val="en-US"/>
        </w:rPr>
        <w:t>PARP</w:t>
      </w:r>
      <w:r w:rsidRPr="00107040">
        <w:rPr>
          <w:rFonts w:ascii="Times New Roman" w:hAnsi="Times New Roman"/>
          <w:sz w:val="28"/>
          <w:szCs w:val="28"/>
        </w:rPr>
        <w:t xml:space="preserve">1 является одним из наиболее распространенных и хорошо изученных представителей семейства </w:t>
      </w:r>
      <w:r w:rsidRPr="00107040">
        <w:rPr>
          <w:rFonts w:ascii="Times New Roman" w:hAnsi="Times New Roman"/>
          <w:sz w:val="28"/>
          <w:szCs w:val="28"/>
          <w:lang w:val="en-US"/>
        </w:rPr>
        <w:t>PARP</w:t>
      </w:r>
      <w:r w:rsidRPr="00107040">
        <w:rPr>
          <w:rFonts w:ascii="Times New Roman" w:hAnsi="Times New Roman"/>
          <w:sz w:val="28"/>
          <w:szCs w:val="28"/>
        </w:rPr>
        <w:t xml:space="preserve">. Этот белок расположен в ядре и состоит из шести доменов, которые необходимы для связывания ДНК, самомодификации, белок-белковых взаимодействий и ПАРилирующей каталитической активности. </w:t>
      </w:r>
      <w:r w:rsidRPr="00107040">
        <w:rPr>
          <w:rFonts w:ascii="Times New Roman" w:hAnsi="Times New Roman"/>
          <w:sz w:val="28"/>
          <w:szCs w:val="28"/>
          <w:lang w:val="en-US"/>
        </w:rPr>
        <w:t>PARP</w:t>
      </w:r>
      <w:r w:rsidRPr="00107040">
        <w:rPr>
          <w:rFonts w:ascii="Times New Roman" w:hAnsi="Times New Roman"/>
          <w:sz w:val="28"/>
          <w:szCs w:val="28"/>
        </w:rPr>
        <w:t xml:space="preserve">1 отвечает за большую часть ПАРилирующей активности в клетке, около 80-90%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{"citationID":"8sBzvdix","properties":{"formattedCitation":"[194]","plainCitation":"[194]","noteIndex":0},"citationItems":[{"id":205,"uris":["http://zotero.org/users/9078202/items/BTM7WSIY"],"itemData":{"id":205,"type":"article-journal","abstract":"Poly(ADP-ribose) polymerase (PARP) (EC 2.4.2.30), the only enzyme known to synthesize ADP-ribose polymers from NAD+, is activated in response to DNA strand breaks and functions in the maintenance of genomic integrity. Mice homozygous for a disrupted gene encoding PARP are viable but have severe sensitivity to gamma-radiation and alkylating agents. We demonstrate here that both 3T3 and primary embryo cells derived from PARP-/- mice synthesized ADP-ribose polymers following treatment with the DNA-damaging agent, N-methyl-N'-nitro-N-nitrosoguanidine, despite the fact that no PARP protein was detected in these cells. ADP-ribose polymers isolated from PARP-/- cells were indistinguishable from that of PARP+/+ cells by several criteria. First, they bound to a boronate resin selective for ADP-ribose polymers. Second, treatment of polymers with snake venom phosphodiesterase and alkaline phosphatase yielded ribosyladenosine, a nucleoside diagnostic for the unique ribosyl-ribosyl linkages of ADP-ribose polymers. Third, they were digested by treatment with recombinant poly(ADP-ribose) glycohydrolase, an enzyme highly specific for ADP-ribose polymers. Collectively, these data demonstrate that ADP-ribose polymers are formed in PARP-/- cells in a DNA damage-dependent manner. Because the PARP gene has been disrupted, these results suggest the presence of a previously unreported activity capable of synthesizing ADP-ribose polymers in PARP-/- cells.","container-title":"The Journal of Biological Chemistry","DOI":"10.1074/jbc.273.46.30069","ISSN":"0021-9258","issue":"46","journalAbbreviation":"J Biol Chem","language":"eng","note":"PMID: 9804757","page":"30069-30072","source":"PubMed","title":"Poly(ADP-ribose) polymerase null mouse cells synthesize ADP-ribose polymers","volume":"273","author":[{"family":"Shieh","given":"W. M."},{"family":"Amé","given":"J. C."},{"family":"Wilson","given":"M. V."},{"family":"Wang","given":"Z. Q."},{"family":"Koh","given":"D. W."},{"family":"Jacobson","given":"M. K."},{"family":"Jacobson","given":"E. L."}],"issued":{"date-parts":[["1998",11,13]]}}}],"schema":"https://github.com/citation-style-language/schema/raw/master/csl-citation.json"}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[194]</w:t>
      </w:r>
      <w:r w:rsidRPr="00107040">
        <w:rPr>
          <w:rFonts w:ascii="Times New Roman" w:hAnsi="Times New Roman"/>
          <w:sz w:val="28"/>
          <w:szCs w:val="28"/>
          <w:lang w:val="en-US"/>
        </w:rPr>
        <w:fldChar w:fldCharType="end"/>
      </w:r>
      <w:r w:rsidRPr="00107040">
        <w:rPr>
          <w:rFonts w:ascii="Times New Roman" w:hAnsi="Times New Roman"/>
          <w:sz w:val="28"/>
          <w:szCs w:val="28"/>
        </w:rPr>
        <w:t>. Первоначально PARP1 характеризовался важным игроком в ответ на повреждение ДНК и процесс</w:t>
      </w:r>
      <w:r w:rsidRPr="00107040">
        <w:rPr>
          <w:rFonts w:ascii="Times New Roman" w:hAnsi="Times New Roman"/>
          <w:sz w:val="28"/>
          <w:szCs w:val="28"/>
          <w:lang w:val="kk-KZ"/>
        </w:rPr>
        <w:t>а</w:t>
      </w:r>
      <w:r w:rsidRPr="00107040">
        <w:rPr>
          <w:rFonts w:ascii="Times New Roman" w:hAnsi="Times New Roman"/>
          <w:sz w:val="28"/>
          <w:szCs w:val="28"/>
        </w:rPr>
        <w:t xml:space="preserve"> репарации. Из-за отрицательного заряда ПАРилированного белка и стерических затруднений ПАРилирование может привести к ускоренной диссоциации модифицированных белков от ДНК. Примером такой диссоциации является ПАРилирование гистона H1 с помощью PARP1 и ПАРилирование гистона H2B с помощью PARP2. Эти модификации белка ДНК приводят к релаксации хроматина, что необходимо для репликации, транскрипции и репарации ДНК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{"citationID":"Wr2KDTVm","properties":{"formattedCitation":"[195\\uc0\\u8211{}197]","plainCitation":"[195–197]","noteIndex":0},"citationItems":[{"id":204,"uris":["http://zotero.org/users/9078202/items/6P8XKIC4"],"itemData":{"id":204,"type":"article-journal","abstract":"When rat pancreatic polynucleosomes were poly(ADP-ribosyl)ated with purified calf thymus poly(ADP-ribose) polymerase and examined by electron microscopy, a relaxation of their native zigzag structure was observed. At high ionic strengths control nucleosomes condensed into 250-A-thick fibers, but poly(ADP-ribosyl)ated polynucleosomes did not; they showed a close resemblance to chromatin depleted of histone H1. The relaxed state of poly(ADP-ribosyl)ated polynucleosomes was also confirmed by sedimentation velocity analysis. Histone H1 was found to be the major histone acceptor of poly(ADP-ribose). Poly(ADP-ribose) linked to histone H1 did not seem to cause its dissociation from the chromatin, but it impaired significantly its effect on chromatin condensation.","container-title":"Proceedings of the National Academy of Sciences of the United States of America","DOI":"10.1073/pnas.79.11.3423","ISSN":"0027-8424","issue":"11","journalAbbreviation":"Proc Natl Acad Sci U S A","language":"eng","note":"PMID: 6808510\nPMCID: PMC346432","page":"3423-3427","source":"PubMed","title":"Poly(ADP-ribosyl)ation of polynucleosomes causes relaxation of chromatin structure","volume":"79","author":[{"family":"Poirier","given":"G. G."},{"family":"Murcia","given":"G.","non-dropping-particle":"de"},{"family":"Jongstra-Bilen","given":"J."},{"family":"Niedergang","given":"C."},{"family":"Mandel","given":"P."}],"issued":{"date-parts":[["1982",6]]}}},{"id":203,"uris":["http://zotero.org/users/9078202/items/SWZSYDIP"],"itemData":{"id":203,"type":"article-journal","abstract":"The abundant nuclear enzyme PARP-1, a multifunctional regulator of chromatin structure, transcription, and genomic integrity, plays key roles in a wide variety of processes in the nucleus. Recent studies have begun to connect the molecular functions of PARP-1 to specific physiological and pathological outcomes, many of which can be altered by an expanding array of chemical inhibitors of PARP enzymatic activity.","container-title":"Molecular Cell","DOI":"10.1016/j.molcel.2010.06.017","ISSN":"1097-4164","issue":"1","journalAbbreviation":"Mol Cell","language":"eng","note":"PMID: 20603072\nPMCID: PMC2923840","page":"8-24","source":"PubMed","title":"The PARP side of the nucleus: molecular actions, physiological outcomes, and clinical targets","title-short":"The PARP side of the nucleus","volume":"39","author":[{"family":"Krishnakumar","given":"Raga"},{"family":"Kraus","given":"W. Lee"}],"issued":{"date-parts":[["2010",7,9]]}}},{"id":202,"uris":["http://zotero.org/users/9078202/items/UCWJ6CPH"],"itemData":{"id":202,"type":"article-journal","abstract":"PARP-1 is an abundant nuclear enzyme that regulates gene expression, although the underlying mechanisms are unclear. We examined the interplay between PARP-1, histone 3 lysine 4 trimethylation (H3K4me3), and linker histone H1 in the chromatin-dependent control of transcription. We show that PARP-1 is required for a series of molecular outcomes at the promoters of PARP-1-regulated genes, leading to a permissive chromatin environment that allows loading of the RNA Pol II machinery. PARP-1 does so by (1) preventing demethylation of H3K4me3 through the PARylation, inhibition, and exclusion of the histone demethylase KDM5B; and (2) promoting the exclusion of H1 and the opening of promoter chromatin. Upon depletion of PARP-1, these outcomes do not occur efficiently. Interestingly, cellular signaling pathways can use the regulated depletion of PARP-1 to modulate these chromatin-related molecular outcomes. Collectively, our results help to elucidate the roles of PARP-1 in the regulation of chromatin structure and transcription.","container-title":"Molecular Cell","DOI":"10.1016/j.molcel.2010.08.014","ISSN":"1097-4164","issue":"5","journalAbbreviation":"Mol Cell","language":"eng","note":"PMID: 20832725\nPMCID: PMC2939044","page":"736-749","source":"PubMed","title":"PARP-1 regulates chromatin structure and transcription through a KDM5B-dependent pathway","volume":"39","author":[{"family":"Krishnakumar","given":"Raga"},{"family":"Kraus","given":"W. Lee"}],"issued":{"date-parts":[["2010",9,10]]}}}],"schema":"https://github.com/citation-style-language/schema/raw/master/csl-citation.json"}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[195–197]</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Впоследствии список известных биологических функций </w:t>
      </w:r>
      <w:r w:rsidRPr="00107040">
        <w:rPr>
          <w:rFonts w:ascii="Times New Roman" w:hAnsi="Times New Roman"/>
          <w:sz w:val="28"/>
          <w:szCs w:val="28"/>
          <w:lang w:val="en-US"/>
        </w:rPr>
        <w:t>PARP</w:t>
      </w:r>
      <w:r w:rsidRPr="00107040">
        <w:rPr>
          <w:rFonts w:ascii="Times New Roman" w:hAnsi="Times New Roman"/>
          <w:sz w:val="28"/>
          <w:szCs w:val="28"/>
        </w:rPr>
        <w:t xml:space="preserve">1 был дополнен такими функциями, как регуляция структуры хроматина, транскрипция, стрессовые реакции, участие в различных физиологических процессах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{"citationID":"SOcYKQVD","properties":{"formattedCitation":"[198]","plainCitation":"[198]","noteIndex":0},"citationItems":[{"id":201,"uris":["http://zotero.org/users/9078202/items/7JQ6KDIV"],"itemData":{"id":201,"type":"article-journal","abstract":"Over 50 years ago, the discovery of poly(ADP-ribose) (PAR) set a new field of science in motion-the field of poly(ADP-ribosyl) transferases (PARPs) and ADP-ribosylation. The field is still flourishing today. The diversity of biological processes now known to require PARPs and ADP-ribosylation was practically unimaginable even two decades ago. From an initial focus on DNA damage detection and repair in response to genotoxic stresses, the field has expanded to include the regulation of chromatin structure, gene expression, and RNA processing in a wide range of biological systems, including reproduction, development, aging, stem cells, inflammation, metabolism, and cancer. This special focus issue of Molecular Cell includes a collection of three Reviews, three Perspectives, and a SnapShot, which together summarize the current state of the field and suggest where it may be headed.","container-title":"Molecular Cell","DOI":"10.1016/j.molcel.2015.06.006","ISSN":"1097-4164","issue":"6","journalAbbreviation":"Mol Cell","language":"eng","note":"PMID: 26091339\nPMCID: PMC4477203","page":"902-910","source":"PubMed","title":"PARPs and ADP-Ribosylation: 50 Years … and Counting","title-short":"PARPs and ADP-Ribosylation","volume":"58","author":[{"family":"Kraus","given":"W. Lee"}],"issued":{"date-parts":[["2015",6,18]]}}}],"schema":"https://github.com/citation-style-language/schema/raw/master/csl-citation.json"}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[198]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Более того, дополнительно подтверждена роль </w:t>
      </w:r>
      <w:r w:rsidRPr="00107040">
        <w:rPr>
          <w:rFonts w:ascii="Times New Roman" w:hAnsi="Times New Roman"/>
          <w:sz w:val="28"/>
          <w:szCs w:val="28"/>
          <w:lang w:val="en-US"/>
        </w:rPr>
        <w:t>PARP</w:t>
      </w:r>
      <w:r w:rsidRPr="00107040">
        <w:rPr>
          <w:rFonts w:ascii="Times New Roman" w:hAnsi="Times New Roman"/>
          <w:sz w:val="28"/>
          <w:szCs w:val="28"/>
        </w:rPr>
        <w:t xml:space="preserve">1 в таких нормальных физиологических условиях, как регуляция экспрессии генов, РНК и процессов в цитоплазме. Недавно было установлено, что </w:t>
      </w:r>
      <w:r w:rsidRPr="00107040">
        <w:rPr>
          <w:rFonts w:ascii="Times New Roman" w:hAnsi="Times New Roman"/>
          <w:sz w:val="28"/>
          <w:szCs w:val="28"/>
          <w:lang w:val="en-US"/>
        </w:rPr>
        <w:t>PARP</w:t>
      </w:r>
      <w:r w:rsidRPr="00107040">
        <w:rPr>
          <w:rFonts w:ascii="Times New Roman" w:hAnsi="Times New Roman"/>
          <w:sz w:val="28"/>
          <w:szCs w:val="28"/>
        </w:rPr>
        <w:t xml:space="preserve">1 действует как сенсор для нелигированных фрагментов Окадзаки во время репликации ДНК в нормальных клетках </w:t>
      </w:r>
      <w:r w:rsidRPr="00107040">
        <w:rPr>
          <w:rFonts w:ascii="Times New Roman" w:hAnsi="Times New Roman"/>
          <w:sz w:val="28"/>
          <w:szCs w:val="28"/>
          <w:lang w:val="en-US"/>
        </w:rPr>
        <w:t>S</w:t>
      </w:r>
      <w:r w:rsidRPr="00107040">
        <w:rPr>
          <w:rFonts w:ascii="Times New Roman" w:hAnsi="Times New Roman"/>
          <w:sz w:val="28"/>
          <w:szCs w:val="28"/>
        </w:rPr>
        <w:t xml:space="preserve">-фазы, что способствует их созреванию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{"citationID":"3Tg422b9","properties":{"formattedCitation":"[199]","plainCitation":"[199]","noteIndex":0},"citationItems":[{"id":200,"uris":["http://zotero.org/users/9078202/items/XQUM8AZ2"],"itemData":{"id":200,"type":"article-journal","abstract":"Poly(ADP-ribose) is synthesized by PARP enzymes during the repair of stochastic DNA breaks. Surprisingly, however, we show that most if not all endogenous poly(ADP-ribose) is detected in normal S phase cells at sites of DNA replication. This S phase poly(ADP-ribose) does not result from damaged or misincorporated nucleotides or from DNA replication stress. Rather, perturbation of the DNA replication proteins LIG1 or FEN1 increases S phase poly(ADP-ribose) more than 10-fold, implicating unligated Okazaki fragments as the source of S phase PARP activity. Indeed, S phase PARP activity is ablated by suppressing Okazaki fragment formation with emetine, a DNA replication inhibitor that selectively inhibits lagging strand synthesis. Importantly, PARP activation during DNA replication recruits the single-strand break repair protein XRCC1, and human cells lacking PARP activity and/or XRCC1 are hypersensitive to FEN1 perturbation. Collectively, our data indicate that PARP1 is a sensor of unligated Okazaki fragments during DNA replication and facilitates their repair.","container-title":"Molecular Cell","DOI":"10.1016/j.molcel.2018.06.004","ISSN":"1097-4164","issue":"2","journalAbbreviation":"Mol Cell","language":"eng","note":"PMID: 29983321\nPMCID: PMC6060609","page":"319-331.e3","source":"PubMed","title":"The Importance of Poly(ADP-Ribose) Polymerase as a Sensor of Unligated Okazaki Fragments during DNA Replication","volume":"71","author":[{"family":"Hanzlikova","given":"Hana"},{"family":"Kalasova","given":"Ilona"},{"family":"Demin","given":"Annie A."},{"family":"Pennicott","given":"Lewis E."},{"family":"Cihlarova","given":"Zuzana"},{"family":"Caldecott","given":"Keith W."}],"issued":{"date-parts":[["2018",7,19]]}}}],"schema":"https://github.com/citation-style-language/schema/raw/master/csl-citation.json"}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[199]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 клетках с дефицитом </w:t>
      </w:r>
      <w:r w:rsidRPr="00107040">
        <w:rPr>
          <w:rFonts w:ascii="Times New Roman" w:hAnsi="Times New Roman"/>
          <w:sz w:val="28"/>
          <w:szCs w:val="28"/>
          <w:lang w:val="en-US"/>
        </w:rPr>
        <w:t>PARP</w:t>
      </w:r>
      <w:r w:rsidRPr="00107040">
        <w:rPr>
          <w:rFonts w:ascii="Times New Roman" w:hAnsi="Times New Roman"/>
          <w:sz w:val="28"/>
          <w:szCs w:val="28"/>
        </w:rPr>
        <w:t xml:space="preserve">1 (эмбриональные фибробласты, полученные от мышей с нокаутом </w:t>
      </w:r>
      <w:r w:rsidRPr="00107040">
        <w:rPr>
          <w:rFonts w:ascii="Times New Roman" w:hAnsi="Times New Roman"/>
          <w:sz w:val="28"/>
          <w:szCs w:val="28"/>
          <w:lang w:val="en-US"/>
        </w:rPr>
        <w:t>PARP</w:t>
      </w:r>
      <w:r w:rsidRPr="00107040">
        <w:rPr>
          <w:rFonts w:ascii="Times New Roman" w:hAnsi="Times New Roman"/>
          <w:sz w:val="28"/>
          <w:szCs w:val="28"/>
        </w:rPr>
        <w:t xml:space="preserve">1) оставшаяся АДФ-рибозилирующая активность осуществляется другими активными членами </w:t>
      </w:r>
      <w:r w:rsidRPr="00107040">
        <w:rPr>
          <w:rFonts w:ascii="Times New Roman" w:hAnsi="Times New Roman"/>
          <w:sz w:val="28"/>
          <w:szCs w:val="28"/>
          <w:lang w:val="en-US"/>
        </w:rPr>
        <w:t>PARP</w:t>
      </w:r>
      <w:r w:rsidRPr="00107040">
        <w:rPr>
          <w:rFonts w:ascii="Times New Roman" w:hAnsi="Times New Roman"/>
          <w:sz w:val="28"/>
          <w:szCs w:val="28"/>
        </w:rPr>
        <w:t>, которые имеют высококонсервативный каталитически активный (</w:t>
      </w:r>
      <w:r w:rsidRPr="00107040">
        <w:rPr>
          <w:rFonts w:ascii="Times New Roman" w:hAnsi="Times New Roman"/>
          <w:sz w:val="28"/>
          <w:szCs w:val="28"/>
          <w:lang w:val="en-US"/>
        </w:rPr>
        <w:t>CD</w:t>
      </w:r>
      <w:r w:rsidRPr="00107040">
        <w:rPr>
          <w:rFonts w:ascii="Times New Roman" w:hAnsi="Times New Roman"/>
          <w:sz w:val="28"/>
          <w:szCs w:val="28"/>
        </w:rPr>
        <w:t xml:space="preserve">) домен (характеристика </w:t>
      </w:r>
      <w:r w:rsidRPr="00107040">
        <w:rPr>
          <w:rFonts w:ascii="Times New Roman" w:hAnsi="Times New Roman"/>
          <w:sz w:val="28"/>
          <w:szCs w:val="28"/>
          <w:lang w:val="en-US"/>
        </w:rPr>
        <w:t>PARP</w:t>
      </w:r>
      <w:r w:rsidRPr="00107040">
        <w:rPr>
          <w:rFonts w:ascii="Times New Roman" w:hAnsi="Times New Roman"/>
          <w:sz w:val="28"/>
          <w:szCs w:val="28"/>
        </w:rPr>
        <w:t xml:space="preserve">), но которые могут или не могут иметь структурного сходства или локализации с </w:t>
      </w:r>
      <w:r w:rsidRPr="00107040">
        <w:rPr>
          <w:rFonts w:ascii="Times New Roman" w:hAnsi="Times New Roman"/>
          <w:sz w:val="28"/>
          <w:szCs w:val="28"/>
          <w:lang w:val="en-US"/>
        </w:rPr>
        <w:t>PARP</w:t>
      </w:r>
      <w:r w:rsidRPr="00107040">
        <w:rPr>
          <w:rFonts w:ascii="Times New Roman" w:hAnsi="Times New Roman"/>
          <w:sz w:val="28"/>
          <w:szCs w:val="28"/>
        </w:rPr>
        <w:t>1. Этот каталитический домен состоит из спирального регуляторного (</w:t>
      </w:r>
      <w:r w:rsidRPr="00107040">
        <w:rPr>
          <w:rFonts w:ascii="Times New Roman" w:hAnsi="Times New Roman"/>
          <w:sz w:val="28"/>
          <w:szCs w:val="28"/>
          <w:lang w:val="en-US"/>
        </w:rPr>
        <w:t>HD</w:t>
      </w:r>
      <w:r w:rsidRPr="00107040">
        <w:rPr>
          <w:rFonts w:ascii="Times New Roman" w:hAnsi="Times New Roman"/>
          <w:sz w:val="28"/>
          <w:szCs w:val="28"/>
        </w:rPr>
        <w:t>) и домена АДФ-рибозилтрансферазы (</w:t>
      </w:r>
      <w:r w:rsidRPr="00107040">
        <w:rPr>
          <w:rFonts w:ascii="Times New Roman" w:hAnsi="Times New Roman"/>
          <w:sz w:val="28"/>
          <w:szCs w:val="28"/>
          <w:lang w:val="en-US"/>
        </w:rPr>
        <w:t>ART</w:t>
      </w:r>
      <w:r w:rsidRPr="00107040">
        <w:rPr>
          <w:rFonts w:ascii="Times New Roman" w:hAnsi="Times New Roman"/>
          <w:sz w:val="28"/>
          <w:szCs w:val="28"/>
        </w:rPr>
        <w:t xml:space="preserve">), ответственного за каталитическую активность, который также присутствует в </w:t>
      </w:r>
      <w:r w:rsidRPr="00107040">
        <w:rPr>
          <w:rFonts w:ascii="Times New Roman" w:hAnsi="Times New Roman"/>
          <w:sz w:val="28"/>
          <w:szCs w:val="28"/>
          <w:lang w:val="en-US"/>
        </w:rPr>
        <w:t>PARP</w:t>
      </w:r>
      <w:r w:rsidRPr="00107040">
        <w:rPr>
          <w:rFonts w:ascii="Times New Roman" w:hAnsi="Times New Roman"/>
          <w:sz w:val="28"/>
          <w:szCs w:val="28"/>
        </w:rPr>
        <w:t xml:space="preserve">2 и </w:t>
      </w:r>
      <w:r w:rsidRPr="00107040">
        <w:rPr>
          <w:rFonts w:ascii="Times New Roman" w:hAnsi="Times New Roman"/>
          <w:sz w:val="28"/>
          <w:szCs w:val="28"/>
          <w:lang w:val="en-US"/>
        </w:rPr>
        <w:t>PARP</w:t>
      </w:r>
      <w:r w:rsidRPr="00107040">
        <w:rPr>
          <w:rFonts w:ascii="Times New Roman" w:hAnsi="Times New Roman"/>
          <w:sz w:val="28"/>
          <w:szCs w:val="28"/>
        </w:rPr>
        <w:t>3.</w:t>
      </w:r>
    </w:p>
    <w:p w14:paraId="281F74EA" w14:textId="7671406C"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На </w:t>
      </w:r>
      <w:r w:rsidRPr="00107040">
        <w:rPr>
          <w:rFonts w:ascii="Times New Roman" w:hAnsi="Times New Roman"/>
          <w:sz w:val="28"/>
          <w:szCs w:val="28"/>
          <w:lang w:val="en-US"/>
        </w:rPr>
        <w:t>PARP</w:t>
      </w:r>
      <w:r w:rsidRPr="00107040">
        <w:rPr>
          <w:rFonts w:ascii="Times New Roman" w:hAnsi="Times New Roman"/>
          <w:sz w:val="28"/>
          <w:szCs w:val="28"/>
        </w:rPr>
        <w:t xml:space="preserve">2 приходится ~ 10 % активности ПАРилирования в клетке. </w:t>
      </w:r>
      <w:r w:rsidRPr="00107040">
        <w:rPr>
          <w:rFonts w:ascii="Times New Roman" w:hAnsi="Times New Roman"/>
          <w:sz w:val="28"/>
          <w:szCs w:val="28"/>
          <w:lang w:val="en-US"/>
        </w:rPr>
        <w:t>PARP</w:t>
      </w:r>
      <w:r w:rsidRPr="00107040">
        <w:rPr>
          <w:rFonts w:ascii="Times New Roman" w:hAnsi="Times New Roman"/>
          <w:sz w:val="28"/>
          <w:szCs w:val="28"/>
        </w:rPr>
        <w:t xml:space="preserve">2 распознает и связывает </w:t>
      </w:r>
      <w:r w:rsidRPr="00107040">
        <w:rPr>
          <w:rFonts w:ascii="Times New Roman" w:hAnsi="Times New Roman"/>
          <w:sz w:val="28"/>
          <w:szCs w:val="28"/>
          <w:lang w:val="en-US"/>
        </w:rPr>
        <w:t>DSB</w:t>
      </w:r>
      <w:r w:rsidRPr="00107040">
        <w:rPr>
          <w:rFonts w:ascii="Times New Roman" w:hAnsi="Times New Roman"/>
          <w:sz w:val="28"/>
          <w:szCs w:val="28"/>
        </w:rPr>
        <w:t xml:space="preserve"> или </w:t>
      </w:r>
      <w:r w:rsidRPr="00107040">
        <w:rPr>
          <w:rFonts w:ascii="Times New Roman" w:hAnsi="Times New Roman"/>
          <w:sz w:val="28"/>
          <w:szCs w:val="28"/>
          <w:lang w:val="en-US"/>
        </w:rPr>
        <w:t>SSB</w:t>
      </w:r>
      <w:r w:rsidRPr="00107040">
        <w:rPr>
          <w:rFonts w:ascii="Times New Roman" w:hAnsi="Times New Roman"/>
          <w:sz w:val="28"/>
          <w:szCs w:val="28"/>
        </w:rPr>
        <w:t xml:space="preserve">. Двойной нокаут </w:t>
      </w:r>
      <w:r w:rsidRPr="00107040">
        <w:rPr>
          <w:rFonts w:ascii="Times New Roman" w:hAnsi="Times New Roman"/>
          <w:i/>
          <w:sz w:val="28"/>
          <w:szCs w:val="28"/>
          <w:lang w:val="en-US"/>
        </w:rPr>
        <w:t>Parp</w:t>
      </w:r>
      <w:r w:rsidRPr="00107040">
        <w:rPr>
          <w:rFonts w:ascii="Times New Roman" w:hAnsi="Times New Roman"/>
          <w:i/>
          <w:sz w:val="28"/>
          <w:szCs w:val="28"/>
        </w:rPr>
        <w:t>1</w:t>
      </w:r>
      <w:r w:rsidRPr="00107040">
        <w:rPr>
          <w:rFonts w:ascii="Times New Roman" w:hAnsi="Times New Roman"/>
          <w:i/>
          <w:sz w:val="28"/>
          <w:szCs w:val="28"/>
          <w:vertAlign w:val="superscript"/>
        </w:rPr>
        <w:t>-/-</w:t>
      </w:r>
      <w:r w:rsidRPr="00107040">
        <w:rPr>
          <w:rFonts w:ascii="Times New Roman" w:hAnsi="Times New Roman"/>
          <w:i/>
          <w:sz w:val="28"/>
          <w:szCs w:val="28"/>
          <w:lang w:val="en-US"/>
        </w:rPr>
        <w:t>Parp</w:t>
      </w:r>
      <w:r w:rsidRPr="00107040">
        <w:rPr>
          <w:rFonts w:ascii="Times New Roman" w:hAnsi="Times New Roman"/>
          <w:i/>
          <w:sz w:val="28"/>
          <w:szCs w:val="28"/>
        </w:rPr>
        <w:t>2</w:t>
      </w:r>
      <w:r w:rsidRPr="00107040">
        <w:rPr>
          <w:rFonts w:ascii="Times New Roman" w:hAnsi="Times New Roman"/>
          <w:i/>
          <w:sz w:val="28"/>
          <w:szCs w:val="28"/>
          <w:vertAlign w:val="superscript"/>
        </w:rPr>
        <w:t>-/-</w:t>
      </w:r>
      <w:r w:rsidRPr="00107040">
        <w:rPr>
          <w:rFonts w:ascii="Times New Roman" w:hAnsi="Times New Roman"/>
          <w:sz w:val="28"/>
          <w:szCs w:val="28"/>
          <w:vertAlign w:val="superscript"/>
        </w:rPr>
        <w:t xml:space="preserve"> </w:t>
      </w:r>
      <w:r w:rsidRPr="00107040">
        <w:rPr>
          <w:rFonts w:ascii="Times New Roman" w:hAnsi="Times New Roman"/>
          <w:sz w:val="28"/>
          <w:szCs w:val="28"/>
        </w:rPr>
        <w:t xml:space="preserve">у мышей приводит к ранней эмбриональной гибели, что указывает на перекрытие функций </w:t>
      </w:r>
      <w:r w:rsidRPr="00107040">
        <w:rPr>
          <w:rFonts w:ascii="Times New Roman" w:hAnsi="Times New Roman"/>
          <w:sz w:val="28"/>
          <w:szCs w:val="28"/>
          <w:lang w:val="en-US"/>
        </w:rPr>
        <w:t>PARP</w:t>
      </w:r>
      <w:r w:rsidRPr="00107040">
        <w:rPr>
          <w:rFonts w:ascii="Times New Roman" w:hAnsi="Times New Roman"/>
          <w:sz w:val="28"/>
          <w:szCs w:val="28"/>
        </w:rPr>
        <w:t xml:space="preserve">2 с </w:t>
      </w:r>
      <w:r w:rsidRPr="00107040">
        <w:rPr>
          <w:rFonts w:ascii="Times New Roman" w:hAnsi="Times New Roman"/>
          <w:sz w:val="28"/>
          <w:szCs w:val="28"/>
          <w:lang w:val="en-US"/>
        </w:rPr>
        <w:t>PARP</w:t>
      </w:r>
      <w:r w:rsidRPr="00107040">
        <w:rPr>
          <w:rFonts w:ascii="Times New Roman" w:hAnsi="Times New Roman"/>
          <w:sz w:val="28"/>
          <w:szCs w:val="28"/>
        </w:rPr>
        <w:t xml:space="preserve">1, необходимых для нормального эмбриогенеза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{"citationID":"ljZHBtKJ","properties":{"formattedCitation":"[200]","plainCitation":"[200]","noteIndex":0},"citationItems":[{"id":199,"uris":["http://zotero.org/users/9078202/items/55SS2VV9"],"itemData":{"id":199,"type":"article-journal","abstract":"The DNA damage-dependent poly(ADP-ribose) polymerases, PARP-1 and PARP-2, homo- and heterodimerize and are both involved in the base excision repair (BER) pathway. Here, we report that mice carrying a targeted disruption of the PARP-2 gene are sensitive to ionizing radiation. Following alkylating agent treatment, parp-2(-/-)-derived mouse embryonic fibroblasts exhibit increased post-replicative genomic instability, G(2)/M accumulation and chromosome mis-segregation accompanying kinetochore defects. Moreover, parp-1(-/-)parp-2(-/-) double mutant mice are not viable and die at the onset of gastrulation, demonstrating that the expression of both PARP-1 and PARP-2 and/or DNA-dependent poly(ADP-ribosyl) ation is essential during early embryogenesis. Interestingly, specific female embryonic lethality is observed in parp-1(+/-)parp-2(-/-) mutants at E9.5. Meta phase analyses of E8.5 embryonic fibroblasts highlight a specific instability of the X chromosome in those females, but not in males. Together, these results support the notion that PARP-1 and PARP-2 possess both overlapping and non-redundant functions in the maintenance of genomic stability.","container-title":"The EMBO journal","DOI":"10.1093/emboj/cdg206","ISSN":"0261-4189","issue":"9","journalAbbreviation":"EMBO J","language":"eng","note":"PMID: 12727891\nPMCID: PMC156078","page":"2255-2263","source":"PubMed","title":"Functional interaction between PARP-1 and PARP-2 in chromosome stability and embryonic development in mouse","volume":"22","author":[{"family":"Ménissier de Murcia","given":"Josiane"},{"family":"Ricoul","given":"Michelle"},{"family":"Tartier","given":"Laurence"},{"family":"Niedergang","given":"Claude"},{"family":"Huber","given":"Aline"},{"family":"Dantzer","given":"Françoise"},{"family":"Schreiber","given":"Valérie"},{"family":"Amé","given":"Jean-Christophe"},{"family":"Dierich","given":"Andrée"},{"family":"LeMeur","given":"Marianne"},{"family":"Sabatier","given":"Laure"},{"family":"Chambon","given":"Pierre"},{"family":"Murcia","given":"Gilbert","non-dropping-particle":"de"}],"issued":{"date-parts":[["2003",5,1]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[200]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PARP2 имеет функцию, которая ограничивает накопление резекционного барьерного фактора 53BP1 в местах повреждения ДНК и направляет DSB на пути репарации, зависимые от резекции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{"citationID":"S9bV38Z4","properties":{"formattedCitation":"[201]","plainCitation":"[201]","noteIndex":0},"citationItems":[{"id":198,"uris":["http://zotero.org/users/9078202/items/IFNFBMM2"],"itemData":{"id":198,"type":"article-journal","abstract":"Double strand breaks (DSBs) are one of the most toxic lesions to cells. DSB repair by the canonical non-homologous end-joining (C-EJ) pathway involves minor, if any, processing of the broken DNA-ends, whereas the initiation of DNA resection channels the broken-ends toward DNA repair pathways using various lengths of homology. Mechanisms that control the resection initiation are thus central to the regulation to the choice of DSB repair pathway. Therefore, understanding the mechanisms which regulate the initiation of DNA end-resection is of prime importance. Our findings reveal that poly(ADP-ribose) polymerase 2 (PARP2) is involved in DSBR pathway choice independently of its PAR synthesis activity. We show that PARP2 favors repair by homologous recombination (HR), single strand annealing (SSA) and alternative-end joining (A-EJ) rather than the C-EJ pathway and increases the deletion sizes at A-EJ junctions. We demonstrate that PARP2 specifically limits the accumulation of the resection barrier factor 53BP1 at DNA damage sites, allowing efficient CtIP-dependent DNA end-resection. Collectively, we have identified a new PARP2 function, independent of its PAR synthesis activity, which directs DSBs toward resection-dependent repair pathways.","container-title":"Nucleic Acids Research","DOI":"10.1093/nar/gkx881","ISSN":"1362-4962","issue":"21","journalAbbreviation":"Nucleic Acids Res","language":"eng","note":"PMID: 29036662\nPMCID: PMC5716083","page":"12325-12339","source":"PubMed","title":"PARP2 controls double-strand break repair pathway choice by limiting 53BP1 accumulation at DNA damage sites and promoting end-resection","volume":"45","author":[{"family":"Fouquin","given":"Alexis"},{"family":"Guirouilh-Barbat","given":"Josée"},{"family":"Lopez","given":"Bernard"},{"family":"Hall","given":"Janet"},{"family":"Amor-Guéret","given":"Mounira"},{"family":"Pennaneach","given":"Vincent"}],"issued":{"date-parts":[["2017",12,1]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[201]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rPr>
        <w:t xml:space="preserve"> 2 участвует в процессах репарации ДНК, регуляции клеточного цикла, воспалении, регуляции метаболизма и регуляции экспрессии транскрипции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{"citationID":"VWu3iWX4","properties":{"formattedCitation":"[202\\uc0\\u8211{}205]","plainCitation":"[202–205]","noteIndex":0},"citationItems":[{"id":197,"uris":["http://zotero.org/users/9078202/items/Z5YI89XS"],"itemData":{"id":197,"type":"article-journal","abstract":"The protein family of poly(ADP-ribose) polymerases (PARPs) or diphtheria toxin-type ADP-ribose transferases (ARTDs) are multidomain proteins originally identified as DNA repair factors. There are 17 PARP enzymes in humans, and it is now evident that PARPs undertake more tasks than DNA repair. The aim of this review is to give a comprehensive view of the biological roles of the PARP family starting from the simplest biochemical reactions to complex regulatory circuits. Special attention will be laid on discussing linkage of PARP enzymes with tumor biology, oxidative stress, inflammatory, and metabolic diseases. A better understanding of PARP-mediated processes and pathologies may help in identifying new pathways and, by these, new targets to combat diseases that affect large populations and seriously shorten life expectancy and the quality of life, such as cancer, metabolic, or inflammatory diseases.","container-title":"Molecular Cell","DOI":"10.1016/j.molcel.2015.01.034","ISSN":"1097-4164","issue":"6","journalAbbreviation":"Mol Cell","language":"eng","note":"PMID: 26091343","page":"947-958","source":"PubMed","title":"Biology of Poly(ADP-Ribose) Polymerases: The Factotums of Cell Maintenance","title-short":"Biology of Poly(ADP-Ribose) Polymerases","volume":"58","author":[{"family":"Bai","given":"Peter"}],"issued":{"date-parts":[["2015",6,18]]}}},{"id":195,"uris":["http://zotero.org/users/9078202/items/TS5PCGFY"],"itemData":{"id":195,"type":"article-journal","abstract":"Human ADP-ribosyltransferase 2 (ARTD2/PARP2) is an enzyme catalyzing a post-translational modification, ADP-ribosylation. It is one of the three DNA dependent ARTDs in the 17 member enzyme family. ADP-ribosylation catalyzed by ARTD2 is involved in the regulation of multiple cellular processes such as control of chromatin remodeling, transcription and DNA repair. Here we used a combination of biochemical and biophysical methods to elucidate the structure and function of ARTD2. The solution structures revealed the binding mode of the ARTD2 monomer and dimer to oligonucleotides that mimic damaged DNA. In the complex, DNA binds between the WGR domain and the catalytic fragment. The binding mode is supported by biophysical data that indicate all domains contribute to DNA binding. Also, our study showed that ARTD2 is preferentially activated by short 5′-phosphorylated DNA oligonucleotides. We demonstrate that the N-terminus functions as a high-affinity DNA-binding module, while the WGR domain contributes to DNA binding specificity and subsequent catalytic activation. Our data further suggest that ARTD2 would function in double strand break repair as a dimeric module, while in single strand break repair it would function as a monomer.","container-title":"Scientific Reports","DOI":"10.1038/srep34487","ISSN":"2045-2322","issue":"1","journalAbbreviation":"Sci Rep","language":"en","license":"2016 The Author(s)","note":"number: 1\npublisher: Nature Publishing Group","page":"34487","source":"www.nature.com","title":"Characterization of the DNA dependent activation of human ARTD2/PARP2","URL":"https://www.nature.com/articles/srep34487","volume":"6","author":[{"family":"Obaji","given":"Ezeogo"},{"family":"Haikarainen","given":"Teemu"},{"family":"Lehtiö","given":"Lari"}],"accessed":{"date-parts":[["2022",4,1]]},"issued":{"date-parts":[["2016",10,6]]}}},{"id":194,"uris":["http://zotero.org/users/9078202/items/JFM3DRCZ"],"itemData":{"id":194,"type":"article-journal","abstract":"PARP-1, PARP-2 and PARP-3 are DNA-dependent PARPs that localize to DNA damage, synthesize poly(ADP-ribose) (PAR) covalently attached to target proteins including themselves, and thereby recruit repair factors to DNA breaks to increase repair efficiency. PARP-1, PARP-2 and PARP-3 have in common two C-terminal domains-Trp-Gly-Arg (WGR) and catalytic (CAT). In contrast, the N-terminal region (NTR) of PARP-1 is over 500 residues and includes four regulatory domains, whereas PARP-2 and PARP-3 have smaller NTRs (70 and 40 residues, respectively) of unknown structural composition and function. Here, we show that PARP-2 and PARP-3 are preferentially activated by DNA breaks harboring a 5' phosphate (5'P), suggesting selective activation in response to specific DNA repair intermediates, in particular structures that are competent for DNA ligation. In contrast to PARP-1, the NTRs of PARP-2 and PARP-3 are not strictly required for DNA binding or for DNA-dependent activation. Rather, the WGR domain is the central regulatory domain of PARP-2 and PARP-3. Finally, PARP-1, PARP-2 and PARP-3 share an allosteric regulatory mechanism of DNA-dependent catalytic activation through a local destabilization of the CAT. Collectively, our study provides new insights into the specialization of the DNA-dependent PARPs and their specific roles in DNA repair pathways.","container-title":"Nucleic Acids Research","DOI":"10.1093/nar/gku474","ISSN":"1362-4962","issue":"12","journalAbbreviation":"Nucleic Acids Res","language":"eng","note":"PMID: 24928857\nPMCID: PMC4081085","page":"7762-7775","source":"PubMed","title":"PARP-2 and PARP-3 are selectively activated by 5' phosphorylated DNA breaks through an allosteric regulatory mechanism shared with PARP-1","volume":"42","author":[{"family":"Langelier","given":"Marie-France"},{"family":"Riccio","given":"Amanda A."},{"family":"Pascal","given":"John M."}],"issued":{"date-parts":[["2014",7]]}}},{"id":193,"uris":["http://zotero.org/users/9078202/items/KGTPNZ9Y"],"itemData":{"id":193,"type":"article-journal","abstract":"Poly(ADP-ribose) polymerase-2 (PARP-2) is one of three human PARP enzymes that are potently activated during the cellular DNA damage response (DDR). DDR-PARPs detect DNA strand breaks, leading to a dramatic increase in their catalytic production of the posttranslational modification poly(ADP-ribose) (PAR) to facilitate repair. There are limited biochemical and structural insights into the functional domains of PARP-2, which has restricted our understanding of how PARP-2 is specialized toward specific repair pathways. PARP-2 has a modular architecture composed of a C-terminal catalytic domain (CAT), a central Trp-Gly-Arg (WGR) domain and an N-terminal region (NTR). Although the NTR is generally considered the key DNA-binding domain of PARP-2, we report here that all three domains of PARP-2 collectively contribute to interaction with DNA damage. Biophysical, structural and biochemical analyses indicate that the NTR is natively disordered, and is only required for activation on specific types of DNA damage. Interestingly, the NTR is not essential for PARP-2 localization to sites of DNA damage. Rather, the WGR and CAT domains function together to recruit PARP-2 to sites of DNA breaks. Our study differentiates the functions of PARP-2 domains from those of PARP-1, the other major DDR-PARP, and highlights the specialization of the multi-domain architectures of DDR-PARPs.","container-title":"Nucleic Acids Research","DOI":"10.1093/nar/gkv1376","ISSN":"1362-4962","issue":"4","journalAbbreviation":"Nucleic Acids Res","language":"eng","note":"PMID: 26704974\nPMCID: PMC4770219","page":"1691-1702","source":"PubMed","title":"PARP-2 domain requirements for DNA damage-dependent activation and localization to sites of DNA damage","volume":"44","author":[{"family":"Riccio","given":"Amanda A."},{"family":"Cingolani","given":"Gino"},{"family":"Pascal","given":"John M."}],"issued":{"date-parts":[["2016",2,29]]}}}],"schema":"https://github.com/citation-style-language/schema/raw/master/csl-citation.json"}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[202–205]</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59D50B79" w14:textId="2E1D2CFD"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en-US"/>
        </w:rPr>
        <w:t>PARP</w:t>
      </w:r>
      <w:r w:rsidRPr="00107040">
        <w:rPr>
          <w:rFonts w:ascii="Times New Roman" w:hAnsi="Times New Roman"/>
          <w:sz w:val="28"/>
          <w:szCs w:val="28"/>
        </w:rPr>
        <w:t xml:space="preserve">3 похож по организации домена на </w:t>
      </w:r>
      <w:r w:rsidRPr="00107040">
        <w:rPr>
          <w:rFonts w:ascii="Times New Roman" w:hAnsi="Times New Roman"/>
          <w:sz w:val="28"/>
          <w:szCs w:val="28"/>
          <w:lang w:val="en-US"/>
        </w:rPr>
        <w:t>PARP</w:t>
      </w:r>
      <w:r w:rsidRPr="00107040">
        <w:rPr>
          <w:rFonts w:ascii="Times New Roman" w:hAnsi="Times New Roman"/>
          <w:sz w:val="28"/>
          <w:szCs w:val="28"/>
        </w:rPr>
        <w:t xml:space="preserve">2, но вместо ПАРилирования </w:t>
      </w:r>
      <w:r w:rsidRPr="00107040">
        <w:rPr>
          <w:rFonts w:ascii="Times New Roman" w:hAnsi="Times New Roman"/>
          <w:sz w:val="28"/>
          <w:szCs w:val="28"/>
          <w:lang w:val="en-US"/>
        </w:rPr>
        <w:t>PARP</w:t>
      </w:r>
      <w:r w:rsidRPr="00107040">
        <w:rPr>
          <w:rFonts w:ascii="Times New Roman" w:hAnsi="Times New Roman"/>
          <w:sz w:val="28"/>
          <w:szCs w:val="28"/>
        </w:rPr>
        <w:t xml:space="preserve">3 катализирует МАРилирование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{"citationID":"8bKnchbP","properties":{"formattedCitation":"[193]","plainCitation":"[193]","noteIndex":0},"citationItems":[{"id":208,"uris":["http://zotero.org/users/9078202/items/RWP2ZGT8"],"itemData":{"id":208,"type":"article-journal","abstract":"Poly(ADP-ribosyl)ation is an immediate DNA-damage-dependent post-translational modification of histones and other nuclear proteins that contributes to the survival of injured proliferating cells. Poly(ADP-ribose) polymerases (PARPs) now constitute a large family of 18 proteins, encoded by different genes and displaying a conserved catalytic domain in which PARP-1 (113 kDa), the founding member, and PARP-2 (62 kDa) are so far the sole enzymes whose catalytic activity has been shown to be immediately stimulated by DNA strand breaks. A large repertoire of sequences encoding novel PARPs now extends considerably the field of poly(ADP-ribosyl)ation reactions to various aspects of the cell biology including cell proliferation and cell death. Some of these new members interact with each other, share common partners and common subcellular localizations suggesting possible fine tuning in the regulation of this post-translational modification of proteins. This review summarizes our present knowledge of this emerging superfamily, which might ultimately improve pharmacological strategies to enhance both antitumor efficacy and the treatment of a number of inflammatory and neurodegenerative disorders. A provisional nomenclature is proposed. BioEssays 26:882–893, 2004. © 2004 Wiley Periodicals, Inc.","container-title":"BioEssays","DOI":"10.1002/bies.20085","ISSN":"1521-1878","issue":"8","language":"en","note":"_eprint: https://onlinelibrary.wiley.com/doi/pdf/10.1002/bies.20085","page":"882-893","source":"Wiley Online Library","title":"The PARP superfamily","URL":"https://onlinelibrary.wiley.com/doi/abs/10.1002/bies.20085","volume":"26","author":[{"family":"Amé","given":"Jean-Christophe"},{"family":"Spenlehauer","given":"Catherine"},{"family":"Murcia","given":"Gilbert","non-dropping-particle":"de"}],"accessed":{"date-parts":[["2022",3,31]]},"issued":{"date-parts":[["2004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[193]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rPr>
        <w:t xml:space="preserve">3 играет важную роль в регуляции клеточного цикла и репарации ДНК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{"citationID":"zBgKo8My","properties":{"formattedCitation":"[183]","plainCitation":"[183]","noteIndex":0},"citationItems":[{"id":227,"uris":["http://zotero.org/users/9078202/items/FV5GVZH3"],"itemData":{"id":227,"type":"article-journal","abstract":"Poly(ADP-ribosyl)ation (PARylation) is a post-translational modification in which ADP-ribose units are added to Glu, Asp and Lys residues of target (or acceptor) proteins by members of the poly(ADP-ribose) polymerase (PARP) family. Seventeen PARP family members have been identified on the basis of homology to PARP1, which is the founding member of the PARP family.PARylation is important for cellular signalling pathways, cytoplasmic and nuclear functions and the response to cellular stress.A number of proteins with poly(ADP-ribose) (PAR) degrading activities have been characterized, such as the endo- and exoglycohydrolase poly(ADP-ribose) glycohydrolase (PARG). PARG promotes the rapid catabolic destruction of PAR almost immediately after synthesis, thus allowing temporal control of PAR functions.Recognition of and binding to PAR occurs through four distinct protein modules: PAR-binding motifs (PBMs), PAR-binding zinc-finger (PBZ) domains, macrodomain folds and WWE domains. Some of these domains are found in PARPs themselves.New evidence has shown that the activation and destruction of PAR modifications can alter protein substrate specificity, localization and stability, and these findings implicate PARPs as a promising target for therapeutic intervention in human disease.The key mechanisms by which PARylation regulates many cellular responses include the inhibition of protein–protein or protein–DNA interactions, nucleation of protein localization and interaction scaffolds, as well as the regulation of other protein modifications, such as ubiquitylation.The involvement of PARP proteins in DNA damage detection and repair, telomere maintenance, and stress responses and recovery gives hope for the use of PARP inhibition as a means for selective 'next generation' therapies for cancer, as well as stress-related diseases that exhibit pro-inflammatory signatures (for example, cardiovascular diseases, stroke, metabolic disorders, diabetes, and autoimmunity). As such, PARPs have recently been targeted with small molecules in clinical trials for a number of human diseases.","container-title":"Nature Reviews Molecular Cell Biology","DOI":"10.1038/nrm3376","ISSN":"1471-0080","issue":"7","journalAbbreviation":"Nat Rev Mol Cell Biol","language":"en","license":"2012 Nature Publishing Group, a division of Macmillan Publishers Limited. All Rights Reserved.","note":"number: 7\npublisher: Nature Publishing Group","page":"411-424","source":"www.nature.com","title":"New insights into the molecular and cellular functions of poly(ADP-ribose) and PARPs","URL":"https://www.nature.com/articles/nrm3376","volume":"13","author":[{"family":"Gibson","given":"Bryan A."},{"family":"Kraus","given":"W. Lee"}],"accessed":{"date-parts":[["2022",3,29]]},"issued":{"date-parts":[["2012",7]]}}}],"schema":"https://github.com/citation-style-language/schema/raw/master/csl-citation.json"}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Взаимодействуя с </w:t>
      </w:r>
      <w:r w:rsidRPr="00107040">
        <w:rPr>
          <w:rFonts w:ascii="Times New Roman" w:hAnsi="Times New Roman"/>
          <w:sz w:val="28"/>
          <w:szCs w:val="28"/>
          <w:lang w:val="en-US"/>
        </w:rPr>
        <w:t>PARP</w:t>
      </w:r>
      <w:r w:rsidRPr="00107040">
        <w:rPr>
          <w:rFonts w:ascii="Times New Roman" w:hAnsi="Times New Roman"/>
          <w:sz w:val="28"/>
          <w:szCs w:val="28"/>
        </w:rPr>
        <w:t xml:space="preserve">1, ДНК-лигазой </w:t>
      </w:r>
      <w:r w:rsidRPr="00107040">
        <w:rPr>
          <w:rFonts w:ascii="Times New Roman" w:hAnsi="Times New Roman"/>
          <w:sz w:val="28"/>
          <w:szCs w:val="28"/>
          <w:lang w:val="en-US"/>
        </w:rPr>
        <w:t>III</w:t>
      </w:r>
      <w:r w:rsidRPr="00107040">
        <w:rPr>
          <w:rFonts w:ascii="Times New Roman" w:hAnsi="Times New Roman"/>
          <w:sz w:val="28"/>
          <w:szCs w:val="28"/>
        </w:rPr>
        <w:t xml:space="preserve">, </w:t>
      </w:r>
      <w:r w:rsidRPr="00107040">
        <w:rPr>
          <w:rFonts w:ascii="Times New Roman" w:hAnsi="Times New Roman"/>
          <w:sz w:val="28"/>
          <w:szCs w:val="28"/>
          <w:lang w:val="en-US"/>
        </w:rPr>
        <w:t>Ku</w:t>
      </w:r>
      <w:r w:rsidRPr="00107040">
        <w:rPr>
          <w:rFonts w:ascii="Times New Roman" w:hAnsi="Times New Roman"/>
          <w:sz w:val="28"/>
          <w:szCs w:val="28"/>
        </w:rPr>
        <w:t xml:space="preserve">70/80 и другими белками </w:t>
      </w:r>
      <w:r w:rsidRPr="00107040">
        <w:rPr>
          <w:rFonts w:ascii="Times New Roman" w:hAnsi="Times New Roman"/>
          <w:sz w:val="28"/>
          <w:szCs w:val="28"/>
          <w:lang w:val="en-US"/>
        </w:rPr>
        <w:t>NHEJ</w:t>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rPr>
        <w:t xml:space="preserve"> 3 способствует процессингу </w:t>
      </w:r>
      <w:r w:rsidRPr="00107040">
        <w:rPr>
          <w:rFonts w:ascii="Times New Roman" w:hAnsi="Times New Roman"/>
          <w:sz w:val="28"/>
          <w:szCs w:val="28"/>
          <w:lang w:val="en-US"/>
        </w:rPr>
        <w:t>DSB</w:t>
      </w:r>
      <w:r w:rsidRPr="00107040">
        <w:rPr>
          <w:rFonts w:ascii="Times New Roman" w:hAnsi="Times New Roman"/>
          <w:sz w:val="28"/>
          <w:szCs w:val="28"/>
        </w:rPr>
        <w:t xml:space="preserve"> в каноническом пути </w:t>
      </w:r>
      <w:r w:rsidRPr="00107040">
        <w:rPr>
          <w:rFonts w:ascii="Times New Roman" w:hAnsi="Times New Roman"/>
          <w:sz w:val="28"/>
          <w:szCs w:val="28"/>
          <w:lang w:val="en-US"/>
        </w:rPr>
        <w:t>NHEJ</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{"citationID":"C7NCXiVy","properties":{"formattedCitation":"[206]","plainCitation":"[206]","noteIndex":0},"citationItems":[{"id":192,"uris":["http://zotero.org/users/9078202/items/P2ZKFRIN"],"itemData":{"id":192,"type":"article-journal","abstract":"Poly(ADP-ribosyl)ation (PARylation) is a post-translational modification of proteins catalysed by Poly(ADP-ribose) polymerases (PARP). A wealth of recent advances in the biochemical and functional characterization of the DNA-dependent PARP family members have highlighted their key contribution in the DNA damage response network, the best characterized being the role of PARP1 and PARP2 in the resolution of single-strand breaks as part of the BER/SSBR process. How PARylation contributes to the repair of double-strand breaks is less well defined but has become recently the subject of significant research in the field. The aim of this review is to provide an overview of the current knowledge concerning the role of the DNA-activated PARP1, PARP2 and PARP3 in cellular response to double-strand breaks (DSB). In addition, we outline the biological significance of these properties in response to programmed DNA lesions formed during physiological processes such as antibody repertoire assembly and diversification.","container-title":"Experimental Cell Research","DOI":"10.1016/j.yexcr.2014.07.003","ISSN":"1090-2422","issue":"1","journalAbbreviation":"Exp Cell Res","language":"eng","note":"PMID: 25017100","page":"18-25","source":"PubMed","title":"Poly(ADP-ribose) polymerases in double-strand break repair: focus on PARP1, PARP2 and PARP3","title-short":"Poly(ADP-ribose) polymerases in double-strand break repair","volume":"329","author":[{"family":"Beck","given":"Carole"},{"family":"Robert","given":"Isabelle"},{"family":"Reina-San-Martin","given":"Bernardo"},{"family":"Schreiber","given":"Valérie"},{"family":"Dantzer","given":"Françoise"}],"issued":{"date-parts":[["2014",11,15]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[206]</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rPr>
        <w:t xml:space="preserve">3 также связывается с белками группы </w:t>
      </w:r>
      <w:r w:rsidRPr="00107040">
        <w:rPr>
          <w:rFonts w:ascii="Times New Roman" w:hAnsi="Times New Roman"/>
          <w:sz w:val="28"/>
          <w:szCs w:val="28"/>
          <w:lang w:val="en-US"/>
        </w:rPr>
        <w:t>Polycomb</w:t>
      </w:r>
      <w:r w:rsidRPr="00107040">
        <w:rPr>
          <w:rFonts w:ascii="Times New Roman" w:hAnsi="Times New Roman"/>
          <w:sz w:val="28"/>
          <w:szCs w:val="28"/>
        </w:rPr>
        <w:t xml:space="preserve">, участвующими в сайленсинге транскрипции и ремоделировании хроматина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{"citationID":"0o4Fmp21","properties":{"formattedCitation":"[207]","plainCitation":"[207]","noteIndex":0},"citationItems":[{"id":190,"uris":["http://zotero.org/users/9078202/items/3N6VN69H"],"itemData":{"id":190,"type":"article-journal","abstract":"Poly(ADP-ribose) polymerase 3 (PARP-3) is a novel member of the PARP family of enzymes that synthesize poly(ADP-ribose) on themselves and other acceptor proteins. Very little is known about this PARP, which is closely related to PARP-1 and PARP-2. By sequence analysis, we find that PARP-3 may be expressed in two isoforms which we studied in more detail to gain insight into their possible functions. We find that both PARP-3 isoforms, transiently expressed as GFP or FLAG fusions, are nuclear. Detection of endogenous PARP-3 with a specific antibody also shows a widespread nuclear distribution, appearing in numerous small foci and a small number of larger foci. Through co-localization experiments and immunoprecipitations, the larger nuclear foci were identified as Polycomb group bodies (PcG bodies) and we found that PARP-3 is part of Polycomb group protein complexes. Furthermore, using a proteomics approach, we determined that both PARP-3 isoforms are part of complexes comprising DNA-PKcs, PARP-1, DNA ligase III, DNA ligase IV, Ku70, and Ku80. Our findings suggest that PARP-3 is a nuclear protein involved in transcriptional silencing and in the cellular response to DNA damage.","container-title":"Journal of Cellular Biochemistry","DOI":"10.1002/jcb.21051","ISSN":"0730-2312","issue":"2","journalAbbreviation":"J Cell Biochem","language":"eng","note":"PMID: 16924674","page":"385-401","source":"PubMed","title":"PARP-3 associates with polycomb group bodies and with components of the DNA damage repair machinery","volume":"100","author":[{"family":"Rouleau","given":"M."},{"family":"McDonald","given":"D."},{"family":"Gagné","given":"P."},{"family":"Ouellet","given":"M.-E."},{"family":"Droit","given":"A."},{"family":"Hunter","given":"J. M."},{"family":"Dutertre","given":"S."},{"family":"Prigent","given":"C."},{"family":"Hendzel","given":"M. J."},{"family":"Poirier","given":"G. G."}],"issued":{"date-parts":[["2007",2,1]]}}}],"schema":"https://github.com/citation-style-language/schema/raw/master/csl-citation.json"}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[207]</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1899CD2D" w14:textId="77777777" w:rsidR="00107040" w:rsidRPr="00107040" w:rsidRDefault="00107040" w:rsidP="00107040">
      <w:pPr>
        <w:spacing w:after="0" w:line="240" w:lineRule="auto"/>
        <w:ind w:firstLine="567"/>
        <w:jc w:val="center"/>
        <w:rPr>
          <w:rFonts w:ascii="Times New Roman" w:hAnsi="Times New Roman"/>
          <w:sz w:val="28"/>
          <w:szCs w:val="28"/>
        </w:rPr>
      </w:pPr>
      <w:r w:rsidRPr="00107040">
        <w:rPr>
          <w:rFonts w:ascii="Times New Roman" w:hAnsi="Times New Roman"/>
          <w:noProof/>
          <w:sz w:val="28"/>
          <w:szCs w:val="28"/>
          <w:lang w:val="ru-RU" w:eastAsia="ru-RU"/>
        </w:rPr>
        <w:lastRenderedPageBreak/>
        <w:drawing>
          <wp:inline distT="0" distB="0" distL="0" distR="0" wp14:anchorId="31F796AE" wp14:editId="025C66A2">
            <wp:extent cx="5377180" cy="4708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7180" cy="4708525"/>
                    </a:xfrm>
                    <a:prstGeom prst="rect">
                      <a:avLst/>
                    </a:prstGeom>
                    <a:noFill/>
                    <a:ln>
                      <a:noFill/>
                    </a:ln>
                  </pic:spPr>
                </pic:pic>
              </a:graphicData>
            </a:graphic>
          </wp:inline>
        </w:drawing>
      </w:r>
    </w:p>
    <w:p w14:paraId="5F60F4B6" w14:textId="77777777" w:rsidR="00107040" w:rsidRPr="00107040" w:rsidRDefault="00107040" w:rsidP="00107040">
      <w:pPr>
        <w:spacing w:after="0" w:line="240" w:lineRule="auto"/>
        <w:ind w:firstLine="567"/>
        <w:jc w:val="center"/>
        <w:rPr>
          <w:rFonts w:ascii="Times New Roman" w:hAnsi="Times New Roman"/>
          <w:sz w:val="28"/>
          <w:szCs w:val="28"/>
        </w:rPr>
      </w:pPr>
    </w:p>
    <w:p w14:paraId="2598E141" w14:textId="77777777" w:rsidR="00107040" w:rsidRPr="00107040" w:rsidRDefault="00107040" w:rsidP="00107040">
      <w:pPr>
        <w:spacing w:after="0" w:line="240" w:lineRule="auto"/>
        <w:jc w:val="center"/>
        <w:rPr>
          <w:rFonts w:ascii="Times New Roman" w:hAnsi="Times New Roman"/>
          <w:sz w:val="28"/>
          <w:szCs w:val="28"/>
        </w:rPr>
      </w:pPr>
      <w:r w:rsidRPr="00107040">
        <w:rPr>
          <w:rFonts w:ascii="Times New Roman" w:hAnsi="Times New Roman"/>
          <w:sz w:val="28"/>
          <w:szCs w:val="28"/>
        </w:rPr>
        <w:t xml:space="preserve">Рисунок </w:t>
      </w:r>
      <w:r w:rsidRPr="00107040">
        <w:rPr>
          <w:rFonts w:ascii="Times New Roman" w:hAnsi="Times New Roman"/>
          <w:sz w:val="28"/>
          <w:szCs w:val="28"/>
          <w:lang w:val="kk-KZ"/>
        </w:rPr>
        <w:t>4</w:t>
      </w:r>
      <w:r w:rsidRPr="00107040">
        <w:rPr>
          <w:rFonts w:ascii="Times New Roman" w:hAnsi="Times New Roman"/>
          <w:sz w:val="28"/>
          <w:szCs w:val="28"/>
        </w:rPr>
        <w:t xml:space="preserve"> – Совпадение идентификаторов белков (например, 1=</w:t>
      </w:r>
      <w:r w:rsidRPr="00107040">
        <w:rPr>
          <w:rFonts w:ascii="Times New Roman" w:hAnsi="Times New Roman"/>
          <w:sz w:val="28"/>
          <w:szCs w:val="28"/>
          <w:lang w:val="en-US"/>
        </w:rPr>
        <w:t>PARP</w:t>
      </w:r>
      <w:r w:rsidRPr="00107040">
        <w:rPr>
          <w:rFonts w:ascii="Times New Roman" w:hAnsi="Times New Roman"/>
          <w:sz w:val="28"/>
          <w:szCs w:val="28"/>
        </w:rPr>
        <w:t xml:space="preserve">-1) указывает на участие белка в регуляции клеточного процесса. Ферментативная активность обозначена цветными кружками: синий=поли(АДФ-рибозил)трансфераза, красный=моно(АДФ-рибозил)трансфераза, зеленый=трансферазная активность отсутствует. </w:t>
      </w:r>
    </w:p>
    <w:p w14:paraId="75064D1B" w14:textId="77777777" w:rsidR="00107040" w:rsidRPr="00107040" w:rsidRDefault="00107040" w:rsidP="00107040">
      <w:pPr>
        <w:spacing w:after="0" w:line="240" w:lineRule="auto"/>
        <w:ind w:firstLine="567"/>
        <w:rPr>
          <w:rFonts w:ascii="Times New Roman" w:eastAsia="Arial Unicode MS" w:hAnsi="Times New Roman"/>
          <w:bCs/>
          <w:sz w:val="28"/>
          <w:szCs w:val="28"/>
          <w:lang w:bidi="en-US"/>
        </w:rPr>
      </w:pPr>
      <w:bookmarkStart w:id="30" w:name="_Hlk104290578"/>
    </w:p>
    <w:p w14:paraId="0DC9047D" w14:textId="1C63928A" w:rsidR="00107040" w:rsidRPr="00107040" w:rsidRDefault="00107040" w:rsidP="00107040">
      <w:pPr>
        <w:spacing w:after="0" w:line="240" w:lineRule="auto"/>
        <w:ind w:firstLine="567"/>
        <w:rPr>
          <w:rFonts w:ascii="Times New Roman" w:hAnsi="Times New Roman"/>
          <w:sz w:val="28"/>
          <w:szCs w:val="28"/>
        </w:rPr>
      </w:pPr>
      <w:r w:rsidRPr="00107040">
        <w:rPr>
          <w:rFonts w:ascii="Times New Roman" w:eastAsia="Arial Unicode MS" w:hAnsi="Times New Roman"/>
          <w:bCs/>
          <w:sz w:val="28"/>
          <w:szCs w:val="28"/>
          <w:lang w:bidi="en-US"/>
        </w:rPr>
        <w:t>Примечание – Составлено автором на основе источника</w:t>
      </w:r>
      <w:bookmarkEnd w:id="30"/>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FB5E68">
        <w:rPr>
          <w:rFonts w:ascii="Times New Roman" w:hAnsi="Times New Roman"/>
          <w:sz w:val="28"/>
          <w:szCs w:val="28"/>
        </w:rPr>
        <w:instrText xml:space="preserve"> ADDIN ZOTERO_ITEM CSL_CITATION {"citationID":"SImIxQQN","properties":{"formattedCitation":"[208]","plainCitation":"[208]","noteIndex":0},"citationItems":[{"id":"MPjqK5ng/O9V2JREl","uris":["http://zotero.org/users/9078202/items/NKXPTMTN"],"itemData":{"id":206,"type":"article-journal","abstract":"ADP-ribosylation is a post-translational modification where single units (mono-ADP-ribosylation) or polymeric chains (poly-ADP-ribosylation) of ADP-ribose are conjugated to proteins by ADP-ribosyltransferases. This post-translational modification and the ADP-ribosyltransferases (also known as PARPs) responsible for its synthesis have been found to play a role in nearly all major cellular processes, including DNA repair, transcription, translation, cell signaling, and cell death. Furthermore, dysregulation of ADP-ribosylation has been linked to diseases including cancers, diabetes, neurodegenerative disorders, and heart failure, leading to the development of therapeutic PARP inhibitors, many of which are currently in clinical trials. The study of this therapeutically important modification has recently been bolstered by the application of mass spectrometry-based proteomics, arguably the most powerful tool for the unbiased analysis of protein modifications. Unfortunately, progress has been hampered by the inherent challenges that stem from the physicochemical properties of ADP-ribose, which as a post-translational modification is highly charged, heterogeneous (linear or branched polymers, as well as monomers), labile, and found on a wide range of amino acid acceptors. In this Perspective, we discuss the progress that has been made in addressing these challenges, including the recent breakthroughs in proteomics techniques to identify ADP-ribosylation sites, and future developments to provide a proteome-wide view of the many cellular processes regulated by ADP-ribosylation., Daniels et al. discuss the recent breakthroughs in proteomics techniques to identify ADP-ribosylation sites and future developments to provide a proteome-wide view of the many cellular processes regulated by ADP-ribosylation.","container-title":"Molecular Cell","DOI":"10.1016/j.molcel.2015.06.012","ISSN":"1097-2765","issue":"6","journalAbbreviation":"Mol Cell","note":"PMID: 26091340\nPMCID: PMC4486045","page":"911-924","source":"PubMed Central","title":"The Promise of Proteomics for the Study of ADP-Ribosylation","URL":"https://www.ncbi.nlm.nih.gov/pmc/articles/PMC4486045/","volume":"58","author":[{"family":"Daniels","given":"Casey M."},{"family":"Ong","given":"Shao-En"},{"family":"Leung","given":"Anthony K.L."}],"accessed":{"date-parts":[["2022",4,1]]},"issued":{"date-parts":[["2015",6,18]]}}}],"schema":"https://github.com/citation-style-language/schema/raw/master/csl-citation.json"}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[208]</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73BDF6AA" w14:textId="77777777" w:rsidR="00107040" w:rsidRPr="00107040" w:rsidRDefault="00107040" w:rsidP="00107040">
      <w:pPr>
        <w:spacing w:after="0" w:line="240" w:lineRule="auto"/>
        <w:ind w:firstLine="567"/>
        <w:jc w:val="both"/>
        <w:rPr>
          <w:rFonts w:ascii="Times New Roman" w:hAnsi="Times New Roman"/>
          <w:sz w:val="28"/>
          <w:szCs w:val="28"/>
        </w:rPr>
      </w:pPr>
    </w:p>
    <w:p w14:paraId="59ACCDFE" w14:textId="3599D189"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Другие члены семейства </w:t>
      </w:r>
      <w:r w:rsidRPr="00107040">
        <w:rPr>
          <w:rFonts w:ascii="Times New Roman" w:hAnsi="Times New Roman"/>
          <w:sz w:val="28"/>
          <w:szCs w:val="28"/>
          <w:lang w:val="en-US"/>
        </w:rPr>
        <w:t>PARP</w:t>
      </w:r>
      <w:r w:rsidRPr="00107040">
        <w:rPr>
          <w:rFonts w:ascii="Times New Roman" w:hAnsi="Times New Roman"/>
          <w:sz w:val="28"/>
          <w:szCs w:val="28"/>
        </w:rPr>
        <w:t xml:space="preserve"> играют важную роль в поддержании стабильности генома, регуляции транскрипции, функции центромер, формировании митотического веретена, функции центросомы, динамике теломер, транспорте эндосомальных везикул, воспалении, апоптозе и некрозе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{"citationID":"85G1DD6i","properties":{"formattedCitation":"[209]","plainCitation":"[209]","noteIndex":0},"citationItems":[{"id":189,"uris":["http://zotero.org/users/9078202/items/FGDTLV5C"],"itemData":{"id":189,"type":"article-journal","abstract":"Rapid response to environmental changes is achieved by uni- and multicellular organisms through a series of molecular events, often involving modification of macromolecules, including proteins, nucleic acids and lipids. Amongst these, ADP-ribosylation is of emerging interest because of its ability to modify different macromolecules in the cells, and its association with many key biological processes, such as DNA-damage repair, DNA replication, transcription, cell division, signal transduction, stress and infection responses, microbial pathogenicity and aging. In this review, we provide an update on novel pathways and mechanisms regulated by ADP-ribosylation in organisms coming from all kingdoms of life.","container-title":"The FEBS journal","DOI":"10.1111/febs.14078","ISSN":"1742-4658","issue":"18","journalAbbreviation":"FEBS J","language":"eng","note":"PMID: 28383827\nPMCID: PMC7163968","page":"2932-2946","source":"PubMed","title":"ADP-ribosylation: new facets of an ancient modification","title-short":"ADP-ribosylation","volume":"284","author":[{"family":"Palazzo","given":"Luca"},{"family":"Mikoč","given":"Andreja"},{"family":"Ahel","given":"Ivan"}],"issued":{"date-parts":[["2017",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[209]</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55677B63" w14:textId="21254288"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4 (также называемый </w:t>
      </w:r>
      <w:r w:rsidRPr="00107040">
        <w:rPr>
          <w:rFonts w:ascii="Times New Roman" w:hAnsi="Times New Roman"/>
          <w:sz w:val="28"/>
          <w:szCs w:val="28"/>
          <w:lang w:val="en-US"/>
        </w:rPr>
        <w:t>VPARP</w:t>
      </w:r>
      <w:r w:rsidRPr="00107040">
        <w:rPr>
          <w:rFonts w:ascii="Times New Roman" w:hAnsi="Times New Roman"/>
          <w:sz w:val="28"/>
          <w:szCs w:val="28"/>
        </w:rPr>
        <w:t xml:space="preserve"> или </w:t>
      </w:r>
      <w:r w:rsidRPr="00107040">
        <w:rPr>
          <w:rFonts w:ascii="Times New Roman" w:hAnsi="Times New Roman"/>
          <w:sz w:val="28"/>
          <w:szCs w:val="28"/>
          <w:lang w:val="en-US"/>
        </w:rPr>
        <w:t>ARTD</w:t>
      </w:r>
      <w:r w:rsidRPr="00107040">
        <w:rPr>
          <w:rFonts w:ascii="Times New Roman" w:hAnsi="Times New Roman"/>
          <w:sz w:val="28"/>
          <w:szCs w:val="28"/>
        </w:rPr>
        <w:t>4) представляет собой комплекс цитозольного рибонуклеопротеинового свода (</w:t>
      </w:r>
      <w:r w:rsidRPr="00107040">
        <w:rPr>
          <w:rFonts w:ascii="Times New Roman" w:hAnsi="Times New Roman"/>
          <w:sz w:val="28"/>
          <w:szCs w:val="28"/>
          <w:lang w:val="en-US"/>
        </w:rPr>
        <w:t>vault</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{"citationID":"9Hpa2KRi","properties":{"formattedCitation":"[209]","plainCitation":"[209]","noteIndex":0},"citationItems":[{"id":189,"uris":["http://zotero.org/users/9078202/items/FGDTLV5C"],"itemData":{"id":189,"type":"article-journal","abstract":"Rapid response to environmental changes is achieved by uni- and multicellular organisms through a series of molecular events, often involving modification of macromolecules, including proteins, nucleic acids and lipids. Amongst these, ADP-ribosylation is of emerging interest because of its ability to modify different macromolecules in the cells, and its association with many key biological processes, such as DNA-damage repair, DNA replication, transcription, cell division, signal transduction, stress and infection responses, microbial pathogenicity and aging. In this review, we provide an update on novel pathways and mechanisms regulated by ADP-ribosylation in organisms coming from all kingdoms of life.","container-title":"The FEBS journal","DOI":"10.1111/febs.14078","ISSN":"1742-4658","issue":"18","journalAbbreviation":"FEBS J","language":"eng","note":"PMID: 28383827\nPMCID: PMC7163968","page":"2932-2946","source":"PubMed","title":"ADP-ribosylation: new facets of an ancient modification","title-short":"ADP-ribosylation","volume":"284","author":[{"family":"Palazzo","given":"Luca"},{"family":"Mikoč","given":"Andreja"},{"family":"Ahel","given":"Ivan"}],"issued":{"date-parts":[["2017",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[209]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Он присутствует в цитоплазматических скоплениях (палочки VPARP) и в ядерном матриксе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{"citationID":"HiE37dVe","properties":{"formattedCitation":"[177]","plainCitation":"[177]","noteIndex":0},"citationItems":[{"id":335,"uris":["http://zotero.org/users/9078202/items/EESS5S5A"],"itemData":{"id":335,"type":"article-journal","abstract":"Protein ADP-ribosylation is an ancient posttranslational modification with high biochemical complexity. It alters the function of modified proteins or provides a scaffold for the recruitment of other proteins and thus regulates several cellular processes. ADP-ribosylation is governed by ADP-ribosyltransferases and a subclass of sirtuins (writers), is sensed by proteins that contain binding modules (readers) that recognize specific parts of the ADP-ribosyl posttranslational modification, and is removed by ADP-ribosylhydrolases (erasers). The large amount of experimental data generated and technical progress made in the last decade have significantly advanced our knowledge of the function of ADP-ribosylation at the molecular level. This review summarizes the current knowledge of nuclear ADP-ribosylation reactions and their role in chromatin plasticity, cell differentiation, and epigenetics and discusses current progress and future perspectives.","container-title":"Annual Review of Biochemistry","DOI":"10.1146/annurev-biochem-060614-034506","issue":"1","note":"_eprint: https://doi.org/10.1146/annurev-biochem-060614-034506\nPMID: 25747399","page":"227-263","source":"Annual Reviews","title":"Nuclear ADP-Ribosylation and Its Role in Chromatin Plasticity, Cell Differentiation, and Epigenetics","URL":"https://doi.org/10.1146/annurev-biochem-060614-034506","volume":"84","author":[{"family":"Hottiger","given":"Michael O."}],"accessed":{"date-parts":[["2022",3,29]]},"issued":{"date-parts":[["2015"]]}}}],"schema":"https://github.com/citation-style-language/schema/raw/master/csl-citation.json"}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[177]</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 </w:t>
      </w:r>
      <w:r w:rsidRPr="00107040">
        <w:rPr>
          <w:rFonts w:ascii="Times New Roman" w:hAnsi="Times New Roman"/>
          <w:sz w:val="28"/>
          <w:szCs w:val="28"/>
          <w:lang w:val="en-US"/>
        </w:rPr>
        <w:t>PARP</w:t>
      </w:r>
      <w:r w:rsidRPr="00107040">
        <w:rPr>
          <w:rFonts w:ascii="Times New Roman" w:hAnsi="Times New Roman"/>
          <w:sz w:val="28"/>
          <w:szCs w:val="28"/>
        </w:rPr>
        <w:t xml:space="preserve"> 4 отсутствует полимеразная активность, где консервативный остаток глутамата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1 заменен изолейцином, лейцином или тирозином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{"citationID":"clbsxuff","properties":{"formattedCitation":"[210]","plainCitation":"[210]","noteIndex":0},"citationItems":[{"id":186,"uris":["http://zotero.org/users/9078202/items/2AG26MFH"],"itemData":{"id":186,"type":"article-journal","abstract":"The discovery of poly(ADP-ribose) &gt;50 years ago opened a new field, leading the way for the discovery of the poly(ADP-ribose) polymerase (PARP) family of enzymes and the ADP-ribosylation reactions that they catalyze. Although the field was initially focused primarily on the biochemistry and molecular biology of PARP-1 in DNA damage detection and repair, the mechanistic and functional understanding of the role of PARPs in different biological processes has grown considerably of late. This has been accompanied by a shift of focus from enzymology to a search for substrates as well as the first attempts to determine the functional consequences of site-specific ADP-ribosylation on those substrates. Supporting these advances is a host of methodological approaches from chemical biology, proteomics, genomics, cell biology, and genetics that have propelled new discoveries in the field. New findings on the diverse roles of PARPs in chromatin regulation, transcription, RNA biology, and DNA repair have been complemented by recent advances that link ADP-ribosylation to stress responses, metabolism, viral infections, and cancer. These studies have begun to reveal the promising ways in which PARPs may be targeted therapeutically for the treatment of disease. In this review, we discuss these topics and relate them to the future directions of the field.","container-title":"Genes &amp; Development","DOI":"10.1101/gad.291518.116","ISSN":"1549-5477","issue":"2","journalAbbreviation":"Genes Dev","language":"eng","note":"PMID: 28202539\nPMCID: PMC5322727","page":"101-126","source":"PubMed","title":"PARPs and ADP-ribosylation: recent advances linking molecular functions to biological outcomes","title-short":"PARPs and ADP-ribosylation","volume":"31","author":[{"family":"Gupte","given":"Rebecca"},{"family":"Liu","given":"Ziying"},{"family":"Kraus","given":"W. Lee"}],"issued":{"date-parts":[["2017",1,15]]}}}],"schema":"https://github.com/citation-style-language/schema/raw/master/csl-citation.json"}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Было высказано предположение, что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4 может участвовать в противовирусном ответе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{"citationID":"Go0kHCnW","properties":{"formattedCitation":"[211]","plainCitation":"[211]","noteIndex":0},"citationItems":[{"id":187,"uris":["http://zotero.org/users/9078202/items/EIE9QVFS"],"itemData":{"id":187,"type":"article-journal","abstract":"The poly(ADP-ribose) polymerase (PARP) superfamily of enzymes catalyses the ADP-ribosylation (ADPr) of target proteins by using nicotinamide adenine dinucleotide (NAD+) as a donor. ADPr reactions occur either in the form of attachment of a single ADP-ribose nucleotide unit on target proteins or in the form of ADP-ribose chains, with the latter called poly(ADP-ribosyl)ation. PARPs regulate many cellular processes, including the maintenance of genome stability and signal transduction. In this review, we focus on the PARP family members that possess the ability to modify proteins by poly(ADP-ribosyl)ation, namely PARP1, PARP2, Tankyrase-1, and Tankyrase-2. Here, we detail the cellular functions of PARP1 and PARP2 in the regulation of DNA damage response and describe the function of Tankyrases in Wnt-mediated signal transduction. Furthermore, we discuss how the understanding of these pathways has provided some major breakthroughs in the treatment of human cancer.","container-title":"Biochemical Society Transactions","DOI":"10.1042/BST20180418","ISSN":"0300-5127","issue":"6","journalAbbreviation":"Biochem Soc Trans","note":"PMID: 30420415\nPMCID: PMC6299239","page":"1681-1695","source":"PubMed Central","title":"PARPs in genome stability and signal transduction: implications for cancer therapy","title-short":"PARPs in genome stability and signal transduction","URL":"https://www.ncbi.nlm.nih.gov/pmc/articles/PMC6299239/","volume":"46","author":[{"family":"Palazzo","given":"Luca"},{"family":"Ahel","given":"Ivan"}],"accessed":{"date-parts":[["2022",4,1]]},"issued":{"date-parts":[["2018",12,17]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[211]</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7DF5774D" w14:textId="15C5606C"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en-US"/>
        </w:rPr>
        <w:lastRenderedPageBreak/>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6 участвует в развитии нейронов гиппокампа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{"citationID":"As6ni8yc","properties":{"formattedCitation":"[209]","plainCitation":"[209]","noteIndex":0},"citationItems":[{"id":189,"uris":["http://zotero.org/users/9078202/items/FGDTLV5C"],"itemData":{"id":189,"type":"article-journal","abstract":"Rapid response to environmental changes is achieved by uni- and multicellular organisms through a series of molecular events, often involving modification of macromolecules, including proteins, nucleic acids and lipids. Amongst these, ADP-ribosylation is of emerging interest because of its ability to modify different macromolecules in the cells, and its association with many key biological processes, such as DNA-damage repair, DNA replication, transcription, cell division, signal transduction, stress and infection responses, microbial pathogenicity and aging. In this review, we provide an update on novel pathways and mechanisms regulated by ADP-ribosylation in organisms coming from all kingdoms of life.","container-title":"The FEBS journal","DOI":"10.1111/febs.14078","ISSN":"1742-4658","issue":"18","journalAbbreviation":"FEBS J","language":"eng","note":"PMID: 28383827\nPMCID: PMC7163968","page":"2932-2946","source":"PubMed","title":"ADP-ribosylation: new facets of an ancient modification","title-short":"ADP-ribosylation","volume":"284","author":[{"family":"Palazzo","given":"Luca"},{"family":"Mikoč","given":"Andreja"},{"family":"Ahel","given":"Ivan"}],"issued":{"date-parts":[["2017",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[209]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а также в прогрессировании клеточного цикла, что связано с прогрессированием колоректального рака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{"citationID":"x6qCYbo5","properties":{"formattedCitation":"[211]","plainCitation":"[211]","noteIndex":0},"citationItems":[{"id":187,"uris":["http://zotero.org/users/9078202/items/EIE9QVFS"],"itemData":{"id":187,"type":"article-journal","abstract":"The poly(ADP-ribose) polymerase (PARP) superfamily of enzymes catalyses the ADP-ribosylation (ADPr) of target proteins by using nicotinamide adenine dinucleotide (NAD+) as a donor. ADPr reactions occur either in the form of attachment of a single ADP-ribose nucleotide unit on target proteins or in the form of ADP-ribose chains, with the latter called poly(ADP-ribosyl)ation. PARPs regulate many cellular processes, including the maintenance of genome stability and signal transduction. In this review, we focus on the PARP family members that possess the ability to modify proteins by poly(ADP-ribosyl)ation, namely PARP1, PARP2, Tankyrase-1, and Tankyrase-2. Here, we detail the cellular functions of PARP1 and PARP2 in the regulation of DNA damage response and describe the function of Tankyrases in Wnt-mediated signal transduction. Furthermore, we discuss how the understanding of these pathways has provided some major breakthroughs in the treatment of human cancer.","container-title":"Biochemical Society Transactions","DOI":"10.1042/BST20180418","ISSN":"0300-5127","issue":"6","journalAbbreviation":"Biochem Soc Trans","note":"PMID: 30420415\nPMCID: PMC6299239","page":"1681-1695","source":"PubMed Central","title":"PARPs in genome stability and signal transduction: implications for cancer therapy","title-short":"PARPs in genome stability and signal transduction","URL":"https://www.ncbi.nlm.nih.gov/pmc/articles/PMC6299239/","volume":"46","author":[{"family":"Palazzo","given":"Luca"},{"family":"Ahel","given":"Ivan"}],"accessed":{"date-parts":[["2022",4,1]]},"issued":{"date-parts":[["2018",12,17]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Биологическая активность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6 зависит от его </w:t>
      </w:r>
      <w:r w:rsidRPr="00107040">
        <w:rPr>
          <w:rFonts w:ascii="Times New Roman" w:hAnsi="Times New Roman"/>
          <w:sz w:val="28"/>
          <w:szCs w:val="28"/>
          <w:lang w:val="en-US"/>
        </w:rPr>
        <w:t>N</w:t>
      </w:r>
      <w:r w:rsidRPr="00107040">
        <w:rPr>
          <w:rFonts w:ascii="Times New Roman" w:hAnsi="Times New Roman"/>
          <w:sz w:val="28"/>
          <w:szCs w:val="28"/>
        </w:rPr>
        <w:t xml:space="preserve">-концевого домена, богатого цистеином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{"citationID":"YBsUqW5I","properties":{"formattedCitation":"[210]","plainCitation":"[210]","noteIndex":0},"citationItems":[{"id":186,"uris":["http://zotero.org/users/9078202/items/2AG26MFH"],"itemData":{"id":186,"type":"article-journal","abstract":"The discovery of poly(ADP-ribose) &gt;50 years ago opened a new field, leading the way for the discovery of the poly(ADP-ribose) polymerase (PARP) family of enzymes and the ADP-ribosylation reactions that they catalyze. Although the field was initially focused primarily on the biochemistry and molecular biology of PARP-1 in DNA damage detection and repair, the mechanistic and functional understanding of the role of PARPs in different biological processes has grown considerably of late. This has been accompanied by a shift of focus from enzymology to a search for substrates as well as the first attempts to determine the functional consequences of site-specific ADP-ribosylation on those substrates. Supporting these advances is a host of methodological approaches from chemical biology, proteomics, genomics, cell biology, and genetics that have propelled new discoveries in the field. New findings on the diverse roles of PARPs in chromatin regulation, transcription, RNA biology, and DNA repair have been complemented by recent advances that link ADP-ribosylation to stress responses, metabolism, viral infections, and cancer. These studies have begun to reveal the promising ways in which PARPs may be targeted therapeutically for the treatment of disease. In this review, we discuss these topics and relate them to the future directions of the field.","container-title":"Genes &amp; Development","DOI":"10.1101/gad.291518.116","ISSN":"1549-5477","issue":"2","journalAbbreviation":"Genes Dev","language":"eng","note":"PMID: 28202539\nPMCID: PMC5322727","page":"101-126","source":"PubMed","title":"PARPs and ADP-ribosylation: recent advances linking molecular functions to biological outcomes","title-short":"PARPs and ADP-ribosylation","volume":"31","author":[{"family":"Gupte","given":"Rebecca"},{"family":"Liu","given":"Ziying"},{"family":"Kraus","given":"W. Lee"}],"issued":{"date-parts":[["2017",1,15]]}}}],"schema":"https://github.com/citation-style-language/schema/raw/master/csl-citation.json"}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[210]</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4CEECC38" w14:textId="3E4C3B44"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Несколько </w:t>
      </w:r>
      <w:r w:rsidRPr="00107040">
        <w:rPr>
          <w:rFonts w:ascii="Times New Roman" w:hAnsi="Times New Roman"/>
          <w:sz w:val="28"/>
          <w:szCs w:val="28"/>
          <w:lang w:val="en-US"/>
        </w:rPr>
        <w:t>PARP</w:t>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7,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10,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12 и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13) участвуют в посттранскрипционной регуляции мРНК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{"citationID":"Ysx02yyu","properties":{"formattedCitation":"[209]","plainCitation":"[209]","noteIndex":0},"citationItems":[{"id":189,"uris":["http://zotero.org/users/9078202/items/FGDTLV5C"],"itemData":{"id":189,"type":"article-journal","abstract":"Rapid response to environmental changes is achieved by uni- and multicellular organisms through a series of molecular events, often involving modification of macromolecules, including proteins, nucleic acids and lipids. Amongst these, ADP-ribosylation is of emerging interest because of its ability to modify different macromolecules in the cells, and its association with many key biological processes, such as DNA-damage repair, DNA replication, transcription, cell division, signal transduction, stress and infection responses, microbial pathogenicity and aging. In this review, we provide an update on novel pathways and mechanisms regulated by ADP-ribosylation in organisms coming from all kingdoms of life.","container-title":"The FEBS journal","DOI":"10.1111/febs.14078","ISSN":"1742-4658","issue":"18","journalAbbreviation":"FEBS J","language":"eng","note":"PMID: 28383827\nPMCID: PMC7163968","page":"2932-2946","source":"PubMed","title":"ADP-ribosylation: new facets of an ancient modification","title-short":"ADP-ribosylation","volume":"284","author":[{"family":"Palazzo","given":"Luca"},{"family":"Mikoč","given":"Andreja"},{"family":"Ahel","given":"Ivan"}],"issued":{"date-parts":[["2017",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[209]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PARP 7 участвует в противовирусных эффектах, процессинге цитозольной РНК и транскрипции [54]. PARP 10 напрямую АДФ-рибозилирует NEMO, что приводит к ингибированию ядерной локализации субъединицы p65 NF-kB и последующему ослаблению экспрессии NF-kB-зависимого гена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{"citationID":"J3W9K4Js","properties":{"formattedCitation":"[210]","plainCitation":"[210]","noteIndex":0},"citationItems":[{"id":186,"uris":["http://zotero.org/users/9078202/items/2AG26MFH"],"itemData":{"id":186,"type":"article-journal","abstract":"The discovery of poly(ADP-ribose) &gt;50 years ago opened a new field, leading the way for the discovery of the poly(ADP-ribose) polymerase (PARP) family of enzymes and the ADP-ribosylation reactions that they catalyze. Although the field was initially focused primarily on the biochemistry and molecular biology of PARP-1 in DNA damage detection and repair, the mechanistic and functional understanding of the role of PARPs in different biological processes has grown considerably of late. This has been accompanied by a shift of focus from enzymology to a search for substrates as well as the first attempts to determine the functional consequences of site-specific ADP-ribosylation on those substrates. Supporting these advances is a host of methodological approaches from chemical biology, proteomics, genomics, cell biology, and genetics that have propelled new discoveries in the field. New findings on the diverse roles of PARPs in chromatin regulation, transcription, RNA biology, and DNA repair have been complemented by recent advances that link ADP-ribosylation to stress responses, metabolism, viral infections, and cancer. These studies have begun to reveal the promising ways in which PARPs may be targeted therapeutically for the treatment of disease. In this review, we discuss these topics and relate them to the future directions of the field.","container-title":"Genes &amp; Development","DOI":"10.1101/gad.291518.116","ISSN":"1549-5477","issue":"2","journalAbbreviation":"Genes Dev","language":"eng","note":"PMID: 28202539\nPMCID: PMC5322727","page":"101-126","source":"PubMed","title":"PARPs and ADP-ribosylation: recent advances linking molecular functions to biological outcomes","title-short":"PARPs and ADP-ribosylation","volume":"31","author":[{"family":"Gupte","given":"Rebecca"},{"family":"Liu","given":"Ziying"},{"family":"Kraus","given":"W. Lee"}],"issued":{"date-parts":[["2017",1,15]]}}}],"schema":"https://github.com/citation-style-language/schema/raw/master/csl-citation.json"}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12 представляет собой каталитически активный монофермент, присутствующий в цитозоле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{"citationID":"dohIBQrm","properties":{"formattedCitation":"[212]","plainCitation":"[212]","noteIndex":0},"citationItems":[{"id":185,"uris":["http://zotero.org/users/9078202/items/HI3346GI"],"itemData":{"id":185,"type":"article-journal","abstract":"Cell response to genotoxic stress requires a complex network of sensors and effectors from numerous signaling and repair pathways, among them the nuclear poly(ADP-ribose) polymerase 1 (PARP1) plays a central role. PARP1 is catalytically activated in the setting of DNA breaks. It uses NAD+ as a donor and catalyses the synthesis and subsequent covalent attachment of branched ADP-ribose polymers onto itself and various acceptor proteins to promote repair. Its inhibition is now considered as an efficient therapeutic strategy to potentiate the cytotoxic effect of chemotherapy and radiation or to exploit synthetic lethality in tumours with defective homologous recombination mediated repair. Still, efforts made on understanding the role of PARylation in DNA repair continues to yield novel discoveries. Over the last years, our knowledge in this field has been particularly advanced by the discovery of novel biochemical and functional properties featuring PARP1, by the characterization of the other PARP family members and by the identification of a panel of enzymes capable of erasing poly(ADP-ribose). The aim of this review is to provide an overview of these newest findings and their relevance in genome surveillance.","container-title":"Seminars in Cell &amp; Developmental Biology","DOI":"10.1016/j.semcdb.2016.09.009","ISSN":"1096-3634","journalAbbreviation":"Semin Cell Dev Biol","language":"eng","note":"PMID: 27670719","page":"92-101","source":"PubMed","title":"Expanding functions of ADP-ribosylation in the maintenance of genome integrity","volume":"63","author":[{"family":"Martin-Hernandez","given":"K."},{"family":"Rodriguez-Vargas","given":"J.-M."},{"family":"Schreiber","given":"V."},{"family":"Dantzer","given":"F."}],"issued":{"date-parts":[["2017",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Он регулирует сборку стрессовых гранул, активность микроРНК и противовирусный ответ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{"citationID":"SAlEGbku","properties":{"formattedCitation":"[211]","plainCitation":"[211]","noteIndex":0},"citationItems":[{"id":187,"uris":["http://zotero.org/users/9078202/items/EIE9QVFS"],"itemData":{"id":187,"type":"article-journal","abstract":"The poly(ADP-ribose) polymerase (PARP) superfamily of enzymes catalyses the ADP-ribosylation (ADPr) of target proteins by using nicotinamide adenine dinucleotide (NAD+) as a donor. ADPr reactions occur either in the form of attachment of a single ADP-ribose nucleotide unit on target proteins or in the form of ADP-ribose chains, with the latter called poly(ADP-ribosyl)ation. PARPs regulate many cellular processes, including the maintenance of genome stability and signal transduction. In this review, we focus on the PARP family members that possess the ability to modify proteins by poly(ADP-ribosyl)ation, namely PARP1, PARP2, Tankyrase-1, and Tankyrase-2. Here, we detail the cellular functions of PARP1 and PARP2 in the regulation of DNA damage response and describe the function of Tankyrases in Wnt-mediated signal transduction. Furthermore, we discuss how the understanding of these pathways has provided some major breakthroughs in the treatment of human cancer.","container-title":"Biochemical Society Transactions","DOI":"10.1042/BST20180418","ISSN":"0300-5127","issue":"6","journalAbbreviation":"Biochem Soc Trans","note":"PMID: 30420415\nPMCID: PMC6299239","page":"1681-1695","source":"PubMed Central","title":"PARPs in genome stability and signal transduction: implications for cancer therapy","title-short":"PARPs in genome stability and signal transduction","URL":"https://www.ncbi.nlm.nih.gov/pmc/articles/PMC6299239/","volume":"46","author":[{"family":"Palazzo","given":"Luca"},{"family":"Ahel","given":"Ivan"}],"accessed":{"date-parts":[["2022",4,1]]},"issued":{"date-parts":[["2018",12,17]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12 участвует в клеточном иммунном ответе, повышая экспрессию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12 при стимуляции интерферонами типа </w:t>
      </w:r>
      <w:r w:rsidRPr="00107040">
        <w:rPr>
          <w:rFonts w:ascii="Times New Roman" w:hAnsi="Times New Roman"/>
          <w:sz w:val="28"/>
          <w:szCs w:val="28"/>
          <w:lang w:val="en-US"/>
        </w:rPr>
        <w:t>II</w:t>
      </w:r>
      <w:r w:rsidRPr="00107040">
        <w:rPr>
          <w:rFonts w:ascii="Times New Roman" w:hAnsi="Times New Roman"/>
          <w:sz w:val="28"/>
          <w:szCs w:val="28"/>
        </w:rPr>
        <w:t xml:space="preserve">, что приводит к усилению передачи сигналов </w:t>
      </w:r>
      <w:r w:rsidRPr="00107040">
        <w:rPr>
          <w:rFonts w:ascii="Times New Roman" w:hAnsi="Times New Roman"/>
          <w:sz w:val="28"/>
          <w:szCs w:val="28"/>
          <w:lang w:val="en-US"/>
        </w:rPr>
        <w:t>NF</w:t>
      </w:r>
      <w:r w:rsidRPr="00107040">
        <w:rPr>
          <w:rFonts w:ascii="Times New Roman" w:hAnsi="Times New Roman"/>
          <w:sz w:val="28"/>
          <w:szCs w:val="28"/>
        </w:rPr>
        <w:t>-</w:t>
      </w:r>
      <w:r w:rsidRPr="00107040">
        <w:rPr>
          <w:rFonts w:ascii="Times New Roman" w:hAnsi="Times New Roman"/>
          <w:sz w:val="28"/>
          <w:szCs w:val="28"/>
          <w:lang w:val="en-US"/>
        </w:rPr>
        <w:t>κB</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{"citationID":"T3Z2atap","properties":{"formattedCitation":"[210]","plainCitation":"[210]","noteIndex":0},"citationItems":[{"id":186,"uris":["http://zotero.org/users/9078202/items/2AG26MFH"],"itemData":{"id":186,"type":"article-journal","abstract":"The discovery of poly(ADP-ribose) &gt;50 years ago opened a new field, leading the way for the discovery of the poly(ADP-ribose) polymerase (PARP) family of enzymes and the ADP-ribosylation reactions that they catalyze. Although the field was initially focused primarily on the biochemistry and molecular biology of PARP-1 in DNA damage detection and repair, the mechanistic and functional understanding of the role of PARPs in different biological processes has grown considerably of late. This has been accompanied by a shift of focus from enzymology to a search for substrates as well as the first attempts to determine the functional consequences of site-specific ADP-ribosylation on those substrates. Supporting these advances is a host of methodological approaches from chemical biology, proteomics, genomics, cell biology, and genetics that have propelled new discoveries in the field. New findings on the diverse roles of PARPs in chromatin regulation, transcription, RNA biology, and DNA repair have been complemented by recent advances that link ADP-ribosylation to stress responses, metabolism, viral infections, and cancer. These studies have begun to reveal the promising ways in which PARPs may be targeted therapeutically for the treatment of disease. In this review, we discuss these topics and relate them to the future directions of the field.","container-title":"Genes &amp; Development","DOI":"10.1101/gad.291518.116","ISSN":"1549-5477","issue":"2","journalAbbreviation":"Genes Dev","language":"eng","note":"PMID: 28202539\nPMCID: PMC5322727","page":"101-126","source":"PubMed","title":"PARPs and ADP-ribosylation: recent advances linking molecular functions to biological outcomes","title-short":"PARPs and ADP-ribosylation","volume":"31","author":[{"family":"Gupte","given":"Rebecca"},{"family":"Liu","given":"Ziying"},{"family":"Kraus","given":"W. Lee"}],"issued":{"date-parts":[["2017",1,15]]}}}],"schema":"https://github.com/citation-style-language/schema/raw/master/csl-citation.json"}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rPr>
        <w:t xml:space="preserve"> 13, также называемый </w:t>
      </w:r>
      <w:r w:rsidRPr="00107040">
        <w:rPr>
          <w:rFonts w:ascii="Times New Roman" w:hAnsi="Times New Roman"/>
          <w:sz w:val="28"/>
          <w:szCs w:val="28"/>
          <w:lang w:val="en-US"/>
        </w:rPr>
        <w:t>ZAP</w:t>
      </w:r>
      <w:r w:rsidRPr="00107040">
        <w:rPr>
          <w:rFonts w:ascii="Times New Roman" w:hAnsi="Times New Roman"/>
          <w:sz w:val="28"/>
          <w:szCs w:val="28"/>
        </w:rPr>
        <w:t xml:space="preserve"> (противовирусный белок цинкового пальца), считается каталитически неактивным АРТ, который играет роль в сборке стрессовых гранул и регуляции микроРНК для врожденной противовирусной защиты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{"citationID":"n91Q2FmE","properties":{"formattedCitation":"[211,212]","plainCitation":"[211,212]","noteIndex":0},"citationItems":[{"id":187,"uris":["http://zotero.org/users/9078202/items/EIE9QVFS"],"itemData":{"id":187,"type":"article-journal","abstract":"The poly(ADP-ribose) polymerase (PARP) superfamily of enzymes catalyses the ADP-ribosylation (ADPr) of target proteins by using nicotinamide adenine dinucleotide (NAD+) as a donor. ADPr reactions occur either in the form of attachment of a single ADP-ribose nucleotide unit on target proteins or in the form of ADP-ribose chains, with the latter called poly(ADP-ribosyl)ation. PARPs regulate many cellular processes, including the maintenance of genome stability and signal transduction. In this review, we focus on the PARP family members that possess the ability to modify proteins by poly(ADP-ribosyl)ation, namely PARP1, PARP2, Tankyrase-1, and Tankyrase-2. Here, we detail the cellular functions of PARP1 and PARP2 in the regulation of DNA damage response and describe the function of Tankyrases in Wnt-mediated signal transduction. Furthermore, we discuss how the understanding of these pathways has provided some major breakthroughs in the treatment of human cancer.","container-title":"Biochemical Society Transactions","DOI":"10.1042/BST20180418","ISSN":"0300-5127","issue":"6","journalAbbreviation":"Biochem Soc Trans","note":"PMID: 30420415\nPMCID: PMC6299239","page":"1681-1695","source":"PubMed Central","title":"PARPs in genome stability and signal transduction: implications for cancer therapy","title-short":"PARPs in genome stability and signal transduction","URL":"https://www.ncbi.nlm.nih.gov/pmc/articles/PMC6299239/","volume":"46","author":[{"family":"Palazzo","given":"Luca"},{"family":"Ahel","given":"Ivan"}],"accessed":{"date-parts":[["2022",4,1]]},"issued":{"date-parts":[["2018",12,17]]}}},{"id":185,"uris":["http://zotero.org/users/9078202/items/HI3346GI"],"itemData":{"id":185,"type":"article-journal","abstract":"Cell response to genotoxic stress requires a complex network of sensors and effectors from numerous signaling and repair pathways, among them the nuclear poly(ADP-ribose) polymerase 1 (PARP1) plays a central role. PARP1 is catalytically activated in the setting of DNA breaks. It uses NAD+ as a donor and catalyses the synthesis and subsequent covalent attachment of branched ADP-ribose polymers onto itself and various acceptor proteins to promote repair. Its inhibition is now considered as an efficient therapeutic strategy to potentiate the cytotoxic effect of chemotherapy and radiation or to exploit synthetic lethality in tumours with defective homologous recombination mediated repair. Still, efforts made on understanding the role of PARylation in DNA repair continues to yield novel discoveries. Over the last years, our knowledge in this field has been particularly advanced by the discovery of novel biochemical and functional properties featuring PARP1, by the characterization of the other PARP family members and by the identification of a panel of enzymes capable of erasing poly(ADP-ribose). The aim of this review is to provide an overview of these newest findings and their relevance in genome surveillance.","container-title":"Seminars in Cell &amp; Developmental Biology","DOI":"10.1016/j.semcdb.2016.09.009","ISSN":"1096-3634","journalAbbreviation":"Semin Cell Dev Biol","language":"eng","note":"PMID: 27670719","page":"92-101","source":"PubMed","title":"Expanding functions of ADP-ribosylation in the maintenance of genome integrity","volume":"63","author":[{"family":"Martin-Hernandez","given":"K."},{"family":"Rodriguez-Vargas","given":"J.-M."},{"family":"Schreiber","given":"V."},{"family":"Dantzer","given":"F."}],"issued":{"date-parts":[["2017",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[211,212]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Считается, что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9 и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14 действуют на транскрипцию, особенно на транскрипцию генов, необходимых для активации макрофагов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{"citationID":"Wts656UA","properties":{"formattedCitation":"[209]","plainCitation":"[209]","noteIndex":0},"citationItems":[{"id":189,"uris":["http://zotero.org/users/9078202/items/FGDTLV5C"],"itemData":{"id":189,"type":"article-journal","abstract":"Rapid response to environmental changes is achieved by uni- and multicellular organisms through a series of molecular events, often involving modification of macromolecules, including proteins, nucleic acids and lipids. Amongst these, ADP-ribosylation is of emerging interest because of its ability to modify different macromolecules in the cells, and its association with many key biological processes, such as DNA-damage repair, DNA replication, transcription, cell division, signal transduction, stress and infection responses, microbial pathogenicity and aging. In this review, we provide an update on novel pathways and mechanisms regulated by ADP-ribosylation in organisms coming from all kingdoms of life.","container-title":"The FEBS journal","DOI":"10.1111/febs.14078","ISSN":"1742-4658","issue":"18","journalAbbreviation":"FEBS J","language":"eng","note":"PMID: 28383827\nPMCID: PMC7163968","page":"2932-2946","source":"PubMed","title":"ADP-ribosylation: new facets of an ancient modification","title-short":"ADP-ribosylation","volume":"284","author":[{"family":"Palazzo","given":"Luca"},{"family":"Mikoč","given":"Andreja"},{"family":"Ahel","given":"Ivan"}],"issued":{"date-parts":[["2017",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[209]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14 выполняет множество функций, таких как выживание В-клеток, миграция клеток, сборка стрессовых гранул, транскрипция при воспалительных процессах, ответ на повреждение ДНК и противовирусный ответ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{"citationID":"dHyVdrfp","properties":{"formattedCitation":"[211]","plainCitation":"[211]","noteIndex":0},"citationItems":[{"id":187,"uris":["http://zotero.org/users/9078202/items/EIE9QVFS"],"itemData":{"id":187,"type":"article-journal","abstract":"The poly(ADP-ribose) polymerase (PARP) superfamily of enzymes catalyses the ADP-ribosylation (ADPr) of target proteins by using nicotinamide adenine dinucleotide (NAD+) as a donor. ADPr reactions occur either in the form of attachment of a single ADP-ribose nucleotide unit on target proteins or in the form of ADP-ribose chains, with the latter called poly(ADP-ribosyl)ation. PARPs regulate many cellular processes, including the maintenance of genome stability and signal transduction. In this review, we focus on the PARP family members that possess the ability to modify proteins by poly(ADP-ribosyl)ation, namely PARP1, PARP2, Tankyrase-1, and Tankyrase-2. Here, we detail the cellular functions of PARP1 and PARP2 in the regulation of DNA damage response and describe the function of Tankyrases in Wnt-mediated signal transduction. Furthermore, we discuss how the understanding of these pathways has provided some major breakthroughs in the treatment of human cancer.","container-title":"Biochemical Society Transactions","DOI":"10.1042/BST20180418","ISSN":"0300-5127","issue":"6","journalAbbreviation":"Biochem Soc Trans","note":"PMID: 30420415\nPMCID: PMC6299239","page":"1681-1695","source":"PubMed Central","title":"PARPs in genome stability and signal transduction: implications for cancer therapy","title-short":"PARPs in genome stability and signal transduction","URL":"https://www.ncbi.nlm.nih.gov/pmc/articles/PMC6299239/","volume":"46","author":[{"family":"Palazzo","given":"Luca"},{"family":"Ahel","given":"Ivan"}],"accessed":{"date-parts":[["2022",4,1]]},"issued":{"date-parts":[["2018",12,17]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11 локализует ядерные поры и модифицирует мишени, участвующие в координации ядерной оболочки</w:t>
      </w:r>
      <w:r w:rsidRPr="00107040">
        <w:rPr>
          <w:rFonts w:ascii="Times New Roman" w:hAnsi="Times New Roman"/>
          <w:sz w:val="28"/>
          <w:szCs w:val="28"/>
          <w:lang w:val="kk-KZ"/>
        </w:rPr>
        <w:t xml:space="preserve"> и</w:t>
      </w:r>
      <w:r w:rsidRPr="00107040">
        <w:rPr>
          <w:rFonts w:ascii="Times New Roman" w:hAnsi="Times New Roman"/>
          <w:sz w:val="28"/>
          <w:szCs w:val="28"/>
        </w:rPr>
        <w:t xml:space="preserve"> организации ядерных пор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{"citationID":"GXi5LO7j","properties":{"formattedCitation":"[211]","plainCitation":"[211]","noteIndex":0},"citationItems":[{"id":187,"uris":["http://zotero.org/users/9078202/items/EIE9QVFS"],"itemData":{"id":187,"type":"article-journal","abstract":"The poly(ADP-ribose) polymerase (PARP) superfamily of enzymes catalyses the ADP-ribosylation (ADPr) of target proteins by using nicotinamide adenine dinucleotide (NAD+) as a donor. ADPr reactions occur either in the form of attachment of a single ADP-ribose nucleotide unit on target proteins or in the form of ADP-ribose chains, with the latter called poly(ADP-ribosyl)ation. PARPs regulate many cellular processes, including the maintenance of genome stability and signal transduction. In this review, we focus on the PARP family members that possess the ability to modify proteins by poly(ADP-ribosyl)ation, namely PARP1, PARP2, Tankyrase-1, and Tankyrase-2. Here, we detail the cellular functions of PARP1 and PARP2 in the regulation of DNA damage response and describe the function of Tankyrases in Wnt-mediated signal transduction. Furthermore, we discuss how the understanding of these pathways has provided some major breakthroughs in the treatment of human cancer.","container-title":"Biochemical Society Transactions","DOI":"10.1042/BST20180418","ISSN":"0300-5127","issue":"6","journalAbbreviation":"Biochem Soc Trans","note":"PMID: 30420415\nPMCID: PMC6299239","page":"1681-1695","source":"PubMed Central","title":"PARPs in genome stability and signal transduction: implications for cancer therapy","title-short":"PARPs in genome stability and signal transduction","URL":"https://www.ncbi.nlm.nih.gov/pmc/articles/PMC6299239/","volume":"46","author":[{"family":"Palazzo","given":"Luca"},{"family":"Ahel","given":"Ivan"}],"accessed":{"date-parts":[["2022",4,1]]},"issued":{"date-parts":[["2018",12,17]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Как центросомный </w:t>
      </w:r>
      <w:r w:rsidRPr="00107040">
        <w:rPr>
          <w:rFonts w:ascii="Times New Roman" w:hAnsi="Times New Roman"/>
          <w:sz w:val="28"/>
          <w:szCs w:val="28"/>
          <w:lang w:val="en-US"/>
        </w:rPr>
        <w:t>PARP</w:t>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15 участвует в формировании стрессовых гранул, противовирусном ответе, процессинге цитозольной РНК и образовании опухоли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{"citationID":"XcsmIIVM","properties":{"formattedCitation":"[210,211]","plainCitation":"[210,211]","noteIndex":0},"citationItems":[{"id":186,"uris":["http://zotero.org/users/9078202/items/2AG26MFH"],"itemData":{"id":186,"type":"article-journal","abstract":"The discovery of poly(ADP-ribose) &gt;50 years ago opened a new field, leading the way for the discovery of the poly(ADP-ribose) polymerase (PARP) family of enzymes and the ADP-ribosylation reactions that they catalyze. Although the field was initially focused primarily on the biochemistry and molecular biology of PARP-1 in DNA damage detection and repair, the mechanistic and functional understanding of the role of PARPs in different biological processes has grown considerably of late. This has been accompanied by a shift of focus from enzymology to a search for substrates as well as the first attempts to determine the functional consequences of site-specific ADP-ribosylation on those substrates. Supporting these advances is a host of methodological approaches from chemical biology, proteomics, genomics, cell biology, and genetics that have propelled new discoveries in the field. New findings on the diverse roles of PARPs in chromatin regulation, transcription, RNA biology, and DNA repair have been complemented by recent advances that link ADP-ribosylation to stress responses, metabolism, viral infections, and cancer. These studies have begun to reveal the promising ways in which PARPs may be targeted therapeutically for the treatment of disease. In this review, we discuss these topics and relate them to the future directions of the field.","container-title":"Genes &amp; Development","DOI":"10.1101/gad.291518.116","ISSN":"1549-5477","issue":"2","journalAbbreviation":"Genes Dev","language":"eng","note":"PMID: 28202539\nPMCID: PMC5322727","page":"101-126","source":"PubMed","title":"PARPs and ADP-ribosylation: recent advances linking molecular functions to biological outcomes","title-short":"PARPs and ADP-ribosylation","volume":"31","author":[{"family":"Gupte","given":"Rebecca"},{"family":"Liu","given":"Ziying"},{"family":"Kraus","given":"W. Lee"}],"issued":{"date-parts":[["2017",1,15]]}}},{"id":187,"uris":["http://zotero.org/users/9078202/items/EIE9QVFS"],"itemData":{"id":187,"type":"article-journal","abstract":"The poly(ADP-ribose) polymerase (PARP) superfamily of enzymes catalyses the ADP-ribosylation (ADPr) of target proteins by using nicotinamide adenine dinucleotide (NAD+) as a donor. ADPr reactions occur either in the form of attachment of a single ADP-ribose nucleotide unit on target proteins or in the form of ADP-ribose chains, with the latter called poly(ADP-ribosyl)ation. PARPs regulate many cellular processes, including the maintenance of genome stability and signal transduction. In this review, we focus on the PARP family members that possess the ability to modify proteins by poly(ADP-ribosyl)ation, namely PARP1, PARP2, Tankyrase-1, and Tankyrase-2. Here, we detail the cellular functions of PARP1 and PARP2 in the regulation of DNA damage response and describe the function of Tankyrases in Wnt-mediated signal transduction. Furthermore, we discuss how the understanding of these pathways has provided some major breakthroughs in the treatment of human cancer.","container-title":"Biochemical Society Transactions","DOI":"10.1042/BST20180418","ISSN":"0300-5127","issue":"6","journalAbbreviation":"Biochem Soc Trans","note":"PMID: 30420415\nPMCID: PMC6299239","page":"1681-1695","source":"PubMed Central","title":"PARPs in genome stability and signal transduction: implications for cancer therapy","title-short":"PARPs in genome stability and signal transduction","URL":"https://www.ncbi.nlm.nih.gov/pmc/articles/PMC6299239/","volume":"46","author":[{"family":"Palazzo","given":"Luca"},{"family":"Ahel","given":"Ivan"}],"accessed":{"date-parts":[["2022",4,1]]},"issued":{"date-parts":[["2018",12,17]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[210,211]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16 находится в эндоплазматическом ретикулуме (ЭР) и регулирует реакцию развернутых белков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{"citationID":"NObICDHl","properties":{"formattedCitation":"[211]","plainCitation":"[211]","noteIndex":0},"citationItems":[{"id":187,"uris":["http://zotero.org/users/9078202/items/EIE9QVFS"],"itemData":{"id":187,"type":"article-journal","abstract":"The poly(ADP-ribose) polymerase (PARP) superfamily of enzymes catalyses the ADP-ribosylation (ADPr) of target proteins by using nicotinamide adenine dinucleotide (NAD+) as a donor. ADPr reactions occur either in the form of attachment of a single ADP-ribose nucleotide unit on target proteins or in the form of ADP-ribose chains, with the latter called poly(ADP-ribosyl)ation. PARPs regulate many cellular processes, including the maintenance of genome stability and signal transduction. In this review, we focus on the PARP family members that possess the ability to modify proteins by poly(ADP-ribosyl)ation, namely PARP1, PARP2, Tankyrase-1, and Tankyrase-2. Here, we detail the cellular functions of PARP1 and PARP2 in the regulation of DNA damage response and describe the function of Tankyrases in Wnt-mediated signal transduction. Furthermore, we discuss how the understanding of these pathways has provided some major breakthroughs in the treatment of human cancer.","container-title":"Biochemical Society Transactions","DOI":"10.1042/BST20180418","ISSN":"0300-5127","issue":"6","journalAbbreviation":"Biochem Soc Trans","note":"PMID: 30420415\nPMCID: PMC6299239","page":"1681-1695","source":"PubMed Central","title":"PARPs in genome stability and signal transduction: implications for cancer therapy","title-short":"PARPs in genome stability and signal transduction","URL":"https://www.ncbi.nlm.nih.gov/pmc/articles/PMC6299239/","volume":"46","author":[{"family":"Palazzo","given":"Luca"},{"family":"Ahel","given":"Ivan"}],"accessed":{"date-parts":[["2022",4,1]]},"issued":{"date-parts":[["2018",12,17]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Локализация других </w:t>
      </w:r>
      <w:r w:rsidRPr="00107040">
        <w:rPr>
          <w:rFonts w:ascii="Times New Roman" w:hAnsi="Times New Roman"/>
          <w:sz w:val="28"/>
          <w:szCs w:val="28"/>
          <w:lang w:val="en-US"/>
        </w:rPr>
        <w:t>PARP</w:t>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 xml:space="preserve">8 и </w:t>
      </w:r>
      <w:r w:rsidRPr="00107040">
        <w:rPr>
          <w:rFonts w:ascii="Times New Roman" w:hAnsi="Times New Roman"/>
          <w:sz w:val="28"/>
          <w:szCs w:val="28"/>
          <w:lang w:val="en-US"/>
        </w:rPr>
        <w:t>PARP</w:t>
      </w:r>
      <w:r w:rsidRPr="00107040">
        <w:rPr>
          <w:rFonts w:ascii="Times New Roman" w:hAnsi="Times New Roman"/>
          <w:sz w:val="28"/>
          <w:szCs w:val="28"/>
          <w:lang w:val="kk-KZ"/>
        </w:rPr>
        <w:t xml:space="preserve"> </w:t>
      </w:r>
      <w:r w:rsidRPr="00107040">
        <w:rPr>
          <w:rFonts w:ascii="Times New Roman" w:hAnsi="Times New Roman"/>
          <w:sz w:val="28"/>
          <w:szCs w:val="28"/>
        </w:rPr>
        <w:t>17) в клетке и их участие в биологических процессах остаются неизвестными.</w:t>
      </w:r>
    </w:p>
    <w:p w14:paraId="001D54F1" w14:textId="77777777" w:rsidR="00107040" w:rsidRPr="00107040" w:rsidRDefault="00107040" w:rsidP="00107040">
      <w:pPr>
        <w:spacing w:after="0" w:line="240" w:lineRule="auto"/>
        <w:jc w:val="both"/>
        <w:rPr>
          <w:rFonts w:ascii="Times New Roman" w:hAnsi="Times New Roman"/>
          <w:sz w:val="28"/>
          <w:szCs w:val="28"/>
        </w:rPr>
      </w:pPr>
    </w:p>
    <w:p w14:paraId="005057CE" w14:textId="77777777" w:rsidR="00107040" w:rsidRPr="00107040" w:rsidRDefault="00107040" w:rsidP="00107040">
      <w:pPr>
        <w:spacing w:after="0" w:line="240" w:lineRule="auto"/>
        <w:ind w:firstLine="567"/>
        <w:jc w:val="both"/>
        <w:rPr>
          <w:rFonts w:ascii="Times New Roman" w:hAnsi="Times New Roman"/>
          <w:b/>
          <w:sz w:val="28"/>
          <w:szCs w:val="28"/>
        </w:rPr>
      </w:pPr>
      <w:bookmarkStart w:id="31" w:name="_Hlk113268202"/>
      <w:r w:rsidRPr="00107040">
        <w:rPr>
          <w:rFonts w:ascii="Times New Roman" w:hAnsi="Times New Roman"/>
          <w:b/>
          <w:sz w:val="28"/>
          <w:szCs w:val="28"/>
        </w:rPr>
        <w:t>1.</w:t>
      </w:r>
      <w:r w:rsidRPr="00107040">
        <w:rPr>
          <w:rFonts w:ascii="Times New Roman" w:hAnsi="Times New Roman"/>
          <w:b/>
          <w:sz w:val="28"/>
          <w:szCs w:val="28"/>
          <w:lang w:val="kk-KZ"/>
        </w:rPr>
        <w:t>5</w:t>
      </w:r>
      <w:r w:rsidRPr="00107040">
        <w:rPr>
          <w:rFonts w:ascii="Times New Roman" w:hAnsi="Times New Roman"/>
          <w:b/>
          <w:sz w:val="28"/>
          <w:szCs w:val="28"/>
        </w:rPr>
        <w:t xml:space="preserve"> Ферменты деПАРилирования млекопитающих</w:t>
      </w:r>
    </w:p>
    <w:bookmarkEnd w:id="31"/>
    <w:p w14:paraId="25451A6F" w14:textId="3C10EB0E"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Недавние открытия предполагают, что баланс между белками, которые катализируют добавление (называемые писателями) и удаление (стиратели) АДФ-рибозы, имеет решающее значение для координации множественных путей клеточного ответа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{"citationID":"JU5kchVI","properties":{"formattedCitation":"[213]","plainCitation":"[213]","noteIndex":0},"citationItems":[{"id":183,"uris":["http://zotero.org/users/9078202/items/2F2QEKF7"],"itemData":{"id":183,"type":"article-journal","abstract":"ADP-ribosylation-the transfer of ADP-ribose (ADPr) from NAD+ onto target molecules-is catalyzed by members of the ADP-ribosyltransferase (ART) superfamily of proteins, found in all kingdoms of life. Modification of amino acids in protein targets by ADPr regulates critical cellular pathways in eukaryotes and underlies the pathogenicity of certain bacteria. Several members of the ART superfamily are highly relevant for disease; these include the poly(ADP-ribose) polymerases (PARPs), recently shown to be important cancer targets, and the bacterial toxins diphtheria toxin and cholera toxin, long known to be responsible for the symptoms of diphtheria and cholera that result in morbidity. In this Review, we discuss the functions of amino acid ADPr modifications and the ART proteins that make them, the nature of the chemical linkage between ADPr and its targets and how this impacts function and stability, and the way that ARTs select specific amino acids in targets to modify.","container-title":"Nature Chemical Biology","DOI":"10.1038/nchembio.2568","ISSN":"1552-4469","issue":"3","journalAbbreviation":"Nat Chem Biol","language":"eng","note":"PMID: 29443986\nPMCID: PMC5922452","page":"236-243","source":"PubMed","title":"Insights into the biogenesis, function, and regulation of ADP-ribosylation","volume":"14","author":[{"family":"Cohen","given":"Michael S."},{"family":"Chang","given":"Paul"}],"issued":{"date-parts":[["2018",2,14]]}}}],"schema":"https://github.com/citation-style-language/schema/raw/master/csl-citation.json"}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Чем больше увеличивается количество белков, участвующих в процессах записи, чтения и стирания модификации АДФ-рибозилирования, тем больше доказательств этой точки зрения. АДФ-рибозилирование </w:t>
      </w:r>
      <w:r w:rsidRPr="00107040">
        <w:rPr>
          <w:rFonts w:ascii="Times New Roman" w:hAnsi="Times New Roman"/>
          <w:sz w:val="28"/>
          <w:szCs w:val="28"/>
        </w:rPr>
        <w:sym w:font="Symbol" w:char="F02D"/>
      </w:r>
      <w:r w:rsidRPr="00107040">
        <w:rPr>
          <w:rFonts w:ascii="Times New Roman" w:hAnsi="Times New Roman"/>
          <w:sz w:val="28"/>
          <w:szCs w:val="28"/>
        </w:rPr>
        <w:t xml:space="preserve"> обратимый процесс, в котором разные специализированные «ластики» могут занимать разные каталитические ниши. Основной фермент деПАРилирования, </w:t>
      </w:r>
      <w:r w:rsidRPr="00107040">
        <w:rPr>
          <w:rFonts w:ascii="Times New Roman" w:hAnsi="Times New Roman"/>
          <w:sz w:val="28"/>
          <w:szCs w:val="28"/>
          <w:lang w:val="en-US"/>
        </w:rPr>
        <w:t>PARG</w:t>
      </w:r>
      <w:r w:rsidRPr="00107040">
        <w:rPr>
          <w:rFonts w:ascii="Times New Roman" w:hAnsi="Times New Roman"/>
          <w:sz w:val="28"/>
          <w:szCs w:val="28"/>
        </w:rPr>
        <w:t xml:space="preserve">, не способен удалять продукты </w:t>
      </w:r>
      <w:r w:rsidRPr="00107040">
        <w:rPr>
          <w:rFonts w:ascii="Times New Roman" w:hAnsi="Times New Roman"/>
          <w:sz w:val="28"/>
          <w:szCs w:val="28"/>
          <w:lang w:val="en-US"/>
        </w:rPr>
        <w:t>MA</w:t>
      </w:r>
      <w:r w:rsidRPr="00107040">
        <w:rPr>
          <w:rFonts w:ascii="Times New Roman" w:hAnsi="Times New Roman"/>
          <w:sz w:val="28"/>
          <w:szCs w:val="28"/>
        </w:rPr>
        <w:t xml:space="preserve">Рилирования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{"citationID":"b61x093v","properties":{"formattedCitation":"[214,215]","plainCitation":"[214,215]","noteIndex":0},"citationItems":[{"id":182,"uris":["http://zotero.org/users/9078202/items/3E5XDR3Y"],"itemData":{"id":182,"type":"article-journal","abstract":"Post-translational modification of proteins by poly(ADP-ribosyl)ation regulates many cellular pathways that are critical for genome stability, including DNA repair, chromatin structure, mitosis and apoptosis. Poly(ADP-ribose) (PAR) is composed of repeating ADP-ribose units linked via a unique glycosidic ribose-ribose bond, and is synthesized from NAD by PAR polymerases. PAR glycohydrolase (PARG) is the only protein capable of specific hydrolysis of the ribose-ribose bonds present in PAR chains; its deficiency leads to cell death. Here we show that filamentous fungi and a number of bacteria possess a divergent form of PARG that has all the main characteristics of the human PARG enzyme. We present the first PARG crystal structure (derived from the bacterium Thermomonospora curvata), which reveals that the PARG catalytic domain is a distant member of the ubiquitous ADP-ribose-binding macrodomain family. High-resolution structures of T. curvata PARG in complexes with ADP-ribose and the PARG inhibitor ADP-HPD, complemented by biochemical studies, allow us to propose a model for PAR binding and catalysis by PARG. The insights into the PARG structure and catalytic mechanism should greatly improve our understanding of how PARG activity controls reversible protein poly(ADP-ribosyl)ation and potentially of how the defects in this regulation are linked to human disease.","container-title":"Nature","DOI":"10.1038/nature10404","ISSN":"1476-4687","issue":"7366","journalAbbreviation":"Nature","language":"eng","note":"PMID: 21892188\nPMCID: PMC3184140","page":"616-620","source":"PubMed","title":"The structure and catalytic mechanism of a poly(ADP-ribose) glycohydrolase","volume":"477","author":[{"family":"Slade","given":"Dea"},{"family":"Dunstan","given":"Mark S."},{"family":"Barkauskaite","given":"Eva"},{"family":"Weston","given":"Ria"},{"family":"Lafite","given":"Pierre"},{"family":"Dixon","given":"Neil"},{"family":"Ahel","given":"Marijan"},{"family":"Leys","given":"David"},{"family":"Ahel","given":"Ivan"}],"issued":{"date-parts":[["2011",9,4]]}}},{"id":181,"uris":["http://zotero.org/users/9078202/items/RB39XSRI"],"itemData":{"id":181,"type":"article-journal","abstract":"Poly(ADP-ribose) glycohydrolase was purified approximately 74,000-fold to apparent homogeneity from calf thymus with a yield of 3.2%. The enzyme was a monomeric protein of Mr = 59,000, as determined by sodium dodecyl sulfate-polyacrylamide gel electrophoresis. The action of glycohydrolase on poly(ADP-ribose) was exoglycosidic in the direction of adenosine terminus----ribose terminus; radioactive ADP-ribose monomers were immediately produced from evenly labeled poly(ADP-ribose), but not from the polymer labeled selectively at the ribose terminus. The enzymatic degradation of large poly(ADP-ribose) (greater than 20 ADP-ribose residues) proceeded in a biphasic as well as bimodal manner. In the early and rapid phase, the enzyme degraded part of large polymers successively, leaving the remainder completely intact, and accumulated ADP-ribose monomers and small polymers of the size less than half of original polymers, indicating that the enzyme action was processive up to a certain extent. In the late and 20-fold slower phase, by contrast, the enzyme degraded the accumulated small polymers gradually and evenly, i.e. in a nonprocessive manner. The Km for large polymers was approximately 100-fold lower than that for small polymers. Similar rates and processivities were observed with large and small polymers bound to various proteins. These results suggested that the glycohydrolase may regulate differentially the levels of large and small poly(ADP-ribose) in the cell.","container-title":"The Journal of Biological Chemistry","ISSN":"0021-9258","issue":"32","journalAbbreviation":"J Biol Chem","language":"eng","note":"PMID: 3771556","page":"14902-14911","source":"PubMed","title":"Purification and characterization of poly(ADP-ribose) glycohydrolase. Different modes of action on large and small poly(ADP-ribose)","volume":"261","author":[{"family":"Hatakeyama","given":"K."},{"family":"Nemoto","given":"Y."},{"family":"Ueda","given":"K."},{"family":"Hayaishi","given":"O."}],"issued":{"date-parts":[["1986",11,15]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[214,215]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что позволяет другим ластикам принимать участие в удалении АДФ-рибозы (таблица </w:t>
      </w:r>
      <w:r w:rsidRPr="00107040">
        <w:rPr>
          <w:rFonts w:ascii="Times New Roman" w:hAnsi="Times New Roman"/>
          <w:sz w:val="28"/>
          <w:szCs w:val="28"/>
          <w:lang w:val="kk-KZ"/>
        </w:rPr>
        <w:t>1</w:t>
      </w:r>
      <w:r w:rsidRPr="00107040">
        <w:rPr>
          <w:rFonts w:ascii="Times New Roman" w:hAnsi="Times New Roman"/>
          <w:sz w:val="28"/>
          <w:szCs w:val="28"/>
        </w:rPr>
        <w:t>).</w:t>
      </w:r>
    </w:p>
    <w:p w14:paraId="6713D6B2" w14:textId="77777777" w:rsidR="00107040" w:rsidRPr="00107040" w:rsidRDefault="00107040" w:rsidP="00107040">
      <w:pPr>
        <w:spacing w:after="0" w:line="240" w:lineRule="auto"/>
        <w:ind w:firstLine="567"/>
        <w:jc w:val="both"/>
        <w:rPr>
          <w:rFonts w:ascii="Times New Roman" w:hAnsi="Times New Roman"/>
          <w:sz w:val="28"/>
          <w:szCs w:val="28"/>
        </w:rPr>
      </w:pPr>
    </w:p>
    <w:p w14:paraId="7F2062A8" w14:textId="77777777" w:rsidR="00107040" w:rsidRPr="00107040" w:rsidRDefault="00107040" w:rsidP="00107040">
      <w:pPr>
        <w:spacing w:after="0" w:line="240" w:lineRule="auto"/>
        <w:jc w:val="both"/>
        <w:rPr>
          <w:rFonts w:ascii="Times New Roman" w:hAnsi="Times New Roman"/>
          <w:sz w:val="28"/>
          <w:szCs w:val="28"/>
        </w:rPr>
      </w:pPr>
      <w:r w:rsidRPr="00107040">
        <w:rPr>
          <w:rFonts w:ascii="Times New Roman" w:hAnsi="Times New Roman"/>
          <w:sz w:val="28"/>
          <w:szCs w:val="28"/>
        </w:rPr>
        <w:lastRenderedPageBreak/>
        <w:t xml:space="preserve">Таблица </w:t>
      </w:r>
      <w:r w:rsidRPr="00107040">
        <w:rPr>
          <w:rFonts w:ascii="Times New Roman" w:hAnsi="Times New Roman"/>
          <w:sz w:val="28"/>
          <w:szCs w:val="28"/>
          <w:lang w:val="kk-KZ"/>
        </w:rPr>
        <w:t>1</w:t>
      </w:r>
      <w:r w:rsidRPr="00107040">
        <w:rPr>
          <w:rFonts w:ascii="Times New Roman" w:hAnsi="Times New Roman"/>
          <w:sz w:val="28"/>
          <w:szCs w:val="28"/>
        </w:rPr>
        <w:t xml:space="preserve"> – Стиратели АДФ-рибозы человека</w:t>
      </w:r>
    </w:p>
    <w:p w14:paraId="1875D672" w14:textId="77777777" w:rsidR="00107040" w:rsidRPr="00107040" w:rsidRDefault="00107040" w:rsidP="00107040">
      <w:pPr>
        <w:spacing w:after="0" w:line="240" w:lineRule="auto"/>
        <w:jc w:val="both"/>
        <w:rPr>
          <w:rFonts w:ascii="Times New Roman" w:hAnsi="Times New Roman"/>
          <w:sz w:val="28"/>
          <w:szCs w:val="28"/>
        </w:rPr>
      </w:pPr>
    </w:p>
    <w:tbl>
      <w:tblPr>
        <w:tblW w:w="954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29"/>
        <w:gridCol w:w="1528"/>
        <w:gridCol w:w="1134"/>
        <w:gridCol w:w="1701"/>
        <w:gridCol w:w="1654"/>
        <w:gridCol w:w="1323"/>
        <w:gridCol w:w="1275"/>
      </w:tblGrid>
      <w:tr w:rsidR="00107040" w:rsidRPr="00107040" w14:paraId="30A9C9C7" w14:textId="77777777" w:rsidTr="00AA10F1">
        <w:trPr>
          <w:trHeight w:val="753"/>
          <w:tblHeader/>
        </w:trPr>
        <w:tc>
          <w:tcPr>
            <w:tcW w:w="929" w:type="dxa"/>
            <w:shd w:val="clear" w:color="auto" w:fill="auto"/>
            <w:tcMar>
              <w:top w:w="90" w:type="dxa"/>
              <w:left w:w="90" w:type="dxa"/>
              <w:bottom w:w="90" w:type="dxa"/>
              <w:right w:w="90" w:type="dxa"/>
            </w:tcMar>
            <w:hideMark/>
          </w:tcPr>
          <w:p w14:paraId="7BB0A05D" w14:textId="77777777" w:rsidR="00107040" w:rsidRPr="00AA10F1" w:rsidRDefault="00107040" w:rsidP="00107040">
            <w:pPr>
              <w:spacing w:after="0" w:line="240" w:lineRule="auto"/>
              <w:jc w:val="both"/>
              <w:rPr>
                <w:rFonts w:ascii="Times New Roman" w:eastAsia="Times New Roman" w:hAnsi="Times New Roman"/>
                <w:b/>
                <w:bCs/>
                <w:szCs w:val="28"/>
              </w:rPr>
            </w:pPr>
            <w:r w:rsidRPr="00AA10F1">
              <w:rPr>
                <w:rFonts w:ascii="Times New Roman" w:eastAsia="Times New Roman" w:hAnsi="Times New Roman"/>
                <w:b/>
                <w:bCs/>
                <w:szCs w:val="28"/>
              </w:rPr>
              <w:t>Стира-тели</w:t>
            </w:r>
          </w:p>
        </w:tc>
        <w:tc>
          <w:tcPr>
            <w:tcW w:w="1528" w:type="dxa"/>
            <w:shd w:val="clear" w:color="auto" w:fill="auto"/>
            <w:tcMar>
              <w:top w:w="90" w:type="dxa"/>
              <w:left w:w="90" w:type="dxa"/>
              <w:bottom w:w="90" w:type="dxa"/>
              <w:right w:w="90" w:type="dxa"/>
            </w:tcMar>
            <w:hideMark/>
          </w:tcPr>
          <w:p w14:paraId="4204FE88" w14:textId="77777777" w:rsidR="00107040" w:rsidRPr="00AA10F1" w:rsidRDefault="00107040" w:rsidP="00107040">
            <w:pPr>
              <w:spacing w:after="0" w:line="240" w:lineRule="auto"/>
              <w:jc w:val="both"/>
              <w:rPr>
                <w:rFonts w:ascii="Times New Roman" w:eastAsia="Times New Roman" w:hAnsi="Times New Roman"/>
                <w:b/>
                <w:bCs/>
                <w:szCs w:val="28"/>
              </w:rPr>
            </w:pPr>
            <w:r w:rsidRPr="00AA10F1">
              <w:rPr>
                <w:rFonts w:ascii="Times New Roman" w:eastAsia="Times New Roman" w:hAnsi="Times New Roman"/>
                <w:b/>
                <w:bCs/>
                <w:szCs w:val="28"/>
              </w:rPr>
              <w:t>Классифика-ция</w:t>
            </w:r>
          </w:p>
        </w:tc>
        <w:tc>
          <w:tcPr>
            <w:tcW w:w="1134" w:type="dxa"/>
            <w:shd w:val="clear" w:color="auto" w:fill="auto"/>
            <w:tcMar>
              <w:top w:w="90" w:type="dxa"/>
              <w:left w:w="90" w:type="dxa"/>
              <w:bottom w:w="90" w:type="dxa"/>
              <w:right w:w="90" w:type="dxa"/>
            </w:tcMar>
            <w:hideMark/>
          </w:tcPr>
          <w:p w14:paraId="54A56CDD" w14:textId="77777777" w:rsidR="00107040" w:rsidRPr="00AA10F1" w:rsidRDefault="00107040" w:rsidP="00107040">
            <w:pPr>
              <w:spacing w:after="0" w:line="240" w:lineRule="auto"/>
              <w:jc w:val="both"/>
              <w:rPr>
                <w:rFonts w:ascii="Times New Roman" w:eastAsia="Times New Roman" w:hAnsi="Times New Roman"/>
                <w:b/>
                <w:bCs/>
                <w:szCs w:val="28"/>
                <w:lang w:val="en-US"/>
              </w:rPr>
            </w:pPr>
            <w:r w:rsidRPr="00AA10F1">
              <w:rPr>
                <w:rFonts w:ascii="Times New Roman" w:eastAsia="Times New Roman" w:hAnsi="Times New Roman"/>
                <w:b/>
                <w:bCs/>
                <w:szCs w:val="28"/>
              </w:rPr>
              <w:t>Субстрат</w:t>
            </w:r>
          </w:p>
        </w:tc>
        <w:tc>
          <w:tcPr>
            <w:tcW w:w="1701" w:type="dxa"/>
            <w:shd w:val="clear" w:color="auto" w:fill="auto"/>
            <w:tcMar>
              <w:top w:w="90" w:type="dxa"/>
              <w:left w:w="90" w:type="dxa"/>
              <w:bottom w:w="90" w:type="dxa"/>
              <w:right w:w="90" w:type="dxa"/>
            </w:tcMar>
            <w:hideMark/>
          </w:tcPr>
          <w:p w14:paraId="694E42BC" w14:textId="77777777" w:rsidR="00107040" w:rsidRPr="00AA10F1" w:rsidRDefault="00107040" w:rsidP="00107040">
            <w:pPr>
              <w:spacing w:after="0" w:line="240" w:lineRule="auto"/>
              <w:jc w:val="both"/>
              <w:rPr>
                <w:rFonts w:ascii="Times New Roman" w:eastAsia="Times New Roman" w:hAnsi="Times New Roman"/>
                <w:b/>
                <w:bCs/>
                <w:szCs w:val="28"/>
                <w:lang w:val="en-US"/>
              </w:rPr>
            </w:pPr>
            <w:r w:rsidRPr="00AA10F1">
              <w:rPr>
                <w:rFonts w:ascii="Times New Roman" w:eastAsia="Times New Roman" w:hAnsi="Times New Roman"/>
                <w:b/>
                <w:bCs/>
                <w:szCs w:val="28"/>
              </w:rPr>
              <w:t>Связь на которую действуют</w:t>
            </w:r>
          </w:p>
        </w:tc>
        <w:tc>
          <w:tcPr>
            <w:tcW w:w="1654" w:type="dxa"/>
            <w:shd w:val="clear" w:color="auto" w:fill="auto"/>
            <w:tcMar>
              <w:top w:w="90" w:type="dxa"/>
              <w:left w:w="90" w:type="dxa"/>
              <w:bottom w:w="90" w:type="dxa"/>
              <w:right w:w="90" w:type="dxa"/>
            </w:tcMar>
            <w:hideMark/>
          </w:tcPr>
          <w:p w14:paraId="7A630813" w14:textId="77777777" w:rsidR="00107040" w:rsidRPr="00AA10F1" w:rsidRDefault="00107040" w:rsidP="00107040">
            <w:pPr>
              <w:spacing w:after="0" w:line="240" w:lineRule="auto"/>
              <w:jc w:val="both"/>
              <w:rPr>
                <w:rFonts w:ascii="Times New Roman" w:eastAsia="Times New Roman" w:hAnsi="Times New Roman"/>
                <w:b/>
                <w:bCs/>
                <w:szCs w:val="28"/>
                <w:lang w:val="en-US"/>
              </w:rPr>
            </w:pPr>
            <w:r w:rsidRPr="00AA10F1">
              <w:rPr>
                <w:rFonts w:ascii="Times New Roman" w:eastAsia="Times New Roman" w:hAnsi="Times New Roman"/>
                <w:b/>
                <w:bCs/>
                <w:szCs w:val="28"/>
              </w:rPr>
              <w:t>Обратимость АДФрибозили-рования</w:t>
            </w:r>
          </w:p>
        </w:tc>
        <w:tc>
          <w:tcPr>
            <w:tcW w:w="1323" w:type="dxa"/>
            <w:shd w:val="clear" w:color="auto" w:fill="auto"/>
            <w:tcMar>
              <w:top w:w="90" w:type="dxa"/>
              <w:left w:w="90" w:type="dxa"/>
              <w:bottom w:w="90" w:type="dxa"/>
              <w:right w:w="90" w:type="dxa"/>
            </w:tcMar>
            <w:hideMark/>
          </w:tcPr>
          <w:p w14:paraId="4439C2AE" w14:textId="77777777" w:rsidR="00107040" w:rsidRPr="00AA10F1" w:rsidRDefault="00107040" w:rsidP="00107040">
            <w:pPr>
              <w:spacing w:after="0" w:line="240" w:lineRule="auto"/>
              <w:jc w:val="both"/>
              <w:rPr>
                <w:rFonts w:ascii="Times New Roman" w:eastAsia="Times New Roman" w:hAnsi="Times New Roman"/>
                <w:b/>
                <w:bCs/>
                <w:szCs w:val="28"/>
                <w:lang w:val="en-US"/>
              </w:rPr>
            </w:pPr>
            <w:r w:rsidRPr="00AA10F1">
              <w:rPr>
                <w:rFonts w:ascii="Times New Roman" w:eastAsia="Times New Roman" w:hAnsi="Times New Roman"/>
                <w:b/>
                <w:bCs/>
                <w:szCs w:val="28"/>
              </w:rPr>
              <w:t>Белковые аддукты</w:t>
            </w:r>
          </w:p>
        </w:tc>
        <w:tc>
          <w:tcPr>
            <w:tcW w:w="1275" w:type="dxa"/>
            <w:shd w:val="clear" w:color="auto" w:fill="auto"/>
            <w:tcMar>
              <w:top w:w="90" w:type="dxa"/>
              <w:left w:w="90" w:type="dxa"/>
              <w:bottom w:w="90" w:type="dxa"/>
              <w:right w:w="90" w:type="dxa"/>
            </w:tcMar>
            <w:hideMark/>
          </w:tcPr>
          <w:p w14:paraId="76EE57C3" w14:textId="77777777" w:rsidR="00107040" w:rsidRPr="00AA10F1" w:rsidRDefault="00107040" w:rsidP="00107040">
            <w:pPr>
              <w:spacing w:after="0" w:line="240" w:lineRule="auto"/>
              <w:jc w:val="both"/>
              <w:rPr>
                <w:rFonts w:ascii="Times New Roman" w:eastAsia="Times New Roman" w:hAnsi="Times New Roman"/>
                <w:b/>
                <w:bCs/>
                <w:szCs w:val="28"/>
                <w:lang w:val="en-US"/>
              </w:rPr>
            </w:pPr>
            <w:r w:rsidRPr="00AA10F1">
              <w:rPr>
                <w:rFonts w:ascii="Times New Roman" w:eastAsia="Times New Roman" w:hAnsi="Times New Roman"/>
                <w:b/>
                <w:bCs/>
                <w:szCs w:val="28"/>
                <w:lang w:val="en-US"/>
              </w:rPr>
              <w:t>Селектив</w:t>
            </w:r>
            <w:r w:rsidRPr="00AA10F1">
              <w:rPr>
                <w:rFonts w:ascii="Times New Roman" w:eastAsia="Times New Roman" w:hAnsi="Times New Roman"/>
                <w:b/>
                <w:bCs/>
                <w:szCs w:val="28"/>
              </w:rPr>
              <w:t>-</w:t>
            </w:r>
            <w:r w:rsidRPr="00AA10F1">
              <w:rPr>
                <w:rFonts w:ascii="Times New Roman" w:eastAsia="Times New Roman" w:hAnsi="Times New Roman"/>
                <w:b/>
                <w:bCs/>
                <w:szCs w:val="28"/>
                <w:lang w:val="en-US"/>
              </w:rPr>
              <w:t>ность амино</w:t>
            </w:r>
            <w:r w:rsidRPr="00AA10F1">
              <w:rPr>
                <w:rFonts w:ascii="Times New Roman" w:eastAsia="Times New Roman" w:hAnsi="Times New Roman"/>
                <w:b/>
                <w:bCs/>
                <w:szCs w:val="28"/>
              </w:rPr>
              <w:t>-</w:t>
            </w:r>
            <w:r w:rsidRPr="00AA10F1">
              <w:rPr>
                <w:rFonts w:ascii="Times New Roman" w:eastAsia="Times New Roman" w:hAnsi="Times New Roman"/>
                <w:b/>
                <w:bCs/>
                <w:szCs w:val="28"/>
                <w:lang w:val="en-US"/>
              </w:rPr>
              <w:t>кислот</w:t>
            </w:r>
          </w:p>
        </w:tc>
      </w:tr>
      <w:tr w:rsidR="00107040" w:rsidRPr="00107040" w14:paraId="7DCA4CB2" w14:textId="77777777" w:rsidTr="00AA10F1">
        <w:trPr>
          <w:trHeight w:val="260"/>
        </w:trPr>
        <w:tc>
          <w:tcPr>
            <w:tcW w:w="929" w:type="dxa"/>
            <w:shd w:val="clear" w:color="auto" w:fill="auto"/>
            <w:tcMar>
              <w:top w:w="90" w:type="dxa"/>
              <w:left w:w="90" w:type="dxa"/>
              <w:bottom w:w="90" w:type="dxa"/>
              <w:right w:w="90" w:type="dxa"/>
            </w:tcMar>
            <w:vAlign w:val="center"/>
            <w:hideMark/>
          </w:tcPr>
          <w:p w14:paraId="7CAEAD88"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PARG</w:t>
            </w:r>
          </w:p>
        </w:tc>
        <w:tc>
          <w:tcPr>
            <w:tcW w:w="1528" w:type="dxa"/>
            <w:shd w:val="clear" w:color="auto" w:fill="auto"/>
            <w:tcMar>
              <w:top w:w="90" w:type="dxa"/>
              <w:left w:w="90" w:type="dxa"/>
              <w:bottom w:w="90" w:type="dxa"/>
              <w:right w:w="90" w:type="dxa"/>
            </w:tcMar>
            <w:vAlign w:val="center"/>
            <w:hideMark/>
          </w:tcPr>
          <w:p w14:paraId="54443D3B"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Макродомен</w:t>
            </w:r>
          </w:p>
        </w:tc>
        <w:tc>
          <w:tcPr>
            <w:tcW w:w="1134" w:type="dxa"/>
            <w:shd w:val="clear" w:color="auto" w:fill="auto"/>
            <w:tcMar>
              <w:top w:w="90" w:type="dxa"/>
              <w:left w:w="90" w:type="dxa"/>
              <w:bottom w:w="90" w:type="dxa"/>
              <w:right w:w="90" w:type="dxa"/>
            </w:tcMar>
            <w:vAlign w:val="center"/>
            <w:hideMark/>
          </w:tcPr>
          <w:p w14:paraId="58EDDFF7"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ПАР</w:t>
            </w:r>
          </w:p>
        </w:tc>
        <w:tc>
          <w:tcPr>
            <w:tcW w:w="1701" w:type="dxa"/>
            <w:shd w:val="clear" w:color="auto" w:fill="auto"/>
            <w:tcMar>
              <w:top w:w="90" w:type="dxa"/>
              <w:left w:w="90" w:type="dxa"/>
              <w:bottom w:w="90" w:type="dxa"/>
              <w:right w:w="90" w:type="dxa"/>
            </w:tcMar>
            <w:vAlign w:val="center"/>
            <w:hideMark/>
          </w:tcPr>
          <w:p w14:paraId="38B5F746"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lang w:val="en-US"/>
              </w:rPr>
              <w:t>O-</w:t>
            </w:r>
            <w:r w:rsidRPr="00AA10F1">
              <w:rPr>
                <w:rFonts w:ascii="Times New Roman" w:eastAsia="Times New Roman" w:hAnsi="Times New Roman"/>
                <w:szCs w:val="28"/>
              </w:rPr>
              <w:t>гликозидное</w:t>
            </w:r>
          </w:p>
        </w:tc>
        <w:tc>
          <w:tcPr>
            <w:tcW w:w="1654" w:type="dxa"/>
            <w:shd w:val="clear" w:color="auto" w:fill="auto"/>
            <w:tcMar>
              <w:top w:w="90" w:type="dxa"/>
              <w:left w:w="90" w:type="dxa"/>
              <w:bottom w:w="90" w:type="dxa"/>
              <w:right w:w="90" w:type="dxa"/>
            </w:tcMar>
            <w:vAlign w:val="center"/>
            <w:hideMark/>
          </w:tcPr>
          <w:p w14:paraId="37DC0B87"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Частичное</w:t>
            </w:r>
          </w:p>
        </w:tc>
        <w:tc>
          <w:tcPr>
            <w:tcW w:w="1323" w:type="dxa"/>
            <w:shd w:val="clear" w:color="auto" w:fill="auto"/>
            <w:tcMar>
              <w:top w:w="90" w:type="dxa"/>
              <w:left w:w="90" w:type="dxa"/>
              <w:bottom w:w="90" w:type="dxa"/>
              <w:right w:w="90" w:type="dxa"/>
            </w:tcMar>
            <w:vAlign w:val="center"/>
            <w:hideMark/>
          </w:tcPr>
          <w:p w14:paraId="0FB2FE61"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lang w:val="en-US"/>
              </w:rPr>
              <w:t>A</w:t>
            </w:r>
            <w:r w:rsidRPr="00AA10F1">
              <w:rPr>
                <w:rFonts w:ascii="Times New Roman" w:eastAsia="Times New Roman" w:hAnsi="Times New Roman"/>
                <w:szCs w:val="28"/>
              </w:rPr>
              <w:t>ДФ-рибоза</w:t>
            </w:r>
          </w:p>
        </w:tc>
        <w:tc>
          <w:tcPr>
            <w:tcW w:w="1275" w:type="dxa"/>
            <w:shd w:val="clear" w:color="auto" w:fill="auto"/>
            <w:tcMar>
              <w:top w:w="90" w:type="dxa"/>
              <w:left w:w="90" w:type="dxa"/>
              <w:bottom w:w="90" w:type="dxa"/>
              <w:right w:w="90" w:type="dxa"/>
            </w:tcMar>
            <w:vAlign w:val="center"/>
            <w:hideMark/>
          </w:tcPr>
          <w:p w14:paraId="60D59BE3"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Независимость от связи</w:t>
            </w:r>
          </w:p>
        </w:tc>
      </w:tr>
      <w:tr w:rsidR="00107040" w:rsidRPr="00107040" w14:paraId="2DA9EFED" w14:textId="77777777" w:rsidTr="00AA10F1">
        <w:trPr>
          <w:trHeight w:val="260"/>
        </w:trPr>
        <w:tc>
          <w:tcPr>
            <w:tcW w:w="929" w:type="dxa"/>
            <w:shd w:val="clear" w:color="auto" w:fill="auto"/>
            <w:tcMar>
              <w:top w:w="90" w:type="dxa"/>
              <w:left w:w="90" w:type="dxa"/>
              <w:bottom w:w="90" w:type="dxa"/>
              <w:right w:w="90" w:type="dxa"/>
            </w:tcMar>
            <w:vAlign w:val="center"/>
            <w:hideMark/>
          </w:tcPr>
          <w:p w14:paraId="54ED44D2"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MacroD1</w:t>
            </w:r>
          </w:p>
        </w:tc>
        <w:tc>
          <w:tcPr>
            <w:tcW w:w="1528" w:type="dxa"/>
            <w:shd w:val="clear" w:color="auto" w:fill="auto"/>
            <w:tcMar>
              <w:top w:w="90" w:type="dxa"/>
              <w:left w:w="90" w:type="dxa"/>
              <w:bottom w:w="90" w:type="dxa"/>
              <w:right w:w="90" w:type="dxa"/>
            </w:tcMar>
            <w:vAlign w:val="center"/>
            <w:hideMark/>
          </w:tcPr>
          <w:p w14:paraId="2D760561"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Макродомен</w:t>
            </w:r>
          </w:p>
        </w:tc>
        <w:tc>
          <w:tcPr>
            <w:tcW w:w="1134" w:type="dxa"/>
            <w:shd w:val="clear" w:color="auto" w:fill="auto"/>
            <w:tcMar>
              <w:top w:w="90" w:type="dxa"/>
              <w:left w:w="90" w:type="dxa"/>
              <w:bottom w:w="90" w:type="dxa"/>
              <w:right w:w="90" w:type="dxa"/>
            </w:tcMar>
            <w:vAlign w:val="center"/>
            <w:hideMark/>
          </w:tcPr>
          <w:p w14:paraId="23B932F5"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МАР</w:t>
            </w:r>
          </w:p>
        </w:tc>
        <w:tc>
          <w:tcPr>
            <w:tcW w:w="1701" w:type="dxa"/>
            <w:shd w:val="clear" w:color="auto" w:fill="auto"/>
            <w:tcMar>
              <w:top w:w="90" w:type="dxa"/>
              <w:left w:w="90" w:type="dxa"/>
              <w:bottom w:w="90" w:type="dxa"/>
              <w:right w:w="90" w:type="dxa"/>
            </w:tcMar>
            <w:vAlign w:val="center"/>
            <w:hideMark/>
          </w:tcPr>
          <w:p w14:paraId="12E496E1"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Карбоксильный эфир</w:t>
            </w:r>
          </w:p>
        </w:tc>
        <w:tc>
          <w:tcPr>
            <w:tcW w:w="1654" w:type="dxa"/>
            <w:shd w:val="clear" w:color="auto" w:fill="auto"/>
            <w:tcMar>
              <w:top w:w="90" w:type="dxa"/>
              <w:left w:w="90" w:type="dxa"/>
              <w:bottom w:w="90" w:type="dxa"/>
              <w:right w:w="90" w:type="dxa"/>
            </w:tcMar>
            <w:vAlign w:val="center"/>
            <w:hideMark/>
          </w:tcPr>
          <w:p w14:paraId="667D0037"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Полное</w:t>
            </w:r>
          </w:p>
        </w:tc>
        <w:tc>
          <w:tcPr>
            <w:tcW w:w="1323" w:type="dxa"/>
            <w:shd w:val="clear" w:color="auto" w:fill="auto"/>
            <w:tcMar>
              <w:top w:w="90" w:type="dxa"/>
              <w:left w:w="90" w:type="dxa"/>
              <w:bottom w:w="90" w:type="dxa"/>
              <w:right w:w="90" w:type="dxa"/>
            </w:tcMar>
            <w:vAlign w:val="center"/>
            <w:hideMark/>
          </w:tcPr>
          <w:p w14:paraId="647E2CF3"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Ничто</w:t>
            </w:r>
          </w:p>
        </w:tc>
        <w:tc>
          <w:tcPr>
            <w:tcW w:w="1275" w:type="dxa"/>
            <w:shd w:val="clear" w:color="auto" w:fill="auto"/>
            <w:tcMar>
              <w:top w:w="90" w:type="dxa"/>
              <w:left w:w="90" w:type="dxa"/>
              <w:bottom w:w="90" w:type="dxa"/>
              <w:right w:w="90" w:type="dxa"/>
            </w:tcMar>
            <w:vAlign w:val="center"/>
            <w:hideMark/>
          </w:tcPr>
          <w:p w14:paraId="578F407D"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D/E</w:t>
            </w:r>
          </w:p>
        </w:tc>
      </w:tr>
      <w:tr w:rsidR="00107040" w:rsidRPr="00107040" w14:paraId="7E9DB49B" w14:textId="77777777" w:rsidTr="00AA10F1">
        <w:trPr>
          <w:trHeight w:val="245"/>
        </w:trPr>
        <w:tc>
          <w:tcPr>
            <w:tcW w:w="929" w:type="dxa"/>
            <w:shd w:val="clear" w:color="auto" w:fill="auto"/>
            <w:tcMar>
              <w:top w:w="90" w:type="dxa"/>
              <w:left w:w="90" w:type="dxa"/>
              <w:bottom w:w="90" w:type="dxa"/>
              <w:right w:w="90" w:type="dxa"/>
            </w:tcMar>
            <w:vAlign w:val="center"/>
            <w:hideMark/>
          </w:tcPr>
          <w:p w14:paraId="6B661BE1"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MacroD2</w:t>
            </w:r>
          </w:p>
        </w:tc>
        <w:tc>
          <w:tcPr>
            <w:tcW w:w="1528" w:type="dxa"/>
            <w:shd w:val="clear" w:color="auto" w:fill="auto"/>
            <w:tcMar>
              <w:top w:w="90" w:type="dxa"/>
              <w:left w:w="90" w:type="dxa"/>
              <w:bottom w:w="90" w:type="dxa"/>
              <w:right w:w="90" w:type="dxa"/>
            </w:tcMar>
            <w:vAlign w:val="center"/>
            <w:hideMark/>
          </w:tcPr>
          <w:p w14:paraId="47487D33"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Макродомен</w:t>
            </w:r>
          </w:p>
        </w:tc>
        <w:tc>
          <w:tcPr>
            <w:tcW w:w="1134" w:type="dxa"/>
            <w:shd w:val="clear" w:color="auto" w:fill="auto"/>
            <w:tcMar>
              <w:top w:w="90" w:type="dxa"/>
              <w:left w:w="90" w:type="dxa"/>
              <w:bottom w:w="90" w:type="dxa"/>
              <w:right w:w="90" w:type="dxa"/>
            </w:tcMar>
            <w:vAlign w:val="center"/>
            <w:hideMark/>
          </w:tcPr>
          <w:p w14:paraId="42F7EE1C"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МАР</w:t>
            </w:r>
          </w:p>
        </w:tc>
        <w:tc>
          <w:tcPr>
            <w:tcW w:w="1701" w:type="dxa"/>
            <w:shd w:val="clear" w:color="auto" w:fill="auto"/>
            <w:tcMar>
              <w:top w:w="90" w:type="dxa"/>
              <w:left w:w="90" w:type="dxa"/>
              <w:bottom w:w="90" w:type="dxa"/>
              <w:right w:w="90" w:type="dxa"/>
            </w:tcMar>
            <w:vAlign w:val="center"/>
            <w:hideMark/>
          </w:tcPr>
          <w:p w14:paraId="3C76872E"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Карбоксильный эфир</w:t>
            </w:r>
          </w:p>
        </w:tc>
        <w:tc>
          <w:tcPr>
            <w:tcW w:w="1654" w:type="dxa"/>
            <w:shd w:val="clear" w:color="auto" w:fill="auto"/>
            <w:tcMar>
              <w:top w:w="90" w:type="dxa"/>
              <w:left w:w="90" w:type="dxa"/>
              <w:bottom w:w="90" w:type="dxa"/>
              <w:right w:w="90" w:type="dxa"/>
            </w:tcMar>
            <w:vAlign w:val="center"/>
            <w:hideMark/>
          </w:tcPr>
          <w:p w14:paraId="2A2CD5D7"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Полное</w:t>
            </w:r>
          </w:p>
        </w:tc>
        <w:tc>
          <w:tcPr>
            <w:tcW w:w="1323" w:type="dxa"/>
            <w:shd w:val="clear" w:color="auto" w:fill="auto"/>
            <w:tcMar>
              <w:top w:w="90" w:type="dxa"/>
              <w:left w:w="90" w:type="dxa"/>
              <w:bottom w:w="90" w:type="dxa"/>
              <w:right w:w="90" w:type="dxa"/>
            </w:tcMar>
            <w:vAlign w:val="center"/>
            <w:hideMark/>
          </w:tcPr>
          <w:p w14:paraId="151462B0"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Ничто</w:t>
            </w:r>
          </w:p>
        </w:tc>
        <w:tc>
          <w:tcPr>
            <w:tcW w:w="1275" w:type="dxa"/>
            <w:shd w:val="clear" w:color="auto" w:fill="auto"/>
            <w:tcMar>
              <w:top w:w="90" w:type="dxa"/>
              <w:left w:w="90" w:type="dxa"/>
              <w:bottom w:w="90" w:type="dxa"/>
              <w:right w:w="90" w:type="dxa"/>
            </w:tcMar>
            <w:vAlign w:val="center"/>
            <w:hideMark/>
          </w:tcPr>
          <w:p w14:paraId="4A1ABBA6"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D/E</w:t>
            </w:r>
          </w:p>
        </w:tc>
      </w:tr>
      <w:tr w:rsidR="00107040" w:rsidRPr="00107040" w14:paraId="649C9FBF" w14:textId="77777777" w:rsidTr="00AA10F1">
        <w:trPr>
          <w:trHeight w:val="260"/>
        </w:trPr>
        <w:tc>
          <w:tcPr>
            <w:tcW w:w="929" w:type="dxa"/>
            <w:shd w:val="clear" w:color="auto" w:fill="auto"/>
            <w:tcMar>
              <w:top w:w="90" w:type="dxa"/>
              <w:left w:w="90" w:type="dxa"/>
              <w:bottom w:w="90" w:type="dxa"/>
              <w:right w:w="90" w:type="dxa"/>
            </w:tcMar>
            <w:vAlign w:val="center"/>
            <w:hideMark/>
          </w:tcPr>
          <w:p w14:paraId="03268E55"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TARG1</w:t>
            </w:r>
          </w:p>
        </w:tc>
        <w:tc>
          <w:tcPr>
            <w:tcW w:w="1528" w:type="dxa"/>
            <w:shd w:val="clear" w:color="auto" w:fill="auto"/>
            <w:tcMar>
              <w:top w:w="90" w:type="dxa"/>
              <w:left w:w="90" w:type="dxa"/>
              <w:bottom w:w="90" w:type="dxa"/>
              <w:right w:w="90" w:type="dxa"/>
            </w:tcMar>
            <w:vAlign w:val="center"/>
            <w:hideMark/>
          </w:tcPr>
          <w:p w14:paraId="792EF545"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Макродомен</w:t>
            </w:r>
          </w:p>
        </w:tc>
        <w:tc>
          <w:tcPr>
            <w:tcW w:w="1134" w:type="dxa"/>
            <w:shd w:val="clear" w:color="auto" w:fill="auto"/>
            <w:tcMar>
              <w:top w:w="90" w:type="dxa"/>
              <w:left w:w="90" w:type="dxa"/>
              <w:bottom w:w="90" w:type="dxa"/>
              <w:right w:w="90" w:type="dxa"/>
            </w:tcMar>
            <w:vAlign w:val="center"/>
            <w:hideMark/>
          </w:tcPr>
          <w:p w14:paraId="19844039"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lang w:val="en-US"/>
              </w:rPr>
              <w:t>MA</w:t>
            </w:r>
            <w:r w:rsidRPr="00AA10F1">
              <w:rPr>
                <w:rFonts w:ascii="Times New Roman" w:eastAsia="Times New Roman" w:hAnsi="Times New Roman"/>
                <w:szCs w:val="28"/>
              </w:rPr>
              <w:t>Р</w:t>
            </w:r>
            <w:r w:rsidRPr="00AA10F1">
              <w:rPr>
                <w:rFonts w:ascii="Times New Roman" w:eastAsia="Times New Roman" w:hAnsi="Times New Roman"/>
                <w:szCs w:val="28"/>
                <w:lang w:val="en-US"/>
              </w:rPr>
              <w:t>/</w:t>
            </w:r>
            <w:r w:rsidRPr="00AA10F1">
              <w:rPr>
                <w:rFonts w:ascii="Times New Roman" w:eastAsia="Times New Roman" w:hAnsi="Times New Roman"/>
                <w:szCs w:val="28"/>
              </w:rPr>
              <w:t>ПАР</w:t>
            </w:r>
          </w:p>
        </w:tc>
        <w:tc>
          <w:tcPr>
            <w:tcW w:w="1701" w:type="dxa"/>
            <w:shd w:val="clear" w:color="auto" w:fill="auto"/>
            <w:tcMar>
              <w:top w:w="90" w:type="dxa"/>
              <w:left w:w="90" w:type="dxa"/>
              <w:bottom w:w="90" w:type="dxa"/>
              <w:right w:w="90" w:type="dxa"/>
            </w:tcMar>
            <w:vAlign w:val="center"/>
            <w:hideMark/>
          </w:tcPr>
          <w:p w14:paraId="01A08155"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Карбоксильный эфир</w:t>
            </w:r>
          </w:p>
        </w:tc>
        <w:tc>
          <w:tcPr>
            <w:tcW w:w="1654" w:type="dxa"/>
            <w:shd w:val="clear" w:color="auto" w:fill="auto"/>
            <w:tcMar>
              <w:top w:w="90" w:type="dxa"/>
              <w:left w:w="90" w:type="dxa"/>
              <w:bottom w:w="90" w:type="dxa"/>
              <w:right w:w="90" w:type="dxa"/>
            </w:tcMar>
            <w:vAlign w:val="center"/>
            <w:hideMark/>
          </w:tcPr>
          <w:p w14:paraId="058E5D51"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Полное</w:t>
            </w:r>
          </w:p>
        </w:tc>
        <w:tc>
          <w:tcPr>
            <w:tcW w:w="1323" w:type="dxa"/>
            <w:shd w:val="clear" w:color="auto" w:fill="auto"/>
            <w:tcMar>
              <w:top w:w="90" w:type="dxa"/>
              <w:left w:w="90" w:type="dxa"/>
              <w:bottom w:w="90" w:type="dxa"/>
              <w:right w:w="90" w:type="dxa"/>
            </w:tcMar>
            <w:vAlign w:val="center"/>
            <w:hideMark/>
          </w:tcPr>
          <w:p w14:paraId="419EB22F"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Ничто</w:t>
            </w:r>
          </w:p>
        </w:tc>
        <w:tc>
          <w:tcPr>
            <w:tcW w:w="1275" w:type="dxa"/>
            <w:shd w:val="clear" w:color="auto" w:fill="auto"/>
            <w:tcMar>
              <w:top w:w="90" w:type="dxa"/>
              <w:left w:w="90" w:type="dxa"/>
              <w:bottom w:w="90" w:type="dxa"/>
              <w:right w:w="90" w:type="dxa"/>
            </w:tcMar>
            <w:vAlign w:val="center"/>
            <w:hideMark/>
          </w:tcPr>
          <w:p w14:paraId="00269E89"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D/E</w:t>
            </w:r>
          </w:p>
        </w:tc>
      </w:tr>
      <w:tr w:rsidR="00107040" w:rsidRPr="00107040" w14:paraId="74D15E9D" w14:textId="77777777" w:rsidTr="00AA10F1">
        <w:trPr>
          <w:trHeight w:val="260"/>
        </w:trPr>
        <w:tc>
          <w:tcPr>
            <w:tcW w:w="929" w:type="dxa"/>
            <w:shd w:val="clear" w:color="auto" w:fill="auto"/>
            <w:tcMar>
              <w:top w:w="90" w:type="dxa"/>
              <w:left w:w="90" w:type="dxa"/>
              <w:bottom w:w="90" w:type="dxa"/>
              <w:right w:w="90" w:type="dxa"/>
            </w:tcMar>
            <w:vAlign w:val="center"/>
            <w:hideMark/>
          </w:tcPr>
          <w:p w14:paraId="67A94225"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ARH1</w:t>
            </w:r>
          </w:p>
        </w:tc>
        <w:tc>
          <w:tcPr>
            <w:tcW w:w="1528" w:type="dxa"/>
            <w:shd w:val="clear" w:color="auto" w:fill="auto"/>
            <w:tcMar>
              <w:top w:w="90" w:type="dxa"/>
              <w:left w:w="90" w:type="dxa"/>
              <w:bottom w:w="90" w:type="dxa"/>
              <w:right w:w="90" w:type="dxa"/>
            </w:tcMar>
            <w:vAlign w:val="center"/>
            <w:hideMark/>
          </w:tcPr>
          <w:p w14:paraId="635B72E9"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ARH fold</w:t>
            </w:r>
          </w:p>
        </w:tc>
        <w:tc>
          <w:tcPr>
            <w:tcW w:w="1134" w:type="dxa"/>
            <w:shd w:val="clear" w:color="auto" w:fill="auto"/>
            <w:tcMar>
              <w:top w:w="90" w:type="dxa"/>
              <w:left w:w="90" w:type="dxa"/>
              <w:bottom w:w="90" w:type="dxa"/>
              <w:right w:w="90" w:type="dxa"/>
            </w:tcMar>
            <w:vAlign w:val="center"/>
            <w:hideMark/>
          </w:tcPr>
          <w:p w14:paraId="46543CF2"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lang w:val="en-US"/>
              </w:rPr>
              <w:t>MA</w:t>
            </w:r>
            <w:r w:rsidRPr="00AA10F1">
              <w:rPr>
                <w:rFonts w:ascii="Times New Roman" w:eastAsia="Times New Roman" w:hAnsi="Times New Roman"/>
                <w:szCs w:val="28"/>
              </w:rPr>
              <w:t>Р</w:t>
            </w:r>
          </w:p>
        </w:tc>
        <w:tc>
          <w:tcPr>
            <w:tcW w:w="1701" w:type="dxa"/>
            <w:shd w:val="clear" w:color="auto" w:fill="auto"/>
            <w:tcMar>
              <w:top w:w="90" w:type="dxa"/>
              <w:left w:w="90" w:type="dxa"/>
              <w:bottom w:w="90" w:type="dxa"/>
              <w:right w:w="90" w:type="dxa"/>
            </w:tcMar>
            <w:vAlign w:val="center"/>
            <w:hideMark/>
          </w:tcPr>
          <w:p w14:paraId="28B2E3C3"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lang w:val="en-US"/>
              </w:rPr>
              <w:t>N-</w:t>
            </w:r>
            <w:r w:rsidRPr="00AA10F1">
              <w:rPr>
                <w:rFonts w:ascii="Times New Roman" w:eastAsia="Times New Roman" w:hAnsi="Times New Roman"/>
                <w:szCs w:val="28"/>
              </w:rPr>
              <w:t>гликозидное</w:t>
            </w:r>
          </w:p>
        </w:tc>
        <w:tc>
          <w:tcPr>
            <w:tcW w:w="1654" w:type="dxa"/>
            <w:shd w:val="clear" w:color="auto" w:fill="auto"/>
            <w:tcMar>
              <w:top w:w="90" w:type="dxa"/>
              <w:left w:w="90" w:type="dxa"/>
              <w:bottom w:w="90" w:type="dxa"/>
              <w:right w:w="90" w:type="dxa"/>
            </w:tcMar>
            <w:vAlign w:val="center"/>
            <w:hideMark/>
          </w:tcPr>
          <w:p w14:paraId="71D86D21"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Полное</w:t>
            </w:r>
          </w:p>
        </w:tc>
        <w:tc>
          <w:tcPr>
            <w:tcW w:w="1323" w:type="dxa"/>
            <w:shd w:val="clear" w:color="auto" w:fill="auto"/>
            <w:tcMar>
              <w:top w:w="90" w:type="dxa"/>
              <w:left w:w="90" w:type="dxa"/>
              <w:bottom w:w="90" w:type="dxa"/>
              <w:right w:w="90" w:type="dxa"/>
            </w:tcMar>
            <w:vAlign w:val="center"/>
            <w:hideMark/>
          </w:tcPr>
          <w:p w14:paraId="16DF7B29"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Ничто</w:t>
            </w:r>
          </w:p>
        </w:tc>
        <w:tc>
          <w:tcPr>
            <w:tcW w:w="1275" w:type="dxa"/>
            <w:shd w:val="clear" w:color="auto" w:fill="auto"/>
            <w:tcMar>
              <w:top w:w="90" w:type="dxa"/>
              <w:left w:w="90" w:type="dxa"/>
              <w:bottom w:w="90" w:type="dxa"/>
              <w:right w:w="90" w:type="dxa"/>
            </w:tcMar>
            <w:vAlign w:val="center"/>
            <w:hideMark/>
          </w:tcPr>
          <w:p w14:paraId="1684843A"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R</w:t>
            </w:r>
          </w:p>
        </w:tc>
      </w:tr>
      <w:tr w:rsidR="00107040" w:rsidRPr="00107040" w14:paraId="758F0A3F" w14:textId="77777777" w:rsidTr="00AA10F1">
        <w:trPr>
          <w:trHeight w:val="245"/>
        </w:trPr>
        <w:tc>
          <w:tcPr>
            <w:tcW w:w="929" w:type="dxa"/>
            <w:shd w:val="clear" w:color="auto" w:fill="auto"/>
            <w:tcMar>
              <w:top w:w="90" w:type="dxa"/>
              <w:left w:w="90" w:type="dxa"/>
              <w:bottom w:w="90" w:type="dxa"/>
              <w:right w:w="90" w:type="dxa"/>
            </w:tcMar>
            <w:vAlign w:val="center"/>
            <w:hideMark/>
          </w:tcPr>
          <w:p w14:paraId="1F279A0F"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ARH3</w:t>
            </w:r>
          </w:p>
        </w:tc>
        <w:tc>
          <w:tcPr>
            <w:tcW w:w="1528" w:type="dxa"/>
            <w:shd w:val="clear" w:color="auto" w:fill="auto"/>
            <w:tcMar>
              <w:top w:w="90" w:type="dxa"/>
              <w:left w:w="90" w:type="dxa"/>
              <w:bottom w:w="90" w:type="dxa"/>
              <w:right w:w="90" w:type="dxa"/>
            </w:tcMar>
            <w:vAlign w:val="center"/>
            <w:hideMark/>
          </w:tcPr>
          <w:p w14:paraId="4D4DF004"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ARH fold</w:t>
            </w:r>
          </w:p>
        </w:tc>
        <w:tc>
          <w:tcPr>
            <w:tcW w:w="1134" w:type="dxa"/>
            <w:shd w:val="clear" w:color="auto" w:fill="auto"/>
            <w:tcMar>
              <w:top w:w="90" w:type="dxa"/>
              <w:left w:w="90" w:type="dxa"/>
              <w:bottom w:w="90" w:type="dxa"/>
              <w:right w:w="90" w:type="dxa"/>
            </w:tcMar>
            <w:vAlign w:val="center"/>
            <w:hideMark/>
          </w:tcPr>
          <w:p w14:paraId="6BC0917C" w14:textId="77777777" w:rsid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MA</w:t>
            </w:r>
            <w:r w:rsidRPr="00AA10F1">
              <w:rPr>
                <w:rFonts w:ascii="Times New Roman" w:eastAsia="Times New Roman" w:hAnsi="Times New Roman"/>
                <w:szCs w:val="28"/>
              </w:rPr>
              <w:t>Р</w:t>
            </w:r>
            <w:r w:rsidRPr="00AA10F1">
              <w:rPr>
                <w:rFonts w:ascii="Times New Roman" w:eastAsia="Times New Roman" w:hAnsi="Times New Roman"/>
                <w:szCs w:val="28"/>
                <w:lang w:val="en-US"/>
              </w:rPr>
              <w:t>/</w:t>
            </w:r>
          </w:p>
          <w:p w14:paraId="41FD96A1" w14:textId="198A5A8D"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ПАР</w:t>
            </w:r>
          </w:p>
        </w:tc>
        <w:tc>
          <w:tcPr>
            <w:tcW w:w="1701" w:type="dxa"/>
            <w:shd w:val="clear" w:color="auto" w:fill="auto"/>
            <w:tcMar>
              <w:top w:w="90" w:type="dxa"/>
              <w:left w:w="90" w:type="dxa"/>
              <w:bottom w:w="90" w:type="dxa"/>
              <w:right w:w="90" w:type="dxa"/>
            </w:tcMar>
            <w:vAlign w:val="center"/>
            <w:hideMark/>
          </w:tcPr>
          <w:p w14:paraId="38887BC6"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lang w:val="en-US"/>
              </w:rPr>
              <w:t>O-</w:t>
            </w:r>
            <w:r w:rsidRPr="00AA10F1">
              <w:rPr>
                <w:rFonts w:ascii="Times New Roman" w:eastAsia="Times New Roman" w:hAnsi="Times New Roman"/>
                <w:szCs w:val="28"/>
              </w:rPr>
              <w:t>гликозидное</w:t>
            </w:r>
          </w:p>
        </w:tc>
        <w:tc>
          <w:tcPr>
            <w:tcW w:w="1654" w:type="dxa"/>
            <w:shd w:val="clear" w:color="auto" w:fill="auto"/>
            <w:tcMar>
              <w:top w:w="90" w:type="dxa"/>
              <w:left w:w="90" w:type="dxa"/>
              <w:bottom w:w="90" w:type="dxa"/>
              <w:right w:w="90" w:type="dxa"/>
            </w:tcMar>
            <w:vAlign w:val="center"/>
            <w:hideMark/>
          </w:tcPr>
          <w:p w14:paraId="67013A3D"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Полное</w:t>
            </w:r>
          </w:p>
        </w:tc>
        <w:tc>
          <w:tcPr>
            <w:tcW w:w="1323" w:type="dxa"/>
            <w:shd w:val="clear" w:color="auto" w:fill="auto"/>
            <w:tcMar>
              <w:top w:w="90" w:type="dxa"/>
              <w:left w:w="90" w:type="dxa"/>
              <w:bottom w:w="90" w:type="dxa"/>
              <w:right w:w="90" w:type="dxa"/>
            </w:tcMar>
            <w:vAlign w:val="center"/>
            <w:hideMark/>
          </w:tcPr>
          <w:p w14:paraId="352411CC"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Ничто</w:t>
            </w:r>
          </w:p>
        </w:tc>
        <w:tc>
          <w:tcPr>
            <w:tcW w:w="1275" w:type="dxa"/>
            <w:shd w:val="clear" w:color="auto" w:fill="auto"/>
            <w:tcMar>
              <w:top w:w="90" w:type="dxa"/>
              <w:left w:w="90" w:type="dxa"/>
              <w:bottom w:w="90" w:type="dxa"/>
              <w:right w:w="90" w:type="dxa"/>
            </w:tcMar>
            <w:vAlign w:val="center"/>
            <w:hideMark/>
          </w:tcPr>
          <w:p w14:paraId="43CB9E91"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S</w:t>
            </w:r>
          </w:p>
        </w:tc>
      </w:tr>
      <w:tr w:rsidR="00107040" w:rsidRPr="00107040" w14:paraId="13E0AB49" w14:textId="77777777" w:rsidTr="00AA10F1">
        <w:trPr>
          <w:trHeight w:val="260"/>
        </w:trPr>
        <w:tc>
          <w:tcPr>
            <w:tcW w:w="929" w:type="dxa"/>
            <w:shd w:val="clear" w:color="auto" w:fill="auto"/>
            <w:tcMar>
              <w:top w:w="90" w:type="dxa"/>
              <w:left w:w="90" w:type="dxa"/>
              <w:bottom w:w="90" w:type="dxa"/>
              <w:right w:w="90" w:type="dxa"/>
            </w:tcMar>
            <w:vAlign w:val="center"/>
            <w:hideMark/>
          </w:tcPr>
          <w:p w14:paraId="0B891078"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NUDT9</w:t>
            </w:r>
          </w:p>
        </w:tc>
        <w:tc>
          <w:tcPr>
            <w:tcW w:w="1528" w:type="dxa"/>
            <w:shd w:val="clear" w:color="auto" w:fill="auto"/>
            <w:tcMar>
              <w:top w:w="90" w:type="dxa"/>
              <w:left w:w="90" w:type="dxa"/>
              <w:bottom w:w="90" w:type="dxa"/>
              <w:right w:w="90" w:type="dxa"/>
            </w:tcMar>
            <w:vAlign w:val="center"/>
            <w:hideMark/>
          </w:tcPr>
          <w:p w14:paraId="24498F8E"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NUDIX</w:t>
            </w:r>
          </w:p>
        </w:tc>
        <w:tc>
          <w:tcPr>
            <w:tcW w:w="1134" w:type="dxa"/>
            <w:shd w:val="clear" w:color="auto" w:fill="auto"/>
            <w:tcMar>
              <w:top w:w="90" w:type="dxa"/>
              <w:left w:w="90" w:type="dxa"/>
              <w:bottom w:w="90" w:type="dxa"/>
              <w:right w:w="90" w:type="dxa"/>
            </w:tcMar>
            <w:vAlign w:val="center"/>
            <w:hideMark/>
          </w:tcPr>
          <w:p w14:paraId="35150AC3"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ПАР</w:t>
            </w:r>
          </w:p>
        </w:tc>
        <w:tc>
          <w:tcPr>
            <w:tcW w:w="1701" w:type="dxa"/>
            <w:shd w:val="clear" w:color="auto" w:fill="auto"/>
            <w:tcMar>
              <w:top w:w="90" w:type="dxa"/>
              <w:left w:w="90" w:type="dxa"/>
              <w:bottom w:w="90" w:type="dxa"/>
              <w:right w:w="90" w:type="dxa"/>
            </w:tcMar>
            <w:vAlign w:val="center"/>
            <w:hideMark/>
          </w:tcPr>
          <w:p w14:paraId="034A9BF5"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Фосфоди-эфирное</w:t>
            </w:r>
          </w:p>
        </w:tc>
        <w:tc>
          <w:tcPr>
            <w:tcW w:w="1654" w:type="dxa"/>
            <w:shd w:val="clear" w:color="auto" w:fill="auto"/>
            <w:tcMar>
              <w:top w:w="90" w:type="dxa"/>
              <w:left w:w="90" w:type="dxa"/>
              <w:bottom w:w="90" w:type="dxa"/>
              <w:right w:w="90" w:type="dxa"/>
            </w:tcMar>
            <w:vAlign w:val="center"/>
            <w:hideMark/>
          </w:tcPr>
          <w:p w14:paraId="604DB38F" w14:textId="77777777"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Частичное</w:t>
            </w:r>
          </w:p>
        </w:tc>
        <w:tc>
          <w:tcPr>
            <w:tcW w:w="1323" w:type="dxa"/>
            <w:shd w:val="clear" w:color="auto" w:fill="auto"/>
            <w:tcMar>
              <w:top w:w="90" w:type="dxa"/>
              <w:left w:w="90" w:type="dxa"/>
              <w:bottom w:w="90" w:type="dxa"/>
              <w:right w:w="90" w:type="dxa"/>
            </w:tcMar>
            <w:vAlign w:val="center"/>
            <w:hideMark/>
          </w:tcPr>
          <w:p w14:paraId="1FEE5F94"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Фосфо-рибоза</w:t>
            </w:r>
          </w:p>
        </w:tc>
        <w:tc>
          <w:tcPr>
            <w:tcW w:w="1275" w:type="dxa"/>
            <w:shd w:val="clear" w:color="auto" w:fill="auto"/>
            <w:tcMar>
              <w:top w:w="90" w:type="dxa"/>
              <w:left w:w="90" w:type="dxa"/>
              <w:bottom w:w="90" w:type="dxa"/>
              <w:right w:w="90" w:type="dxa"/>
            </w:tcMar>
            <w:vAlign w:val="center"/>
            <w:hideMark/>
          </w:tcPr>
          <w:p w14:paraId="16D56717"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Независи</w:t>
            </w:r>
            <w:r w:rsidRPr="00AA10F1">
              <w:rPr>
                <w:rFonts w:ascii="Times New Roman" w:eastAsia="Times New Roman" w:hAnsi="Times New Roman"/>
                <w:szCs w:val="28"/>
              </w:rPr>
              <w:t>-</w:t>
            </w:r>
            <w:r w:rsidRPr="00AA10F1">
              <w:rPr>
                <w:rFonts w:ascii="Times New Roman" w:eastAsia="Times New Roman" w:hAnsi="Times New Roman"/>
                <w:szCs w:val="28"/>
                <w:lang w:val="en-US"/>
              </w:rPr>
              <w:t>мость от связи</w:t>
            </w:r>
          </w:p>
        </w:tc>
      </w:tr>
      <w:tr w:rsidR="00107040" w:rsidRPr="00107040" w14:paraId="1A239F44" w14:textId="77777777" w:rsidTr="00AA10F1">
        <w:trPr>
          <w:trHeight w:val="260"/>
        </w:trPr>
        <w:tc>
          <w:tcPr>
            <w:tcW w:w="929" w:type="dxa"/>
            <w:shd w:val="clear" w:color="auto" w:fill="auto"/>
            <w:tcMar>
              <w:top w:w="90" w:type="dxa"/>
              <w:left w:w="90" w:type="dxa"/>
              <w:bottom w:w="90" w:type="dxa"/>
              <w:right w:w="90" w:type="dxa"/>
            </w:tcMar>
            <w:vAlign w:val="center"/>
            <w:hideMark/>
          </w:tcPr>
          <w:p w14:paraId="2D17BF66"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NUDT16</w:t>
            </w:r>
          </w:p>
        </w:tc>
        <w:tc>
          <w:tcPr>
            <w:tcW w:w="1528" w:type="dxa"/>
            <w:shd w:val="clear" w:color="auto" w:fill="auto"/>
            <w:tcMar>
              <w:top w:w="90" w:type="dxa"/>
              <w:left w:w="90" w:type="dxa"/>
              <w:bottom w:w="90" w:type="dxa"/>
              <w:right w:w="90" w:type="dxa"/>
            </w:tcMar>
            <w:vAlign w:val="center"/>
            <w:hideMark/>
          </w:tcPr>
          <w:p w14:paraId="03168885"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NUDIX</w:t>
            </w:r>
          </w:p>
        </w:tc>
        <w:tc>
          <w:tcPr>
            <w:tcW w:w="1134" w:type="dxa"/>
            <w:shd w:val="clear" w:color="auto" w:fill="auto"/>
            <w:tcMar>
              <w:top w:w="90" w:type="dxa"/>
              <w:left w:w="90" w:type="dxa"/>
              <w:bottom w:w="90" w:type="dxa"/>
              <w:right w:w="90" w:type="dxa"/>
            </w:tcMar>
            <w:vAlign w:val="center"/>
            <w:hideMark/>
          </w:tcPr>
          <w:p w14:paraId="199906D3" w14:textId="77777777" w:rsid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MA</w:t>
            </w:r>
            <w:r w:rsidRPr="00AA10F1">
              <w:rPr>
                <w:rFonts w:ascii="Times New Roman" w:eastAsia="Times New Roman" w:hAnsi="Times New Roman"/>
                <w:szCs w:val="28"/>
              </w:rPr>
              <w:t>Р</w:t>
            </w:r>
            <w:r w:rsidRPr="00AA10F1">
              <w:rPr>
                <w:rFonts w:ascii="Times New Roman" w:eastAsia="Times New Roman" w:hAnsi="Times New Roman"/>
                <w:szCs w:val="28"/>
                <w:lang w:val="en-US"/>
              </w:rPr>
              <w:t>/</w:t>
            </w:r>
          </w:p>
          <w:p w14:paraId="12800F57" w14:textId="559A4013"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ПАР</w:t>
            </w:r>
          </w:p>
        </w:tc>
        <w:tc>
          <w:tcPr>
            <w:tcW w:w="1701" w:type="dxa"/>
            <w:shd w:val="clear" w:color="auto" w:fill="auto"/>
            <w:tcMar>
              <w:top w:w="90" w:type="dxa"/>
              <w:left w:w="90" w:type="dxa"/>
              <w:bottom w:w="90" w:type="dxa"/>
              <w:right w:w="90" w:type="dxa"/>
            </w:tcMar>
            <w:vAlign w:val="center"/>
            <w:hideMark/>
          </w:tcPr>
          <w:p w14:paraId="55D938D9"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Фосфоди-эфирное</w:t>
            </w:r>
          </w:p>
        </w:tc>
        <w:tc>
          <w:tcPr>
            <w:tcW w:w="1654" w:type="dxa"/>
            <w:shd w:val="clear" w:color="auto" w:fill="auto"/>
            <w:tcMar>
              <w:top w:w="90" w:type="dxa"/>
              <w:left w:w="90" w:type="dxa"/>
              <w:bottom w:w="90" w:type="dxa"/>
              <w:right w:w="90" w:type="dxa"/>
            </w:tcMar>
            <w:vAlign w:val="center"/>
            <w:hideMark/>
          </w:tcPr>
          <w:p w14:paraId="0966CF2D"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Частичное</w:t>
            </w:r>
          </w:p>
        </w:tc>
        <w:tc>
          <w:tcPr>
            <w:tcW w:w="1323" w:type="dxa"/>
            <w:shd w:val="clear" w:color="auto" w:fill="auto"/>
            <w:tcMar>
              <w:top w:w="90" w:type="dxa"/>
              <w:left w:w="90" w:type="dxa"/>
              <w:bottom w:w="90" w:type="dxa"/>
              <w:right w:w="90" w:type="dxa"/>
            </w:tcMar>
            <w:vAlign w:val="center"/>
            <w:hideMark/>
          </w:tcPr>
          <w:p w14:paraId="4826ABDE"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Фосфо-рибоза</w:t>
            </w:r>
          </w:p>
        </w:tc>
        <w:tc>
          <w:tcPr>
            <w:tcW w:w="1275" w:type="dxa"/>
            <w:shd w:val="clear" w:color="auto" w:fill="auto"/>
            <w:tcMar>
              <w:top w:w="90" w:type="dxa"/>
              <w:left w:w="90" w:type="dxa"/>
              <w:bottom w:w="90" w:type="dxa"/>
              <w:right w:w="90" w:type="dxa"/>
            </w:tcMar>
            <w:vAlign w:val="center"/>
            <w:hideMark/>
          </w:tcPr>
          <w:p w14:paraId="0E9C382C"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Независи</w:t>
            </w:r>
            <w:r w:rsidRPr="00AA10F1">
              <w:rPr>
                <w:rFonts w:ascii="Times New Roman" w:eastAsia="Times New Roman" w:hAnsi="Times New Roman"/>
                <w:szCs w:val="28"/>
              </w:rPr>
              <w:t>-</w:t>
            </w:r>
            <w:r w:rsidRPr="00AA10F1">
              <w:rPr>
                <w:rFonts w:ascii="Times New Roman" w:eastAsia="Times New Roman" w:hAnsi="Times New Roman"/>
                <w:szCs w:val="28"/>
                <w:lang w:val="en-US"/>
              </w:rPr>
              <w:t>мость от связи</w:t>
            </w:r>
          </w:p>
        </w:tc>
      </w:tr>
      <w:tr w:rsidR="00107040" w:rsidRPr="00107040" w14:paraId="3A16BCD4" w14:textId="77777777" w:rsidTr="00AA10F1">
        <w:trPr>
          <w:trHeight w:val="245"/>
        </w:trPr>
        <w:tc>
          <w:tcPr>
            <w:tcW w:w="929" w:type="dxa"/>
            <w:shd w:val="clear" w:color="auto" w:fill="auto"/>
            <w:tcMar>
              <w:top w:w="90" w:type="dxa"/>
              <w:left w:w="90" w:type="dxa"/>
              <w:bottom w:w="90" w:type="dxa"/>
              <w:right w:w="90" w:type="dxa"/>
            </w:tcMar>
            <w:vAlign w:val="center"/>
            <w:hideMark/>
          </w:tcPr>
          <w:p w14:paraId="63A1BEC8"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ENPP1</w:t>
            </w:r>
          </w:p>
        </w:tc>
        <w:tc>
          <w:tcPr>
            <w:tcW w:w="1528" w:type="dxa"/>
            <w:shd w:val="clear" w:color="auto" w:fill="auto"/>
            <w:tcMar>
              <w:top w:w="90" w:type="dxa"/>
              <w:left w:w="90" w:type="dxa"/>
              <w:bottom w:w="90" w:type="dxa"/>
              <w:right w:w="90" w:type="dxa"/>
            </w:tcMar>
            <w:vAlign w:val="center"/>
            <w:hideMark/>
          </w:tcPr>
          <w:p w14:paraId="4F20D8A5"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ENPP (PDNP)</w:t>
            </w:r>
          </w:p>
        </w:tc>
        <w:tc>
          <w:tcPr>
            <w:tcW w:w="1134" w:type="dxa"/>
            <w:shd w:val="clear" w:color="auto" w:fill="auto"/>
            <w:tcMar>
              <w:top w:w="90" w:type="dxa"/>
              <w:left w:w="90" w:type="dxa"/>
              <w:bottom w:w="90" w:type="dxa"/>
              <w:right w:w="90" w:type="dxa"/>
            </w:tcMar>
            <w:vAlign w:val="center"/>
            <w:hideMark/>
          </w:tcPr>
          <w:p w14:paraId="1D9A44C1" w14:textId="77777777" w:rsid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MA</w:t>
            </w:r>
            <w:r w:rsidRPr="00AA10F1">
              <w:rPr>
                <w:rFonts w:ascii="Times New Roman" w:eastAsia="Times New Roman" w:hAnsi="Times New Roman"/>
                <w:szCs w:val="28"/>
              </w:rPr>
              <w:t>Р</w:t>
            </w:r>
            <w:r w:rsidRPr="00AA10F1">
              <w:rPr>
                <w:rFonts w:ascii="Times New Roman" w:eastAsia="Times New Roman" w:hAnsi="Times New Roman"/>
                <w:szCs w:val="28"/>
                <w:lang w:val="en-US"/>
              </w:rPr>
              <w:t>/</w:t>
            </w:r>
          </w:p>
          <w:p w14:paraId="3A24118D" w14:textId="1EA7920A" w:rsidR="00107040" w:rsidRPr="00AA10F1" w:rsidRDefault="00107040" w:rsidP="00107040">
            <w:pPr>
              <w:spacing w:after="0" w:line="240" w:lineRule="auto"/>
              <w:jc w:val="both"/>
              <w:rPr>
                <w:rFonts w:ascii="Times New Roman" w:eastAsia="Times New Roman" w:hAnsi="Times New Roman"/>
                <w:szCs w:val="28"/>
              </w:rPr>
            </w:pPr>
            <w:r w:rsidRPr="00AA10F1">
              <w:rPr>
                <w:rFonts w:ascii="Times New Roman" w:eastAsia="Times New Roman" w:hAnsi="Times New Roman"/>
                <w:szCs w:val="28"/>
              </w:rPr>
              <w:t>П</w:t>
            </w:r>
            <w:r w:rsidRPr="00AA10F1">
              <w:rPr>
                <w:rFonts w:ascii="Times New Roman" w:eastAsia="Times New Roman" w:hAnsi="Times New Roman"/>
                <w:szCs w:val="28"/>
                <w:lang w:val="en-US"/>
              </w:rPr>
              <w:t>A</w:t>
            </w:r>
            <w:r w:rsidRPr="00AA10F1">
              <w:rPr>
                <w:rFonts w:ascii="Times New Roman" w:eastAsia="Times New Roman" w:hAnsi="Times New Roman"/>
                <w:szCs w:val="28"/>
              </w:rPr>
              <w:t>Р</w:t>
            </w:r>
          </w:p>
        </w:tc>
        <w:tc>
          <w:tcPr>
            <w:tcW w:w="1701" w:type="dxa"/>
            <w:shd w:val="clear" w:color="auto" w:fill="auto"/>
            <w:tcMar>
              <w:top w:w="90" w:type="dxa"/>
              <w:left w:w="90" w:type="dxa"/>
              <w:bottom w:w="90" w:type="dxa"/>
              <w:right w:w="90" w:type="dxa"/>
            </w:tcMar>
            <w:vAlign w:val="center"/>
            <w:hideMark/>
          </w:tcPr>
          <w:p w14:paraId="14C21F5F"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Фосфоди-эфирное</w:t>
            </w:r>
          </w:p>
        </w:tc>
        <w:tc>
          <w:tcPr>
            <w:tcW w:w="1654" w:type="dxa"/>
            <w:shd w:val="clear" w:color="auto" w:fill="auto"/>
            <w:tcMar>
              <w:top w:w="90" w:type="dxa"/>
              <w:left w:w="90" w:type="dxa"/>
              <w:bottom w:w="90" w:type="dxa"/>
              <w:right w:w="90" w:type="dxa"/>
            </w:tcMar>
            <w:vAlign w:val="center"/>
            <w:hideMark/>
          </w:tcPr>
          <w:p w14:paraId="763A4E7C"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Частичное</w:t>
            </w:r>
          </w:p>
        </w:tc>
        <w:tc>
          <w:tcPr>
            <w:tcW w:w="1323" w:type="dxa"/>
            <w:shd w:val="clear" w:color="auto" w:fill="auto"/>
            <w:tcMar>
              <w:top w:w="90" w:type="dxa"/>
              <w:left w:w="90" w:type="dxa"/>
              <w:bottom w:w="90" w:type="dxa"/>
              <w:right w:w="90" w:type="dxa"/>
            </w:tcMar>
            <w:vAlign w:val="center"/>
            <w:hideMark/>
          </w:tcPr>
          <w:p w14:paraId="35E1D61F"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rPr>
              <w:t>Фосфо-рибоза</w:t>
            </w:r>
          </w:p>
        </w:tc>
        <w:tc>
          <w:tcPr>
            <w:tcW w:w="1275" w:type="dxa"/>
            <w:shd w:val="clear" w:color="auto" w:fill="auto"/>
            <w:tcMar>
              <w:top w:w="90" w:type="dxa"/>
              <w:left w:w="90" w:type="dxa"/>
              <w:bottom w:w="90" w:type="dxa"/>
              <w:right w:w="90" w:type="dxa"/>
            </w:tcMar>
            <w:vAlign w:val="center"/>
            <w:hideMark/>
          </w:tcPr>
          <w:p w14:paraId="33E02C78" w14:textId="77777777" w:rsidR="00107040" w:rsidRPr="00AA10F1" w:rsidRDefault="00107040" w:rsidP="00107040">
            <w:pPr>
              <w:spacing w:after="0" w:line="240" w:lineRule="auto"/>
              <w:jc w:val="both"/>
              <w:rPr>
                <w:rFonts w:ascii="Times New Roman" w:eastAsia="Times New Roman" w:hAnsi="Times New Roman"/>
                <w:szCs w:val="28"/>
                <w:lang w:val="en-US"/>
              </w:rPr>
            </w:pPr>
            <w:r w:rsidRPr="00AA10F1">
              <w:rPr>
                <w:rFonts w:ascii="Times New Roman" w:eastAsia="Times New Roman" w:hAnsi="Times New Roman"/>
                <w:szCs w:val="28"/>
                <w:lang w:val="en-US"/>
              </w:rPr>
              <w:t>Независи</w:t>
            </w:r>
            <w:r w:rsidRPr="00AA10F1">
              <w:rPr>
                <w:rFonts w:ascii="Times New Roman" w:eastAsia="Times New Roman" w:hAnsi="Times New Roman"/>
                <w:szCs w:val="28"/>
              </w:rPr>
              <w:t>-</w:t>
            </w:r>
            <w:r w:rsidRPr="00AA10F1">
              <w:rPr>
                <w:rFonts w:ascii="Times New Roman" w:eastAsia="Times New Roman" w:hAnsi="Times New Roman"/>
                <w:szCs w:val="28"/>
                <w:lang w:val="en-US"/>
              </w:rPr>
              <w:t>мость от связи</w:t>
            </w:r>
          </w:p>
        </w:tc>
      </w:tr>
    </w:tbl>
    <w:p w14:paraId="1556E490" w14:textId="77777777" w:rsidR="00107040" w:rsidRPr="00107040" w:rsidRDefault="00107040" w:rsidP="00107040">
      <w:pPr>
        <w:spacing w:after="0" w:line="240" w:lineRule="auto"/>
        <w:ind w:firstLine="567"/>
        <w:jc w:val="both"/>
        <w:rPr>
          <w:rFonts w:ascii="Times New Roman" w:hAnsi="Times New Roman"/>
          <w:sz w:val="28"/>
          <w:szCs w:val="28"/>
        </w:rPr>
      </w:pPr>
    </w:p>
    <w:p w14:paraId="418B3018" w14:textId="7777777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В клетках человека деМАРилирование осуществляется аминокислотоспецифическими АДФ-рибозо-акцепторными гидролазами, такими как белки, содержащие макродомены </w:t>
      </w:r>
      <w:r w:rsidRPr="00107040">
        <w:rPr>
          <w:rFonts w:ascii="Times New Roman" w:hAnsi="Times New Roman"/>
          <w:sz w:val="28"/>
          <w:szCs w:val="28"/>
          <w:lang w:val="en-US"/>
        </w:rPr>
        <w:t>MacroD</w:t>
      </w:r>
      <w:r w:rsidRPr="00107040">
        <w:rPr>
          <w:rFonts w:ascii="Times New Roman" w:hAnsi="Times New Roman"/>
          <w:sz w:val="28"/>
          <w:szCs w:val="28"/>
        </w:rPr>
        <w:t xml:space="preserve">1 и </w:t>
      </w:r>
      <w:r w:rsidRPr="00107040">
        <w:rPr>
          <w:rFonts w:ascii="Times New Roman" w:hAnsi="Times New Roman"/>
          <w:sz w:val="28"/>
          <w:szCs w:val="28"/>
          <w:lang w:val="en-US"/>
        </w:rPr>
        <w:t>MacroD</w:t>
      </w:r>
      <w:r w:rsidRPr="00107040">
        <w:rPr>
          <w:rFonts w:ascii="Times New Roman" w:hAnsi="Times New Roman"/>
          <w:sz w:val="28"/>
          <w:szCs w:val="28"/>
        </w:rPr>
        <w:t>2, терминальная АДФ-рибозопротеингликогидролаза 1 (</w:t>
      </w:r>
      <w:r w:rsidRPr="00107040">
        <w:rPr>
          <w:rFonts w:ascii="Times New Roman" w:hAnsi="Times New Roman"/>
          <w:sz w:val="28"/>
          <w:szCs w:val="28"/>
          <w:lang w:val="en-US"/>
        </w:rPr>
        <w:t>TARG</w:t>
      </w:r>
      <w:r w:rsidRPr="00107040">
        <w:rPr>
          <w:rFonts w:ascii="Times New Roman" w:hAnsi="Times New Roman"/>
          <w:sz w:val="28"/>
          <w:szCs w:val="28"/>
        </w:rPr>
        <w:t>1) и члены семейства АДФ-рибозогидролаз (</w:t>
      </w:r>
      <w:r w:rsidRPr="00107040">
        <w:rPr>
          <w:rFonts w:ascii="Times New Roman" w:hAnsi="Times New Roman"/>
          <w:sz w:val="28"/>
          <w:szCs w:val="28"/>
          <w:lang w:val="en-US"/>
        </w:rPr>
        <w:t>ARH</w:t>
      </w:r>
      <w:r w:rsidRPr="00107040">
        <w:rPr>
          <w:rFonts w:ascii="Times New Roman" w:hAnsi="Times New Roman"/>
          <w:sz w:val="28"/>
          <w:szCs w:val="28"/>
        </w:rPr>
        <w:t>). Кроме того, было показано, что некоторые фосфодиэстеразы обладают активностью процессинга АДФ-рибозы.</w:t>
      </w:r>
    </w:p>
    <w:p w14:paraId="13C0E303" w14:textId="77777777" w:rsidR="00107040" w:rsidRPr="00107040" w:rsidRDefault="00107040" w:rsidP="00107040">
      <w:pPr>
        <w:spacing w:after="0" w:line="240" w:lineRule="auto"/>
        <w:ind w:firstLine="567"/>
        <w:jc w:val="both"/>
        <w:rPr>
          <w:rFonts w:ascii="Times New Roman" w:hAnsi="Times New Roman"/>
          <w:sz w:val="28"/>
          <w:szCs w:val="28"/>
        </w:rPr>
      </w:pPr>
    </w:p>
    <w:p w14:paraId="69D198D8" w14:textId="77777777" w:rsidR="00107040" w:rsidRPr="00107040" w:rsidRDefault="00107040" w:rsidP="00107040">
      <w:pPr>
        <w:spacing w:after="0" w:line="240" w:lineRule="auto"/>
        <w:ind w:firstLine="567"/>
        <w:jc w:val="both"/>
        <w:rPr>
          <w:rFonts w:ascii="Times New Roman" w:hAnsi="Times New Roman"/>
          <w:sz w:val="28"/>
          <w:szCs w:val="28"/>
        </w:rPr>
      </w:pPr>
      <w:bookmarkStart w:id="32" w:name="_Hlk113268222"/>
      <w:r w:rsidRPr="00107040">
        <w:rPr>
          <w:rFonts w:ascii="Times New Roman" w:hAnsi="Times New Roman"/>
          <w:sz w:val="28"/>
          <w:szCs w:val="28"/>
        </w:rPr>
        <w:t>1.</w:t>
      </w:r>
      <w:r w:rsidRPr="00107040">
        <w:rPr>
          <w:rFonts w:ascii="Times New Roman" w:hAnsi="Times New Roman"/>
          <w:sz w:val="28"/>
          <w:szCs w:val="28"/>
          <w:lang w:val="kk-KZ"/>
        </w:rPr>
        <w:t>5</w:t>
      </w:r>
      <w:r w:rsidRPr="00107040">
        <w:rPr>
          <w:rFonts w:ascii="Times New Roman" w:hAnsi="Times New Roman"/>
          <w:sz w:val="28"/>
          <w:szCs w:val="28"/>
        </w:rPr>
        <w:t>.1 Поли (АДФ-рибоза) гликогидролаза (</w:t>
      </w:r>
      <w:r w:rsidRPr="00107040">
        <w:rPr>
          <w:rFonts w:ascii="Times New Roman" w:hAnsi="Times New Roman"/>
          <w:sz w:val="28"/>
          <w:szCs w:val="28"/>
          <w:lang w:val="en-US"/>
        </w:rPr>
        <w:t>PARG</w:t>
      </w:r>
      <w:r w:rsidRPr="00107040">
        <w:rPr>
          <w:rFonts w:ascii="Times New Roman" w:hAnsi="Times New Roman"/>
          <w:sz w:val="28"/>
          <w:szCs w:val="28"/>
        </w:rPr>
        <w:t>)</w:t>
      </w:r>
    </w:p>
    <w:bookmarkEnd w:id="32"/>
    <w:p w14:paraId="28E17D7F" w14:textId="68B95BC0"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При обширном повреждении ДНК значительное снижение внутриклеточных концентраций НАД происходит в сочетании только с ПАРилированием, хотя роль </w:t>
      </w:r>
      <w:r w:rsidRPr="00107040">
        <w:rPr>
          <w:rFonts w:ascii="Times New Roman" w:hAnsi="Times New Roman"/>
          <w:sz w:val="28"/>
          <w:szCs w:val="28"/>
          <w:lang w:val="en-US"/>
        </w:rPr>
        <w:t>MA</w:t>
      </w:r>
      <w:r w:rsidRPr="00107040">
        <w:rPr>
          <w:rFonts w:ascii="Times New Roman" w:hAnsi="Times New Roman"/>
          <w:sz w:val="28"/>
          <w:szCs w:val="28"/>
        </w:rPr>
        <w:t xml:space="preserve">Рилирования в ответ на генотоксический стресс в последнее время стала более достоверной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{"citationID":"QGzHInDj","properties":{"formattedCitation":"[216]","plainCitation":"[216]","noteIndex":0},"citationItems":[{"id":179,"uris":["http://zotero.org/users/9078202/items/PYF5MRKQ"],"itemData":{"id":179,"type":"article-journal","abstract":"A key process in the regulation of protein activities and thus cellular signaling pathways is the modification of proteins by post-translational mechanisms. Knowledge about the enzymes (writers and erasers) that attach and remove post-translational modifications, the targets that are modified and the functional consequences elicited by specific modifications, is crucial for understanding cell biological processes. Moreover detailed knowledge about these mechanisms and pathways helps to elucidate the molecular causes of various diseases and in defining potential targets for therapeutic approaches. Intracellular adenosine diphosphate (ADP)-ribosylation refers to the nicotinamide adenine dinucleotide (NAD⁺)-dependent modification of proteins with ADP-ribose and is catalyzed by enzymes of the ARTD (ADP-ribosyltransferase diphtheria toxin like, also known as PARP) family as well as some members of the Sirtuin family. Poly-ADP-ribosylation is relatively well understood with inhibitors being used as anti-cancer agents. However, the majority of ARTD enzymes and the ADP-ribosylating Sirtuins are restricted to catalyzing mono-ADP-ribosylation. Although writers, readers and erasers of intracellular mono-ADP-ribosylation have been identified only recently, it is becoming more and more evident that this reversible post-translational modification is capable of modulating key intracellular processes and signaling pathways. These include signal transduction mechanisms, stress pathways associated with the endoplasmic reticulum and stress granules, and chromatin-associated processes such as transcription and DNA repair. We hypothesize that mono-ADP-ribosylation controls, through these different pathways, the development of cancer and infectious diseases.","container-title":"Cells","DOI":"10.3390/cells4040569","ISSN":"2073-4409","issue":"4","journalAbbreviation":"Cells","language":"eng","note":"PMID: 26426055\nPMCID: PMC4695847","page":"569-595","source":"PubMed","title":"Intracellular Mono-ADP-Ribosylation in Signaling and Disease","volume":"4","author":[{"family":"Bütepage","given":"Mareike"},{"family":"Eckei","given":"Laura"},{"family":"Verheugd","given":"Patricia"},{"family":"Lüscher","given":"Bernhard"}],"issued":{"date-parts":[["2015",9,25]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[216]</w:t>
      </w:r>
      <w:r w:rsidRPr="00107040">
        <w:rPr>
          <w:rFonts w:ascii="Times New Roman" w:hAnsi="Times New Roman"/>
          <w:sz w:val="28"/>
          <w:szCs w:val="28"/>
          <w:lang w:val="en-US"/>
        </w:rPr>
        <w:fldChar w:fldCharType="end"/>
      </w:r>
      <w:r w:rsidRPr="00107040">
        <w:rPr>
          <w:rFonts w:ascii="Times New Roman" w:hAnsi="Times New Roman"/>
          <w:sz w:val="28"/>
          <w:szCs w:val="28"/>
        </w:rPr>
        <w:t>. Большая часть активности АДФ-рибозилтрансфераз связана с процессами ПАРилирования. Соответственно, преобладающей стирающей активностью является деПАРилирование.</w:t>
      </w:r>
    </w:p>
    <w:p w14:paraId="6D98419B" w14:textId="2C5B1134"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en-US"/>
        </w:rPr>
        <w:lastRenderedPageBreak/>
        <w:t>PARG</w:t>
      </w:r>
      <w:r w:rsidRPr="00107040">
        <w:rPr>
          <w:rFonts w:ascii="Times New Roman" w:hAnsi="Times New Roman"/>
          <w:sz w:val="28"/>
          <w:szCs w:val="28"/>
        </w:rPr>
        <w:t xml:space="preserve">, являясь основным ферментом деПАРилирования, катализирует гидролиз гликозидных связей между звеньями АДФ-рибозы полимеров ПАР с образованием свободных мономеров АДФ-рибозы. Гомологи </w:t>
      </w:r>
      <w:r w:rsidRPr="00107040">
        <w:rPr>
          <w:rFonts w:ascii="Times New Roman" w:hAnsi="Times New Roman"/>
          <w:sz w:val="28"/>
          <w:szCs w:val="28"/>
          <w:lang w:val="en-US"/>
        </w:rPr>
        <w:t>PARG</w:t>
      </w:r>
      <w:r w:rsidRPr="00107040">
        <w:rPr>
          <w:rFonts w:ascii="Times New Roman" w:hAnsi="Times New Roman"/>
          <w:sz w:val="28"/>
          <w:szCs w:val="28"/>
        </w:rPr>
        <w:t xml:space="preserve"> обнаружены у широкого круга эукариот, за исключением почкующихся дрожжей, а у млекопитающих идентифицирован только один ген </w:t>
      </w:r>
      <w:r w:rsidRPr="00107040">
        <w:rPr>
          <w:rFonts w:ascii="Times New Roman" w:hAnsi="Times New Roman"/>
          <w:sz w:val="28"/>
          <w:szCs w:val="28"/>
          <w:lang w:val="en-US"/>
        </w:rPr>
        <w:t>PARG</w:t>
      </w:r>
      <w:r w:rsidRPr="00107040">
        <w:rPr>
          <w:rFonts w:ascii="Times New Roman" w:hAnsi="Times New Roman"/>
          <w:sz w:val="28"/>
          <w:szCs w:val="28"/>
        </w:rPr>
        <w:t xml:space="preserve">, последовательность которого высококонсервативна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{"citationID":"EqeOjXMJ","properties":{"formattedCitation":"[217]","plainCitation":"[217]","noteIndex":0},"citationItems":[{"id":178,"uris":["http://zotero.org/users/9078202/items/K3GD59QH"],"itemData":{"id":178,"type":"article-journal","abstract":"Poly(ADP-ribosyl)ation is a posttranslational protein modification mediated by members of the poly(ADP-ribose) polymerase (PARP) family. The ADP-ribose polymers, synthesized by the diverse PARP enzymes by cleavage of NAD(+), are involved in the regulation of multiple cellular functions. At present, only a single enzyme, poly (ADP-ribose) glycohydrolase (PARG), has been identified to catalyze ADP-ribose polymer hydrolysis in the cell causing a rapid turnover of the biopolymer which may ultimately result in lethal depletion of cellular NAD(+) pools. In this study, we describe the construction of the first human PARG cDNA clone by reverse transcription of CF3 human fibroblast RNA. Using the NCBI \"Genome BLAST\" program, the human PARG gene was mapped to chromosome 10 (10q11.23) in agreement to earlier results obtained by in situ hybridization. In vitro coupled transcription and translation of the cDNA yielded several specific bands in the range of 111-85 kDa, indicating possible usage of alternative translation initiation sites. The gene structure was characterized by further detailed computational analyses. The open reading frame consists of 18 exons and 17 introns with exons 9 to 14 forming the catalytic center of the enzyme and exons 1 to 3 encoding the putative regulatory domain. We show that the human PARG gene shares a 470-bp common promoter region with the inner mitochondrial membrane translocase 23 (TIM23). The human bidirectional promoter region was cloned and expression studies in transiently transfected HEK293 cells was performed using an EGFP-luciferase reporter fusion gene (GFL) to quantify transcription activation in both directions. The activity of the promoter was found to be 3.7 fold higher for TIM23 than for PARG, indicating that the two genes are expressed at different levels, although coregulation of the two genes remains an interesting possibility.","container-title":"Gene","DOI":"10.1016/s0378-1119(03)00738-8","ISSN":"0378-1119","journalAbbreviation":"Gene","language":"eng","note":"PMID: 14527731","page":"181-190","source":"PubMed","title":"Human poly(ADP-ribose) glycohydrolase (PARG) gene and the common promoter sequence it shares with inner mitochondrial membrane translocase 23 (TIM23)","volume":"314","author":[{"family":"Meyer","given":"Ralph G."},{"family":"Meyer-Ficca","given":"Mirella L."},{"family":"Jacobson","given":"Elaine L."},{"family":"Jacobson","given":"Myron K."}],"issued":{"date-parts":[["2003",9,18]]}}}],"schema":"https://github.com/citation-style-language/schema/raw/master/csl-citation.json"}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[217]</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 результате альтернативного сплайсинга уникальной мРНК ген </w:t>
      </w:r>
      <w:r w:rsidRPr="00107040">
        <w:rPr>
          <w:rFonts w:ascii="Times New Roman" w:hAnsi="Times New Roman"/>
          <w:sz w:val="28"/>
          <w:szCs w:val="28"/>
          <w:lang w:val="en-US"/>
        </w:rPr>
        <w:t>PARG</w:t>
      </w:r>
      <w:r w:rsidRPr="00107040">
        <w:rPr>
          <w:rFonts w:ascii="Times New Roman" w:hAnsi="Times New Roman"/>
          <w:sz w:val="28"/>
          <w:szCs w:val="28"/>
        </w:rPr>
        <w:t xml:space="preserve"> человека кодирует несколько вариантов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{"citationID":"HX8RlkBD","properties":{"formattedCitation":"[218,219]","plainCitation":"[218,219]","noteIndex":0},"citationItems":[{"id":176,"uris":["http://zotero.org/users/9078202/items/CCIPAR38"],"itemData":{"id":176,"type":"article-journal","abstract":"Poly(ADP-ribose) glycohydrolase (PARG) is the only protein known to catalyze hydrolysis of ADP-ribose (ADPR) polymers to free ADP-ribose. While numerous genes encode different poly(ADP-ribose) polymerases (PARPs) that all synthesize ADP-ribose polymer, only a single gene coding for PARG has been detected in mammalian cells. Here, we describe two splice variants of human PARG mRNA, which lead to expression of PARG isoforms of 102 kDa (hPARG102) and 99 kDa (hPARG99) in addition to the full-length PARG protein (hPARG111). These splice variants differ from hPARG111 by the lack of exon 1 (hPARG102) or exons 1 and 2 (hPARG99). They are generated by the utilization of ambiguous splice donor sites in the PARG gene 5' untranslated region. The hPARG111 isoform localizes to the nucleus, whereas hPARG102 and hPARG99 are cytoplasmic proteins. The nuclear targeting of hPARG111 is due to a nuclear localization signal (NLS) in exon 1 that was mapped to the amino acids (aa) (10)CTKRPRW(16). Immunocytochemistry, immunoblotting, and PARG enzyme activity measurements show that the cytoplasmic isoforms of PARG account for most of the PARG activity in cells in the absence and presence of genotoxic stress. The predominantly cytoplasmic location of cellular PARG is intriguing as most known cellular PARPs have a nuclear localization.","container-title":"Experimental Cell Research","DOI":"10.1016/j.yexcr.2004.03.050","ISSN":"0014-4827","issue":"2","journalAbbreviation":"Exp Cell Res","language":"eng","note":"PMID: 15212953","page":"521-532","source":"PubMed","title":"Human poly(ADP-ribose) glycohydrolase is expressed in alternative splice variants yielding isoforms that localize to different cell compartments","volume":"297","author":[{"family":"Meyer-Ficca","given":"Mirella L."},{"family":"Meyer","given":"Ralph G."},{"family":"Coyle","given":"Donna L."},{"family":"Jacobson","given":"Elaine L."},{"family":"Jacobson","given":"Myron K."}],"issued":{"date-parts":[["2004",7,15]]}}},{"id":175,"uris":["http://zotero.org/users/9078202/items/WA444TGT"],"itemData":{"id":175,"type":"article-journal","abstract":"1789 The unique biopolymer poly(ADP-ribose) (PAR) is synthesized by members of the poly(ADP-ribose) polymerase (PARP) family as a posttranslational modification of many cellular target proteins. PARP-1, a major PAR synthetic activity, is activated in response to DNA strand breaks. Once synthesized, PAR is rapidly degraded by action of poly(ADP-ribose) glycohydrolase (PARG). Cellular PAR metabolism modulates cellular responses to genotoxic stress by stimulating DNA repair or inducing cell death and is therefore an important factor for the maintenance of genomic integrity. Reduced poly(ADP-ribosyl)ation capacity, e.g. in PARP-1-/- mice, leads to a decrease in genomic stability and to an increase in tumor formation. In addition to PARP-1 and PARP-2, which are DNA strand break activated, numerous genes code for PARP enzymes that catalyze PAR synthesis in both nuclear and extranuclear compartments of the cell independent of the presence of DNA damage. Only one gene coding for PARG has been identified in mammalian cells. We recently described the human PARG gene structure (Meyer et al., Gene, 314: 181-190, 2003) and have shown that several cellular PARG protein isoforms of 111kDa (hPARG111), 102 kDa (hPARG102) and 99 kDa (hPARG99) are synthesized by translation of alternatively spliced messages (Meyer-Ficca et al., Exp Cell Res, 297: 521-532, 2004). The different isoforms localize to different cellular compartments and are therefore able to function in PAR homeostasis throughout the cell: hPARG111 is nuclear, while hPARG102 and hPARG99 appear to be cytoplasmic. Here we describe the detection of an additional human PARG splice variant coding for a 60 kDa protein (hPARG60), which also has a cytoplasmic subcellular distribution. To assess the functions of the different PARG isoforms in more detail, constructs allowing for the overexpression of fusion proteins of green fluorescent protein to the PARG isoforms were generated. Transient overexpression of these proteins in HEK293 cells increased the total cellular PAR degrading activity by 4-5 fold. The accumulation of PAR after DNA damage was markedly reduced. Overexpression of the longer PARG isoforms (hPARG111 and hPARG102) in HeLa cells induced distinct changes in nuclear morphology, while overexpression of the 60 kDa PARG isoform was cytotoxic. These finding support the concept that PAR homeostasis involving the coordination of cellular PARPs and PARGs play important roles not only in cellular responses to DNA damage, but also for the maintenance of genomic integrity in the absence of genotoxic stress. (Supported in part by NIH Grant CA-43894)","container-title":"Cancer Research","ISSN":"0008-5472","issue":"9_Supplement","journalAbbreviation":"Cancer Research","page":"420","source":"Silverchair","title":"Overexpression of poly(ADP-ribose) glycohydrolase (PARG) isoforms","volume":"65","author":[{"family":"Meyer-Ficca","given":"Mirella L."},{"family":"Meyer","given":"Ralph G."},{"family":"Jacobson","given":"Elaine L."},{"family":"Jacobson","given":"Myron K."}],"issued":{"date-parts":[["2005",5,1]]}}}],"schema":"https://github.com/citation-style-language/schema/raw/master/csl-citation.json"}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[218,219]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PARG</w:t>
      </w:r>
      <w:r w:rsidRPr="00107040">
        <w:rPr>
          <w:rFonts w:ascii="Times New Roman" w:hAnsi="Times New Roman"/>
          <w:sz w:val="28"/>
          <w:szCs w:val="28"/>
        </w:rPr>
        <w:t xml:space="preserve"> представляет собой модульный белок с четырьмя доменами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{"citationID":"IK1VzFhZ","properties":{"formattedCitation":"[217]","plainCitation":"[217]","noteIndex":0},"citationItems":[{"id":178,"uris":["http://zotero.org/users/9078202/items/K3GD59QH"],"itemData":{"id":178,"type":"article-journal","abstract":"Poly(ADP-ribosyl)ation is a posttranslational protein modification mediated by members of the poly(ADP-ribose) polymerase (PARP) family. The ADP-ribose polymers, synthesized by the diverse PARP enzymes by cleavage of NAD(+), are involved in the regulation of multiple cellular functions. At present, only a single enzyme, poly (ADP-ribose) glycohydrolase (PARG), has been identified to catalyze ADP-ribose polymer hydrolysis in the cell causing a rapid turnover of the biopolymer which may ultimately result in lethal depletion of cellular NAD(+) pools. In this study, we describe the construction of the first human PARG cDNA clone by reverse transcription of CF3 human fibroblast RNA. Using the NCBI \"Genome BLAST\" program, the human PARG gene was mapped to chromosome 10 (10q11.23) in agreement to earlier results obtained by in situ hybridization. In vitro coupled transcription and translation of the cDNA yielded several specific bands in the range of 111-85 kDa, indicating possible usage of alternative translation initiation sites. The gene structure was characterized by further detailed computational analyses. The open reading frame consists of 18 exons and 17 introns with exons 9 to 14 forming the catalytic center of the enzyme and exons 1 to 3 encoding the putative regulatory domain. We show that the human PARG gene shares a 470-bp common promoter region with the inner mitochondrial membrane translocase 23 (TIM23). The human bidirectional promoter region was cloned and expression studies in transiently transfected HEK293 cells was performed using an EGFP-luciferase reporter fusion gene (GFL) to quantify transcription activation in both directions. The activity of the promoter was found to be 3.7 fold higher for TIM23 than for PARG, indicating that the two genes are expressed at different levels, although coregulation of the two genes remains an interesting possibility.","container-title":"Gene","DOI":"10.1016/s0378-1119(03)00738-8","ISSN":"0378-1119","journalAbbreviation":"Gene","language":"eng","note":"PMID: 14527731","page":"181-190","source":"PubMed","title":"Human poly(ADP-ribose) glycohydrolase (PARG) gene and the common promoter sequence it shares with inner mitochondrial membrane translocase 23 (TIM23)","volume":"314","author":[{"family":"Meyer","given":"Ralph G."},{"family":"Meyer-Ficca","given":"Mirella L."},{"family":"Jacobson","given":"Elaine L."},{"family":"Jacobson","given":"Myron K."}],"issued":{"date-parts":[["2003",9,18]]}}}],"schema":"https://github.com/citation-style-language/schema/raw/master/csl-citation.json"}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[217]</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(Рисунок </w:t>
      </w:r>
      <w:r w:rsidRPr="00107040">
        <w:rPr>
          <w:rFonts w:ascii="Times New Roman" w:hAnsi="Times New Roman"/>
          <w:sz w:val="28"/>
          <w:szCs w:val="28"/>
          <w:lang w:val="kk-KZ"/>
        </w:rPr>
        <w:t>5</w:t>
      </w:r>
      <w:r w:rsidRPr="00107040">
        <w:rPr>
          <w:rFonts w:ascii="Times New Roman" w:hAnsi="Times New Roman"/>
          <w:sz w:val="28"/>
          <w:szCs w:val="28"/>
        </w:rPr>
        <w:t xml:space="preserve">). Домен </w:t>
      </w:r>
      <w:r w:rsidRPr="00107040">
        <w:rPr>
          <w:rFonts w:ascii="Times New Roman" w:hAnsi="Times New Roman"/>
          <w:sz w:val="28"/>
          <w:szCs w:val="28"/>
          <w:lang w:val="en-US"/>
        </w:rPr>
        <w:t>A</w:t>
      </w:r>
      <w:r w:rsidRPr="00107040">
        <w:rPr>
          <w:rFonts w:ascii="Times New Roman" w:hAnsi="Times New Roman"/>
          <w:sz w:val="28"/>
          <w:szCs w:val="28"/>
        </w:rPr>
        <w:t xml:space="preserve"> (экзоны 1-3) образует предсказанный </w:t>
      </w:r>
      <w:r w:rsidRPr="00107040">
        <w:rPr>
          <w:rFonts w:ascii="Times New Roman" w:hAnsi="Times New Roman"/>
          <w:sz w:val="28"/>
          <w:szCs w:val="28"/>
          <w:lang w:val="en-US"/>
        </w:rPr>
        <w:t>N</w:t>
      </w:r>
      <w:r w:rsidRPr="00107040">
        <w:rPr>
          <w:rFonts w:ascii="Times New Roman" w:hAnsi="Times New Roman"/>
          <w:sz w:val="28"/>
          <w:szCs w:val="28"/>
        </w:rPr>
        <w:t xml:space="preserve">-концевой внутренне неупорядоченный регуляторный домен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{"citationID":"cOlF2oXe","properties":{"formattedCitation":"[220]","plainCitation":"[220]","noteIndex":0},"citationItems":[{"id":174,"uris":["http://zotero.org/users/9078202/items/JMBSVAG6"],"itemData":{"id":174,"type":"article-journal","abstract":"Phosphorylation is a very common post-translational modification event known to modulate a wide range of biological responses. Beyond the regulation of protein activity, the interrelation of phosphorylation with other post-translational mechanisms is responsible for the control of diverse signaling pathways. Several observations suggest that phosphorylation of poly(ADP-ribose) polymerase-1 (PARP-1) regulates its activity. There is also accumulating evidence to suggest the establishment of phosphorylation-dependent assembly of PARP-1-associated multiprotein complexes. Although it is relatively straightforward to demonstrate phosphorylation of a defined target, identification of the actual amino acids involved still represents a technical challenge for many laboratories. With the use of a combination of bioinformatics-based predictions tools for generic and kinase-specific phosphorylation sites, in vitro phosphorylation assays and mass spectrometry analysis, we investigated the phosphorylation profile of PARP-1 and poly(ADP-ribose) glycohydrolase (PARG), two major enzymes responsible for poly(ADP-ribose) turnover. Mass spectrometry analysis revealed the phosphorylation of several serine/threonine residues within important regulatory domains and motifs of both enzymes. With the use of in vivo microirradiation-induced DNA damage, we show that altered phosphorylation at specific sites can modify the dynamics of assembly and disassembly of PARP-1 at sites of DNA damage. By documenting and annotating a collection of known and newly identified phosphorylation sites, this targeted proteomics study significantly advances our understanding of the roles of phosphorylation in the regulation of PARP-1 and PARG.","container-title":"Journal of Proteome Research","DOI":"10.1021/pr800810n","ISSN":"1535-3893","issue":"2","journalAbbreviation":"J Proteome Res","language":"eng","note":"PMID: 19105632","page":"1014-1029","source":"PubMed","title":"Proteomic investigation of phosphorylation sites in poly(ADP-ribose) polymerase-1 and poly(ADP-ribose) glycohydrolase","volume":"8","author":[{"family":"Gagné","given":"Jean-Philippe"},{"family":"Moreel","given":"Xavier"},{"family":"Gagné","given":"Pierre"},{"family":"Labelle","given":"Yves"},{"family":"Droit","given":"Arnaud"},{"family":"Chevalier-Paré","given":"Mélissa"},{"family":"Bourassa","given":"Sylvie"},{"family":"McDonald","given":"Darin"},{"family":"Hendzel","given":"Michael J."},{"family":"Prigent","given":"Claude"},{"family":"Poirier","given":"Guy G."}],"issued":{"date-parts":[["2009",2]]}}}],"schema":"https://github.com/citation-style-language/schema/raw/master/csl-citation.json"}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[220]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Домен </w:t>
      </w:r>
      <w:r w:rsidRPr="00107040">
        <w:rPr>
          <w:rFonts w:ascii="Times New Roman" w:hAnsi="Times New Roman"/>
          <w:sz w:val="28"/>
          <w:szCs w:val="28"/>
          <w:lang w:val="en-US"/>
        </w:rPr>
        <w:t>B</w:t>
      </w:r>
      <w:r w:rsidRPr="00107040">
        <w:rPr>
          <w:rFonts w:ascii="Times New Roman" w:hAnsi="Times New Roman"/>
          <w:sz w:val="28"/>
          <w:szCs w:val="28"/>
        </w:rPr>
        <w:t xml:space="preserve"> (экзоны 4-8) соединяет </w:t>
      </w:r>
      <w:r w:rsidRPr="00107040">
        <w:rPr>
          <w:rFonts w:ascii="Times New Roman" w:hAnsi="Times New Roman"/>
          <w:sz w:val="28"/>
          <w:szCs w:val="28"/>
          <w:lang w:val="en-US"/>
        </w:rPr>
        <w:t>N</w:t>
      </w:r>
      <w:r w:rsidRPr="00107040">
        <w:rPr>
          <w:rFonts w:ascii="Times New Roman" w:hAnsi="Times New Roman"/>
          <w:sz w:val="28"/>
          <w:szCs w:val="28"/>
        </w:rPr>
        <w:t xml:space="preserve">-концевую область с каталитическим доменом через петлю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{"citationID":"AGMXIOB7","properties":{"formattedCitation":"[218]","plainCitation":"[218]","noteIndex":0},"citationItems":[{"id":176,"uris":["http://zotero.org/users/9078202/items/CCIPAR38"],"itemData":{"id":176,"type":"article-journal","abstract":"Poly(ADP-ribose) glycohydrolase (PARG) is the only protein known to catalyze hydrolysis of ADP-ribose (ADPR) polymers to free ADP-ribose. While numerous genes encode different poly(ADP-ribose) polymerases (PARPs) that all synthesize ADP-ribose polymer, only a single gene coding for PARG has been detected in mammalian cells. Here, we describe two splice variants of human PARG mRNA, which lead to expression of PARG isoforms of 102 kDa (hPARG102) and 99 kDa (hPARG99) in addition to the full-length PARG protein (hPARG111). These splice variants differ from hPARG111 by the lack of exon 1 (hPARG102) or exons 1 and 2 (hPARG99). They are generated by the utilization of ambiguous splice donor sites in the PARG gene 5' untranslated region. The hPARG111 isoform localizes to the nucleus, whereas hPARG102 and hPARG99 are cytoplasmic proteins. The nuclear targeting of hPARG111 is due to a nuclear localization signal (NLS) in exon 1 that was mapped to the amino acids (aa) (10)CTKRPRW(16). Immunocytochemistry, immunoblotting, and PARG enzyme activity measurements show that the cytoplasmic isoforms of PARG account for most of the PARG activity in cells in the absence and presence of genotoxic stress. The predominantly cytoplasmic location of cellular PARG is intriguing as most known cellular PARPs have a nuclear localization.","container-title":"Experimental Cell Research","DOI":"10.1016/j.yexcr.2004.03.050","ISSN":"0014-4827","issue":"2","journalAbbreviation":"Exp Cell Res","language":"eng","note":"PMID: 15212953","page":"521-532","source":"PubMed","title":"Human poly(ADP-ribose) glycohydrolase is expressed in alternative splice variants yielding isoforms that localize to different cell compartments","volume":"297","author":[{"family":"Meyer-Ficca","given":"Mirella L."},{"family":"Meyer","given":"Ralph G."},{"family":"Coyle","given":"Donna L."},{"family":"Jacobson","given":"Elaine L."},{"family":"Jacobson","given":"Myron K."}],"issued":{"date-parts":[["2004",7,15]]}}}],"schema":"https://github.com/citation-style-language/schema/raw/master/csl-citation.json"}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и содержит регуляторный сегмент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{"citationID":"1lbCMNkj","properties":{"formattedCitation":"[221]","plainCitation":"[221]","noteIndex":0},"citationItems":[{"id":172,"uris":["http://zotero.org/users/9078202/items/I556X5H9"],"itemData":{"id":172,"type":"article-journal","abstract":"Coordinate regulation of PARP-1 and -2 and PARG is required for cellular responses to genotoxic stress. While PARP-1 and -2 are regulated by DNA breaks and covalent modifications, mechanisms of PARG regulation are poorly understood. We report here discovery of a PARG regulatory segment far removed linearly from residues involved in catalysis. Expression and analysis of human PARG segments identified a minimal catalytically active C-terminal PARG (hPARG59) containing a 16-residue N-terminal mitochondrial targeting sequence (MTS). Deletion analysis and site-directed mutagenesis revealed that the MTS, specifically hydrophobic residues L473 and L474, was required for PARG activity. This region of PARG was termed the \"regulatory segment/MTS\" (REG/MTS). The overall alpha-helical composition of hPARG59, determined by circular dichroism (CD), was unaffected by mutation of the REG/MTS leucine residues, suggesting that activity loss was not due to incorrect protein folding. REG/MTS was predicted to be in a loop conformation because the CD spectra of mutant Delta1-16 lacking the REG/MTS showed a higher alpha-helical content than hPARG59, indicating a secondary structure other than alpha-helix for this segment. Deletion of the REG/MTS from full-length hPARG111 also resulted in a complete loss of activity, indicating that all PARG isoforms are subject to regulation at this site. The presence of the REG/MTS raises the possibility that PARG activity is regulated by interactions of PARP-1 and -2 and other proteins at this site, raises interesting questions concerning mitochondrial PARG because MTS residues are often removed after transport, and offers a potentially novel site for drug targeting of PARG.","container-title":"Biochemistry","DOI":"10.1021/bi100973m","ISSN":"1520-4995","issue":"35","journalAbbreviation":"Biochemistry","language":"eng","note":"PMID: 20684510\nPMCID: PMC2939713","page":"7674-7682","source":"PubMed","title":"Identification of a regulatory segment of poly(ADP-ribose) glycohydrolase","volume":"49","author":[{"family":"Botta","given":"Davide"},{"family":"Jacobson","given":"Myron K."}],"issued":{"date-parts":[["2010",9,7]]}}}],"schema":"https://github.com/citation-style-language/schema/raw/master/csl-citation.json"}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[221]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Экзоны с 9 по 14 представляют собой домен </w:t>
      </w:r>
      <w:r w:rsidRPr="00107040">
        <w:rPr>
          <w:rFonts w:ascii="Times New Roman" w:hAnsi="Times New Roman"/>
          <w:sz w:val="28"/>
          <w:szCs w:val="28"/>
          <w:lang w:val="en-US"/>
        </w:rPr>
        <w:t>C</w:t>
      </w:r>
      <w:r w:rsidRPr="00107040">
        <w:rPr>
          <w:rFonts w:ascii="Times New Roman" w:hAnsi="Times New Roman"/>
          <w:sz w:val="28"/>
          <w:szCs w:val="28"/>
        </w:rPr>
        <w:t xml:space="preserve"> (экзоны с 9 по 14), который содержит каталитически активный сайт и фирменный (</w:t>
      </w:r>
      <w:r w:rsidRPr="00107040">
        <w:rPr>
          <w:rFonts w:ascii="Times New Roman" w:hAnsi="Times New Roman"/>
          <w:sz w:val="28"/>
          <w:szCs w:val="28"/>
          <w:lang w:val="en-US"/>
        </w:rPr>
        <w:t>signature</w:t>
      </w:r>
      <w:r w:rsidRPr="00107040">
        <w:rPr>
          <w:rFonts w:ascii="Times New Roman" w:hAnsi="Times New Roman"/>
          <w:sz w:val="28"/>
          <w:szCs w:val="28"/>
        </w:rPr>
        <w:t xml:space="preserve">) мотив </w:t>
      </w:r>
      <w:r w:rsidRPr="00107040">
        <w:rPr>
          <w:rFonts w:ascii="Times New Roman" w:hAnsi="Times New Roman"/>
          <w:sz w:val="28"/>
          <w:szCs w:val="28"/>
          <w:lang w:val="en-US"/>
        </w:rPr>
        <w:t>PARG</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{"citationID":"dfRIJrJh","properties":{"formattedCitation":"[222]","plainCitation":"[222]","noteIndex":0},"citationItems":[{"id":171,"uris":["http://zotero.org/users/9078202/items/PTCEGJNA"],"itemData":{"id":171,"type":"article-journal","abstract":"PARG [poly(ADP-ribose) glycohydrolase] catalyses the hydrolysis of alpha(1''--&gt;2') or alpha(1'''--&gt;2'') O-glycosidic linkages of ADP-ribose polymers to produce free ADP-ribose. We investigated possible mechanistic similarities between PARG and glycosidases, which also cleave O-glycosidic linkages. Glycosidases typically utilize two acidic residues for catalysis, thus we targeted acidic residues within a conserved region of bovine PARG that has been shown to contain an inhibitor-binding site. The targeted glutamate and aspartate residues were changed to asparagine in order to minimize structural alterations. Mutants were purified and assayed for catalytic activity, as well as binding, to an immobilized PARG inhibitor to determine ability to recognize substrate. Our investigation revealed residues essential for PARG catalytic activity. Two adjacent glutamic acid residues are found in the conserved sequence Gln755-Glu-Glu757, and a third residue found in the conserved sequence Val737-Asp-Phe-Ala-Asn741. Our functional characterization of PARG residues, along with recent identification of an inhibitor-binding residue Tyr796 and a glycine-rich region Gly745-Gly-Gly747 important for PARG function, allowed us to define a PARG 'signature sequence' [vDFA-X3-GGg-X6-8-vQEEIRF-X3-PE-X14-E-X12-YTGYa], which we used to identify putative PARG sequences across a range of organisms. Sequence alignments, along with our mapping of PARG functional residues, suggest the presence of a conserved catalytic domain of approx. 185 residues which spans residues 610-795 in bovine PARG.","container-title":"The Biochemical Journal","DOI":"10.1042/BJ20040942","ISSN":"1470-8728","issue":"Pt 2","journalAbbreviation":"Biochem J","language":"eng","note":"PMID: 15658938\nPMCID: PMC1138956","page":"493-500","source":"PubMed","title":"Identification of three critical acidic residues of poly(ADP-ribose) glycohydrolase involved in catalysis: determining the PARG catalytic domain","title-short":"Identification of three critical acidic residues of poly(ADP-ribose) glycohydrolase involved in catalysis","volume":"388","author":[{"family":"Patel","given":"Chandra N."},{"family":"Koh","given":"David W."},{"family":"Jacobson","given":"Myron K."},{"family":"Oliveira","given":"Marcos A."}],"issued":{"date-parts":[["2005",6,1]]}}}],"schema":"https://github.com/citation-style-language/schema/raw/master/csl-citation.json"}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[222]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Маркодомен </w:t>
      </w:r>
      <w:r w:rsidRPr="00107040">
        <w:rPr>
          <w:rFonts w:ascii="Times New Roman" w:hAnsi="Times New Roman"/>
          <w:sz w:val="28"/>
          <w:szCs w:val="28"/>
          <w:lang w:val="en-US"/>
        </w:rPr>
        <w:t>PARG</w:t>
      </w:r>
      <w:r w:rsidRPr="00107040">
        <w:rPr>
          <w:rFonts w:ascii="Times New Roman" w:hAnsi="Times New Roman"/>
          <w:sz w:val="28"/>
          <w:szCs w:val="28"/>
        </w:rPr>
        <w:t xml:space="preserve"> образован доменом </w:t>
      </w:r>
      <w:r w:rsidRPr="00107040">
        <w:rPr>
          <w:rFonts w:ascii="Times New Roman" w:hAnsi="Times New Roman"/>
          <w:sz w:val="28"/>
          <w:szCs w:val="28"/>
          <w:lang w:val="en-US"/>
        </w:rPr>
        <w:t>C</w:t>
      </w:r>
      <w:r w:rsidRPr="00107040">
        <w:rPr>
          <w:rFonts w:ascii="Times New Roman" w:hAnsi="Times New Roman"/>
          <w:sz w:val="28"/>
          <w:szCs w:val="28"/>
        </w:rPr>
        <w:t xml:space="preserve"> и </w:t>
      </w:r>
      <w:r w:rsidRPr="00107040">
        <w:rPr>
          <w:rFonts w:ascii="Times New Roman" w:hAnsi="Times New Roman"/>
          <w:sz w:val="28"/>
          <w:szCs w:val="28"/>
          <w:lang w:val="en-US"/>
        </w:rPr>
        <w:t>C</w:t>
      </w:r>
      <w:r w:rsidRPr="00107040">
        <w:rPr>
          <w:rFonts w:ascii="Times New Roman" w:hAnsi="Times New Roman"/>
          <w:sz w:val="28"/>
          <w:szCs w:val="28"/>
        </w:rPr>
        <w:t xml:space="preserve">-концевым доменом </w:t>
      </w:r>
      <w:r w:rsidRPr="00107040">
        <w:rPr>
          <w:rFonts w:ascii="Times New Roman" w:hAnsi="Times New Roman"/>
          <w:sz w:val="28"/>
          <w:szCs w:val="28"/>
          <w:lang w:val="en-US"/>
        </w:rPr>
        <w:t>D</w:t>
      </w:r>
      <w:r w:rsidRPr="00107040">
        <w:rPr>
          <w:rFonts w:ascii="Times New Roman" w:hAnsi="Times New Roman"/>
          <w:sz w:val="28"/>
          <w:szCs w:val="28"/>
        </w:rPr>
        <w:t xml:space="preserve"> (экзоны 15-18)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{"citationID":"l87RwEcc","properties":{"formattedCitation":"[214,223]","plainCitation":"[214,223]","noteIndex":0},"citationItems":[{"id":182,"uris":["http://zotero.org/users/9078202/items/3E5XDR3Y"],"itemData":{"id":182,"type":"article-journal","abstract":"Post-translational modification of proteins by poly(ADP-ribosyl)ation regulates many cellular pathways that are critical for genome stability, including DNA repair, chromatin structure, mitosis and apoptosis. Poly(ADP-ribose) (PAR) is composed of repeating ADP-ribose units linked via a unique glycosidic ribose-ribose bond, and is synthesized from NAD by PAR polymerases. PAR glycohydrolase (PARG) is the only protein capable of specific hydrolysis of the ribose-ribose bonds present in PAR chains; its deficiency leads to cell death. Here we show that filamentous fungi and a number of bacteria possess a divergent form of PARG that has all the main characteristics of the human PARG enzyme. We present the first PARG crystal structure (derived from the bacterium Thermomonospora curvata), which reveals that the PARG catalytic domain is a distant member of the ubiquitous ADP-ribose-binding macrodomain family. High-resolution structures of T. curvata PARG in complexes with ADP-ribose and the PARG inhibitor ADP-HPD, complemented by biochemical studies, allow us to propose a model for PAR binding and catalysis by PARG. The insights into the PARG structure and catalytic mechanism should greatly improve our understanding of how PARG activity controls reversible protein poly(ADP-ribosyl)ation and potentially of how the defects in this regulation are linked to human disease.","container-title":"Nature","DOI":"10.1038/nature10404","ISSN":"1476-4687","issue":"7366","journalAbbreviation":"Nature","language":"eng","note":"PMID: 21892188\nPMCID: PMC3184140","page":"616-620","source":"PubMed","title":"The structure and catalytic mechanism of a poly(ADP-ribose) glycohydrolase","volume":"477","author":[{"family":"Slade","given":"Dea"},{"family":"Dunstan","given":"Mark S."},{"family":"Barkauskaite","given":"Eva"},{"family":"Weston","given":"Ria"},{"family":"Lafite","given":"Pierre"},{"family":"Dixon","given":"Neil"},{"family":"Ahel","given":"Marijan"},{"family":"Leys","given":"David"},{"family":"Ahel","given":"Ivan"}],"issued":{"date-parts":[["2011",9,4]]}}},{"id":170,"uris":["http://zotero.org/users/9078202/items/26VQM7DZ"],"itemData":{"id":170,"type":"article-journal","abstract":"Our understanding of poly-ADP-ribosylation as a posttranslational modification was limited by the lack of structural information on poly-ADP-ribose (PAR) hydrolysing enzymes. A recent study in Nature (Slade et al., 2011) reports the structure of PAR glycohydrolase (PARG), revealing unexpected similarity to the ubiquitous ADP-ribose-binding macrodomains.","container-title":"Structure (London, England: 1993)","DOI":"10.1016/j.str.2011.09.007","ISSN":"1878-4186","issue":"10","journalAbbreviation":"Structure","language":"eng","note":"PMID: 22000507","page":"1351-1353","source":"PubMed","title":"PARG: a macrodomain in disguise","title-short":"PARG","volume":"19","author":[{"family":"Hassler","given":"Markus"},{"family":"Jankevicius","given":"Gytis"},{"family":"Ladurner","given":"Andreas G."}],"issued":{"date-parts":[["2011",10,12]]}}}],"schema":"https://github.com/citation-style-language/schema/raw/master/csl-citation.json"}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[214,223]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p>
    <w:p w14:paraId="0519DAA9" w14:textId="77777777" w:rsidR="00107040" w:rsidRPr="00107040" w:rsidRDefault="00107040" w:rsidP="00107040">
      <w:pPr>
        <w:spacing w:after="0" w:line="240" w:lineRule="auto"/>
        <w:ind w:firstLine="567"/>
        <w:jc w:val="both"/>
        <w:rPr>
          <w:rFonts w:ascii="Times New Roman" w:hAnsi="Times New Roman"/>
          <w:sz w:val="28"/>
          <w:szCs w:val="28"/>
        </w:rPr>
      </w:pPr>
    </w:p>
    <w:p w14:paraId="4BE648E8" w14:textId="77777777" w:rsidR="00107040" w:rsidRPr="00107040" w:rsidRDefault="00107040" w:rsidP="00107040">
      <w:pPr>
        <w:spacing w:after="0" w:line="240" w:lineRule="auto"/>
        <w:jc w:val="center"/>
        <w:rPr>
          <w:rFonts w:ascii="Times New Roman" w:hAnsi="Times New Roman"/>
          <w:sz w:val="28"/>
          <w:szCs w:val="28"/>
        </w:rPr>
      </w:pPr>
      <w:r w:rsidRPr="00107040">
        <w:rPr>
          <w:rFonts w:ascii="Times New Roman" w:hAnsi="Times New Roman"/>
          <w:noProof/>
          <w:sz w:val="28"/>
          <w:szCs w:val="28"/>
          <w:lang w:val="ru-RU" w:eastAsia="ru-RU"/>
        </w:rPr>
        <w:drawing>
          <wp:inline distT="0" distB="0" distL="0" distR="0" wp14:anchorId="2DDA0B07" wp14:editId="20E5CB89">
            <wp:extent cx="5977890" cy="2797810"/>
            <wp:effectExtent l="0" t="0" r="381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7890" cy="2797810"/>
                    </a:xfrm>
                    <a:prstGeom prst="rect">
                      <a:avLst/>
                    </a:prstGeom>
                    <a:noFill/>
                    <a:ln>
                      <a:noFill/>
                    </a:ln>
                  </pic:spPr>
                </pic:pic>
              </a:graphicData>
            </a:graphic>
          </wp:inline>
        </w:drawing>
      </w:r>
    </w:p>
    <w:p w14:paraId="5C87B902" w14:textId="77777777" w:rsidR="00107040" w:rsidRPr="00107040" w:rsidRDefault="00107040" w:rsidP="00107040">
      <w:pPr>
        <w:spacing w:after="0" w:line="240" w:lineRule="auto"/>
        <w:jc w:val="center"/>
        <w:rPr>
          <w:rFonts w:ascii="Times New Roman" w:hAnsi="Times New Roman"/>
          <w:sz w:val="28"/>
          <w:szCs w:val="28"/>
        </w:rPr>
      </w:pPr>
    </w:p>
    <w:p w14:paraId="5DD15B90" w14:textId="77777777" w:rsidR="00107040" w:rsidRPr="00107040" w:rsidRDefault="00107040" w:rsidP="00107040">
      <w:pPr>
        <w:spacing w:after="0" w:line="240" w:lineRule="auto"/>
        <w:jc w:val="center"/>
        <w:rPr>
          <w:rFonts w:ascii="Times New Roman" w:hAnsi="Times New Roman"/>
          <w:sz w:val="28"/>
          <w:szCs w:val="28"/>
        </w:rPr>
      </w:pPr>
      <w:r w:rsidRPr="00107040">
        <w:rPr>
          <w:rFonts w:ascii="Times New Roman" w:hAnsi="Times New Roman"/>
          <w:sz w:val="28"/>
          <w:szCs w:val="28"/>
        </w:rPr>
        <w:t xml:space="preserve">Рисунок </w:t>
      </w:r>
      <w:r w:rsidRPr="00107040">
        <w:rPr>
          <w:rFonts w:ascii="Times New Roman" w:hAnsi="Times New Roman"/>
          <w:sz w:val="28"/>
          <w:szCs w:val="28"/>
          <w:lang w:val="kk-KZ"/>
        </w:rPr>
        <w:t>5</w:t>
      </w:r>
      <w:r w:rsidRPr="00107040">
        <w:rPr>
          <w:rFonts w:ascii="Times New Roman" w:hAnsi="Times New Roman"/>
          <w:sz w:val="28"/>
          <w:szCs w:val="28"/>
        </w:rPr>
        <w:t xml:space="preserve"> – Схематическое изображение </w:t>
      </w:r>
      <w:r w:rsidRPr="00107040">
        <w:rPr>
          <w:rFonts w:ascii="Times New Roman" w:hAnsi="Times New Roman"/>
          <w:sz w:val="28"/>
          <w:szCs w:val="28"/>
          <w:lang w:val="en-US"/>
        </w:rPr>
        <w:t>PARG</w:t>
      </w:r>
      <w:r w:rsidRPr="00107040">
        <w:rPr>
          <w:rFonts w:ascii="Times New Roman" w:hAnsi="Times New Roman"/>
          <w:sz w:val="28"/>
          <w:szCs w:val="28"/>
        </w:rPr>
        <w:t xml:space="preserve"> человека и его изоформ</w:t>
      </w:r>
    </w:p>
    <w:p w14:paraId="43B29B59" w14:textId="77777777" w:rsidR="00107040" w:rsidRPr="00107040" w:rsidRDefault="00107040" w:rsidP="00107040">
      <w:pPr>
        <w:spacing w:after="0" w:line="240" w:lineRule="auto"/>
        <w:ind w:firstLine="567"/>
        <w:rPr>
          <w:rFonts w:ascii="Times New Roman" w:hAnsi="Times New Roman"/>
          <w:sz w:val="28"/>
          <w:szCs w:val="28"/>
        </w:rPr>
      </w:pPr>
    </w:p>
    <w:p w14:paraId="35FE7EB9" w14:textId="7ACE2CFE" w:rsidR="00107040" w:rsidRPr="00107040" w:rsidRDefault="00107040" w:rsidP="00107040">
      <w:pPr>
        <w:spacing w:after="0" w:line="240" w:lineRule="auto"/>
        <w:ind w:firstLine="567"/>
        <w:rPr>
          <w:rFonts w:ascii="Times New Roman" w:hAnsi="Times New Roman"/>
          <w:sz w:val="28"/>
          <w:szCs w:val="28"/>
        </w:rPr>
      </w:pPr>
      <w:r w:rsidRPr="00107040">
        <w:rPr>
          <w:rFonts w:ascii="Times New Roman" w:eastAsia="Arial Unicode MS" w:hAnsi="Times New Roman"/>
          <w:bCs/>
          <w:sz w:val="28"/>
          <w:szCs w:val="28"/>
          <w:lang w:bidi="en-US"/>
        </w:rPr>
        <w:t>Примечание – Составлено автором на основе источника</w:t>
      </w:r>
      <w:r w:rsidRPr="00107040">
        <w:rPr>
          <w:rFonts w:ascii="Times New Roman" w:hAnsi="Times New Roman"/>
          <w:sz w:val="28"/>
          <w:szCs w:val="28"/>
        </w:rPr>
        <w:t xml:space="preserve"> </w:t>
      </w:r>
      <w:r w:rsidRPr="00107040">
        <w:rPr>
          <w:rFonts w:ascii="Times New Roman" w:hAnsi="Times New Roman"/>
          <w:sz w:val="28"/>
          <w:szCs w:val="28"/>
        </w:rPr>
        <w:fldChar w:fldCharType="begin"/>
      </w:r>
      <w:r w:rsidR="008611DC">
        <w:rPr>
          <w:rFonts w:ascii="Times New Roman" w:hAnsi="Times New Roman"/>
          <w:sz w:val="28"/>
          <w:szCs w:val="28"/>
        </w:rPr>
        <w:instrText xml:space="preserve"> ADDIN ZOTERO_ITEM CSL_CITATION {"citationID":"CuP4u2yD","properties":{"formattedCitation":"[224]","plainCitation":"[224]","noteIndex":0},"citationItems":[{"id":184,"uris":["http://zotero.org/users/9078202/items/7SD8Q839"],"itemData":{"id":184,"type":"article-journal","abstract":"Protein ADP-ribosylation is essential for the regulation of several cellular pathways, enabling dynamic responses to diverse pathophysiological conditions. It is modulated through a dynamic interplay between ADP-ribose readers, writers and erasers. While ADP-ribose synthesis has been studied and reviewed extensively, ADP-ribose processing by erasing enzymes has received comparably less attention. However, major progress in the mass spectrometric identification of ADP-ribosylated residues and the biochemical characterization of ADP-ribose erasers has substantially expanded our knowledge of ADP-ribosylation dynamics. Herein, we describe recent insights into the biology of ADP-ribose erasers and discuss the intricately orchestrated cellular processes to switch off ADP-ribose-dependent mechanisms.","container-title":"Nature Communications","DOI":"10.1038/s41467-019-08859-x","ISSN":"2041-1723","issue":"1","journalAbbreviation":"Nat Commun","language":"en","license":"2019 The Author(s)","note":"number: 1\npublisher: Nature Publishing Group","page":"1182","source":"www.nature.com","title":"Emerging roles of eraser enzymes in the dynamic control of protein ADP-ribosylation","URL":"https://www.nature.com/articles/s41467-019-08859-x","volume":"10","author":[{"family":"O’Sullivan","given":"Julia"},{"family":"Tedim Ferreira","given":"Maria"},{"family":"Gagné","given":"Jean-Philippe"},{"family":"Sharma","given":"Ajit K."},{"family":"Hendzel","given":"Michael J."},{"family":"Masson","given":"Jean-Yves"},{"family":"Poirier","given":"Guy G."}],"accessed":{"date-parts":[["2022",4,4]]},"issued":{"date-parts":[["2019",3,12]]}}}],"schema":"https://github.com/citation-style-language/schema/raw/master/csl-citation.json"} </w:instrText>
      </w:r>
      <w:r w:rsidRPr="00107040">
        <w:rPr>
          <w:rFonts w:ascii="Times New Roman" w:hAnsi="Times New Roman"/>
          <w:sz w:val="28"/>
          <w:szCs w:val="28"/>
        </w:rPr>
        <w:fldChar w:fldCharType="separate"/>
      </w:r>
      <w:r w:rsidR="008611DC" w:rsidRPr="008611DC">
        <w:rPr>
          <w:rFonts w:ascii="Times New Roman" w:hAnsi="Times New Roman"/>
          <w:sz w:val="28"/>
        </w:rPr>
        <w:t>[224]</w:t>
      </w:r>
      <w:r w:rsidRPr="00107040">
        <w:rPr>
          <w:rFonts w:ascii="Times New Roman" w:hAnsi="Times New Roman"/>
          <w:sz w:val="28"/>
          <w:szCs w:val="28"/>
        </w:rPr>
        <w:fldChar w:fldCharType="end"/>
      </w:r>
      <w:r w:rsidRPr="00107040">
        <w:rPr>
          <w:rFonts w:ascii="Times New Roman" w:hAnsi="Times New Roman"/>
          <w:sz w:val="28"/>
          <w:szCs w:val="28"/>
        </w:rPr>
        <w:t>.</w:t>
      </w:r>
    </w:p>
    <w:p w14:paraId="7F504D6E" w14:textId="77777777" w:rsidR="00107040" w:rsidRPr="00107040" w:rsidRDefault="00107040" w:rsidP="00107040">
      <w:pPr>
        <w:spacing w:after="0" w:line="240" w:lineRule="auto"/>
        <w:ind w:firstLine="567"/>
        <w:rPr>
          <w:rFonts w:ascii="Times New Roman" w:hAnsi="Times New Roman"/>
          <w:sz w:val="28"/>
          <w:szCs w:val="28"/>
        </w:rPr>
      </w:pPr>
    </w:p>
    <w:p w14:paraId="46B76714" w14:textId="7777777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Распределение ряда сигналов ядерного экспорта (</w:t>
      </w:r>
      <w:r w:rsidRPr="00107040">
        <w:rPr>
          <w:rFonts w:ascii="Times New Roman" w:hAnsi="Times New Roman"/>
          <w:sz w:val="28"/>
          <w:szCs w:val="28"/>
          <w:lang w:val="en-US"/>
        </w:rPr>
        <w:t>NES</w:t>
      </w:r>
      <w:r w:rsidRPr="00107040">
        <w:rPr>
          <w:rFonts w:ascii="Times New Roman" w:hAnsi="Times New Roman"/>
          <w:sz w:val="28"/>
          <w:szCs w:val="28"/>
        </w:rPr>
        <w:t>) и сигналов ядерной локализации (</w:t>
      </w:r>
      <w:r w:rsidRPr="00107040">
        <w:rPr>
          <w:rFonts w:ascii="Times New Roman" w:hAnsi="Times New Roman"/>
          <w:sz w:val="28"/>
          <w:szCs w:val="28"/>
          <w:lang w:val="en-US"/>
        </w:rPr>
        <w:t>NLS</w:t>
      </w:r>
      <w:r w:rsidRPr="00107040">
        <w:rPr>
          <w:rFonts w:ascii="Times New Roman" w:hAnsi="Times New Roman"/>
          <w:sz w:val="28"/>
          <w:szCs w:val="28"/>
        </w:rPr>
        <w:t xml:space="preserve">) происходит по всей последовательности </w:t>
      </w:r>
      <w:r w:rsidRPr="00107040">
        <w:rPr>
          <w:rFonts w:ascii="Times New Roman" w:hAnsi="Times New Roman"/>
          <w:sz w:val="28"/>
          <w:szCs w:val="28"/>
          <w:lang w:val="en-US"/>
        </w:rPr>
        <w:t>PARG</w:t>
      </w:r>
      <w:r w:rsidRPr="00107040">
        <w:rPr>
          <w:rFonts w:ascii="Times New Roman" w:hAnsi="Times New Roman"/>
          <w:sz w:val="28"/>
          <w:szCs w:val="28"/>
        </w:rPr>
        <w:t>.</w:t>
      </w:r>
    </w:p>
    <w:p w14:paraId="04FA3652" w14:textId="18D9174D"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Экспрессия различных вариантов сплайсинга </w:t>
      </w:r>
      <w:r w:rsidRPr="00107040">
        <w:rPr>
          <w:rFonts w:ascii="Times New Roman" w:hAnsi="Times New Roman"/>
          <w:sz w:val="28"/>
          <w:szCs w:val="28"/>
          <w:lang w:val="en-US"/>
        </w:rPr>
        <w:t>PARG</w:t>
      </w:r>
      <w:r w:rsidRPr="00107040">
        <w:rPr>
          <w:rFonts w:ascii="Times New Roman" w:hAnsi="Times New Roman"/>
          <w:sz w:val="28"/>
          <w:szCs w:val="28"/>
        </w:rPr>
        <w:t xml:space="preserve"> в разных местах обеспечивает функциональную специализацию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{"citationID":"TqboqAJp","properties":{"formattedCitation":"[218,225]","plainCitation":"[218,225]","noteIndex":0},"citationItems":[{"id":176,"uris":["http://zotero.org/users/9078202/items/CCIPAR38"],"itemData":{"id":176,"type":"article-journal","abstract":"Poly(ADP-ribose) glycohydrolase (PARG) is the only protein known to catalyze hydrolysis of ADP-ribose (ADPR) polymers to free ADP-ribose. While numerous genes encode different poly(ADP-ribose) polymerases (PARPs) that all synthesize ADP-ribose polymer, only a single gene coding for PARG has been detected in mammalian cells. Here, we describe two splice variants of human PARG mRNA, which lead to expression of PARG isoforms of 102 kDa (hPARG102) and 99 kDa (hPARG99) in addition to the full-length PARG protein (hPARG111). These splice variants differ from hPARG111 by the lack of exon 1 (hPARG102) or exons 1 and 2 (hPARG99). They are generated by the utilization of ambiguous splice donor sites in the PARG gene 5' untranslated region. The hPARG111 isoform localizes to the nucleus, whereas hPARG102 and hPARG99 are cytoplasmic proteins. The nuclear targeting of hPARG111 is due to a nuclear localization signal (NLS) in exon 1 that was mapped to the amino acids (aa) (10)CTKRPRW(16). Immunocytochemistry, immunoblotting, and PARG enzyme activity measurements show that the cytoplasmic isoforms of PARG account for most of the PARG activity in cells in the absence and presence of genotoxic stress. The predominantly cytoplasmic location of cellular PARG is intriguing as most known cellular PARPs have a nuclear localization.","container-title":"Experimental Cell Research","DOI":"10.1016/j.yexcr.2004.03.050","ISSN":"0014-4827","issue":"2","journalAbbreviation":"Exp Cell Res","language":"eng","note":"PMID: 15212953","page":"521-532","source":"PubMed","title":"Human poly(ADP-ribose) glycohydrolase is expressed in alternative splice variants yielding isoforms that localize to different cell compartments","volume":"297","author":[{"family":"Meyer-Ficca","given":"Mirella L."},{"family":"Meyer","given":"Ralph G."},{"family":"Coyle","given":"Donna L."},{"family":"Jacobson","given":"Elaine L."},{"family":"Jacobson","given":"Myron K."}],"issued":{"date-parts":[["2004",7,15]]}}},{"id":173,"uris":["http://zotero.org/users/9078202/items/K7R89B9M"],"itemData":{"id":173,"type":"article-journal","abstract":"Poly(ADP-ribosyl)ation is an important post-translational modification which mostly affects nuclear proteins. The major roles of poly(ADP-ribose) synthesis are assigned to DNA damage signalling during base excision repair, apoptosis and excitotoxicity. The transient nature and modulation of poly(ADP-ribose) levels depend mainly on the activity of poly(ADP-ribose) polymerase-1 (PARP-1) and poly(ADP-ribose) glycohydrolase (PARG), the key catabolic enzyme of poly(ADP-ribose). Given the fact that PARG substrate, poly(ADP-ribose), is found almost exclusively in the nucleus and that PARG is mainly localized in the cytoplasm, we wanted to have a closer look at PARG subcellular localization in order to better understand the mechanism by which PARG regulates intracellular poly(ADP-ribose) levels. We examined the subcellular distribution of PARG and of its two enzymatically active C-terminal apoptotic fragments both biochemically and by fluorescence microscopy. Green fluorescent protein (GFP) fusion proteins were constructed for PARG (GFP-PARG), its 74 kDa (GFP-74) and 85 kDa (GFP-85) apoptotic fragments and transiently expressed in COS-7 cells. Localization experiments reveal that all three fusion proteins localize predominantly to the cytoplasm and that a fraction also co-localizes with the Golgi marker FTCD. Moreover, leptomycin B, a drug that specifically inhibits nuclear export signal (NES)-dependent nuclear export, induces a redistribution of GFP-PARG from the cytoplasm to the nucleus and this nuclear accumulation is even more pronounced for the GFP-74 and GFP-85 apoptotic fragments. This observation confirms our hypothesis for the presence of important regions in the PARG sequence that would allow the protein to engage in CRM1-dependent nuclear export. Moreover, the altered nuclear import kinetics found for the apoptotic fragments highlights the importance of PARG N-terminal sequence in modulating PARG nucleocytoplasmic trafficking properties.","container-title":"Biology of the Cell","DOI":"10.1016/j.biolcel.2003.10.003","ISSN":"0248-4900","issue":"9","journalAbbreviation":"Biol Cell","language":"eng","note":"PMID: 14720466","page":"635-644","source":"PubMed","title":"Alteration of poly(ADP-ribose) glycohydrolase nucleocytoplasmic shuttling characteristics upon cleavage by apoptotic proteases","volume":"95","author":[{"family":"Bonicalzi","given":"Marie-Eve"},{"family":"Vodenicharov","given":"Momchil"},{"family":"Coulombe","given":"Miryan"},{"family":"Gagné","given":"Jean-Philippe"},{"family":"Poirier","given":"Guy G."}],"issued":{"date-parts":[["2003",12]]}}}],"schema":"https://github.com/citation-style-language/schema/raw/master/csl-citation.json"}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[218,225]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 клетках человека основные изоформы состоят из полноразмерного фермента </w:t>
      </w:r>
      <w:r w:rsidRPr="00107040">
        <w:rPr>
          <w:rFonts w:ascii="Times New Roman" w:hAnsi="Times New Roman"/>
          <w:sz w:val="28"/>
          <w:szCs w:val="28"/>
          <w:lang w:val="en-US"/>
        </w:rPr>
        <w:t>PARG</w:t>
      </w:r>
      <w:r w:rsidRPr="00107040">
        <w:rPr>
          <w:rFonts w:ascii="Times New Roman" w:hAnsi="Times New Roman"/>
          <w:sz w:val="28"/>
          <w:szCs w:val="28"/>
        </w:rPr>
        <w:t xml:space="preserve"> 111 кДа, а его варианты сплайсинга генерируют белки 102 и 99 кДа (рисунок </w:t>
      </w:r>
      <w:r w:rsidRPr="00107040">
        <w:rPr>
          <w:rFonts w:ascii="Times New Roman" w:hAnsi="Times New Roman"/>
          <w:sz w:val="28"/>
          <w:szCs w:val="28"/>
          <w:lang w:val="kk-KZ"/>
        </w:rPr>
        <w:t>5</w:t>
      </w:r>
      <w:r w:rsidRPr="00107040">
        <w:rPr>
          <w:rFonts w:ascii="Times New Roman" w:hAnsi="Times New Roman"/>
          <w:sz w:val="28"/>
          <w:szCs w:val="28"/>
        </w:rPr>
        <w:t xml:space="preserve">). В то время как полноразмерный </w:t>
      </w:r>
      <w:r w:rsidRPr="00107040">
        <w:rPr>
          <w:rFonts w:ascii="Times New Roman" w:hAnsi="Times New Roman"/>
          <w:sz w:val="28"/>
          <w:szCs w:val="28"/>
          <w:lang w:val="en-US"/>
        </w:rPr>
        <w:t>PARG</w:t>
      </w:r>
      <w:r w:rsidRPr="00107040">
        <w:rPr>
          <w:rFonts w:ascii="Times New Roman" w:hAnsi="Times New Roman"/>
          <w:sz w:val="28"/>
          <w:szCs w:val="28"/>
        </w:rPr>
        <w:t xml:space="preserve"> в основном является ядерным и отвечает за незначительную часть общей клеточной активности, более мелкие изоформы преимущественно цитоплазматические с перинуклеарным распределением и, по-</w:t>
      </w:r>
      <w:r w:rsidRPr="00107040">
        <w:rPr>
          <w:rFonts w:ascii="Times New Roman" w:hAnsi="Times New Roman"/>
          <w:sz w:val="28"/>
          <w:szCs w:val="28"/>
        </w:rPr>
        <w:lastRenderedPageBreak/>
        <w:t xml:space="preserve">видимому, ответственны за большую часть активности процессинга ПАР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{"citationID":"xbSQTVFx","properties":{"formattedCitation":"[226]","plainCitation":"[226]","noteIndex":0},"citationItems":[{"id":169,"uris":["http://zotero.org/users/9078202/items/3VRECEH3"],"itemData":{"id":169,"type":"article-journal","abstract":"The transient nature of poly(ADP-ribosyl)ation, a posttranslational modification of nuclear proteins, is achieved by the enzyme poly(ADP-ribose) glycohydrolase (PARG) which hydrolyzes the poly(ADP-ribose) polymer into free ADP-ribose residues. To investigate the molecular size and localization of PARG, we developed a specific polyclonal antibody directed against the bovine PARG carboxy-terminal region. We found that PARG purified from bovine thymus was recognized as a 59-kDa protein, while Western blot analysis of total cell extracts revealed the presence of a unique 110-kDa protein. This 110-kDa PARG was mostly found in postnuclear extracts, whereas it was barely detectable in the nuclear fractions of COS7 cells. Further analysis by immunofluorescence revealed a cytoplasmic perinuclear distribution of PARG in COS7 cells overexpressing the bovine PARG cDNA. These results provide direct evidence that PARG is primarily a cytoplasmic enzyme and suggest that a very low amount of intranuclear PARG is required for poly(ADP-ribose) turnover.","container-title":"Experimental Cell Research","DOI":"10.1006/excr.1999.4594","ISSN":"0014-4827","issue":"2","journalAbbreviation":"Exp Cell Res","language":"eng","note":"PMID: 10471322","page":"372-378","source":"PubMed","title":"Preferential perinuclear localization of poly(ADP-ribose) glycohydrolase","volume":"251","author":[{"family":"Winstall","given":"E."},{"family":"Affar","given":"E. B."},{"family":"Shah","given":"R."},{"family":"Bourassa","given":"S."},{"family":"Scovassi","given":"I. A."},{"family":"Poirier","given":"G. G."}],"issued":{"date-parts":[["1999",9,15]]}}}],"schema":"https://github.com/citation-style-language/schema/raw/master/csl-citation.json"}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[226]</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Следовательно ядерная и цитоплазматическая компартментализация и транслокация изоформ </w:t>
      </w:r>
      <w:r w:rsidRPr="00107040">
        <w:rPr>
          <w:rFonts w:ascii="Times New Roman" w:hAnsi="Times New Roman"/>
          <w:sz w:val="28"/>
          <w:szCs w:val="28"/>
          <w:lang w:val="en-US"/>
        </w:rPr>
        <w:t>PARG</w:t>
      </w:r>
      <w:r w:rsidRPr="00107040">
        <w:rPr>
          <w:rFonts w:ascii="Times New Roman" w:hAnsi="Times New Roman"/>
          <w:sz w:val="28"/>
          <w:szCs w:val="28"/>
        </w:rPr>
        <w:t xml:space="preserve"> между ядром и цитоплазмой были предложены в качестве механизма регуляции клеточных уровней ПАР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{"citationID":"ENVdYLSt","properties":{"formattedCitation":"[225]","plainCitation":"[225]","noteIndex":0},"citationItems":[{"id":173,"uris":["http://zotero.org/users/9078202/items/K7R89B9M"],"itemData":{"id":173,"type":"article-journal","abstract":"Poly(ADP-ribosyl)ation is an important post-translational modification which mostly affects nuclear proteins. The major roles of poly(ADP-ribose) synthesis are assigned to DNA damage signalling during base excision repair, apoptosis and excitotoxicity. The transient nature and modulation of poly(ADP-ribose) levels depend mainly on the activity of poly(ADP-ribose) polymerase-1 (PARP-1) and poly(ADP-ribose) glycohydrolase (PARG), the key catabolic enzyme of poly(ADP-ribose). Given the fact that PARG substrate, poly(ADP-ribose), is found almost exclusively in the nucleus and that PARG is mainly localized in the cytoplasm, we wanted to have a closer look at PARG subcellular localization in order to better understand the mechanism by which PARG regulates intracellular poly(ADP-ribose) levels. We examined the subcellular distribution of PARG and of its two enzymatically active C-terminal apoptotic fragments both biochemically and by fluorescence microscopy. Green fluorescent protein (GFP) fusion proteins were constructed for PARG (GFP-PARG), its 74 kDa (GFP-74) and 85 kDa (GFP-85) apoptotic fragments and transiently expressed in COS-7 cells. Localization experiments reveal that all three fusion proteins localize predominantly to the cytoplasm and that a fraction also co-localizes with the Golgi marker FTCD. Moreover, leptomycin B, a drug that specifically inhibits nuclear export signal (NES)-dependent nuclear export, induces a redistribution of GFP-PARG from the cytoplasm to the nucleus and this nuclear accumulation is even more pronounced for the GFP-74 and GFP-85 apoptotic fragments. This observation confirms our hypothesis for the presence of important regions in the PARG sequence that would allow the protein to engage in CRM1-dependent nuclear export. Moreover, the altered nuclear import kinetics found for the apoptotic fragments highlights the importance of PARG N-terminal sequence in modulating PARG nucleocytoplasmic trafficking properties.","container-title":"Biology of the Cell","DOI":"10.1016/j.biolcel.2003.10.003","ISSN":"0248-4900","issue":"9","journalAbbreviation":"Biol Cell","language":"eng","note":"PMID: 14720466","page":"635-644","source":"PubMed","title":"Alteration of poly(ADP-ribose) glycohydrolase nucleocytoplasmic shuttling characteristics upon cleavage by apoptotic proteases","volume":"95","author":[{"family":"Bonicalzi","given":"Marie-Eve"},{"family":"Vodenicharov","given":"Momchil"},{"family":"Coulombe","given":"Miryan"},{"family":"Gagné","given":"Jean-Philippe"},{"family":"Poirier","given":"Guy G."}],"issued":{"date-parts":[["2003",12]]}}}],"schema":"https://github.com/citation-style-language/schema/raw/master/csl-citation.json"}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[225]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мРНК </w:t>
      </w:r>
      <w:r w:rsidRPr="00107040">
        <w:rPr>
          <w:rFonts w:ascii="Times New Roman" w:hAnsi="Times New Roman"/>
          <w:sz w:val="28"/>
          <w:szCs w:val="28"/>
          <w:lang w:val="en-US"/>
        </w:rPr>
        <w:t>PARG</w:t>
      </w:r>
      <w:r w:rsidRPr="00107040">
        <w:rPr>
          <w:rFonts w:ascii="Times New Roman" w:hAnsi="Times New Roman"/>
          <w:sz w:val="28"/>
          <w:szCs w:val="28"/>
        </w:rPr>
        <w:t xml:space="preserve"> также подвергается дополнительному альтернативному сплайсингу, в результате чего образуются малые изоформы 55 и 60 кДа. Из-за отсутствия 5 аминокислот, кодируемых экзоном, изоформы </w:t>
      </w:r>
      <w:r w:rsidRPr="00107040">
        <w:rPr>
          <w:rFonts w:ascii="Times New Roman" w:hAnsi="Times New Roman"/>
          <w:sz w:val="28"/>
          <w:szCs w:val="28"/>
          <w:lang w:val="en-US"/>
        </w:rPr>
        <w:t>hPARG</w:t>
      </w:r>
      <w:r w:rsidRPr="00107040">
        <w:rPr>
          <w:rFonts w:ascii="Times New Roman" w:hAnsi="Times New Roman"/>
          <w:sz w:val="28"/>
          <w:szCs w:val="28"/>
        </w:rPr>
        <w:t xml:space="preserve">55 и </w:t>
      </w:r>
      <w:r w:rsidRPr="00107040">
        <w:rPr>
          <w:rFonts w:ascii="Times New Roman" w:hAnsi="Times New Roman"/>
          <w:sz w:val="28"/>
          <w:szCs w:val="28"/>
          <w:lang w:val="en-US"/>
        </w:rPr>
        <w:t>hPARG</w:t>
      </w:r>
      <w:r w:rsidRPr="00107040">
        <w:rPr>
          <w:rFonts w:ascii="Times New Roman" w:hAnsi="Times New Roman"/>
          <w:sz w:val="28"/>
          <w:szCs w:val="28"/>
        </w:rPr>
        <w:t xml:space="preserve">60 оказались каталитически неактивными (Рисунок </w:t>
      </w:r>
      <w:r w:rsidRPr="00107040">
        <w:rPr>
          <w:rFonts w:ascii="Times New Roman" w:hAnsi="Times New Roman"/>
          <w:sz w:val="28"/>
          <w:szCs w:val="28"/>
          <w:lang w:val="kk-KZ"/>
        </w:rPr>
        <w:t>5</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{"citationID":"VDZ5aLsI","properties":{"formattedCitation":"[227]","plainCitation":"[227]","noteIndex":0},"citationItems":[{"id":167,"uris":["http://zotero.org/users/9078202/items/QABAFV6A"],"itemData":{"id":167,"type":"article-journal","abstract":"Important cellular processes are regulated by poly(ADP-ribosyl)ation. This protein modification is catalyzed mainly by nuclear poly(ADP-ribose) polymerase (PARP) 1 in response to DNA damage. Cytosolic PARP isoforms have been described, whereas the presence of poly(ADP-ribose) (PAR) metabolism in mitochondria is controversial. PAR is degraded by poly(ADP-ribose) glycohydrolase (PARG). Recently, ADP-ribosylhydrolase 3 (ARH3) was also shown to catalyze PAR-degradation in vitro. PARG is encoded by a single, essential gene. One nuclear and three cytosolic isoforms result from alternative splicing. The presence and origin of a mitochondrial PARG is still unresolved. We establish here the genetic background of a human mitochondrial PARG isoform and investigate the molecular basis for mitochondrial poly(ADP-ribose) degradation. In common with a cytosolic 60-kDa human PARG isoform, the mitochondrial protein did not catalyze PAR degradation because of the absence of exon 5-encoded residues. In mice, we identified a transcript encoding an inactive cytosolic 52-kDa PARG lacking the mitochondrial targeting sequence and a substantial portion of exon 5. Thus, mammalian PARG genes encode isoforms that do not catalyze PAR degradation. On the other hand, embryonic fibroblasts from ARH3(-/-) mice lack most of the mitochondrial PAR degrading activity detected in wild-type cells, demonstrating a potential involvement of ARH3 in PAR metabolism.","container-title":"The Journal of Biological Chemistry","DOI":"10.1074/jbc.M112.349183","ISSN":"1083-351X","issue":"20","journalAbbreviation":"J Biol Chem","language":"eng","note":"PMID: 22433848\nPMCID: PMC3351285","page":"16088-16102","source":"PubMed","title":"ADP-ribosylhydrolase 3 (ARH3), not poly(ADP-ribose) glycohydrolase (PARG) isoforms, is responsible for degradation of mitochondrial matrix-associated poly(ADP-ribose)","volume":"287","author":[{"family":"Niere","given":"Marc"},{"family":"Mashimo","given":"Masato"},{"family":"Agledal","given":"Line"},{"family":"Dölle","given":"Christian"},{"family":"Kasamatsu","given":"Atsushi"},{"family":"Kato","given":"Jiro"},{"family":"Moss","given":"Joel"},{"family":"Ziegler","given":"Mathias"}],"issued":{"date-parts":[["2012",5,11]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[227]</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По этой причине эти небольшие изоформы </w:t>
      </w:r>
      <w:r w:rsidRPr="00107040">
        <w:rPr>
          <w:rFonts w:ascii="Times New Roman" w:hAnsi="Times New Roman"/>
          <w:sz w:val="28"/>
          <w:szCs w:val="28"/>
          <w:lang w:val="en-US"/>
        </w:rPr>
        <w:t>PARG</w:t>
      </w:r>
      <w:r w:rsidRPr="00107040">
        <w:rPr>
          <w:rFonts w:ascii="Times New Roman" w:hAnsi="Times New Roman"/>
          <w:sz w:val="28"/>
          <w:szCs w:val="28"/>
        </w:rPr>
        <w:t xml:space="preserve"> человека не участвуют в общем клеточном обороте ПАР.</w:t>
      </w:r>
    </w:p>
    <w:p w14:paraId="0E02A948" w14:textId="7ECA4313"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lang w:val="en-US"/>
        </w:rPr>
        <w:t>PARG</w:t>
      </w:r>
      <w:r w:rsidRPr="00107040">
        <w:rPr>
          <w:rFonts w:ascii="Times New Roman" w:hAnsi="Times New Roman"/>
          <w:sz w:val="28"/>
          <w:szCs w:val="28"/>
        </w:rPr>
        <w:t xml:space="preserve"> человека представляет собой конститутивно активный фермент, который функционирует как экзогликозидазы и эндогликозидазы. </w:t>
      </w:r>
      <w:r w:rsidRPr="00107040">
        <w:rPr>
          <w:rFonts w:ascii="Times New Roman" w:hAnsi="Times New Roman"/>
          <w:sz w:val="28"/>
          <w:szCs w:val="28"/>
          <w:lang w:val="en-US"/>
        </w:rPr>
        <w:t>PARG</w:t>
      </w:r>
      <w:r w:rsidRPr="00107040">
        <w:rPr>
          <w:rFonts w:ascii="Times New Roman" w:hAnsi="Times New Roman"/>
          <w:sz w:val="28"/>
          <w:szCs w:val="28"/>
        </w:rPr>
        <w:t xml:space="preserve"> обладает в основном экзогликозидазной активностью, последовательно отщепляя гликозидные связи от белкового дистального конца полимера, подобно углеводным гликозилгидролазам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{"citationID":"x5W9xiwc","properties":{"formattedCitation":"[228]","plainCitation":"[228]","noteIndex":0},"citationItems":[{"id":166,"uris":["http://zotero.org/users/9078202/items/ZXVAYBEP"],"itemData":{"id":166,"type":"article-journal","abstract":"The wealth of information provided by the recent structure determinations of many different glycosyl hydrolases shows that the substrate specificity and the mode of action of these enzymes are governed by exquisite details of their three-dimensional structures rather than by their global fold.","container-title":"Structure (London, England: 1993)","DOI":"10.1016/S0969-2126(01)00220-9","ISSN":"0969-2126","issue":"9","journalAbbreviation":"Structure","language":"eng","note":"PMID: 8535779","page":"853-859","source":"PubMed","title":"Structures and mechanisms of glycosyl hydrolases","volume":"3","author":[{"family":"Davies","given":"G."},{"family":"Henrissat","given":"B."}],"issued":{"date-parts":[["1995",9,15]]}}}],"schema":"https://github.com/citation-style-language/schema/raw/master/csl-citation.json"}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[228]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Эта процессивность улучшает каталитическую активность </w:t>
      </w:r>
      <w:r w:rsidRPr="00107040">
        <w:rPr>
          <w:rFonts w:ascii="Times New Roman" w:hAnsi="Times New Roman"/>
          <w:sz w:val="28"/>
          <w:szCs w:val="28"/>
          <w:lang w:val="en-US"/>
        </w:rPr>
        <w:t>PARG</w:t>
      </w:r>
      <w:r w:rsidRPr="00107040">
        <w:rPr>
          <w:rFonts w:ascii="Times New Roman" w:hAnsi="Times New Roman"/>
          <w:sz w:val="28"/>
          <w:szCs w:val="28"/>
        </w:rPr>
        <w:t xml:space="preserve">, но сильно зависит от длины цепи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{"citationID":"0UogOjKg","properties":{"formattedCitation":"[229]","plainCitation":"[229]","noteIndex":0},"citationItems":[{"id":165,"uris":["http://zotero.org/users/9078202/items/NSLWC2XP"],"itemData":{"id":165,"type":"article-journal","abstract":"The turnover of the homopolymer of ADP-ribose, which is known to be involved in many DNA-related functions, is controlled by 2 principal enzymes. Poly(ADP-ribose) polymerase (EC 2.4.2.30) synthesizes the polymer from NAD, and poly(ADP-ribose) glycohydrolase (PARG) is the major enzyme responsible for its catabolism (Thomassin et al. (1992) Biochim. Biophys. Acta 1137, 171-181). In vivo, poly(ADP-ribose) polymers constitute a heterogeneous population of branched polymers attaining sizes of 200-400 residues. They are rapidly degraded by PARG, displaying variable kinetic parameters as a function of polymer size. Several studies have suggested that PARG acts exoglycosidically on its substrate but others observed that it could act endo/exo-glycosidically. We analysed the mode of action of PARG under conditions most suitable for expression of all the activities of PARG, using HPLC purified long free polymer and very pure PARG. We conclusively show that on large free polymers, PARG exhibits endoglycosidic activity along with exoglycosidic activity. This endoglycosidic activity could have a significant role during cellular response to DNA damage.","container-title":"Biochimica Et Biophysica Acta","DOI":"10.1016/0167-4781(94)90058-2","ISSN":"0006-3002","issue":"2","journalAbbreviation":"Biochim Biophys Acta","language":"eng","note":"PMID: 7918631","page":"342-350","source":"PubMed","title":"Mode of action of poly(ADP-ribose) glycohydrolase","volume":"1219","author":[{"family":"Brochu","given":"G."},{"family":"Duchaine","given":"C."},{"family":"Thibeault","given":"L."},{"family":"Lagueux","given":"J."},{"family":"Shah","given":"G. M."},{"family":"Poirier","given":"G. G."}],"issued":{"date-parts":[["1994",10,18]]}}}],"schema":"https://github.com/citation-style-language/schema/raw/master/csl-citation.json"}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[229]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С другой стороны, было подсчитано, что около 20 % деполимеризационной активности </w:t>
      </w:r>
      <w:r w:rsidRPr="00107040">
        <w:rPr>
          <w:rFonts w:ascii="Times New Roman" w:hAnsi="Times New Roman"/>
          <w:sz w:val="28"/>
          <w:szCs w:val="28"/>
          <w:lang w:val="en-US"/>
        </w:rPr>
        <w:t>PARG</w:t>
      </w:r>
      <w:r w:rsidRPr="00107040">
        <w:rPr>
          <w:rFonts w:ascii="Times New Roman" w:hAnsi="Times New Roman"/>
          <w:sz w:val="28"/>
          <w:szCs w:val="28"/>
        </w:rPr>
        <w:t xml:space="preserve"> можно объяснить расщеплением внутрицепочечных эндогликозидов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{"citationID":"TAFm7ute","properties":{"formattedCitation":"[230]","plainCitation":"[230]","noteIndex":0},"citationItems":[{"id":164,"uris":["http://zotero.org/users/9078202/items/V7PZLPNJ"],"itemData":{"id":164,"type":"article-journal","abstract":"Post-translational modification of nuclear proteins with poly(ADP-ribose) modules chromatin structure and may be required for DNA processing events such as replication, repair and transcription. The polymer-catabolizing enzyme, poly(ADP-ribose) glycohydrolase, is crucial for the regulation of polymer metabolism and the reversibility of the protein modification. Previous reports have shown that glycohydrolase digests poly(ADP-ribose) via an exoglycosidic mechanism progressing from the protein-distal end of the polymer. Using two independent approaches, we investigated the possibility that poly(ADP-ribose) glycohydrolase also engages in endoglycosidic cleavage of polymers. First, partial glycohydrolase digestion of protein-bound poly(ADP-ribose) led to the production of protein-free oligomers of ADP-ribose. Second, partial glycohydrolase digestion of a fixed number of protein-free poly(ADP-ribose) polymers resulted in a transient increase in the absolute number of polymers while polymer size continuously decreased. Furthermore, endoglycosidic activity produced linear polymers from branched polymers although branch points themselves were not a preferential target of cleavage. From these data, we propose a mechanism whereby poly(ADP-ribose) glycohydrolase degrades polymers in three distinct phases; (a) endoglycosidic cleavage, (b) endoglycosidic cleavage plus exoglycosidic, processive degradation, (c) exoglycosidic, distributive degradation.","container-title":"European Journal of Biochemistry","DOI":"10.1111/j.1432-1033.1994.tb18633.x","ISSN":"0014-2956","issue":"2","journalAbbreviation":"Eur J Biochem","language":"eng","note":"PMID: 8125093","page":"369-375","source":"PubMed","title":"Endoglycosidic cleavage of branched polymers by poly(ADP-ribose) glycohydrolase","volume":"220","author":[{"family":"Braun","given":"S. A."},{"family":"Panzeter","given":"P. L."},{"family":"Collinge","given":"M. A."},{"family":"Althaus","given":"F. R."}],"issued":{"date-parts":[["1994",3,1]]}}}],"schema":"https://github.com/citation-style-language/schema/raw/master/csl-citation.json"}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[230]</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1724D932" w14:textId="2D77428D"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У мышей </w:t>
      </w:r>
      <w:r w:rsidRPr="00107040">
        <w:rPr>
          <w:rFonts w:ascii="Times New Roman" w:hAnsi="Times New Roman"/>
          <w:sz w:val="28"/>
          <w:szCs w:val="28"/>
          <w:lang w:val="en-US"/>
        </w:rPr>
        <w:t>PARG</w:t>
      </w:r>
      <w:r w:rsidRPr="00107040">
        <w:rPr>
          <w:rFonts w:ascii="Times New Roman" w:hAnsi="Times New Roman"/>
          <w:sz w:val="28"/>
          <w:szCs w:val="28"/>
          <w:vertAlign w:val="superscript"/>
        </w:rPr>
        <w:t>-/-</w:t>
      </w:r>
      <w:r w:rsidRPr="00107040">
        <w:rPr>
          <w:rFonts w:ascii="Times New Roman" w:hAnsi="Times New Roman"/>
          <w:sz w:val="28"/>
          <w:szCs w:val="28"/>
        </w:rPr>
        <w:t xml:space="preserve"> эмбрионы были летальными </w:t>
      </w:r>
      <w:r w:rsidRPr="00107040">
        <w:rPr>
          <w:rFonts w:ascii="Times New Roman" w:hAnsi="Times New Roman"/>
          <w:sz w:val="28"/>
          <w:szCs w:val="28"/>
          <w:lang w:val="en-US"/>
        </w:rPr>
        <w:fldChar w:fldCharType="begin"/>
      </w:r>
      <w:r>
        <w:rPr>
          <w:rFonts w:ascii="Times New Roman" w:hAnsi="Times New Roman"/>
          <w:sz w:val="28"/>
          <w:szCs w:val="28"/>
        </w:rPr>
        <w:instrText xml:space="preserve"> ADDIN ZOTERO_ITEM CSL_CITATION {"citationID":"RQIYFbr0","properties":{"formattedCitation":"[21]","plainCitation":"[21]","noteIndex":0},"citationItems":[{"id":163,"uris":["http://zotero.org/users/9078202/items/MGBLUMH8"],"itemData":{"id":163,"type":"article-journal","abstract":"The metabolism of poly(ADP-ribose) (PAR) is critical for genomic stability in multicellular eukaryotes. Here, we show that the failure to degrade PAR by means of disruption of the murine poly(ADP-ribose) glycohydrolase (PARG) gene unexpectedly causes early embryonic lethality and enhanced sensitivity to genotoxic stress. This lethality results from the failure to hydrolyze PAR, because PARG null embryonic day (E) 3.5 blastocysts accumulate PAR and concurrently undergo apoptosis. Moreover, embryonic trophoblast stem cell lines established from early PARG null embryos are viable only when cultured in medium containing the poly(ADP-ribose) polymerase inhibitor benzamide. Cells lacking PARG also show reduced growth, accumulation of PAR, and increased sensitivity to cytotoxicity induced by N-methyl-N'-nitro-N-nitrosoguanidine and menadione after benzamide withdrawal. These results provide compelling evidence that the failure to degrade PAR has deleterious consequences. Further, they define a role for PARG in embryonic development and a protective role in the response to genotoxic stress.","container-title":"Proceedings of the National Academy of Sciences of the United States of America","DOI":"10.1073/pnas.0406182101","ISSN":"0027-8424","issue":"51","journalAbbreviation":"Proc Natl Acad Sci U S A","language":"eng","note":"PMID: 15591342\nPMCID: PMC539714","page":"17699-17704","source":"PubMed","title":"Failure to degrade poly(ADP-ribose) causes increased sensitivity to cytotoxicity and early embryonic lethality","volume":"101","author":[{"family":"Koh","given":"David W."},{"family":"Lawler","given":"Ann M."},{"family":"Poitras","given":"Marc F."},{"family":"Sasaki","given":"Masayuki"},{"family":"Wattler","given":"Sigrid"},{"family":"Nehls","given":"Michael C."},{"family":"Stöger","given":"Tobias"},{"family":"Poirier","given":"Guy G."},{"family":"Dawson","given":"Valina L."},{"family":"Dawson","given":"Ted M."}],"issued":{"date-parts":[["2004",12,21]]}}}],"schema":"https://github.com/citation-style-language/schema/raw/master/csl-citation.json"} </w:instrText>
      </w:r>
      <w:r w:rsidRPr="00107040">
        <w:rPr>
          <w:rFonts w:ascii="Times New Roman" w:hAnsi="Times New Roman"/>
          <w:sz w:val="28"/>
          <w:szCs w:val="28"/>
          <w:lang w:val="en-US"/>
        </w:rPr>
        <w:fldChar w:fldCharType="separate"/>
      </w:r>
      <w:r w:rsidRPr="00107040">
        <w:rPr>
          <w:rFonts w:ascii="Times New Roman" w:hAnsi="Times New Roman"/>
          <w:sz w:val="28"/>
        </w:rPr>
        <w:t>[21]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а истощенные по </w:t>
      </w:r>
      <w:r w:rsidRPr="00107040">
        <w:rPr>
          <w:rFonts w:ascii="Times New Roman" w:hAnsi="Times New Roman"/>
          <w:sz w:val="28"/>
          <w:szCs w:val="28"/>
          <w:lang w:val="en-US"/>
        </w:rPr>
        <w:t>PARG</w:t>
      </w:r>
      <w:r w:rsidRPr="00107040">
        <w:rPr>
          <w:rFonts w:ascii="Times New Roman" w:hAnsi="Times New Roman"/>
          <w:sz w:val="28"/>
          <w:szCs w:val="28"/>
        </w:rPr>
        <w:t xml:space="preserve"> клетки были гиперчувствительны к генотоксичному повреждению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{"citationID":"v0M16gMu","properties":{"formattedCitation":"[231]","plainCitation":"[231]","noteIndex":0},"citationItems":[{"id":162,"uris":["http://zotero.org/users/9078202/items/HQUFWR99"],"itemData":{"id":162,"type":"article-journal","abstract":"Poly(ADP-ribosylation) is rapidly stimulated in cells following DNA damage. This posttranslational modification is regulated by the synthesizing enzyme poly(ADP-ribose) polymerase 1 (PARP-1) and the degrading enzyme poly(ADP-ribose) glycohydrolase (PARG). Although the role of PARP-1 in response to DNA damage has been studied extensively, the function of PARG and the impact of poly(ADP-ribose) homeostasis in various cellular processes are largely unknown. Here we show that by gene targeting in embryonic stem cells and mice, we specifically deleted the 110-kDa PARG protein (PARG(110)) normally found in the nucleus and that depletion of PARG(110) severely compromised the automodification of PARP-1 in vivo. PARG(110)-deficient mice were viable and fertile, but these mice were hypersensitive to alkylating agents and ionizing radiation. In addition, these mice were susceptible to streptozotocin-induced diabetes and endotoxic shock. These data indicate that PARG(110) plays an important role in DNA damage responses and in pathological processes.","container-title":"Molecular and Cellular Biology","DOI":"10.1128/MCB.24.16.7163-7178.2004","ISSN":"0270-7306","issue":"16","journalAbbreviation":"Mol Cell Biol","language":"eng","note":"PMID: 15282315\nPMCID: PMC479728","page":"7163-7178","source":"PubMed","title":"Depletion of the 110-kilodalton isoform of poly(ADP-ribose) glycohydrolase increases sensitivity to genotoxic and endotoxic stress in mice","volume":"24","author":[{"family":"Cortes","given":"Ulrich"},{"family":"Tong","given":"Wei-Min"},{"family":"Coyle","given":"Donna L."},{"family":"Meyer-Ficca","given":"Mirella L."},{"family":"Meyer","given":"Ralph G."},{"family":"Petrilli","given":"Virginie"},{"family":"Herceg","given":"Zdenko"},{"family":"Jacobson","given":"Elaine L."},{"family":"Jacobson","given":"Myron K."},{"family":"Wang","given":"Zhao-Qi"}],"issued":{"date-parts":[["2004",8]]}}}],"schema":"https://github.com/citation-style-language/schema/raw/master/csl-citation.json"}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[231]</w:t>
      </w:r>
      <w:r w:rsidRPr="00107040">
        <w:rPr>
          <w:rFonts w:ascii="Times New Roman" w:hAnsi="Times New Roman"/>
          <w:sz w:val="28"/>
          <w:szCs w:val="28"/>
          <w:lang w:val="en-US"/>
        </w:rPr>
        <w:fldChar w:fldCharType="end"/>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{"citationID":"esn5g5xi","properties":{"formattedCitation":"[232]","plainCitation":"[232]","noteIndex":0},"citationItems":[{"id":161,"uris":["http://zotero.org/users/9078202/items/I6BP6GAU"],"itemData":{"id":161,"type":"article-journal","abstract":"Poly(ADP-ribose) metabolism, mediated mainly by poly(ADP-ribose) polymerase (PARP) 1 and poly(ADP-ribose) glycohydrolase (PARG), regulates various cellular processes in response to genotoxic stress. PARP1 has been shown to be important in multiple cellular processes, including DNA repair, chromosomal stability, chromatin function, apoptosis and transcriptional regulation. However, whether PARP1's polymer synthesizing activity or polymer homeostasis is responsible for these functions remains largely unknown. Given a concerted action of multiple PARPs and unique PARG in the homeostasis of poly(ADP-ribosyl)ation, PARG is hypothesized to function in these processes. The lethal phenotype of the PARG null mutation in mouse embryos, however, hampers further investigation on biological function of PARG. Here, we show that mouse embryonic fibroblasts carrying a hypomorphic mutation of PARG, i.e. lacking the nuclear 110 kD isoform (PARG(110)(-/-)), have defects in the repair of DNA damage caused by various genotoxic agents. PARG(110)(-/-) cells exhibit genomic instability, characterized by a high frequency of sister chromatid exchange, micronuclei formation and chromosomal aberrations. Moreover, mutant cells contain supernumerary centrosomes, another hallmark of genomic instability, which correlates with an accumulation of S-phase cells after replication poison. Intriguingly, PARG(110)(-/-) cells accumulate more Rad51 foci in response to hydroxyurea, indicative of a defective repair of replication fork damage. Finally, PARG(110)(-/-) mice are susceptible to diethylnitrosamine-induced hepatocellular carcinoma. These data demonstrate that the homeostasis of poly(ADP-ribosyl)ation is important for an efficient DNA repair of damaged replication forks and for stabilizing the genome, thereby preventing carcinogenesis.","container-title":"Carcinogenesis","DOI":"10.1093/carcin/bgq205","ISSN":"1460-2180","issue":"12","journalAbbreviation":"Carcinogenesis","language":"eng","note":"PMID: 20926829","page":"2058-2065","source":"PubMed","title":"Deletion of the nuclear isoform of poly(ADP-ribose) glycohydrolase (PARG) reveals its function in DNA repair, genomic stability and tumorigenesis","volume":"31","author":[{"family":"Min","given":"Wookee"},{"family":"Cortes","given":"Ulrich"},{"family":"Herceg","given":"Zdenko"},{"family":"Tong","given":"Wei-Min"},{"family":"Wang","given":"Zhao-Qi"}],"issued":{"date-parts":[["2010",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[232]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что указывает на важность каталитической активности </w:t>
      </w:r>
      <w:r w:rsidRPr="00AB3697">
        <w:rPr>
          <w:rFonts w:ascii="Times New Roman" w:hAnsi="Times New Roman"/>
          <w:sz w:val="28"/>
          <w:szCs w:val="28"/>
        </w:rPr>
        <w:t>PARG</w:t>
      </w:r>
      <w:r w:rsidRPr="00107040">
        <w:rPr>
          <w:rFonts w:ascii="Times New Roman" w:hAnsi="Times New Roman"/>
          <w:sz w:val="28"/>
          <w:szCs w:val="28"/>
        </w:rPr>
        <w:t xml:space="preserve"> в клетках. Это связано с накоплением ПАР и ранним апоптозом и позволяет предположить, что для восстановления повреждений ДНК необходим эффективный </w:t>
      </w:r>
      <w:r w:rsidRPr="00AB3697">
        <w:rPr>
          <w:rFonts w:ascii="Times New Roman" w:hAnsi="Times New Roman"/>
          <w:sz w:val="28"/>
          <w:szCs w:val="28"/>
        </w:rPr>
        <w:t>PARG</w:t>
      </w:r>
      <w:r w:rsidRPr="00107040">
        <w:rPr>
          <w:rFonts w:ascii="Times New Roman" w:hAnsi="Times New Roman"/>
          <w:sz w:val="28"/>
          <w:szCs w:val="28"/>
        </w:rPr>
        <w:t xml:space="preserve">-опосредованный оборот ПАР. Также было показано, что </w:t>
      </w:r>
      <w:r w:rsidRPr="00107040">
        <w:rPr>
          <w:rFonts w:ascii="Times New Roman" w:hAnsi="Times New Roman"/>
          <w:sz w:val="28"/>
          <w:szCs w:val="28"/>
          <w:lang w:val="en-US"/>
        </w:rPr>
        <w:t>PARG</w:t>
      </w:r>
      <w:r w:rsidRPr="00107040">
        <w:rPr>
          <w:rFonts w:ascii="Times New Roman" w:hAnsi="Times New Roman"/>
          <w:sz w:val="28"/>
          <w:szCs w:val="28"/>
        </w:rPr>
        <w:t xml:space="preserve"> необходим для предотвращения массового производства ПАР во время длительного репликативного стресса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{"citationID":"vNSqyGDw","properties":{"formattedCitation":"[233]","plainCitation":"[233]","noteIndex":0},"citationItems":[{"id":160,"uris":["http://zotero.org/users/9078202/items/JHPPBQ98"],"itemData":{"id":160,"type":"article-journal","abstract":"Poly(ADP-ribosyl)ation is involved in numerous bio-logical processes including DNA repair, transcription and cell death. Cellular levels of poly(ADP-ribose) (PAR) are regulated by PAR polymerases (PARPs) and the degrading enzyme PAR glycohydrolase (PARG), controlling the cell fate decision between life and death in response to DNA damage. Replication stress is a source of DNA damage, leading to transient stalling of replication forks or to their collapse followed by the generation of double-strand breaks (DSB). The involvement of PARP-1 in replicative stress response has been described, whereas the consequences of a deregulated PAR catabolism are not yet well established. Here, we show that PARG-deprived cells showed an enhanced sensitivity to the replication inhibitor hydroxyurea. PARG is dispensable to recover from transient replicative stress but is necessary to avoid massive PAR production upon prolonged replicative stress, conditions leading to fork collapse and DSB. Extensive PAR accumulation impairs replication protein A association with collapsed forks resulting in compromised DSB repair via homologous recombination. Our results highlight the critical role of PARG in tightly controlling PAR levels produced upon genotoxic stress to prevent the detrimental effects of PAR over-accumulation.","container-title":"Nucleic Acids Research","DOI":"10.1093/nar/gku505","ISSN":"1362-4962","issue":"12","journalAbbreviation":"Nucleic Acids Res","language":"eng","note":"PMID: 24906880\nPMCID: PMC4081103","page":"7776-7792","source":"PubMed","title":"PARG is dispensable for recovery from transient replicative stress but required to prevent detrimental accumulation of poly(ADP-ribose) upon prolonged replicative stress","volume":"42","author":[{"family":"Illuzzi","given":"Giuditta"},{"family":"Fouquerel","given":"Elise"},{"family":"Amé","given":"Jean-Christophe"},{"family":"Noll","given":"Aurélia"},{"family":"Rehmet","given":"Kristina"},{"family":"Nasheuer","given":"Heinz-Peter"},{"family":"Dantzer","given":"Françoise"},{"family":"Schreiber","given":"Valérie"}],"issued":{"date-parts":[["2014",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[233]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Schreiber</w:t>
      </w:r>
      <w:r w:rsidRPr="00107040">
        <w:rPr>
          <w:rFonts w:ascii="Times New Roman" w:hAnsi="Times New Roman"/>
          <w:sz w:val="28"/>
          <w:szCs w:val="28"/>
        </w:rPr>
        <w:t xml:space="preserve"> и его коллеги продемонстрировали, что дефицит </w:t>
      </w:r>
      <w:r w:rsidRPr="00107040">
        <w:rPr>
          <w:rFonts w:ascii="Times New Roman" w:hAnsi="Times New Roman"/>
          <w:sz w:val="28"/>
          <w:szCs w:val="28"/>
          <w:lang w:val="en-US"/>
        </w:rPr>
        <w:t>PARG</w:t>
      </w:r>
      <w:r w:rsidRPr="00107040">
        <w:rPr>
          <w:rFonts w:ascii="Times New Roman" w:hAnsi="Times New Roman"/>
          <w:sz w:val="28"/>
          <w:szCs w:val="28"/>
        </w:rPr>
        <w:t xml:space="preserve"> задерживает восстановление клеток после постоянного стресса репликации, вызванного длительным лечением гидроксимочевиной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{"citationID":"3nw8DuvM","properties":{"formattedCitation":"[233]","plainCitation":"[233]","noteIndex":0},"citationItems":[{"id":160,"uris":["http://zotero.org/users/9078202/items/JHPPBQ98"],"itemData":{"id":160,"type":"article-journal","abstract":"Poly(ADP-ribosyl)ation is involved in numerous bio-logical processes including DNA repair, transcription and cell death. Cellular levels of poly(ADP-ribose) (PAR) are regulated by PAR polymerases (PARPs) and the degrading enzyme PAR glycohydrolase (PARG), controlling the cell fate decision between life and death in response to DNA damage. Replication stress is a source of DNA damage, leading to transient stalling of replication forks or to their collapse followed by the generation of double-strand breaks (DSB). The involvement of PARP-1 in replicative stress response has been described, whereas the consequences of a deregulated PAR catabolism are not yet well established. Here, we show that PARG-deprived cells showed an enhanced sensitivity to the replication inhibitor hydroxyurea. PARG is dispensable to recover from transient replicative stress but is necessary to avoid massive PAR production upon prolonged replicative stress, conditions leading to fork collapse and DSB. Extensive PAR accumulation impairs replication protein A association with collapsed forks resulting in compromised DSB repair via homologous recombination. Our results highlight the critical role of PARG in tightly controlling PAR levels produced upon genotoxic stress to prevent the detrimental effects of PAR over-accumulation.","container-title":"Nucleic Acids Research","DOI":"10.1093/nar/gku505","ISSN":"1362-4962","issue":"12","journalAbbreviation":"Nucleic Acids Res","language":"eng","note":"PMID: 24906880\nPMCID: PMC4081103","page":"7776-7792","source":"PubMed","title":"PARG is dispensable for recovery from transient replicative stress but required to prevent detrimental accumulation of poly(ADP-ribose) upon prolonged replicative stress","volume":"42","author":[{"family":"Illuzzi","given":"Giuditta"},{"family":"Fouquerel","given":"Elise"},{"family":"Amé","given":"Jean-Christophe"},{"family":"Noll","given":"Aurélia"},{"family":"Rehmet","given":"Kristina"},{"family":"Nasheuer","given":"Heinz-Peter"},{"family":"Dantzer","given":"Françoise"},{"family":"Schreiber","given":"Valérie"}],"issued":{"date-parts":[["2014",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[233]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Эти заблокированные клетки демонстрируют высокий уровень ПАР, что негативно влияет на формирование очагов </w:t>
      </w:r>
      <w:r w:rsidRPr="00107040">
        <w:rPr>
          <w:rFonts w:ascii="Times New Roman" w:hAnsi="Times New Roman"/>
          <w:sz w:val="28"/>
          <w:szCs w:val="28"/>
          <w:lang w:val="en-US"/>
        </w:rPr>
        <w:t>RPA</w:t>
      </w:r>
      <w:r w:rsidRPr="00107040">
        <w:rPr>
          <w:rFonts w:ascii="Times New Roman" w:hAnsi="Times New Roman"/>
          <w:sz w:val="28"/>
          <w:szCs w:val="28"/>
        </w:rPr>
        <w:t xml:space="preserve"> и его ассоциацию с одноцепочечной ДНК (оцДНК). Предотвращение загрузки </w:t>
      </w:r>
      <w:r w:rsidRPr="00107040">
        <w:rPr>
          <w:rFonts w:ascii="Times New Roman" w:hAnsi="Times New Roman"/>
          <w:sz w:val="28"/>
          <w:szCs w:val="28"/>
          <w:lang w:val="en-US"/>
        </w:rPr>
        <w:t>RPA</w:t>
      </w:r>
      <w:r w:rsidRPr="00107040">
        <w:rPr>
          <w:rFonts w:ascii="Times New Roman" w:hAnsi="Times New Roman"/>
          <w:sz w:val="28"/>
          <w:szCs w:val="28"/>
        </w:rPr>
        <w:t xml:space="preserve"> в конечном итоге приводит к увеличению площади непокрытой одноцепочечной ДНК, которая затем трансформируется в двухцепочечные разрывы ДНК (</w:t>
      </w:r>
      <w:r w:rsidRPr="00107040">
        <w:rPr>
          <w:rFonts w:ascii="Times New Roman" w:hAnsi="Times New Roman"/>
          <w:sz w:val="28"/>
          <w:szCs w:val="28"/>
          <w:lang w:val="en-US"/>
        </w:rPr>
        <w:t>DSB</w:t>
      </w:r>
      <w:r w:rsidRPr="00107040">
        <w:rPr>
          <w:rFonts w:ascii="Times New Roman" w:hAnsi="Times New Roman"/>
          <w:sz w:val="28"/>
          <w:szCs w:val="28"/>
        </w:rPr>
        <w:t xml:space="preserve">), что приводит к увеличению ПАР. В конечном счете, эта петля амплификации способствует апоптозу и/или некротической гибели клеток в пролиферирующих популяциях клеток. Эти наблюдения согласуются с выводом о том, что </w:t>
      </w:r>
      <w:r w:rsidRPr="00107040">
        <w:rPr>
          <w:rFonts w:ascii="Times New Roman" w:hAnsi="Times New Roman"/>
          <w:sz w:val="28"/>
          <w:szCs w:val="28"/>
          <w:lang w:val="en-US"/>
        </w:rPr>
        <w:t>PARG</w:t>
      </w:r>
      <w:r w:rsidRPr="00107040">
        <w:rPr>
          <w:rFonts w:ascii="Times New Roman" w:hAnsi="Times New Roman"/>
          <w:sz w:val="28"/>
          <w:szCs w:val="28"/>
        </w:rPr>
        <w:t xml:space="preserve"> локализуется в очагах репликации на протяжении всей </w:t>
      </w:r>
      <w:r w:rsidRPr="00107040">
        <w:rPr>
          <w:rFonts w:ascii="Times New Roman" w:hAnsi="Times New Roman"/>
          <w:sz w:val="28"/>
          <w:szCs w:val="28"/>
          <w:lang w:val="en-US"/>
        </w:rPr>
        <w:t>S</w:t>
      </w:r>
      <w:r w:rsidRPr="00107040">
        <w:rPr>
          <w:rFonts w:ascii="Times New Roman" w:hAnsi="Times New Roman"/>
          <w:sz w:val="28"/>
          <w:szCs w:val="28"/>
        </w:rPr>
        <w:t xml:space="preserve">-фазы и взаимодействует с репликационным белком </w:t>
      </w:r>
      <w:r w:rsidRPr="00107040">
        <w:rPr>
          <w:rFonts w:ascii="Times New Roman" w:hAnsi="Times New Roman"/>
          <w:sz w:val="28"/>
          <w:szCs w:val="28"/>
          <w:lang w:val="en-US"/>
        </w:rPr>
        <w:t>PCNA</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{"citationID":"FWEpoGig","properties":{"formattedCitation":"[234,235]","plainCitation":"[234,235]","noteIndex":0},"citationItems":[{"id":159,"uris":["http://zotero.org/users/9078202/items/IJWUGMHQ"],"itemData":{"id":159,"type":"article-journal","abstract":"Post-translational poly(ADP-ribosyl)ation has diverse essential functions in the cellular response to DNA damage as it contributes to avid DNA damage detection and assembly of the cellular repair machinery but extensive modification eventually also induces cell death. While there are 17 human poly(ADP-ribose) polymerase (PARP) genes, there is only one poly(ADP-ribose) glycohydrolase (PARG) gene encoding several PARG isoforms located in different subcellular compartments. To investigate the recruitment of PARG isoforms to DNA repair sites we locally introduced DNA damage by laser microirradiation. All PARG isoforms were recruited to DNA damage sites except for a mitochondrial localized PARG fragment. Using PARP knock out cells and PARP inhibitors, we showed that PARG recruitment was only partially dependent on PARP-1 and PAR synthesis, indicating a second, PAR-independent recruitment mechanism. We found that PARG interacts with PCNA, mapped a PCNA binding site and showed that binding to PCNA contributes to PARG recruitment to DNA damage sites. This dual recruitment mode of the only nuclear PARG via the versatile loading platform PCNA and by a PAR dependent mechanism likely contributes to the dynamic regulation of this posttranslational modification and ensures the tight control of the switch between efficient DNA repair and cell death.","container-title":"Nucleic Acids Research","DOI":"10.1093/nar/gkr099","ISSN":"1362-4962","issue":"12","journalAbbreviation":"Nucleic Acids Res","language":"eng","note":"PMID: 21398629\nPMCID: PMC3130271","page":"5045-5056","source":"PubMed","title":"PARG is recruited to DNA damage sites through poly(ADP-ribose)- and PCNA-dependent mechanisms","volume":"39","author":[{"family":"Mortusewicz","given":"Oliver"},{"family":"Fouquerel","given":"Elise"},{"family":"Amé","given":"Jean-Christophe"},{"family":"Leonhardt","given":"Heinrich"},{"family":"Schreiber","given":"Valérie"}],"issued":{"date-parts":[["2011",7]]}}},{"id":158,"uris":["http://zotero.org/users/9078202/items/XL4W5GPY"],"itemData":{"id":158,"type":"article-journal","abstract":"Poly(ADP-ribose) glycohydrolase (PARG) regulates cellular poly(ADP-ribose) (PAR) levels by rapidly cleaving glycosidic bonds between ADP-ribose units. PARG interacts with proliferating cell nuclear antigen (PCNA) and is strongly recruited to DNA damage sites in a PAR- and PCNA-dependent fashion. Here we identified PARG acetylation site K409 that is essential for its interaction with PCNA, its localization within replication foci and its recruitment to DNA damage sites. We found K409 to be part of a non-canonical PIP-box within the PARG disordered regulatory region. The previously identified putative N-terminal PIP-box does not bind PCNA directly but contributes to PARG localization within replication foci. X-ray structure and MD simulations reveal that the PARG non-canonical PIP-box binds PCNA in a manner similar to other canonical PIP-boxes and may represent a new type of PIP-box. While the binding of previously described PIP-boxes is based on hydrophobic interactions, PARG PIP-box binds PCNA via both stabilizing hydrophobic and fine-tuning electrostatic interactions. Our data explain the mechanism of PARG-PCNA interaction through a new PARG PIP-box that exhibits non-canonical sequence properties but a canonical mode of PCNA binding.","container-title":"Nucleic Acids Research","DOI":"10.1093/nar/gkx604","ISSN":"1362-4962","issue":"16","journalAbbreviation":"Nucleic Acids Res","language":"eng","note":"PMID: 28934471\nPMCID: PMC5766153","page":"9741-9759","source":"PubMed","title":"A novel non-canonical PIP-box mediates PARG interaction with PCNA","volume":"45","author":[{"family":"Kaufmann","given":"Tanja"},{"family":"Grishkovskaya","given":"Irina"},{"family":"Polyansky","given":"Anton A."},{"family":"Kostrhon","given":"Sebastian"},{"family":"Kukolj","given":"Eva"},{"family":"Olek","given":"Karin M."},{"family":"Herbert","given":"Sebastien"},{"family":"Beltzung","given":"Etienne"},{"family":"Mechtler","given":"Karl"},{"family":"Peterbauer","given":"Thomas"},{"family":"Gotzmann","given":"Josef"},{"family":"Zhang","given":"Lijuan"},{"family":"Hartl","given":"Markus"},{"family":"Zagrovic","given":"Bojan"},{"family":"Elsayad","given":"Kareem"},{"family":"Djinovic-Carugo","given":"Kristina"},{"family":"Slade","given":"Dea"}],"issued":{"date-parts":[["2017",9,19]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[234,235]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Кроме того, они дополняют более раннее сообщение о том, что клетки с дефицитом </w:t>
      </w:r>
      <w:r w:rsidRPr="00107040">
        <w:rPr>
          <w:rFonts w:ascii="Times New Roman" w:hAnsi="Times New Roman"/>
          <w:sz w:val="28"/>
          <w:szCs w:val="28"/>
          <w:lang w:val="en-US"/>
        </w:rPr>
        <w:t>PARG</w:t>
      </w:r>
      <w:r w:rsidRPr="00107040">
        <w:rPr>
          <w:rFonts w:ascii="Times New Roman" w:hAnsi="Times New Roman"/>
          <w:sz w:val="28"/>
          <w:szCs w:val="28"/>
        </w:rPr>
        <w:t xml:space="preserve">, обработанные агентами, алкилирующими ДНК, имеют повышенную остановку </w:t>
      </w:r>
      <w:r w:rsidRPr="00107040">
        <w:rPr>
          <w:rFonts w:ascii="Times New Roman" w:hAnsi="Times New Roman"/>
          <w:sz w:val="28"/>
          <w:szCs w:val="28"/>
          <w:lang w:val="en-US"/>
        </w:rPr>
        <w:t>S</w:t>
      </w:r>
      <w:r w:rsidRPr="00107040">
        <w:rPr>
          <w:rFonts w:ascii="Times New Roman" w:hAnsi="Times New Roman"/>
          <w:sz w:val="28"/>
          <w:szCs w:val="28"/>
        </w:rPr>
        <w:t xml:space="preserve">-фазы наряду с высокими уровнями маркера </w:t>
      </w:r>
      <w:r w:rsidRPr="00107040">
        <w:rPr>
          <w:rFonts w:ascii="Times New Roman" w:hAnsi="Times New Roman"/>
          <w:sz w:val="28"/>
          <w:szCs w:val="28"/>
          <w:lang w:val="en-US"/>
        </w:rPr>
        <w:t>DSB</w:t>
      </w:r>
      <w:r w:rsidRPr="00107040">
        <w:rPr>
          <w:rFonts w:ascii="Times New Roman" w:hAnsi="Times New Roman"/>
          <w:sz w:val="28"/>
          <w:szCs w:val="28"/>
        </w:rPr>
        <w:t xml:space="preserve"> </w:t>
      </w:r>
      <w:r w:rsidRPr="00107040">
        <w:rPr>
          <w:rFonts w:ascii="Times New Roman" w:hAnsi="Times New Roman"/>
          <w:sz w:val="28"/>
          <w:szCs w:val="28"/>
          <w:lang w:val="en-US"/>
        </w:rPr>
        <w:t>γH</w:t>
      </w:r>
      <w:r w:rsidRPr="00107040">
        <w:rPr>
          <w:rFonts w:ascii="Times New Roman" w:hAnsi="Times New Roman"/>
          <w:sz w:val="28"/>
          <w:szCs w:val="28"/>
        </w:rPr>
        <w:t>2</w:t>
      </w:r>
      <w:r w:rsidRPr="00107040">
        <w:rPr>
          <w:rFonts w:ascii="Times New Roman" w:hAnsi="Times New Roman"/>
          <w:sz w:val="28"/>
          <w:szCs w:val="28"/>
          <w:lang w:val="en-US"/>
        </w:rPr>
        <w:t>AX</w:t>
      </w:r>
      <w:r w:rsidRPr="00107040">
        <w:rPr>
          <w:rFonts w:ascii="Times New Roman" w:hAnsi="Times New Roman"/>
          <w:sz w:val="28"/>
          <w:szCs w:val="28"/>
        </w:rPr>
        <w:t xml:space="preserve">31. Соответственно, группа Лопеса показала, что инактивация </w:t>
      </w:r>
      <w:r w:rsidRPr="00107040">
        <w:rPr>
          <w:rFonts w:ascii="Times New Roman" w:hAnsi="Times New Roman"/>
          <w:sz w:val="28"/>
          <w:szCs w:val="28"/>
          <w:lang w:val="en-US"/>
        </w:rPr>
        <w:t>PARG</w:t>
      </w:r>
      <w:r w:rsidRPr="00107040">
        <w:rPr>
          <w:rFonts w:ascii="Times New Roman" w:hAnsi="Times New Roman"/>
          <w:sz w:val="28"/>
          <w:szCs w:val="28"/>
        </w:rPr>
        <w:t xml:space="preserve"> влияет на развитие всех вилок репликации и изменяет молекулярную архитектуру значительной части промежуточных продуктов репликации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{"citationID":"CJKHcoax","properties":{"formattedCitation":"[236]","plainCitation":"[236]","noteIndex":0},"citationItems":[{"id":157,"uris":["http://zotero.org/users/9078202/items/KQW7M8S4"],"itemData":{"id":157,"type":"article-journal","abstract":"Poly(ADP-ribosyl)ation (PAR) has been implicated in various aspects of the cellular response to DNA damage and genome stability. Although 17 human poly(ADP-ribose) polymerase (PARP) genes have been identified, a single poly(ADP-ribosyl) glycohydrolase (PARG) mediates PAR degradation. Here we investigated the role of PARG in the replication of human chromosomes. We show that PARG depletion affects cell proliferation and DNA synthesis, leading to replication-coupled H2AX phosphorylation. Furthermore, PARG depletion or inhibition per se slows down individual replication forks similarly to mild chemotherapeutic treatment. Electron microscopic analysis of replication intermediates reveals marked accumulation of reversed forks and single-stranded DNA (ssDNA) gaps in unperturbed PARG-defective cells. Intriguingly, while we found no physical evidence for chromosomal breakage, PARG-defective cells displayed both ataxia-telangiectasia-mutated (ATM) and ataxia-Rad3-related (ATR) activation, as well as chromatin recruitment of standard double-strand-break-repair factors, such as 53BP1 and RAD51. Overall, these data prove PAR degradation to be essential to promote resumption of replication at endogenous and exogenous lesions, preventing idle recruitment of repair factors to remodeled replication forks. Furthermore, they suggest that fork remodeling and restarting are surprisingly frequent in unperturbed cells and provide a molecular rationale to explore PARG inhibition in cancer chemotherapy.","container-title":"Molecular and Cellular Biology","DOI":"10.1128/MCB.01077-14","ISSN":"1098-5549","issue":"5","journalAbbreviation":"Mol Cell Biol","language":"eng","note":"PMID: 25535335\nPMCID: PMC4323491","page":"856-865","source":"PubMed","title":"Poly(ADP-ribosyl) glycohydrolase prevents the accumulation of unusual replication structures during unperturbed S phase","volume":"35","author":[{"family":"Ray Chaudhuri","given":"Arnab"},{"family":"Ahuja","given":"Akshay Kumar"},{"family":"Herrador","given":"Raquel"},{"family":"Lopes","given":"Massimo"}],"issued":{"date-parts":[["2015",3]]}}}],"schema":"https://github.com/citation-style-language/schema/raw/master/csl-citation.json"}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[236]</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Эти результаты обеспечили механистическое </w:t>
      </w:r>
      <w:r w:rsidRPr="00107040">
        <w:rPr>
          <w:rFonts w:ascii="Times New Roman" w:hAnsi="Times New Roman"/>
          <w:sz w:val="28"/>
          <w:szCs w:val="28"/>
        </w:rPr>
        <w:lastRenderedPageBreak/>
        <w:t xml:space="preserve">понимание важной роли </w:t>
      </w:r>
      <w:r w:rsidRPr="00107040">
        <w:rPr>
          <w:rFonts w:ascii="Times New Roman" w:hAnsi="Times New Roman"/>
          <w:sz w:val="28"/>
          <w:szCs w:val="28"/>
          <w:lang w:val="en-US"/>
        </w:rPr>
        <w:t>PARG</w:t>
      </w:r>
      <w:r w:rsidRPr="00107040">
        <w:rPr>
          <w:rFonts w:ascii="Times New Roman" w:hAnsi="Times New Roman"/>
          <w:sz w:val="28"/>
          <w:szCs w:val="28"/>
        </w:rPr>
        <w:t xml:space="preserve"> в росте и развитии клеток, что согласуется с наблюдаемой эмбриональной летальностью </w:t>
      </w:r>
      <w:r w:rsidRPr="00107040">
        <w:rPr>
          <w:rFonts w:ascii="Times New Roman" w:hAnsi="Times New Roman"/>
          <w:sz w:val="28"/>
          <w:szCs w:val="28"/>
          <w:lang w:val="en-US"/>
        </w:rPr>
        <w:t>PARG</w:t>
      </w:r>
      <w:r w:rsidRPr="00107040">
        <w:rPr>
          <w:rFonts w:ascii="Times New Roman" w:hAnsi="Times New Roman"/>
          <w:sz w:val="28"/>
          <w:szCs w:val="28"/>
          <w:vertAlign w:val="superscript"/>
        </w:rPr>
        <w:t>-/-</w:t>
      </w:r>
      <w:r w:rsidRPr="00107040">
        <w:rPr>
          <w:rFonts w:ascii="Times New Roman" w:hAnsi="Times New Roman"/>
          <w:sz w:val="28"/>
          <w:szCs w:val="28"/>
        </w:rPr>
        <w:t xml:space="preserve"> мышей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{"citationID":"x9ScXYws","properties":{"formattedCitation":"[237]","plainCitation":"[237]","noteIndex":0},"citationItems":[{"id":156,"uris":["http://zotero.org/users/9078202/items/W9DABV4A"],"itemData":{"id":156,"type":"article-journal","abstract":"Unlike poly(ADP-ribose) polymerase-1 (PARP-1), poly(ADP-ribose) glycohydrolase (PARG) has long been a difficult protein to study. However, the complete absence of PARG activity was recently characterized in mice via disruption of the murine PARG gene. As expected, PARG is critical for the maintenance of steady-state poly(ADP-ribose) levels. But surprisingly, the disruption of PARG led to embryonic lethality and increased susceptibility to mild cell stress. Therefore, the protective role of PARG and its involvement in development indicate that these roads to viability go through PARG.","container-title":"Cell Cycle (Georgetown, Tex.)","DOI":"10.4161/cc.4.3.1559","ISSN":"1551-4005","issue":"3","journalAbbreviation":"Cell Cycle","language":"eng","note":"PMID: 15725727","page":"397-399","source":"PubMed","title":"The road to survival goes through PARG","volume":"4","author":[{"family":"Koh","given":"David W."},{"family":"Dawson","given":"Valina L."},{"family":"Dawson","given":"Ted M."}],"issued":{"date-parts":[["2005",3]]}}}],"schema":"https://github.com/citation-style-language/schema/raw/master/csl-citation.json"}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[237]</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7BAD02D1" w14:textId="2DE0E2D3"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Другая важная роль </w:t>
      </w:r>
      <w:r w:rsidRPr="00107040">
        <w:rPr>
          <w:rFonts w:ascii="Times New Roman" w:hAnsi="Times New Roman"/>
          <w:sz w:val="28"/>
          <w:szCs w:val="28"/>
          <w:lang w:val="en-US"/>
        </w:rPr>
        <w:t>PARG</w:t>
      </w:r>
      <w:r w:rsidRPr="00107040">
        <w:rPr>
          <w:rFonts w:ascii="Times New Roman" w:hAnsi="Times New Roman"/>
          <w:sz w:val="28"/>
          <w:szCs w:val="28"/>
        </w:rPr>
        <w:t xml:space="preserve"> во время реакции на повреждение ДНК заключается в поддержании стабильных уровней ПАР и рециркуляции сильно аутомодифицированного </w:t>
      </w:r>
      <w:r w:rsidRPr="00107040">
        <w:rPr>
          <w:rFonts w:ascii="Times New Roman" w:hAnsi="Times New Roman"/>
          <w:sz w:val="28"/>
          <w:szCs w:val="28"/>
          <w:lang w:val="en-US"/>
        </w:rPr>
        <w:t>PARP</w:t>
      </w:r>
      <w:r w:rsidRPr="00107040">
        <w:rPr>
          <w:rFonts w:ascii="Times New Roman" w:hAnsi="Times New Roman"/>
          <w:sz w:val="28"/>
          <w:szCs w:val="28"/>
        </w:rPr>
        <w:t xml:space="preserve"> 1. Стабилизация уровней ПАР имеет решающее значение для защиты клетки от партанатоса, независимого от каспазы типа ПАР-опосредованной гибели клеток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{"citationID":"B71HbCsD","properties":{"formattedCitation":"[238]","plainCitation":"[238]","noteIndex":0},"citationItems":[{"id":155,"uris":["http://zotero.org/users/9078202/items/3Y3NJ6G4"],"itemData":{"id":155,"type":"article-journal","abstract":"Over the past decade, the Nomenclature Committee on Cell Death (NCCD) has formulated guidelines for the definition and interpretation of cell death from morphological, biochemical, and functional perspectives. Since the field continues to expand and novel mechanisms that orchestrate multiple cell death pathways are unveiled, we propose an updated classification of cell death subroutines focusing on mechanistic and essential (as opposed to correlative and dispensable) aspects of the process. As we provide molecularly oriented definitions of terms including intrinsic apoptosis, extrinsic apoptosis, mitochondrial permeability transition (MPT)-driven necrosis, necroptosis, ferroptosis, pyroptosis, parthanatos, entotic cell death, NETotic cell death, lysosome-dependent cell death, autophagy-dependent cell death, immunogenic cell death, cellular senescence, and mitotic catastrophe, we discuss the utility of neologisms that refer to highly specialized instances of these processes. The mission of the NCCD is to provide a widely accepted nomenclature on cell death in support of the continued development of the field.","container-title":"Cell Death and Differentiation","DOI":"10.1038/s41418-017-0012-4","ISSN":"1476-5403","issue":"3","journalAbbreviation":"Cell Death Differ","language":"eng","note":"PMID: 29362479\nPMCID: PMC5864239","page":"486-541","source":"PubMed","title":"Molecular mechanisms of cell death: recommendations of the Nomenclature Committee on Cell Death 2018","title-short":"Molecular mechanisms of cell death","volume":"25","author":[{"family":"Galluzzi","given":"Lorenzo"},{"family":"Vitale","given":"Ilio"},{"family":"Aaronson","given":"Stuart A."},{"family":"Abrams","given":"John M."},{"family":"Adam","given":"Dieter"},{"family":"Agostinis","given":"Patrizia"},{"family":"Alnemri","given":"Emad S."},{"family":"Altucci","given":"Lucia"},{"family":"Amelio","given":"Ivano"},{"family":"Andrews","given":"David W."},{"family":"Annicchiarico-Petruzzelli","given":"Margherita"},{"family":"Antonov","given":"Alexey V."},{"family":"Arama","given":"Eli"},{"family":"Baehrecke","given":"Eric H."},{"family":"Barlev","given":"Nickolai A."},{"family":"Bazan","given":"Nicolas G."},{"family":"Bernassola","given":"Francesca"},{"family":"Bertrand","given":"Mathieu J. M."},{"family":"Bianchi","given":"Katiuscia"},{"family":"Blagosklonny","given":"Mikhail V."},{"family":"Blomgren","given":"Klas"},{"family":"Borner","given":"Christoph"},{"family":"Boya","given":"Patricia"},{"family":"Brenner","given":"Catherine"},{"family":"Campanella","given":"Michelangelo"},{"family":"Candi","given":"Eleonora"},{"family":"Carmona-Gutierrez","given":"Didac"},{"family":"Cecconi","given":"Francesco"},{"family":"Chan","given":"Francis K.-M."},{"family":"Chandel","given":"Navdeep S."},{"family":"Cheng","given":"Emily H."},{"family":"Chipuk","given":"Jerry E."},{"family":"Cidlowski","given":"John A."},{"family":"Ciechanover","given":"Aaron"},{"family":"Cohen","given":"Gerald M."},{"family":"Conrad","given":"Marcus"},{"family":"Cubillos-Ruiz","given":"Juan R."},{"family":"Czabotar","given":"Peter E."},{"family":"D'Angiolella","given":"Vincenzo"},{"family":"Dawson","given":"Ted M."},{"family":"Dawson","given":"Valina L."},{"family":"De Laurenzi","given":"Vincenzo"},{"family":"De Maria","given":"Ruggero"},{"family":"Debatin","given":"Klaus-Michael"},{"family":"DeBerardinis","given":"Ralph J."},{"family":"Deshmukh","given":"Mohanish"},{"family":"Di Daniele","given":"Nicola"},{"family":"Di Virgilio","given":"Francesco"},{"family":"Dixit","given":"Vishva M."},{"family":"Dixon","given":"Scott J."},{"family":"Duckett","given":"Colin S."},{"family":"Dynlacht","given":"Brian D."},{"family":"El-Deiry","given":"Wafik S."},{"family":"Elrod","given":"John W."},{"family":"Fimia","given":"Gian Maria"},{"family":"Fulda","given":"Simone"},{"family":"García-Sáez","given":"Ana J."},{"family":"Garg","given":"Abhishek D."},{"family":"Garrido","given":"Carmen"},{"family":"Gavathiotis","given":"Evripidis"},{"family":"Golstein","given":"Pierre"},{"family":"Gottlieb","given":"Eyal"},{"family":"Green","given":"Douglas R."},{"family":"Greene","given":"Lloyd A."},{"family":"Gronemeyer","given":"Hinrich"},{"family":"Gross","given":"Atan"},{"family":"Hajnoczky","given":"Gyorgy"},{"family":"Hardwick","given":"J. Marie"},{"family":"Harris","given":"Isaac S."},{"family":"Hengartner","given":"Michael O."},{"family":"Hetz","given":"Claudio"},{"family":"Ichijo","given":"Hidenori"},{"family":"Jäättelä","given":"Marja"},{"family":"Joseph","given":"Bertrand"},{"family":"Jost","given":"Philipp J."},{"family":"Juin","given":"Philippe P."},{"family":"Kaiser","given":"William J."},{"family":"Karin","given":"Michael"},{"family":"Kaufmann","given":"Thomas"},{"family":"Kepp","given":"Oliver"},{"family":"Kimchi","given":"Adi"},{"family":"Kitsis","given":"Richard N."},{"family":"Klionsky","given":"Daniel J."},{"family":"Knight","given":"Richard A."},{"family":"Kumar","given":"Sharad"},{"family":"Lee","given":"Sam W."},{"family":"Lemasters","given":"John J."},{"family":"Levine","given":"Beth"},{"family":"Linkermann","given":"Andreas"},{"family":"Lipton","given":"Stuart A."},{"family":"Lockshin","given":"Richard A."},{"family":"López-Otín","given":"Carlos"},{"family":"Lowe","given":"Scott W."},{"family":"Luedde","given":"Tom"},{"family":"Lugli","given":"Enrico"},{"family":"MacFarlane","given":"Marion"},{"family":"Madeo","given":"Frank"},{"family":"Malewicz","given":"Michal"},{"family":"Malorni","given":"Walter"},{"family":"Manic","given":"Gwenola"},{"family":"Marine","given":"Jean-Christophe"},{"family":"Martin","given":"Seamus J."},{"family":"Martinou","given":"Jean-Claude"},{"family":"Medema","given":"Jan Paul"},{"family":"Mehlen","given":"Patrick"},{"family":"Meier","given":"Pascal"},{"family":"Melino","given":"Sonia"},{"family":"Miao","given":"Edward A."},{"family":"Molkentin","given":"Jeffery D."},{"family":"Moll","given":"Ute M."},{"family":"Muñoz-Pinedo","given":"Cristina"},{"family":"Nagata","given":"Shigekazu"},{"family":"Nuñez","given":"Gabriel"},{"family":"Oberst","given":"Andrew"},{"family":"Oren","given":"Moshe"},{"family":"Overholtzer","given":"Michael"},{"family":"Pagano","given":"Michele"},{"family":"Panaretakis","given":"Theocharis"},{"family":"Pasparakis","given":"Manolis"},{"family":"Penninger","given":"Josef M."},{"family":"Pereira","given":"David M."},{"family":"Pervaiz","given":"Shazib"},{"family":"Peter","given":"Marcus E."},{"family":"Piacentini","given":"Mauro"},{"family":"Pinton","given":"Paolo"},{"family":"Prehn","given":"Jochen H. M."},{"family":"Puthalakath","given":"Hamsa"},{"family":"Rabinovich","given":"Gabriel A."},{"family":"Rehm","given":"Markus"},{"family":"Rizzuto","given":"Rosario"},{"family":"Rodrigues","given":"Cecilia M. P."},{"family":"Rubinsztein","given":"David C."},{"family":"Rudel","given":"Thomas"},{"family":"Ryan","given":"Kevin M."},{"family":"Sayan","given":"Emre"},{"family":"Scorrano","given":"Luca"},{"family":"Shao","given":"Feng"},{"family":"Shi","given":"Yufang"},{"family":"Silke","given":"John"},{"family":"Simon","given":"Hans-Uwe"},{"family":"Sistigu","given":"Antonella"},{"family":"Stockwell","given":"Brent R."},{"family":"Strasser","given":"Andreas"},{"family":"Szabadkai","given":"Gyorgy"},{"family":"Tait","given":"Stephen W. G."},{"family":"Tang","given":"Daolin"},{"family":"Tavernarakis","given":"Nektarios"},{"family":"Thorburn","given":"Andrew"},{"family":"Tsujimoto","given":"Yoshihide"},{"family":"Turk","given":"Boris"},{"family":"Vanden Berghe","given":"Tom"},{"family":"Vandenabeele","given":"Peter"},{"family":"Vander Heiden","given":"Matthew G."},{"family":"Villunger","given":"Andreas"},{"family":"Virgin","given":"Herbert W."},{"family":"Vousden","given":"Karen H."},{"family":"Vucic","given":"Domagoj"},{"family":"Wagner","given":"Erwin F."},{"family":"Walczak","given":"Henning"},{"family":"Wallach","given":"David"},{"family":"Wang","given":"Ying"},{"family":"Wells","given":"James A."},{"family":"Wood","given":"Will"},{"family":"Yuan","given":"Junying"},{"family":"Zakeri","given":"Zahra"},{"family":"Zhivotovsky","given":"Boris"},{"family":"Zitvogel","given":"Laurence"},{"family":"Melino","given":"Gerry"},{"family":"Kroemer","given":"Guido"}],"issued":{"date-parts":[["2018",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[238]</w:t>
      </w:r>
      <w:r w:rsidRPr="00107040">
        <w:rPr>
          <w:rFonts w:ascii="Times New Roman" w:hAnsi="Times New Roman"/>
          <w:sz w:val="28"/>
          <w:szCs w:val="28"/>
          <w:lang w:val="en-US"/>
        </w:rPr>
        <w:fldChar w:fldCharType="end"/>
      </w:r>
      <w:r w:rsidRPr="00107040">
        <w:rPr>
          <w:rFonts w:ascii="Times New Roman" w:hAnsi="Times New Roman"/>
          <w:sz w:val="28"/>
          <w:szCs w:val="28"/>
        </w:rPr>
        <w:t>. Запуск партанатоса обусловлен высвобождением фактора, индуцирующего апоптоз (</w:t>
      </w:r>
      <w:r w:rsidRPr="00107040">
        <w:rPr>
          <w:rFonts w:ascii="Times New Roman" w:hAnsi="Times New Roman"/>
          <w:sz w:val="28"/>
          <w:szCs w:val="28"/>
          <w:lang w:val="en-US"/>
        </w:rPr>
        <w:t>AIF</w:t>
      </w:r>
      <w:r w:rsidRPr="00107040">
        <w:rPr>
          <w:rFonts w:ascii="Times New Roman" w:hAnsi="Times New Roman"/>
          <w:sz w:val="28"/>
          <w:szCs w:val="28"/>
        </w:rPr>
        <w:t xml:space="preserve">), из митохондрий в ядро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{"citationID":"KCtdqLea","properties":{"formattedCitation":"[239,240, p. 200]","plainCitation":"[239,240, p. 200]","noteIndex":0},"citationItems":[{"id":154,"uris":["http://zotero.org/users/9078202/items/7LBCUEJ2"],"itemData":{"id":154,"type":"article-journal","abstract":"The mitochondrial protein apoptosis-inducing factor (AIF) plays a pivotal role in poly(ADP-ribose) polymerase-1 (PARP-1)-mediated cell death (parthanatos), during which it is released from the mitochondria and translocates to the nucleus. We show that AIF is a high-affinity poly(ADP-ribose) (PAR)-binding protein and that PAR binding to AIF is required for parthanatos both in vitro and in vivo. AIF bound PAR at a site distinct from AIF's DNA binding site, and this interaction triggered AIF release from the cytosolic side of the mitochondrial outer membrane. Mutation of the PAR binding site in AIF did not affect its NADH (reduced form of nicotinamide adenine dinucleotide) oxidase activity, its ability to bind FAD (flavin adenine dinucleotide) or DNA, or its ability to induce nuclear condensation. However, this AIF mutant was not released from mitochondria and did not translocate to the nucleus or mediate cell death after PARP-1 activation. These results suggest a mechanism for PARP-1 to initiate AIF-mediated cell death and indicate that AIF's bioenergetic cell survival-promoting functions are separate from its effects as a mitochondrially derived death effector. Interference with the PAR-AIF interaction or PAR signaling may provide notable opportunities for preventing cell death after activation of PARP-1.","container-title":"Science Signaling","DOI":"10.1126/scisignal.2000902","ISSN":"1937-9145","issue":"167","journalAbbreviation":"Sci Signal","language":"eng","note":"PMID: 21467298\nPMCID: PMC3086524","page":"ra20","source":"PubMed","title":"Poly(ADP-ribose) (PAR) binding to apoptosis-inducing factor is critical for PAR polymerase-1-dependent cell death (parthanatos)","volume":"4","author":[{"family":"Wang","given":"Yingfei"},{"family":"Kim","given":"No Soo"},{"family":"Haince","given":"Jean-Francois"},{"family":"Kang","given":"Ho Chul"},{"family":"David","given":"Karen K."},{"family":"Andrabi","given":"Shaida A."},{"family":"Poirier","given":"Guy G."},{"family":"Dawson","given":"Valina L."},{"family":"Dawson","given":"Ted M."}],"issued":{"date-parts":[["2011",4,5]]}}},{"id":153,"uris":["http://zotero.org/users/9078202/items/5M7EEYDI"],"itemData":{"id":153,"type":"article-journal","abstract":"Poly(ADP-ribose) polymerase-1 (PARP-1) protects the genome by functioning in the DNA damage surveillance network. PARP-1 is also a mediator of cell death after ischemia-reperfusion injury, glutamate excitotoxicity, and various inflammatory processes. We show that PARP-1 activation is required for translocation of apoptosis-inducing factor (AIF) from the mitochondria to the nucleus and that AIF is necessary for PARP-1-dependent cell death. N-methyl-N'-nitro-N-nitrosoguanidine, H2O2, and N-methyl-d-aspartate induce AIF translocation and cell death, which is prevented by PARP inhibitors or genetic knockout of PARP-1, but is caspase independent. Microinjection of an antibody to AIF protects against PARP-1-dependent cytotoxicity. These data support a model in which PARP-1 activation signals AIF release from mitochondria, resulting in a caspase-independent pathway of programmed cell death.","container-title":"Science (New York, N.Y.)","DOI":"10.1126/science.1072221","ISSN":"1095-9203","issue":"5579","journalAbbreviation":"Science","language":"eng","note":"PMID: 12114629","page":"259-263","source":"PubMed","title":"Mediation of poly(ADP-ribose) polymerase-1-dependent cell death by apoptosis-inducing factor","volume":"297","author":[{"family":"Yu","given":"Seong-Woon"},{"family":"Wang","given":"Hongmin"},{"family":"Poitras","given":"Marc F."},{"family":"Coombs","given":"Carmen"},{"family":"Bowers","given":"William J."},{"family":"Federoff","given":"Howard J."},{"family":"Poirier","given":"Guy G."},{"family":"Dawson","given":"Ted M."},{"family":"Dawson","given":"Valina L."}],"issued":{"date-parts":[["2002",7,12]]}},"locator":"200"}],"schema":"https://github.com/citation-style-language/schema/raw/master/csl-citation.json"}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[239,240, p. 200]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AIF</w:t>
      </w:r>
      <w:r w:rsidRPr="00107040">
        <w:rPr>
          <w:rFonts w:ascii="Times New Roman" w:hAnsi="Times New Roman"/>
          <w:sz w:val="28"/>
          <w:szCs w:val="28"/>
        </w:rPr>
        <w:t xml:space="preserve"> после попадания в среду хроматина приводит к крупномасштабной фрагментации ДНК и конденсации хроматина с последующей гибелью клеток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{"citationID":"00kCFcjT","properties":{"formattedCitation":"[241]","plainCitation":"[241]","noteIndex":0},"citationItems":[{"id":152,"uris":["http://zotero.org/users/9078202/items/LA56LK38"],"itemData":{"id":152,"type":"article-journal","abstract":"Cells die by a variety of mechanisms. Terminally differentiated cells such as neurones die in a variety of disorders, in part, via parthanatos, a process dependent on the activity of poly (ADP-ribose)-polymerase (PARP). Parthanatos does not require the mediation of caspases for its execution, but is clearly mechanistically dependent on the nuclear translocation of the mitochondrial-associated apoptosis-inducing factor (AIF). The nuclear translocation of this otherwise beneficial mitochondrial protein, occasioned by poly (ADP-ribose) (PAR) produced through PARP overactivation, causes large-scale DNA fragmentation and chromatin condensation, leading to cell death. This review describes the multistep course of parthanatos and its dependence on PAR signalling and nuclear AIF translocation. The review also discusses potential targets in the parthanatos cascade as promising avenues for the development of novel, disease-modifying, therapeutic agents.","container-title":"British Journal of Pharmacology","DOI":"10.1111/bph.12416","ISSN":"1476-5381","issue":"8","journalAbbreviation":"Br J Pharmacol","language":"eng","note":"PMID: 24684389\nPMCID: PMC3976618","page":"2000-2016","source":"PubMed","title":"Parthanatos: mitochondrial-linked mechanisms and therapeutic opportunities","title-short":"Parthanatos","volume":"171","author":[{"family":"Fatokun","given":"Amos A."},{"family":"Dawson","given":"Valina L."},{"family":"Dawson","given":"Ted M."}],"issued":{"date-parts":[["2014",4]]}}}],"schema":"https://github.com/citation-style-language/schema/raw/master/csl-citation.json"}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[241]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Было проиллюстрировано, что истощение </w:t>
      </w:r>
      <w:r w:rsidRPr="00107040">
        <w:rPr>
          <w:rFonts w:ascii="Times New Roman" w:hAnsi="Times New Roman"/>
          <w:sz w:val="28"/>
          <w:szCs w:val="28"/>
          <w:lang w:val="en-US"/>
        </w:rPr>
        <w:t>PARG</w:t>
      </w:r>
      <w:r w:rsidRPr="00107040">
        <w:rPr>
          <w:rFonts w:ascii="Times New Roman" w:hAnsi="Times New Roman"/>
          <w:sz w:val="28"/>
          <w:szCs w:val="28"/>
        </w:rPr>
        <w:t xml:space="preserve"> защищает от партанатоза, вызванного окислительным стрессом, путем предотвращения высвобождения </w:t>
      </w:r>
      <w:r w:rsidRPr="00107040">
        <w:rPr>
          <w:rFonts w:ascii="Times New Roman" w:hAnsi="Times New Roman"/>
          <w:sz w:val="28"/>
          <w:szCs w:val="28"/>
          <w:lang w:val="en-US"/>
        </w:rPr>
        <w:t>AIF</w:t>
      </w:r>
      <w:r w:rsidRPr="00107040">
        <w:rPr>
          <w:rFonts w:ascii="Times New Roman" w:hAnsi="Times New Roman"/>
          <w:sz w:val="28"/>
          <w:szCs w:val="28"/>
        </w:rPr>
        <w:t xml:space="preserve"> из митохондрий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{"citationID":"bamFkwIM","properties":{"formattedCitation":"[242]","plainCitation":"[242]","noteIndex":0},"citationItems":[{"id":151,"uris":["http://zotero.org/users/9078202/items/2ZQ7RSHP"],"itemData":{"id":151,"type":"article-journal","abstract":"PAR [poly(ADP-ribose)] is a structural and regulatory component of multiprotein complexes in eukaryotic cells. PAR catabolism is accelerated under genotoxic stress conditions and this is largely attributable to the activity of a PARG (PAR glycohydrolase). To overcome the early embryonic lethality of parg-knockout mice and gain more insights into the biological functions of PARG, we used an RNA interference approach. We found that as little as 10% of PARG protein is sufficient to ensure basic cellular functions: PARG-silenced murine and human cells proliferated normally through several subculturing rounds and they were able to repair DNA damage induced by sublethal doses of H2O2. However, cell survival following treatment with higher concentrations of H2O2 (0.05-1 mM) was increased. In fact, PARG-silenced cells were more resistant than their wild-type counterparts to oxidant-induced apoptosis while exhibiting delayed PAR degradation and transient accumulation of ADP-ribose polymers longer than 15-mers at early stages of drug treatment. No difference was observed in response to the DNA alkylating agent N-methyl-N'-nitro-N-nitrosoguanidine, suggesting a specific involvement of PARG in the cellular response to oxidative DNA damage.","container-title":"The Biochemical Journal","DOI":"10.1042/BJ20051696","ISSN":"1470-8728","issue":"3","journalAbbreviation":"Biochem J","language":"eng","note":"PMID: 16526943\nPMCID: PMC1482814","page":"419-429","source":"PubMed","title":"Poly(ADP-ribose) glycohydrolase silencing protects against H2O2-induced cell death","volume":"396","author":[{"family":"Blenn","given":"Christian"},{"family":"Althaus","given":"Felix R."},{"family":"Malanga","given":"Maria"}],"issued":{"date-parts":[["2006",6,15]]}}}],"schema":"https://github.com/citation-style-language/schema/raw/master/csl-citation.json"}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[242]</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3751F9D9" w14:textId="7EC7305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Наконец, </w:t>
      </w:r>
      <w:r w:rsidRPr="00107040">
        <w:rPr>
          <w:rFonts w:ascii="Times New Roman" w:hAnsi="Times New Roman"/>
          <w:sz w:val="28"/>
          <w:szCs w:val="28"/>
          <w:lang w:val="en-US"/>
        </w:rPr>
        <w:t>PARG</w:t>
      </w:r>
      <w:r w:rsidRPr="00107040">
        <w:rPr>
          <w:rFonts w:ascii="Times New Roman" w:hAnsi="Times New Roman"/>
          <w:sz w:val="28"/>
          <w:szCs w:val="28"/>
        </w:rPr>
        <w:t xml:space="preserve"> также участвует в поддержании теломер. </w:t>
      </w:r>
      <w:r w:rsidRPr="00107040">
        <w:rPr>
          <w:rFonts w:ascii="Times New Roman" w:hAnsi="Times New Roman"/>
          <w:sz w:val="28"/>
          <w:szCs w:val="28"/>
          <w:lang w:val="en-US"/>
        </w:rPr>
        <w:t>PARG</w:t>
      </w:r>
      <w:r w:rsidRPr="00107040">
        <w:rPr>
          <w:rFonts w:ascii="Times New Roman" w:hAnsi="Times New Roman"/>
          <w:sz w:val="28"/>
          <w:szCs w:val="28"/>
        </w:rPr>
        <w:t xml:space="preserve"> способен негативно регулировать доступ к теломерной ДНК, обращая АДФ-рибозилирование специфичного для теломер белка </w:t>
      </w:r>
      <w:r w:rsidRPr="00107040">
        <w:rPr>
          <w:rFonts w:ascii="Times New Roman" w:hAnsi="Times New Roman"/>
          <w:sz w:val="28"/>
          <w:szCs w:val="28"/>
          <w:lang w:val="en-US"/>
        </w:rPr>
        <w:t>TRF</w:t>
      </w:r>
      <w:r w:rsidRPr="00107040">
        <w:rPr>
          <w:rFonts w:ascii="Times New Roman" w:hAnsi="Times New Roman"/>
          <w:sz w:val="28"/>
          <w:szCs w:val="28"/>
        </w:rPr>
        <w:t xml:space="preserve">1, способствуя регуляции репарации и репликации теломер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{"citationID":"Tvg6br5i","properties":{"formattedCitation":"[243,244]","plainCitation":"[243,244]","noteIndex":0},"citationItems":[{"id":150,"uris":["http://zotero.org/users/9078202/items/KULCEYWZ"],"itemData":{"id":150,"type":"article-journal","abstract":"Oxidative DNA damage triggers telomere erosion and cellular senescence. However, how repair is initiated at telomeres is largely unknown. Here, we found unlike PARP1-mediated Poly-ADP-Ribosylation (PARylation) at genomic damage sites, PARylation at telomeres is mainly dependent on tankyrase1 (TNKS1). TNKS1 is recruited to damaged telomeres via its interaction with TRF1, which subsequently facilitates the PARylation of TRF1 after damage. TNKS inhibition abolishes the recruitment of the repair proteins XRCC1 and polymerase β at damaged telomeres, while the PARP1/2 inhibitor only has such an effect at non-telomeric damage sites. The ANK domain of TNKS1 is essential for the telomeric damage response and TRF1 interaction. Mutation of the tankyrase-binding motif (TBM) on TRF1 (13R/18G to AA) disrupts its interaction with TNKS1 concomitant recruitment of TNKS1 and repair proteins after damage. Either TNKS1 inhibition or TBM mutated TRF1 expression markedly sensitizes cells to telomere oxidative damage as well as XRCC1 inhibition. Together, our data reveal a novel role of TNKS1 in facilitating SSBR at damaged telomeres through PARylation of TRF1, thereby protecting genome stability and cell viability.","container-title":"Nucleic Acids Research","DOI":"10.1093/nar/gkx083","ISSN":"1362-4962","issue":"7","journalAbbreviation":"Nucleic Acids Res","language":"eng","note":"PMID: 28160604\nPMCID: PMC5397190","page":"3906-3921","source":"PubMed","title":"Tankyrase1-mediated poly(ADP-ribosyl)ation of TRF1 maintains cell survival after telomeric DNA damage","volume":"45","author":[{"family":"Yang","given":"Lu"},{"family":"Sun","given":"Luxi"},{"family":"Teng","given":"Yaqun"},{"family":"Chen","given":"Hao"},{"family":"Gao","given":"Ying"},{"family":"Levine","given":"Arthur S."},{"family":"Nakajima","given":"Satoshi"},{"family":"Lan","given":"Li"}],"issued":{"date-parts":[["2017",4,20]]}}},{"id":149,"uris":["http://zotero.org/users/9078202/items/BHU4FPJW"],"itemData":{"id":149,"type":"article-journal","abstract":"Werner syndrome (WS) is a progeroid-like syndrome caused by WRN gene mutations. WS cells exhibit shorter telomere length compared to normal cells, but it is not fully understood how WRN deficiency leads directly to telomere dysfunction. By generating localized telomere-specific DNA damage in a real-time fashion and a dose-dependent manner, we found that the damage response of WRN at telomeres relies on its RQC domain, which is different from the canonical damage response at genomic sites via its HRDC domain. We showed that in addition to steady state telomere erosion, WRN depleted cells are also sensitive to telomeric damage. WRN responds to site-specific telomeric damage via its RQC domain, interacting at Lysine 1016 and Phenylalanine1037 with the N-terminal acidic domain of the telomere shelterin protein TRF1 and demonstrating a novel mechanism for WRN's role in telomere protection. We also found that tankyrase1-mediated poly-ADP-ribosylation of TRF1 is important for both the interaction between WRN and TRF1 and the damage recruitment of WRN to telomeres. Mutations of potential tankyrase1 ADP-ribosylation sites within the RGCADG motif of TRF1 strongly diminish the interaction with WRN and the damage response of WRN only at telomeres. Taken together, our results reveal a novel mechanism as to how WRN protects telomere integrity from damage and telomere erosion.","container-title":"Nucleic Acids Research","DOI":"10.1093/nar/gkx065","ISSN":"1362-4962","issue":"7","journalAbbreviation":"Nucleic Acids Res","language":"eng","note":"PMID: 28158503\nPMCID: PMC5397154","page":"3844-3859","source":"PubMed","title":"WRN is recruited to damaged telomeres via its RQC domain and tankyrase1-mediated poly-ADP-ribosylation of TRF1","volume":"45","author":[{"family":"Sun","given":"Luxi"},{"family":"Nakajima","given":"Satoshi"},{"family":"Teng","given":"Yaqun"},{"family":"Chen","given":"Hao"},{"family":"Yang","given":"Lu"},{"family":"Chen","given":"Xiukai"},{"family":"Gao","given":"Boya"},{"family":"Levine","given":"Arthur S."},{"family":"Lan","given":"Li"}],"issued":{"date-parts":[["2017",4,20]]}}}],"schema":"https://github.com/citation-style-language/schema/raw/master/csl-citation.json"}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[243,244]</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 целом, эти примеры показывают, что динамическое равновесие, установленное между активностью </w:t>
      </w:r>
      <w:r w:rsidRPr="00107040">
        <w:rPr>
          <w:rFonts w:ascii="Times New Roman" w:hAnsi="Times New Roman"/>
          <w:sz w:val="28"/>
          <w:szCs w:val="28"/>
          <w:lang w:val="en-US"/>
        </w:rPr>
        <w:t>PARP</w:t>
      </w:r>
      <w:r w:rsidRPr="00107040">
        <w:rPr>
          <w:rFonts w:ascii="Times New Roman" w:hAnsi="Times New Roman"/>
          <w:sz w:val="28"/>
          <w:szCs w:val="28"/>
        </w:rPr>
        <w:t xml:space="preserve"> 1 и </w:t>
      </w:r>
      <w:r w:rsidRPr="00107040">
        <w:rPr>
          <w:rFonts w:ascii="Times New Roman" w:hAnsi="Times New Roman"/>
          <w:sz w:val="28"/>
          <w:szCs w:val="28"/>
          <w:lang w:val="en-US"/>
        </w:rPr>
        <w:t>PARG</w:t>
      </w:r>
      <w:r w:rsidRPr="00107040">
        <w:rPr>
          <w:rFonts w:ascii="Times New Roman" w:hAnsi="Times New Roman"/>
          <w:sz w:val="28"/>
          <w:szCs w:val="28"/>
        </w:rPr>
        <w:t>, и, следовательно, уровнями ПАР, является ключом к контролю клеточных судеб, предполагая, что стиратели ПАР столь же важны, как и писатели ПАР для клеточного гомеостаза.</w:t>
      </w:r>
    </w:p>
    <w:p w14:paraId="5EEABF4A" w14:textId="77777777" w:rsidR="00107040" w:rsidRPr="00107040" w:rsidRDefault="00107040" w:rsidP="00107040">
      <w:pPr>
        <w:spacing w:after="0" w:line="240" w:lineRule="auto"/>
        <w:ind w:firstLine="567"/>
        <w:jc w:val="both"/>
        <w:rPr>
          <w:rFonts w:ascii="Times New Roman" w:hAnsi="Times New Roman"/>
          <w:sz w:val="28"/>
          <w:szCs w:val="28"/>
        </w:rPr>
      </w:pPr>
    </w:p>
    <w:p w14:paraId="6EB96255" w14:textId="77777777" w:rsidR="00107040" w:rsidRPr="00107040" w:rsidRDefault="00107040" w:rsidP="00107040">
      <w:pPr>
        <w:spacing w:after="0" w:line="240" w:lineRule="auto"/>
        <w:ind w:firstLine="567"/>
        <w:jc w:val="both"/>
        <w:rPr>
          <w:rFonts w:ascii="Times New Roman" w:hAnsi="Times New Roman"/>
          <w:sz w:val="28"/>
          <w:szCs w:val="28"/>
        </w:rPr>
      </w:pPr>
      <w:bookmarkStart w:id="33" w:name="_Hlk113268247"/>
      <w:r w:rsidRPr="00107040">
        <w:rPr>
          <w:rFonts w:ascii="Times New Roman" w:hAnsi="Times New Roman"/>
          <w:sz w:val="28"/>
          <w:szCs w:val="28"/>
        </w:rPr>
        <w:t>1.</w:t>
      </w:r>
      <w:r w:rsidRPr="00107040">
        <w:rPr>
          <w:rFonts w:ascii="Times New Roman" w:hAnsi="Times New Roman"/>
          <w:sz w:val="28"/>
          <w:szCs w:val="28"/>
          <w:lang w:val="kk-KZ"/>
        </w:rPr>
        <w:t>5</w:t>
      </w:r>
      <w:r w:rsidRPr="00107040">
        <w:rPr>
          <w:rFonts w:ascii="Times New Roman" w:hAnsi="Times New Roman"/>
          <w:sz w:val="28"/>
          <w:szCs w:val="28"/>
        </w:rPr>
        <w:t>.2 АДФ-рибозил-гидролазы (</w:t>
      </w:r>
      <w:r w:rsidRPr="00107040">
        <w:rPr>
          <w:rFonts w:ascii="Times New Roman" w:hAnsi="Times New Roman"/>
          <w:sz w:val="28"/>
          <w:szCs w:val="28"/>
          <w:lang w:val="en-US"/>
        </w:rPr>
        <w:t>ARHs</w:t>
      </w:r>
      <w:r w:rsidRPr="00107040">
        <w:rPr>
          <w:rFonts w:ascii="Times New Roman" w:hAnsi="Times New Roman"/>
          <w:sz w:val="28"/>
          <w:szCs w:val="28"/>
        </w:rPr>
        <w:t>)</w:t>
      </w:r>
    </w:p>
    <w:bookmarkEnd w:id="33"/>
    <w:p w14:paraId="58FE38A9" w14:textId="0D111860"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Первыми были описаны бактериальные АДФ-рибозилирующие экзотоксины, катализирующие конъюгацию АДФ-рибозы в виде ПТМ (</w:t>
      </w:r>
      <w:r w:rsidRPr="00107040">
        <w:rPr>
          <w:rFonts w:ascii="Times New Roman" w:hAnsi="Times New Roman"/>
          <w:sz w:val="28"/>
          <w:szCs w:val="28"/>
          <w:lang w:val="en-US"/>
        </w:rPr>
        <w:t>bAREs</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{"citationID":"yXkUJjq0","properties":{"formattedCitation":"[245]","plainCitation":"[245]","noteIndex":0},"citationItems":[{"id":148,"uris":["http://zotero.org/users/9078202/items/7PL7PJVW"],"itemData":{"id":148,"type":"article-journal","abstract":"Pathogenic bacteria utilize a variety of virulence factors that contribute to the clinical manifestation of their pathogenesis. Bacterial ADP-ribosylating exotoxins (bAREs) represent one family of virulence factors that exert their toxic effects by transferring the ADP-ribose moiety of NAD onto specific eucaryotic target proteins. The observations that some bAREs ADP-ribosylate eucaryotic proteins that regulate signal transduction, like the heterotrimeric GTP-binding proteins and the low-molecular-weight GTP-binding proteins, has extended interest in bAREs beyond the bacteriology laboratory. Molecular studies have shown that bAREs possess little primary amino acid homology and have diverse quaternary structure-function organization. Underlying this apparent diversity, biochemical and crystallographic studies have shown that several bAREs have conserved active-site structures and possess a conserved glutamic acid within their active sites.","container-title":"Clinical Microbiology Reviews","DOI":"10.1128/CMR.8.1.34","ISSN":"0893-8512","issue":"1","journalAbbreviation":"Clin Microbiol Rev","language":"eng","note":"PMID: 7704894\nPMCID: PMC172848","page":"34-47","source":"PubMed","title":"The family of bacterial ADP-ribosylating exotoxins","volume":"8","author":[{"family":"Krueger","given":"K. M."},{"family":"Barbieri","given":"J. T."}],"issued":{"date-parts":[["1995",1]]}}}],"schema":"https://github.com/citation-style-language/schema/raw/master/csl-citation.json"}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[245]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Бактериальные МАР-трансферазы (MART) имеют родственные гены у людей, внеклеточная экспрессия которых делает их неактуальными или неактивными в отношении внутриклеточных путей, опосредованных АДФ-рибозой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{"citationID":"qaNYMV1v","properties":{"formattedCitation":"[246]","plainCitation":"[246]","noteIndex":0},"citationItems":[{"id":147,"uris":["http://zotero.org/users/9078202/items/YMXQEGTN"],"itemData":{"id":147,"type":"article-journal","abstract":"ADP-ribosylation is a post-translational protein modification, in which ADP-ribose is transferred from nicotinamide adenine dinucleotide (NAD+) to specific acceptors, thereby altering their activities. The ADP-ribose transfer reactions are divided into mono- and poly-(ADP-ribosyl)ation. Cellular ADP-ribosylation levels are tightly regulated by enzymes that transfer ADP-ribose to acceptor proteins (e.g., ADP-ribosyltransferases, poly-(ADP-ribose) polymerases (PARP)) and those that cleave the linkage between ADP-ribose and acceptor (e.g., ADP-ribosyl-acceptor hydrolases (ARH), poly-(ADP-ribose) glycohydrolases (PARG)), thereby constituting an ADP-ribosylation cycle. This review summarizes current findings related to the ARH family of proteins. This family comprises three members (ARH1-3) with similar size (39kDa) and amino acid sequence. ARH1 catalyzes the hydrolysis of the N-glycosidic bond of mono-(ADP-ribosyl)ated arginine. ARH3 hydrolyzes poly-(ADP-ribose) (PAR) and O-acetyl-ADP-ribose. The different substrate specificities of ARH1 and ARH3 contribute to their unique roles in the cell. Based on a phenotype analysis of ARH1−/− and ARH3−/− mice, ARH1 is involved in the action by bacterial toxins as well as in tumorigenesis. ARH3 participates in the degradation of PAR that is synthesized by PARP1 in response to oxidative stress-induced DNA damage; this hydrolytic reaction suppresses PAR-mediated cell death, a pathway termed parthanatos.","collection-title":"SI: NAD+ Metabolism &amp; Signaling","container-title":"DNA Repair","DOI":"10.1016/j.dnarep.2014.03.005","ISSN":"1568-7864","journalAbbreviation":"DNA Repair","language":"en","page":"88-94","source":"ScienceDirect","title":"Structure and function of the ARH family of ADP-ribosyl-acceptor hydrolases","URL":"https://www.sciencedirect.com/science/article/pii/S1568786414000767","volume":"23","author":[{"family":"Mashimo","given":"Masato"},{"family":"Kato","given":"Jiro"},{"family":"Moss","given":"Joel"}],"accessed":{"date-parts":[["2022",4,10]]},"issued":{"date-parts":[["2014",11,1]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[246]</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2BD086E2" w14:textId="6DBEC030"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В клетках человека МАРилирование внутриклеточного белка осуществляется представителями белков, сходных с АДФ-рибозилтрансферазами дифтерийного токсина (</w:t>
      </w:r>
      <w:r w:rsidRPr="00107040">
        <w:rPr>
          <w:rFonts w:ascii="Times New Roman" w:hAnsi="Times New Roman"/>
          <w:sz w:val="28"/>
          <w:szCs w:val="28"/>
          <w:lang w:val="en-US"/>
        </w:rPr>
        <w:t>ARTD</w:t>
      </w:r>
      <w:r w:rsidRPr="00107040">
        <w:rPr>
          <w:rFonts w:ascii="Times New Roman" w:hAnsi="Times New Roman"/>
          <w:sz w:val="28"/>
          <w:szCs w:val="28"/>
        </w:rPr>
        <w:t xml:space="preserve">). Ранее классифицированные как </w:t>
      </w:r>
      <w:r w:rsidRPr="00107040">
        <w:rPr>
          <w:rFonts w:ascii="Times New Roman" w:hAnsi="Times New Roman"/>
          <w:sz w:val="28"/>
          <w:szCs w:val="28"/>
          <w:lang w:val="en-US"/>
        </w:rPr>
        <w:t>PARP</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{"citationID":"HB5wKToP","properties":{"formattedCitation":"[193]","plainCitation":"[193]","noteIndex":0},"citationItems":[{"id":208,"uris":["http://zotero.org/users/9078202/items/RWP2ZGT8"],"itemData":{"id":208,"type":"article-journal","abstract":"Poly(ADP-ribosyl)ation is an immediate DNA-damage-dependent post-translational modification of histones and other nuclear proteins that contributes to the survival of injured proliferating cells. Poly(ADP-ribose) polymerases (PARPs) now constitute a large family of 18 proteins, encoded by different genes and displaying a conserved catalytic domain in which PARP-1 (113 kDa), the founding member, and PARP-2 (62 kDa) are so far the sole enzymes whose catalytic activity has been shown to be immediately stimulated by DNA strand breaks. A large repertoire of sequences encoding novel PARPs now extends considerably the field of poly(ADP-ribosyl)ation reactions to various aspects of the cell biology including cell proliferation and cell death. Some of these new members interact with each other, share common partners and common subcellular localizations suggesting possible fine tuning in the regulation of this post-translational modification of proteins. This review summarizes our present knowledge of this emerging superfamily, which might ultimately improve pharmacological strategies to enhance both antitumor efficacy and the treatment of a number of inflammatory and neurodegenerative disorders. A provisional nomenclature is proposed. BioEssays 26:882–893, 2004. © 2004 Wiley Periodicals, Inc.","container-title":"BioEssays","DOI":"10.1002/bies.20085","ISSN":"1521-1878","issue":"8","language":"en","note":"_eprint: https://onlinelibrary.wiley.com/doi/pdf/10.1002/bies.20085","page":"882-893","source":"Wiley Online Library","title":"The PARP superfamily","URL":"https://onlinelibrary.wiley.com/doi/abs/10.1002/bies.20085","volume":"26","author":[{"family":"Amé","given":"Jean-Christophe"},{"family":"Spenlehauer","given":"Catherine"},{"family":"Murcia","given":"Gilbert","non-dropping-particle":"de"}],"accessed":{"date-parts":[["2022",3,31]]},"issued":{"date-parts":[["2004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[193]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17 членов семейства </w:t>
      </w:r>
      <w:r w:rsidRPr="00107040">
        <w:rPr>
          <w:rFonts w:ascii="Times New Roman" w:hAnsi="Times New Roman"/>
          <w:sz w:val="28"/>
          <w:szCs w:val="28"/>
          <w:lang w:val="en-US"/>
        </w:rPr>
        <w:t>ARTD</w:t>
      </w:r>
      <w:r w:rsidRPr="00107040">
        <w:rPr>
          <w:rFonts w:ascii="Times New Roman" w:hAnsi="Times New Roman"/>
          <w:sz w:val="28"/>
          <w:szCs w:val="28"/>
        </w:rPr>
        <w:t xml:space="preserve"> человека были переименованы в соответствии с систематической номенклатурой, которая лучше отражает их структурные особенности и каталитические свойства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{"citationID":"ecx54CFd","properties":{"formattedCitation":"[174]","plainCitation":"[174]","noteIndex":0},"citationItems":[{"id":346,"uris":["http://zotero.org/users/9078202/items/E4S9FWX5"],"itemData":{"id":346,"type":"article-journal","abstract":"ADP-ribosylation is a post-translational modification of proteins catalyzed by ADP-ribosyltransferases. It comprises the transfer of the ADP-ribose moiety from NAD+ to specific amino acid residues on substrate proteins or to ADP-ribose itself. Currently, 22 human genes encoding proteins that possess an ADP-ribosyltransferase catalytic domain are known. Recent structural and enzymological evidence of poly(ADP-ribose)polymerase (PARP) family members demonstrate that earlier proposed names and classifications of these proteins are no longer accurate. Here we summarize these new findings and propose a new consensus nomenclature for all ADP-ribosyltransferases (ARTs) based on the catalyzed reaction and on structural features. A unified nomenclature would facilitate communication between researchers both inside and outside the ADP-ribosylation field.","container-title":"Trends in Biochemical Sciences","DOI":"10.1016/j.tibs.2009.12.003","ISSN":"0968-0004","issue":"4","journalAbbreviation":"Trends Biochem Sci","language":"eng","note":"PMID: 20106667","page":"208-219","source":"PubMed","title":"Toward a unified nomenclature for mammalian ADP-ribosyltransferases","volume":"35","author":[{"family":"Hottiger","given":"Michael O."},{"family":"Hassa","given":"Paul O."},{"family":"Lüscher","given":"Bernhard"},{"family":"Schüler","given":"Herwig"},{"family":"Koch-Nolte","given":"Friedrich"}],"issued":{"date-parts":[["2010",4]]}}}],"schema":"https://github.com/citation-style-language/schema/raw/master/csl-citation.json"}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[174]</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 настоящее время существует 11 членов семейства </w:t>
      </w:r>
      <w:r w:rsidRPr="00107040">
        <w:rPr>
          <w:rFonts w:ascii="Times New Roman" w:hAnsi="Times New Roman"/>
          <w:sz w:val="28"/>
          <w:szCs w:val="28"/>
          <w:lang w:val="en-US"/>
        </w:rPr>
        <w:t>ARTD</w:t>
      </w:r>
      <w:r w:rsidRPr="00107040">
        <w:rPr>
          <w:rFonts w:ascii="Times New Roman" w:hAnsi="Times New Roman"/>
          <w:sz w:val="28"/>
          <w:szCs w:val="28"/>
        </w:rPr>
        <w:t xml:space="preserve"> человека, описываемых как </w:t>
      </w:r>
      <w:r w:rsidRPr="00107040">
        <w:rPr>
          <w:rFonts w:ascii="Times New Roman" w:hAnsi="Times New Roman"/>
          <w:sz w:val="28"/>
          <w:szCs w:val="28"/>
          <w:lang w:val="en-US"/>
        </w:rPr>
        <w:t>MART</w:t>
      </w:r>
      <w:r w:rsidRPr="00107040">
        <w:rPr>
          <w:rFonts w:ascii="Times New Roman" w:hAnsi="Times New Roman"/>
          <w:sz w:val="28"/>
          <w:szCs w:val="28"/>
        </w:rPr>
        <w:t xml:space="preserve">, обычно переименовываемых в честь типа молекулы АДФ-рибозы (т. е. МАР), которую они несут на себе или на целевых субстратах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{"citationID":"9zbGoVN1","properties":{"formattedCitation":"[247]","plainCitation":"[247]","noteIndex":0},"citationItems":[{"id":144,"uris":["http://zotero.org/users/9078202/items/HC5KSZ8Z"],"itemData":{"id":144,"type":"article-journal","abstract":"Leung introduces the various roles of PARPs and the regulation of ADP-ribosylation of protein substrates.","container-title":"Current biology: CB","DOI":"10.1016/j.cub.2017.09.054","ISSN":"1879-0445","issue":"23","journalAbbreviation":"Curr Biol","language":"eng","note":"PMID: 29207261","page":"R1256-R1258","source":"PubMed","title":"PARPs","volume":"27","author":[{"family":"Leung","given":"Anthony K. L."}],"issued":{"date-parts":[["2017",12,4]]}}}],"schema":"https://github.com/citation-style-language/schema/raw/master/csl-citation.json"}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[247]</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79D35D9F" w14:textId="37281461" w:rsidR="00107040" w:rsidRPr="00107040" w:rsidRDefault="00107040" w:rsidP="00107040">
      <w:pPr>
        <w:spacing w:after="0" w:line="240" w:lineRule="auto"/>
        <w:ind w:firstLine="567"/>
        <w:jc w:val="both"/>
        <w:rPr>
          <w:rFonts w:ascii="Times New Roman" w:hAnsi="Times New Roman"/>
          <w:sz w:val="28"/>
          <w:szCs w:val="28"/>
          <w:lang w:val="kk-KZ"/>
        </w:rPr>
      </w:pPr>
      <w:r w:rsidRPr="00107040">
        <w:rPr>
          <w:rFonts w:ascii="Times New Roman" w:hAnsi="Times New Roman"/>
          <w:sz w:val="28"/>
          <w:szCs w:val="28"/>
        </w:rPr>
        <w:t>Семейство АДФ-рибозогидролаз (</w:t>
      </w:r>
      <w:r w:rsidRPr="00107040">
        <w:rPr>
          <w:rFonts w:ascii="Times New Roman" w:hAnsi="Times New Roman"/>
          <w:sz w:val="28"/>
          <w:szCs w:val="28"/>
          <w:lang w:val="en-US"/>
        </w:rPr>
        <w:t>ARH</w:t>
      </w:r>
      <w:r w:rsidRPr="00107040">
        <w:rPr>
          <w:rFonts w:ascii="Times New Roman" w:hAnsi="Times New Roman"/>
          <w:sz w:val="28"/>
          <w:szCs w:val="28"/>
        </w:rPr>
        <w:t xml:space="preserve">) включает три родственных белка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{"citationID":"0BXpPa99","properties":{"formattedCitation":"[248]","plainCitation":"[248]","noteIndex":0},"citationItems":[{"id":142,"uris":["http://zotero.org/users/9078202/items/E3YD225I"],"itemData":{"id":142,"type":"article-journal","abstract":"ADP-ribosylation is a post-translational modification resulting from transfer of the ADP-ribose moiety of NAD to protein. Mammalian cells contain mono-ADP-ribosyltransferases that catalyze the formation of ADP-ribose-(arginine) protein, which can be cleaved by a 39-kDa ADP-ribose-(arginine) protein hydrolase (ARH1), resulting in release of free ADP-ribose and regeneration of unmodified protein. Enzymes involved in poly(ADP-ribosylation) participate in several critical physiological processes, including DNA repair, cellular differentiation, and carcinogenesis. Multiple poly(ADP-ribose) polymerases have been identified in the human genome, but there is only one known poly(ADP-ribose) glycohydrolase (PARG), a 111-kDa protein that degrades the (ADP-ribose) polymer to ADP-ribose. We report here the identification of an ARH1-like protein, termed poly(ADP-ribose) hydrolase or ARH3, which exhibited PARG activity, generating ADP-ribose from poly-(ADP-ribose), but did not hydrolyze ADP-ribose-arginine, -cysteine, -diphthamide, or -asparagine bonds. The 39-kDa ARH3 shares amino acid sequence identity with both ARH1 and the catalytic domain of PARG. ARH3 activity, like that of ARH1, was enhanced by Mg(2+). Critical vicinal acidic amino acids in ARH3, identified by mutagenesis (Asp(77) and Asp(78)), are located in a region similar to that required for activity in ARH1 but different from the location of the critical vicinal glutamates in the PARG catalytic site. All findings are consistent with the conclusion that ARH3 has PARG activity but is structurally unrelated to PARG.","container-title":"The Journal of Biological Chemistry","DOI":"10.1074/jbc.M510290200","ISSN":"0021-9258","issue":"2","journalAbbreviation":"J Biol Chem","language":"eng","note":"PMID: 16278211","page":"705-713","source":"PubMed","title":"Identification and characterization of a mammalian 39-kDa poly(ADP-ribose) glycohydrolase","volume":"281","author":[{"family":"Oka","given":"Shunya"},{"family":"Kato","given":"Jiro"},{"family":"Moss","given":"Joel"}],"issued":{"date-parts":[["2006",1,13]]}}}],"schema":"https://github.com/citation-style-language/schema/raw/master/csl-citation.json"}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[248]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ARH</w:t>
      </w:r>
      <w:r w:rsidRPr="00107040">
        <w:rPr>
          <w:rFonts w:ascii="Times New Roman" w:hAnsi="Times New Roman"/>
          <w:sz w:val="28"/>
          <w:szCs w:val="28"/>
        </w:rPr>
        <w:t xml:space="preserve">1 является высокоактивной АДФ-рибозил-аргинингидролазой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{"citationID":"tJEaoWGh","properties":{"formattedCitation":"[249]","plainCitation":"[249]","noteIndex":0},"citationItems":[{"id":141,"uris":["http://zotero.org/users/9078202/items/998DJ83M"],"itemData":{"id":141,"type":"article-journal","abstract":"Arginine adenosine-5'-diphosphoribosylation (ADP-ribosylation) is an enzyme-catalyzed, potentially reversible posttranslational modification, in which the ADP-ribose moiety is transferred from NAD(+) to the guanidino moiety of arginine. At 540 Da, ADP-ribose has the size of approximately five amino acid residues. In contrast to arginine, which, at neutral pH, is positively charged, ADP-ribose carries two negatively charged phosphate moieties. Arginine ADP-ribosylation, thus, causes a notable change in size and chemical property at the ADP-ribosylation site of the target protein. Often, this causes steric interference of the interaction of the target protein with binding partners, e.g. toxin-catalyzed ADP-ribosylation of actin at R177 sterically blocks actin polymerization. In case of the nucleotide-gated P2X7 ion channel, ADP-ribosylation at R125 in the vicinity of the ligand-binding site causes channel gating. Arginine-specific ADP-ribosyltransferases (ARTs) carry a characteristic R-S-EXE motif that distinguishes these enzymes from structurally related enzymes which catalyze ADP-ribosylation of other amino acid side chains, DNA, or small molecules. Arginine-specific ADP-ribosylation can be inhibited by small molecule arginine analogues such as agmatine or meta-iodobenzylguanidine (MIBG), which themselves can serve as targets for arginine-specific ARTs. ADP-ribosylarginine specific hydrolases (ARHs) can restore target protein function by hydrolytic removal of the entire ADP-ribose moiety. In some cases, ADP-ribosylarginine is processed into secondary posttranslational modifications, e.g. phosphoribosylarginine or ornithine. This review summarizes current knowledge on arginine-specific ADP-ribosylation, focussing on the methods available for its detection, its biological consequences, and the enzymes responsible for this modification and its reversal, and discusses future perspectives for research in this field.","container-title":"Amino Acids","DOI":"10.1007/s00726-010-0676-2","ISSN":"1438-2199","issue":"2","journalAbbreviation":"Amino Acids","language":"eng","note":"PMID: 20652610\nPMCID: PMC3102197","page":"257-269","source":"PubMed","title":"ADP-ribosylation of arginine","volume":"41","author":[{"family":"Laing","given":"Sabrina"},{"family":"Unger","given":"Mandy"},{"family":"Koch-Nolte","given":"Friedrich"},{"family":"Haag","given":"Friedrich"}],"issued":{"date-parts":[["2011",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[249]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ARH</w:t>
      </w:r>
      <w:r w:rsidRPr="00107040">
        <w:rPr>
          <w:rFonts w:ascii="Times New Roman" w:hAnsi="Times New Roman"/>
          <w:sz w:val="28"/>
          <w:szCs w:val="28"/>
        </w:rPr>
        <w:t xml:space="preserve">3 </w:t>
      </w:r>
      <w:r w:rsidRPr="00107040">
        <w:rPr>
          <w:rFonts w:ascii="Times New Roman" w:hAnsi="Times New Roman"/>
          <w:sz w:val="28"/>
          <w:szCs w:val="28"/>
        </w:rPr>
        <w:sym w:font="Symbol" w:char="F02D"/>
      </w:r>
      <w:r w:rsidRPr="00107040">
        <w:rPr>
          <w:rFonts w:ascii="Times New Roman" w:hAnsi="Times New Roman"/>
          <w:sz w:val="28"/>
          <w:szCs w:val="28"/>
        </w:rPr>
        <w:t xml:space="preserve"> АДФ-рибозил-серингидролазой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{"citationID":"Jntuk52p","properties":{"formattedCitation":"[250]","plainCitation":"[250]","noteIndex":0},"citationItems":[{"id":140,"uris":["http://zotero.org/users/9078202/items/LFAAKJDR"],"itemData":{"id":140,"type":"article-journal","abstract":"ADP-ribosylation (ADPr) is a posttranslational modification (PTM) of proteins that controls many cellular processes, including DNA repair, transcription, chromatin regulation and mitosis. A number of proteins catalyse the transfer and hydrolysis of ADPr, and also specify how and when the modification is conjugated to the targets. We recently discovered a new form of ADPr that is attached to serine residues in target proteins (Ser-ADPr) and showed that this PTM is specifically made by PARP1/HPF1 and PARP2/HPF1 complexes. In this work, we found by quantitative proteomics that histone Ser-ADPr is reversible in cells during response to DNA damage. By screening for the hydrolase that is responsible for the reversal of Ser-ADPr, we identified ARH3/ADPRHL2 as capable of efficiently and specifically removing Ser-ADPr of histones and other proteins. We further showed that Ser-ADPr is a major PTM in cells after DNA damage and that this signalling is dependent on ARH3.","container-title":"eLife","DOI":"10.7554/eLife.28533","ISSN":"2050-084X","journalAbbreviation":"Elife","language":"eng","note":"PMID: 28650317\nPMCID: PMC5552275","page":"e28533","source":"PubMed","title":"Serine ADP-ribosylation reversal by the hydrolase ARH3","volume":"6","author":[{"family":"Fontana","given":"Pietro"},{"family":"Bonfiglio","given":"Juan José"},{"family":"Palazzo","given":"Luca"},{"family":"Bartlett","given":"Edward"},{"family":"Matic","given":"Ivan"},{"family":"Ahel","given":"Ivan"}],"issued":{"date-parts":[["2017",6,26]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а субстраты </w:t>
      </w:r>
      <w:r w:rsidRPr="00107040">
        <w:rPr>
          <w:rFonts w:ascii="Times New Roman" w:hAnsi="Times New Roman"/>
          <w:sz w:val="28"/>
          <w:szCs w:val="28"/>
          <w:lang w:val="en-US"/>
        </w:rPr>
        <w:t>ARH</w:t>
      </w:r>
      <w:r w:rsidRPr="00107040">
        <w:rPr>
          <w:rFonts w:ascii="Times New Roman" w:hAnsi="Times New Roman"/>
          <w:sz w:val="28"/>
          <w:szCs w:val="28"/>
        </w:rPr>
        <w:t xml:space="preserve">2 еще неизвестны (таблица </w:t>
      </w:r>
      <w:r w:rsidRPr="00107040">
        <w:rPr>
          <w:rFonts w:ascii="Times New Roman" w:hAnsi="Times New Roman"/>
          <w:sz w:val="28"/>
          <w:szCs w:val="28"/>
          <w:lang w:val="kk-KZ"/>
        </w:rPr>
        <w:t>1</w:t>
      </w:r>
      <w:r w:rsidRPr="00107040">
        <w:rPr>
          <w:rFonts w:ascii="Times New Roman" w:hAnsi="Times New Roman"/>
          <w:sz w:val="28"/>
          <w:szCs w:val="28"/>
        </w:rPr>
        <w:t xml:space="preserve"> и рисунок </w:t>
      </w:r>
      <w:r w:rsidRPr="00107040">
        <w:rPr>
          <w:rFonts w:ascii="Times New Roman" w:hAnsi="Times New Roman"/>
          <w:sz w:val="28"/>
          <w:szCs w:val="28"/>
          <w:lang w:val="kk-KZ"/>
        </w:rPr>
        <w:t>6</w:t>
      </w:r>
      <w:r w:rsidRPr="00107040">
        <w:rPr>
          <w:rFonts w:ascii="Times New Roman" w:hAnsi="Times New Roman"/>
          <w:sz w:val="28"/>
          <w:szCs w:val="28"/>
        </w:rPr>
        <w:t xml:space="preserve">). </w:t>
      </w:r>
    </w:p>
    <w:p w14:paraId="3CBB8E94" w14:textId="77777777" w:rsidR="00107040" w:rsidRPr="00107040" w:rsidRDefault="00107040" w:rsidP="00107040">
      <w:pPr>
        <w:spacing w:after="0" w:line="240" w:lineRule="auto"/>
        <w:ind w:firstLine="567"/>
        <w:jc w:val="both"/>
        <w:rPr>
          <w:rFonts w:ascii="Times New Roman" w:hAnsi="Times New Roman"/>
          <w:sz w:val="28"/>
          <w:szCs w:val="28"/>
        </w:rPr>
      </w:pPr>
    </w:p>
    <w:p w14:paraId="02599A50" w14:textId="77777777" w:rsidR="00107040" w:rsidRPr="00107040" w:rsidRDefault="00107040" w:rsidP="00107040">
      <w:pPr>
        <w:spacing w:after="0" w:line="240" w:lineRule="auto"/>
        <w:ind w:firstLine="567"/>
        <w:jc w:val="center"/>
        <w:rPr>
          <w:rFonts w:ascii="Times New Roman" w:hAnsi="Times New Roman"/>
          <w:sz w:val="28"/>
          <w:szCs w:val="28"/>
        </w:rPr>
      </w:pPr>
      <w:r w:rsidRPr="00107040">
        <w:rPr>
          <w:rFonts w:ascii="Times New Roman" w:hAnsi="Times New Roman"/>
          <w:noProof/>
          <w:sz w:val="28"/>
          <w:szCs w:val="28"/>
          <w:lang w:val="ru-RU" w:eastAsia="ru-RU"/>
        </w:rPr>
        <w:lastRenderedPageBreak/>
        <w:drawing>
          <wp:inline distT="0" distB="0" distL="0" distR="0" wp14:anchorId="2ABE15E5" wp14:editId="595AC4D6">
            <wp:extent cx="5726571" cy="4858603"/>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189" cy="4867611"/>
                    </a:xfrm>
                    <a:prstGeom prst="rect">
                      <a:avLst/>
                    </a:prstGeom>
                    <a:noFill/>
                    <a:ln>
                      <a:noFill/>
                    </a:ln>
                  </pic:spPr>
                </pic:pic>
              </a:graphicData>
            </a:graphic>
          </wp:inline>
        </w:drawing>
      </w:r>
    </w:p>
    <w:p w14:paraId="42819AAC" w14:textId="77777777" w:rsidR="00107040" w:rsidRPr="00107040" w:rsidRDefault="00107040" w:rsidP="00107040">
      <w:pPr>
        <w:spacing w:after="0" w:line="240" w:lineRule="auto"/>
        <w:ind w:firstLine="567"/>
        <w:jc w:val="center"/>
        <w:rPr>
          <w:rFonts w:ascii="Times New Roman" w:hAnsi="Times New Roman"/>
          <w:sz w:val="28"/>
          <w:szCs w:val="28"/>
        </w:rPr>
      </w:pPr>
    </w:p>
    <w:p w14:paraId="01178764" w14:textId="77777777" w:rsidR="00107040" w:rsidRPr="00107040" w:rsidRDefault="00107040" w:rsidP="00107040">
      <w:pPr>
        <w:spacing w:after="0" w:line="240" w:lineRule="auto"/>
        <w:jc w:val="center"/>
        <w:rPr>
          <w:rFonts w:ascii="Times New Roman" w:hAnsi="Times New Roman"/>
          <w:sz w:val="28"/>
          <w:szCs w:val="28"/>
        </w:rPr>
      </w:pPr>
      <w:r w:rsidRPr="00107040">
        <w:rPr>
          <w:rFonts w:ascii="Times New Roman" w:hAnsi="Times New Roman"/>
          <w:sz w:val="28"/>
          <w:szCs w:val="28"/>
        </w:rPr>
        <w:t xml:space="preserve">Рисунок </w:t>
      </w:r>
      <w:r w:rsidRPr="00107040">
        <w:rPr>
          <w:rFonts w:ascii="Times New Roman" w:hAnsi="Times New Roman"/>
          <w:sz w:val="28"/>
          <w:szCs w:val="28"/>
          <w:lang w:val="kk-KZ"/>
        </w:rPr>
        <w:t>6</w:t>
      </w:r>
      <w:r w:rsidRPr="00107040">
        <w:rPr>
          <w:rFonts w:ascii="Times New Roman" w:hAnsi="Times New Roman"/>
          <w:sz w:val="28"/>
          <w:szCs w:val="28"/>
        </w:rPr>
        <w:t xml:space="preserve"> – деАДФ-рибозилирование белка с помощью стирателей МАР и ПАР. На диаграммах показаны МАРилированные (верхняя панель) и ПАРилированные белки (нижняя панель) со специфическими для связи сайтами химического расщепления для каждого стирателя</w:t>
      </w:r>
    </w:p>
    <w:p w14:paraId="7EB1B5B5" w14:textId="77777777" w:rsidR="00107040" w:rsidRPr="00107040" w:rsidRDefault="00107040" w:rsidP="00107040">
      <w:pPr>
        <w:spacing w:after="0" w:line="240" w:lineRule="auto"/>
        <w:ind w:firstLine="567"/>
        <w:jc w:val="center"/>
        <w:rPr>
          <w:rFonts w:ascii="Times New Roman" w:hAnsi="Times New Roman"/>
          <w:sz w:val="28"/>
          <w:szCs w:val="28"/>
        </w:rPr>
      </w:pPr>
    </w:p>
    <w:p w14:paraId="0294CB4F" w14:textId="5BA42281"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eastAsia="Arial Unicode MS" w:hAnsi="Times New Roman"/>
          <w:bCs/>
          <w:sz w:val="28"/>
          <w:szCs w:val="28"/>
          <w:lang w:bidi="en-US"/>
        </w:rPr>
        <w:t>Примечание – Составлено автором на основе источника</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{"citationID":"fvGTbsqv","properties":{"formattedCitation":"[224]","plainCitation":"[224]","noteIndex":0},"citationItems":[{"id":184,"uris":["http://zotero.org/users/9078202/items/7SD8Q839"],"itemData":{"id":184,"type":"article-journal","abstract":"Protein ADP-ribosylation is essential for the regulation of several cellular pathways, enabling dynamic responses to diverse pathophysiological conditions. It is modulated through a dynamic interplay between ADP-ribose readers, writers and erasers. While ADP-ribose synthesis has been studied and reviewed extensively, ADP-ribose processing by erasing enzymes has received comparably less attention. However, major progress in the mass spectrometric identification of ADP-ribosylated residues and the biochemical characterization of ADP-ribose erasers has substantially expanded our knowledge of ADP-ribosylation dynamics. Herein, we describe recent insights into the biology of ADP-ribose erasers and discuss the intricately orchestrated cellular processes to switch off ADP-ribose-dependent mechanisms.","container-title":"Nature Communications","DOI":"10.1038/s41467-019-08859-x","ISSN":"2041-1723","issue":"1","journalAbbreviation":"Nat Commun","language":"en","license":"2019 The Author(s)","note":"number: 1\npublisher: Nature Publishing Group","page":"1182","source":"www.nature.com","title":"Emerging roles of eraser enzymes in the dynamic control of protein ADP-ribosylation","URL":"https://www.nature.com/articles/s41467-019-08859-x","volume":"10","author":[{"family":"O’Sullivan","given":"Julia"},{"family":"Tedim Ferreira","given":"Maria"},{"family":"Gagné","given":"Jean-Philippe"},{"family":"Sharma","given":"Ajit K."},{"family":"Hendzel","given":"Michael J."},{"family":"Masson","given":"Jean-Yves"},{"family":"Poirier","given":"Guy G."}],"accessed":{"date-parts":[["2022",4,4]]},"issued":{"date-parts":[["2019",3,12]]}}}],"schema":"https://github.com/citation-style-language/schema/raw/master/csl-citation.json"}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[224]</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21483998" w14:textId="77777777" w:rsidR="00107040" w:rsidRPr="00107040" w:rsidRDefault="00107040" w:rsidP="00107040">
      <w:pPr>
        <w:spacing w:after="0" w:line="240" w:lineRule="auto"/>
        <w:ind w:firstLine="567"/>
        <w:jc w:val="both"/>
        <w:rPr>
          <w:rFonts w:ascii="Times New Roman" w:hAnsi="Times New Roman"/>
          <w:sz w:val="28"/>
          <w:szCs w:val="28"/>
        </w:rPr>
      </w:pPr>
    </w:p>
    <w:p w14:paraId="6AD62FEB" w14:textId="047A95CD"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Мыши, у которых отсутствует ARH1, более чувствительны к холерному токсину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{"citationID":"bsf7zqnv","properties":{"formattedCitation":"[251]","plainCitation":"[251]","noteIndex":0},"citationItems":[{"id":139,"uris":["http://zotero.org/users/9078202/items/L7LWPP6V"],"itemData":{"id":139,"type":"article-journal","abstract":"Cholera toxin (CT) produced by Vibrio cholerae causes the devastating diarrhea of cholera by catalyzing the ADP-ribosylation of the alpha subunit of the intestinal Gs protein (Gsalpha), leading to characteristic water and electrolyte losses. Mammalian cells contain ADP-ribosyltransferases similar to CT and an ADP-ribosyl(arginine)protein hydrolase (ADPRH), which cleaves the ADP-ribose-(arginine)protein bond, regenerating native protein and completing an ADP-ribosylation cycle. We hypothesized that ADPRH might counteract intoxication by reversing the ADP-ribosylation of Gsalpha. Effects of intoxication on murine ADPRH-/- cells were greater than those on wild-type cells and were significantly reduced by overexpression of wild-type ADPRH in ADPRH-/- cells, as evidenced by both ADP-ribose-arginine content and Gsalpha modification. Similarly, intestinal loops in the ADPRH-/- mouse were more sensitive than their wild-type counterparts to toxin effects on fluid accumulation, Gsalpha modification, and ADP-ribosylarginine content. Thus, CT-catalyzed ADP-ribosylation of cell proteins can be counteracted by ADPRH, which could function as a modifier gene in disease. Further, our study demonstrates that enzymatic cross talk exists between bacterial toxin ADP-ribosyltransferases and host ADP-ribosylation cycles. In disease, toxin-catalyzed ADP-ribosylation overwhelms this potential host defense system, resulting in persistence of ADP-ribosylation and intoxication of the cell.","container-title":"Molecular and Cellular Biology","DOI":"10.1128/MCB.00302-07","ISSN":"0270-7306","issue":"15","journalAbbreviation":"Mol Cell Biol","language":"eng","note":"PMID: 17526733\nPMCID: PMC1952103","page":"5534-5543","source":"PubMed","title":"Enhanced sensitivity to cholera toxin in ADP-ribosylarginine hydrolase-deficient mice","volume":"27","author":[{"family":"Kato","given":"Jiro"},{"family":"Zhu","given":"Jianfeng"},{"family":"Liu","given":"Chengyu"},{"family":"Moss","given":"Joel"}],"issued":{"date-parts":[["2007",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и склонны к опухолям, а также имеют повышенную заболеваемость аденокарциномой, лимфомой и метастазами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{"citationID":"xPfEdaQX","properties":{"formattedCitation":"[252]","plainCitation":"[252]","noteIndex":0},"citationItems":[{"id":138,"uris":["http://zotero.org/users/9078202/items/EWHFLM8D"],"itemData":{"id":138,"type":"article-journal","abstract":"Protein ADP-ribosylation is a reversible posttranslational modification of uncertain significance in cancer. In this study, we evaluated the consequences for cancer susceptibility in the mouse of a genetic deletion of the enzyme responsible for removing mono-ADP-ribose moieties from arginines in cellular proteins. Specifically, we analyzed cancer susceptibility in animals lacking the ADP-ribosylarginine hydrolase (ARH1) that cleaves the ADP ribose-protein bond. ARH1(-/-) cells or ARH1(-/-) cells overexpressing an inactive mutant ARH1 protein (ARH1(-/-)+dm) had higher proliferation rates than either wild-type ARH1(+/+) cells or ARH1(-/-) cells engineered to express the wild-type ARH1 enzyme. More significantly, ARH1(-/-) and ARH1(+/-) mice spontaneously developed lymphomas, adenocarcinomas, and metastases more frequently than wild-type ARH1(+/+) mice. In ARH1(+/-) mice, we documented in all arising tumors mutation of the remaining wild-type allele (or loss of heterozygosity), illustrating the strict correlation that existed between tumor formation and absence of ARH1 gene function. Our findings show that proper control of protein ADP-ribosylation levels affected by ARH1 is essential for cancer suppression.","container-title":"Cancer Research","DOI":"10.1158/0008-5472.CAN-10-0733","ISSN":"1538-7445","issue":"15","journalAbbreviation":"Cancer Res","language":"eng","note":"PMID: 21697277\nPMCID: PMC3399181","page":"5327-5335","source":"PubMed","title":"ADP-ribosylarginine hydrolase regulates cell proliferation and tumorigenesis","volume":"71","author":[{"family":"Kato","given":"Jiro"},{"family":"Zhu","given":"Jianfeng"},{"family":"Liu","given":"Chengyu"},{"family":"Stylianou","given":"Mario"},{"family":"Hoffmann","given":"Victoria"},{"family":"Lizak","given":"Martin J."},{"family":"Glasgow","given":"Connie G."},{"family":"Moss","given":"Joel"}],"issued":{"date-parts":[["2011",8,1]]}}}],"schema":"https://github.com/citation-style-language/schema/raw/master/csl-citation.json"}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Эмбриональные фибробласты мышей с дефицитом </w:t>
      </w:r>
      <w:r w:rsidRPr="00107040">
        <w:rPr>
          <w:rFonts w:ascii="Times New Roman" w:hAnsi="Times New Roman"/>
          <w:sz w:val="28"/>
          <w:szCs w:val="28"/>
          <w:lang w:val="en-US"/>
        </w:rPr>
        <w:t>ARH</w:t>
      </w:r>
      <w:r w:rsidRPr="00107040">
        <w:rPr>
          <w:rFonts w:ascii="Times New Roman" w:hAnsi="Times New Roman"/>
          <w:sz w:val="28"/>
          <w:szCs w:val="28"/>
        </w:rPr>
        <w:t xml:space="preserve">3 демонстрируют повышенную стабильную степень серин-АДФ-рибозилирования </w:t>
      </w:r>
      <w:r w:rsidRPr="00107040">
        <w:rPr>
          <w:rFonts w:ascii="Times New Roman" w:hAnsi="Times New Roman"/>
          <w:i/>
          <w:sz w:val="28"/>
          <w:szCs w:val="28"/>
          <w:lang w:val="en-US"/>
        </w:rPr>
        <w:t>in</w:t>
      </w:r>
      <w:r w:rsidRPr="00107040">
        <w:rPr>
          <w:rFonts w:ascii="Times New Roman" w:hAnsi="Times New Roman"/>
          <w:i/>
          <w:sz w:val="28"/>
          <w:szCs w:val="28"/>
        </w:rPr>
        <w:t xml:space="preserve"> </w:t>
      </w:r>
      <w:r w:rsidRPr="00107040">
        <w:rPr>
          <w:rFonts w:ascii="Times New Roman" w:hAnsi="Times New Roman"/>
          <w:i/>
          <w:sz w:val="28"/>
          <w:szCs w:val="28"/>
          <w:lang w:val="en-US"/>
        </w:rPr>
        <w:t>vivo</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{"citationID":"4LC24Lzd","properties":{"formattedCitation":"[253]","plainCitation":"[253]","noteIndex":0},"citationItems":[{"id":137,"uris":["http://zotero.org/users/9078202/items/M3N4KD96"],"itemData":{"id":137,"type":"article-journal","abstract":"ADP-ribosylation is a posttranslational modification that exists in monomeric and polymeric forms. Whereas the writers (e.g. ARTD1/PARP1) and erasers (e.g. PARG, ARH3) of poly-ADP-ribosylation (PARylation) are relatively well described, the enzymes involved in mono-ADP-ribosylation (MARylation) have been less well investigated. While erasers for the MARylation of glutamate/aspartate and arginine have been identified, the respective enzymes with specificity for serine were missing. Here we report that, in vitro, ARH3 specifically binds and demodifies proteins and peptides that are MARylated. Molecular modeling and site-directed mutagenesis of ARH3 revealed that numerous residues are critical for both the mono- and the poly-ADP-ribosylhydrolase activity of ARH3. Notably, a mass spectrometric approach showed that ARH3-deficient mouse embryonic fibroblasts are characterized by a specific increase in serine-ADP-ribosylation in vivo under untreated conditions as well as following hydrogen peroxide stress. Together, our results establish ARH3 as a serine mono-ADP-ribosylhydrolase and as an important regulator of the basal and stress-induced ADP-ribosylome.","container-title":"Nature Communications","DOI":"10.1038/s41467-017-02253-1","ISSN":"2041-1723","issue":"1","journalAbbreviation":"Nat Commun","language":"eng","note":"PMID: 29234005\nPMCID: PMC5727137","page":"2055","source":"PubMed","title":"Proteomic analyses identify ARH3 as a serine mono-ADP-ribosylhydrolase","volume":"8","author":[{"family":"Abplanalp","given":"Jeannette"},{"family":"Leutert","given":"Mario"},{"family":"Frugier","given":"Emilie"},{"family":"Nowak","given":"Kathrin"},{"family":"Feurer","given":"Roxane"},{"family":"Kato","given":"Jiro"},{"family":"Kistemaker","given":"Hans V. A."},{"family":"Filippov","given":"Dmitri V."},{"family":"Moss","given":"Joel"},{"family":"Caflisch","given":"Amedeo"},{"family":"Hottiger","given":"Michael O."}],"issued":{"date-parts":[["2017",12,12]]}}}],"schema":"https://github.com/citation-style-language/schema/raw/master/csl-citation.json"}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а индуцированное повреждением ДНК серин-АДФ-рибозилирование эффективно устраняется с помощью ARH3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{"citationID":"gg2NoZoj","properties":{"formattedCitation":"[250]","plainCitation":"[250]","noteIndex":0},"citationItems":[{"id":140,"uris":["http://zotero.org/users/9078202/items/LFAAKJDR"],"itemData":{"id":140,"type":"article-journal","abstract":"ADP-ribosylation (ADPr) is a posttranslational modification (PTM) of proteins that controls many cellular processes, including DNA repair, transcription, chromatin regulation and mitosis. A number of proteins catalyse the transfer and hydrolysis of ADPr, and also specify how and when the modification is conjugated to the targets. We recently discovered a new form of ADPr that is attached to serine residues in target proteins (Ser-ADPr) and showed that this PTM is specifically made by PARP1/HPF1 and PARP2/HPF1 complexes. In this work, we found by quantitative proteomics that histone Ser-ADPr is reversible in cells during response to DNA damage. By screening for the hydrolase that is responsible for the reversal of Ser-ADPr, we identified ARH3/ADPRHL2 as capable of efficiently and specifically removing Ser-ADPr of histones and other proteins. We further showed that Ser-ADPr is a major PTM in cells after DNA damage and that this signalling is dependent on ARH3.","container-title":"eLife","DOI":"10.7554/eLife.28533","ISSN":"2050-084X","journalAbbreviation":"Elife","language":"eng","note":"PMID: 28650317\nPMCID: PMC5552275","page":"e28533","source":"PubMed","title":"Serine ADP-ribosylation reversal by the hydrolase ARH3","volume":"6","author":[{"family":"Fontana","given":"Pietro"},{"family":"Bonfiglio","given":"Juan José"},{"family":"Palazzo","given":"Luca"},{"family":"Bartlett","given":"Edward"},{"family":"Matic","given":"Ivan"},{"family":"Ahel","given":"Ivan"}],"issued":{"date-parts":[["2017",6,26]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[250]</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35F947F4" w14:textId="6AE3D0F1"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В отличие от </w:t>
      </w:r>
      <w:r w:rsidRPr="00107040">
        <w:rPr>
          <w:rFonts w:ascii="Times New Roman" w:hAnsi="Times New Roman"/>
          <w:sz w:val="28"/>
          <w:szCs w:val="28"/>
          <w:lang w:val="en-US"/>
        </w:rPr>
        <w:t>ARH</w:t>
      </w:r>
      <w:r w:rsidRPr="00107040">
        <w:rPr>
          <w:rFonts w:ascii="Times New Roman" w:hAnsi="Times New Roman"/>
          <w:sz w:val="28"/>
          <w:szCs w:val="28"/>
        </w:rPr>
        <w:t xml:space="preserve">1, </w:t>
      </w:r>
      <w:r w:rsidRPr="00107040">
        <w:rPr>
          <w:rFonts w:ascii="Times New Roman" w:hAnsi="Times New Roman"/>
          <w:sz w:val="28"/>
          <w:szCs w:val="28"/>
          <w:lang w:val="en-US"/>
        </w:rPr>
        <w:t>ARH</w:t>
      </w:r>
      <w:r w:rsidRPr="00107040">
        <w:rPr>
          <w:rFonts w:ascii="Times New Roman" w:hAnsi="Times New Roman"/>
          <w:sz w:val="28"/>
          <w:szCs w:val="28"/>
        </w:rPr>
        <w:t xml:space="preserve">3 также обладает активностью против </w:t>
      </w:r>
      <w:r w:rsidRPr="00107040">
        <w:rPr>
          <w:rFonts w:ascii="Times New Roman" w:hAnsi="Times New Roman"/>
          <w:sz w:val="28"/>
          <w:szCs w:val="28"/>
          <w:lang w:val="en-US"/>
        </w:rPr>
        <w:t>O</w:t>
      </w:r>
      <w:r w:rsidRPr="00107040">
        <w:rPr>
          <w:rFonts w:ascii="Times New Roman" w:hAnsi="Times New Roman"/>
          <w:sz w:val="28"/>
          <w:szCs w:val="28"/>
        </w:rPr>
        <w:t xml:space="preserve">-гликозидной связи ПАР, сходной с экзогликозидной активностью </w:t>
      </w:r>
      <w:r w:rsidRPr="00107040">
        <w:rPr>
          <w:rFonts w:ascii="Times New Roman" w:hAnsi="Times New Roman"/>
          <w:sz w:val="28"/>
          <w:szCs w:val="28"/>
          <w:lang w:val="en-US"/>
        </w:rPr>
        <w:t>PARG</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{"citationID":"hP8TWb8y","properties":{"formattedCitation":"[246]","plainCitation":"[246]","noteIndex":0},"citationItems":[{"id":147,"uris":["http://zotero.org/users/9078202/items/YMXQEGTN"],"itemData":{"id":147,"type":"article-journal","abstract":"ADP-ribosylation is a post-translational protein modification, in which ADP-ribose is transferred from nicotinamide adenine dinucleotide (NAD+) to specific acceptors, thereby altering their activities. The ADP-ribose transfer reactions are divided into mono- and poly-(ADP-ribosyl)ation. Cellular ADP-ribosylation levels are tightly regulated by enzymes that transfer ADP-ribose to acceptor proteins (e.g., ADP-ribosyltransferases, poly-(ADP-ribose) polymerases (PARP)) and those that cleave the linkage between ADP-ribose and acceptor (e.g., ADP-ribosyl-acceptor hydrolases (ARH), poly-(ADP-ribose) glycohydrolases (PARG)), thereby constituting an ADP-ribosylation cycle. This review summarizes current findings related to the ARH family of proteins. This family comprises three members (ARH1-3) with similar size (39kDa) and amino acid sequence. ARH1 catalyzes the hydrolysis of the N-glycosidic bond of mono-(ADP-ribosyl)ated arginine. ARH3 hydrolyzes poly-(ADP-ribose) (PAR) and O-acetyl-ADP-ribose. The different substrate specificities of ARH1 and ARH3 contribute to their unique roles in the cell. Based on a phenotype analysis of ARH1−/− and ARH3−/− mice, ARH1 is involved in the action by bacterial toxins as well as in tumorigenesis. ARH3 participates in the degradation of PAR that is synthesized by PARP1 in response to oxidative stress-induced DNA damage; this hydrolytic reaction suppresses PAR-mediated cell death, a pathway termed parthanatos.","collection-title":"SI: NAD+ Metabolism &amp; Signaling","container-title":"DNA Repair","DOI":"10.1016/j.dnarep.2014.03.005","ISSN":"1568-7864","journalAbbreviation":"DNA Repair","language":"en","page":"88-94","source":"ScienceDirect","title":"Structure and function of the ARH family of ADP-ribosyl-acceptor hydrolases","URL":"https://www.sciencedirect.com/science/article/pii/S1568786414000767","volume":"23","author":[{"family":"Mashimo","given":"Masato"},{"family":"Kato","given":"Jiro"},{"family":"Moss","given":"Joel"}],"accessed":{"date-parts":[["2022",4,10]]},"issued":{"date-parts":[["2014",11,1]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[246]</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Однако </w:t>
      </w:r>
      <w:r w:rsidRPr="00107040">
        <w:rPr>
          <w:rFonts w:ascii="Times New Roman" w:hAnsi="Times New Roman"/>
          <w:sz w:val="28"/>
          <w:szCs w:val="28"/>
          <w:lang w:val="en-US"/>
        </w:rPr>
        <w:t>ARH</w:t>
      </w:r>
      <w:r w:rsidRPr="00107040">
        <w:rPr>
          <w:rFonts w:ascii="Times New Roman" w:hAnsi="Times New Roman"/>
          <w:sz w:val="28"/>
          <w:szCs w:val="28"/>
        </w:rPr>
        <w:t xml:space="preserve">3 не спасает дрозофилу или мышей с генетическим нокаутом </w:t>
      </w:r>
      <w:r w:rsidRPr="00107040">
        <w:rPr>
          <w:rFonts w:ascii="Times New Roman" w:hAnsi="Times New Roman"/>
          <w:sz w:val="28"/>
          <w:szCs w:val="28"/>
          <w:lang w:val="en-US"/>
        </w:rPr>
        <w:t>PARG</w:t>
      </w:r>
      <w:r w:rsidRPr="00107040">
        <w:rPr>
          <w:rFonts w:ascii="Times New Roman" w:hAnsi="Times New Roman"/>
          <w:sz w:val="28"/>
          <w:szCs w:val="28"/>
        </w:rPr>
        <w:t xml:space="preserve"> от гибели клеток или накопления ПАР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{"citationID":"MyZOHGHD","properties":{"formattedCitation":"[254]","plainCitation":"[254]","noteIndex":0},"citationItems":[{"id":136,"uris":["http://zotero.org/users/9078202/items/X7JRKVUZ"],"itemData":{"id":136,"type":"article-journal","abstract":"Poly(ADP-ribosyl)ation has been suggested to be involved in regulation of DNA repair, transcription, centrosome duplication, and chromosome stability. However, the regulation of degradation of poly(ADP-ribose) and its significance are not well understood. Here we report a loss-of-function mutant Drosophila with regard to poly(ADP-ribose) glycohydrolase, a major hydrolyzing enzyme of poly(ADP-ribose). The mutant lacks the conserved catalytic domain of poly(ADP-ribose) glycohydrolase, and exhibits lethality in the larval stages at the normal development temperature of 25 degrees C. However, one-fourth of the mutants progress to the adult stage at 29 degrees C but showed progressive neurodegeneration with reduced locomotor activity and a short lifespan. In association with this, extensive accumulation of poly(ADP-ribose) could be detected in the central nervous system. These results suggest that poly(ADP-ribose) metabolism is required for maintenance of the normal function of neuronal cells. The phenotypes observed in the parg mutant might be useful to understand neurodegenerative conditions such as the Alzheimer's and Parkinson's diseases that are caused by abnormal accumulation of substances in nervous tissue.","container-title":"Proceedings of the National Academy of Sciences of the United States of America","DOI":"10.1073/pnas.2237114100","ISSN":"0027-8424","issue":"1","journalAbbreviation":"Proc Natl Acad Sci U S A","language":"eng","note":"PMID: 14676324\nPMCID: PMC314142","page":"82-86","source":"PubMed","title":"Loss of poly(ADP-ribose) glycohydrolase causes progressive neurodegeneration in Drosophila melanogaster","volume":"101","author":[{"family":"Hanai","given":"Shuji"},{"family":"Kanai","given":"Masayuki"},{"family":"Ohashi","given":"Sayaka"},{"family":"Okamoto","given":"Keiji"},{"family":"Yamada","given":"Mitsunori"},{"family":"Takahashi","given":"Hitoshi"},{"family":"Miwa","given":"Masanao"}],"issued":{"date-parts":[["2004",1,6]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[254]</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что позволяет предположить, что он не может компенсировать потерю </w:t>
      </w:r>
      <w:r w:rsidRPr="00107040">
        <w:rPr>
          <w:rFonts w:ascii="Times New Roman" w:hAnsi="Times New Roman"/>
          <w:sz w:val="28"/>
          <w:szCs w:val="28"/>
          <w:lang w:val="en-US"/>
        </w:rPr>
        <w:t>PARG</w:t>
      </w:r>
      <w:r w:rsidRPr="00107040">
        <w:rPr>
          <w:rFonts w:ascii="Times New Roman" w:hAnsi="Times New Roman"/>
          <w:sz w:val="28"/>
          <w:szCs w:val="28"/>
        </w:rPr>
        <w:t xml:space="preserve">. Из-за своего обилия в цитоплазме </w:t>
      </w:r>
      <w:r w:rsidRPr="00107040">
        <w:rPr>
          <w:rFonts w:ascii="Times New Roman" w:hAnsi="Times New Roman"/>
          <w:sz w:val="28"/>
          <w:szCs w:val="28"/>
          <w:lang w:val="en-US"/>
        </w:rPr>
        <w:t>ARH</w:t>
      </w:r>
      <w:r w:rsidRPr="00107040">
        <w:rPr>
          <w:rFonts w:ascii="Times New Roman" w:hAnsi="Times New Roman"/>
          <w:sz w:val="28"/>
          <w:szCs w:val="28"/>
        </w:rPr>
        <w:t xml:space="preserve">3 участвует во второй стадии гидролиза ПАР после высвобождения </w:t>
      </w:r>
      <w:r w:rsidRPr="00107040">
        <w:rPr>
          <w:rFonts w:ascii="Times New Roman" w:hAnsi="Times New Roman"/>
          <w:sz w:val="28"/>
          <w:szCs w:val="28"/>
        </w:rPr>
        <w:lastRenderedPageBreak/>
        <w:t xml:space="preserve">свободных ответвлений полимера ПАР другими стирателями. Это может помочь снизить уровень цитоплазматического ПАР, в конечном итоге предотвращая митохондриально-зависимые пути апоптоза, такие как партанатос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{"citationID":"VbgBIkMm","properties":{"formattedCitation":"[255]","plainCitation":"[255]","noteIndex":0},"citationItems":[{"id":135,"uris":["http://zotero.org/users/9078202/items/4FK9HNLL"],"itemData":{"id":135,"type":"article-journal","abstract":"Poly (ADP ribose) (PAR) formation catalyzed by PAR polymerase 1 in response to genotoxic stress mediates cell death due to necrosis and apoptosis. PAR glycohydrolase (PARG) has been thought to be the only enzyme responsible for hydrolysis of PAR in vivo. However, we show an alternative PAR-degradation pathway, resulting from action of ADP ribosyl-acceptor hydrolase (ARH) 3. PARG and ARH3, acting in tandem, regulate nuclear and cytoplasmic PAR degradation following hydrogen peroxide (H2O2) exposure. PAR is responsible for induction of parthanatos, a mechanism for caspase-independent cell death, triggered by apoptosis-inducing factor (AIF) release from mitochondria and its translocation to the nucleus, where it initiates DNA cleavage. PARG, by generating protein-free PAR from poly-ADP ribosylated protein, makes PAR translocation possible. A protective effect of ARH3 results from its lowering of PAR levels in the nucleus and the cytoplasm, thereby preventing release of AIF from mitochondria and its accumulation in the nucleus. Thus, PARG release of PAR attached to nuclear proteins, followed by ARH3 cleavage of PAR, is essential in regulating PAR-dependent AIF release from mitochondria and parthanatos.","container-title":"Proceedings of the National Academy of Sciences of the United States of America","DOI":"10.1073/pnas.1312783110","ISSN":"1091-6490","issue":"47","journalAbbreviation":"Proc Natl Acad Sci U S A","language":"eng","note":"PMID: 24191052\nPMCID: PMC3839768","page":"18964-18969","source":"PubMed","title":"ADP-ribosyl-acceptor hydrolase 3 regulates poly (ADP-ribose) degradation and cell death during oxidative stress","volume":"110","author":[{"family":"Mashimo","given":"Masato"},{"family":"Kato","given":"Jiro"},{"family":"Moss","given":"Joel"}],"issued":{"date-parts":[["2013",11,19]]}}}],"schema":"https://github.com/citation-style-language/schema/raw/master/csl-citation.json"}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p>
    <w:p w14:paraId="374A1F9A" w14:textId="4655530A"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В то время как </w:t>
      </w:r>
      <w:r w:rsidRPr="00107040">
        <w:rPr>
          <w:rFonts w:ascii="Times New Roman" w:hAnsi="Times New Roman"/>
          <w:sz w:val="28"/>
          <w:szCs w:val="28"/>
          <w:lang w:val="en-US"/>
        </w:rPr>
        <w:t>ARH</w:t>
      </w:r>
      <w:r w:rsidRPr="00107040">
        <w:rPr>
          <w:rFonts w:ascii="Times New Roman" w:hAnsi="Times New Roman"/>
          <w:sz w:val="28"/>
          <w:szCs w:val="28"/>
        </w:rPr>
        <w:t xml:space="preserve"> стирают только МАРилирование аргинина и серина, а ферменты, содержащие макродомены, специально нацелены на МАРилирование аспартата и глутамата, было показано, что </w:t>
      </w:r>
      <w:r w:rsidRPr="00107040">
        <w:rPr>
          <w:rFonts w:ascii="Times New Roman" w:hAnsi="Times New Roman"/>
          <w:sz w:val="28"/>
          <w:szCs w:val="28"/>
          <w:lang w:val="en-US"/>
        </w:rPr>
        <w:t>ARTD</w:t>
      </w:r>
      <w:r w:rsidRPr="00107040">
        <w:rPr>
          <w:rFonts w:ascii="Times New Roman" w:hAnsi="Times New Roman"/>
          <w:sz w:val="28"/>
          <w:szCs w:val="28"/>
        </w:rPr>
        <w:t xml:space="preserve"> опосредуют АДФ-рибозилирование широкого спектра аминокислотных остатков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{"citationID":"x9eOIJ6g","properties":{"formattedCitation":"[256]","plainCitation":"[256]","noteIndex":0},"citationItems":[{"id":134,"uris":["http://zotero.org/users/9078202/items/TGWLVFB2"],"itemData":{"id":134,"type":"chapter","abstract":"The transfer of ADP-ribose from NAD+ to a substrate by ADP-ribosyltransferases, ADP-ribosylation, is a multifunctional posttranslational modification. While many studies have addressed the function of poly-ADP-ribosylation, for example, in DNA repair, signaling, and gene transcription, little is known about the role of mono-ADP-ribosylation. Recent work describing the mono-ADP-ribosyltransferase ARTD10/PARP10 suggests that this enzyme affects apoptosis, NF-κB signaling, and DNA damage repair, at least in part dependent on its activity as mono-ADP-ribosyltransferase. Moreover, the macrodomain-containing proteins MacroD1, MacroD2, and TARG1/C6orf130 were recently described as hydrolases, which remove mono-ADP-ribosylation thus providing evidence that this modification is reversible. In this review, we discuss these novel findings and their broader implications for cell behavior. We suggest functions of ARTD10 in immunity, metabolism, and cancer biology.","container-title":"Endogenous ADP-Ribosylation","event-place":"Cham","ISBN":"978-3-319-10771-4","language":"en","note":"DOI: 10.1007/82_2014_379","page":"167-188","publisher":"Springer International Publishing","publisher-place":"Cham","source":"Springer Link","title":"Function and Regulation of the Mono-ADP-Ribosyltransferase ARTD10","URL":"https://doi.org/10.1007/82_2014_379","author":[{"family":"Kaufmann","given":"Max"},{"family":"Feijs","given":"Karla L. H."},{"family":"Lüscher","given":"Bernhard"}],"editor":[{"family":"Koch-Nolte","given":"Friedrich"}],"accessed":{"date-parts":[["2022",4,10]]},"issued":{"date-parts":[["2015"]]}}}],"schema":"https://github.com/citation-style-language/schema/raw/master/csl-citation.json"}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[256]</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31AB271F" w14:textId="77777777" w:rsidR="00107040" w:rsidRPr="00107040" w:rsidRDefault="00107040" w:rsidP="00107040">
      <w:pPr>
        <w:spacing w:after="0" w:line="240" w:lineRule="auto"/>
        <w:ind w:firstLine="567"/>
        <w:jc w:val="both"/>
        <w:rPr>
          <w:rFonts w:ascii="Times New Roman" w:hAnsi="Times New Roman"/>
          <w:sz w:val="28"/>
          <w:szCs w:val="28"/>
        </w:rPr>
      </w:pPr>
    </w:p>
    <w:p w14:paraId="0E089161" w14:textId="77777777" w:rsidR="00107040" w:rsidRPr="00107040" w:rsidRDefault="00107040" w:rsidP="00107040">
      <w:pPr>
        <w:spacing w:after="0" w:line="240" w:lineRule="auto"/>
        <w:ind w:firstLine="567"/>
        <w:jc w:val="both"/>
        <w:rPr>
          <w:rFonts w:ascii="Times New Roman" w:hAnsi="Times New Roman"/>
          <w:sz w:val="28"/>
          <w:szCs w:val="28"/>
        </w:rPr>
      </w:pPr>
      <w:bookmarkStart w:id="34" w:name="_Hlk113268267"/>
      <w:r w:rsidRPr="00107040">
        <w:rPr>
          <w:rFonts w:ascii="Times New Roman" w:hAnsi="Times New Roman"/>
          <w:sz w:val="28"/>
          <w:szCs w:val="28"/>
        </w:rPr>
        <w:t>1.</w:t>
      </w:r>
      <w:r w:rsidRPr="00107040">
        <w:rPr>
          <w:rFonts w:ascii="Times New Roman" w:hAnsi="Times New Roman"/>
          <w:sz w:val="28"/>
          <w:szCs w:val="28"/>
          <w:lang w:val="kk-KZ"/>
        </w:rPr>
        <w:t>5</w:t>
      </w:r>
      <w:r w:rsidRPr="00107040">
        <w:rPr>
          <w:rFonts w:ascii="Times New Roman" w:hAnsi="Times New Roman"/>
          <w:sz w:val="28"/>
          <w:szCs w:val="28"/>
        </w:rPr>
        <w:t xml:space="preserve">.3 Макродоменные стиратели АДФ-рибозы </w:t>
      </w:r>
    </w:p>
    <w:bookmarkEnd w:id="34"/>
    <w:p w14:paraId="79BDE3CB" w14:textId="1D28A24E"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Складка макродомена представляет собой эволюционно законсервированную компактную глобулярную структуру с массой ~25 кДа, присутствующую во всех биологических царствах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{"citationID":"KMvSaiaR","properties":{"formattedCitation":"[257]","plainCitation":"[257]","noteIndex":0},"citationItems":[{"id":323,"uris":["http://zotero.org/users/9078202/items/4EQPV9S7"],"itemData":{"id":323,"type":"article-journal","abstract":"Macro domains are ancient, highly evolutionarily conserved domains that are widely distributed throughout all kingdoms of life. The 'macro fold' is roughly 25kDa in size and is composed of a mixed α-β fold with similarity to the P loop-containing nucleotide triphosphate hydrolases. They function as binding modules for metabolites of NAD(+), including poly(ADP-ribose) (PAR), which is synthesized by PAR polymerases (PARPs). Although there is a high degree of sequence similarity within this family, particularly for residues that might be involved in catalysis or substrates binding, it is likely that the sequence variation that does exist among macro domains is responsible for the specificity of function of individual proteins. Recent findings have indicated that macro domain proteins are functionally promiscuous and are implicated in the regulation of diverse biological functions, such as DNA repair, chromatin remodeling and transcriptional regulation. Significant advances in the field of macro domain have occurred in the past few years, including biological insights and the discovery of novel signaling pathways. To provide a framework for understanding these recent findings, this review will provide a comprehensive overview of the known and proposed biochemical, cellular and physiological roles of the macro domain family. Recent data that indicate a critical role of macro domain regulation for the proper progression of cellular differentiation programs will be discussed. In addition, the effect of dysregulated expression of macro domain proteins will be considered in the processes of tumorigenesis and bacterial pathogenesis. Finally, a series of observations will be highlighted that should be addressed in future efforts to develop macro domains as effective therapeutic targets.","container-title":"Mutation Research","DOI":"10.1016/j.mrrev.2011.03.001","ISSN":"0027-5107","issue":"3","journalAbbreviation":"Mutat Res","language":"eng","note":"PMID: 21421074\nPMCID: PMC7110529","page":"86-103","source":"PubMed","title":"The macro domain protein family: structure, functions, and their potential therapeutic implications","title-short":"The macro domain protein family","volume":"727","author":[{"family":"Han","given":"Weidong"},{"family":"Li","given":"Xiaolei"},{"family":"Fu","given":"Xiaobing"}],"issued":{"date-parts":[["2011",6]]}}}],"schema":"https://github.com/citation-style-language/schema/raw/master/csl-citation.json"}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[257]</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Его можно найти в виде отдельного модуля или интегрировать в мультидоменные белки. Макродомен был первым охарактеризованным модулем, связывающим АДФ-рибозу. Он может связывать терминальные структуры АДФ-рибозы с наномолярным сродством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{"citationID":"4lMPQ4tV","properties":{"formattedCitation":"[258]","plainCitation":"[258]","noteIndex":0},"citationItems":[{"id":322,"uris":["http://zotero.org/users/9078202/items/ZAHKGG54"],"itemData":{"id":322,"type":"article-journal","abstract":"The ADP-ribosylation of proteins is an important post-translational modification that occurs in a variety of biological processes, including DNA repair, transcription, chromatin biology and long-term memory formation. Yet no protein modules are known that specifically recognize the ADP-ribose nucleotide. We provide biochemical and structural evidence that macro domains are high-affinity ADP-ribose binding modules. Our structural analysis reveals a conserved ligand binding pocket among the macro domain fold. Consistently, distinct human macro domains retain their ability to bind ADP-ribose. In addition, some macro domain proteins also recognize poly-ADP-ribose as a ligand. Our data suggest an important role for proteins containing macro domains in the biology of ADP-ribose.","container-title":"The EMBO journal","DOI":"10.1038/sj.emboj.7600664","ISSN":"0261-4189","issue":"11","journalAbbreviation":"EMBO J","language":"eng","note":"PMID: 15902274\nPMCID: PMC1142602","page":"1911-1920","source":"PubMed","title":"The macro domain is an ADP-ribose binding module","volume":"24","author":[{"family":"Karras","given":"Georgios I."},{"family":"Kustatscher","given":"Georg"},{"family":"Buhecha","given":"Heeran R."},{"family":"Allen","given":"Mark D."},{"family":"Pugieux","given":"Céline"},{"family":"Sait","given":"Fiona"},{"family":"Bycroft","given":"Mark"},{"family":"Ladurner","given":"Andreas G."}],"issued":{"date-parts":[["2005",6,1]]}}}],"schema":"https://github.com/citation-style-language/schema/raw/master/csl-citation.json"}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[258]</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04D8CD5F" w14:textId="5D47CDCB"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Существует функциональное разнообразие, связанное со структурными вариациями в семействе макродоменных белков. Подгруппа макродоменов неспособна связывать АДФ-рибозу, тогда как другие приобрели гликозидную активность, участвующую в реверсии АДФ-рибозилирования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{"citationID":"WHEOh2Br","properties":{"formattedCitation":"[259]","plainCitation":"[259]","noteIndex":0},"citationItems":[{"id":321,"uris":["http://zotero.org/users/9078202/items/4KBLXPSW"],"itemData":{"id":321,"type":"article-journal","abstract":"Post-translational modifications (PTMs) regulate many aspects of protein function and are indispensable for the spatio-temporal regulation of cellular processes. The proteome-wide identification of PTM targets has made significant progress in recent years, as has the characterization of their writers, readers, modifiers and erasers. One of the most elusive PTMs is poly(ADP-ribosyl)ation (PARylation), a nucleic acid-like PTM involved in chromatin dynamics, genome stability maintenance, transcription, cell metabolism and development. In this article, we provide an overview on our current understanding of the writers of this modification and their targets, as well as the enzymes that degrade and thereby modify and erase poly(ADP-ribose) (PAR). Since many cellular functions of PARylation are exerted through dynamic interactions of PAR-binding proteins with PAR, we discuss the readers of this modification and provide a synthesis of recent findings, which suggest that multiple structurally highly diverse reader modules, ranging from completely folded PAR-binding domains to intrinsically disordered sequence stretches, evolved as PAR effectors to carry out specific cellular functions.","container-title":"Nucleic Acids Research","DOI":"10.1093/nar/gkv1383","ISSN":"1362-4962","issue":"3","journalAbbreviation":"Nucleic Acids Res","language":"eng","note":"PMID: 26673700\nPMCID: PMC4756826","page":"993-1006","source":"PubMed","title":"Readers of poly(ADP-ribose): designed to be fit for purpose","title-short":"Readers of poly(ADP-ribose)","volume":"44","author":[{"family":"Teloni","given":"Federico"},{"family":"Altmeyer","given":"Matthias"}],"issued":{"date-parts":[["2016",2,18]]}}}],"schema":"https://github.com/citation-style-language/schema/raw/master/csl-citation.json"}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Существует десять генов, кодирующих макродомены человека: варианты гистона H2A Macro H2A.1 и Macro H2A.2; МакроD1, D2 и D3; </w:t>
      </w:r>
      <w:r w:rsidRPr="00107040">
        <w:rPr>
          <w:rFonts w:ascii="Times New Roman" w:hAnsi="Times New Roman"/>
          <w:sz w:val="28"/>
          <w:szCs w:val="28"/>
          <w:lang w:val="en-US"/>
        </w:rPr>
        <w:t>TARG</w:t>
      </w:r>
      <w:r w:rsidRPr="00107040">
        <w:rPr>
          <w:rFonts w:ascii="Times New Roman" w:hAnsi="Times New Roman"/>
          <w:sz w:val="28"/>
          <w:szCs w:val="28"/>
        </w:rPr>
        <w:t xml:space="preserve">1; хромодомен-хеликаза-ДНК-связывающий 1-подобный белок (CHD1L) и макродомен-содержащие ARTD 7-8-9 (ранее называвшиеся PARP 15-14-9). Среди них MacroD1, MacroD2 и TARG1 были классифицированы как стиратели АДФ-рибозы из-за их АДФ-рибозогидролазной активности. MacroD1 и MacroD2 разрушают химическую связь между МАР и белком-акцептором, в то время как TARG1 обладает уникальной способностью разрушать как МАРилированные, так и ПАРилированные боковые цепи остатков аспартата и глутамата </w:t>
      </w:r>
      <w:r w:rsidRPr="00107040">
        <w:rPr>
          <w:rFonts w:ascii="Times New Roman" w:hAnsi="Times New Roman"/>
          <w:sz w:val="28"/>
          <w:szCs w:val="28"/>
          <w:lang w:val="en-US"/>
        </w:rPr>
        <w:fldChar w:fldCharType="begin"/>
      </w:r>
      <w:r>
        <w:rPr>
          <w:rFonts w:ascii="Times New Roman" w:hAnsi="Times New Roman"/>
          <w:sz w:val="28"/>
          <w:szCs w:val="28"/>
        </w:rPr>
        <w:instrText xml:space="preserve"> ADDIN ZOTERO_ITEM CSL_CITATION {"citationID":"Qd4ExWK9","properties":{"formattedCitation":"[20]","plainCitation":"[20]","noteIndex":0},"citationItems":[{"id":320,"uris":["http://zotero.org/users/9078202/items/PQQI2R5F"],"itemData":{"id":320,"type":"article-journal","abstract":"Adenosine diphosphate (ADP)-ribosylation is a post-translational protein modification implicated in the regulation of a range of cellular processes. A family of proteins that catalyse ADP-ribosylation reactions are the poly(ADP-ribose) (PAR) polymerases (PARPs). PARPs covalently attach an ADP-ribose nucleotide to target proteins and some PARP family members can subsequently add additional ADP-ribose units to generate a PAR chain. The hydrolysis of PAR chains is catalysed by PAR glycohydrolase (PARG). PARG is unable to cleave the mono(ADP-ribose) unit directly linked to the protein and although the enzymatic activity that catalyses this reaction has been detected in mammalian cell extracts, the protein(s) responsible remain unknown. Here, we report the homozygous mutation of the c6orf130 gene in patients with severe neurodegeneration, and identify C6orf130 as a PARP-interacting protein that removes mono(ADP-ribosyl)ation on glutamate amino acid residues in PARP-modified proteins. X-ray structures and biochemical analysis of C6orf130 suggest a mechanism of catalytic reversal involving a transient C6orf130 lysyl-(ADP-ribose) intermediate. Furthermore, depletion of C6orf130 protein in cells leads to proliferation and DNA repair defects. Collectively, our data suggest that C6orf130 enzymatic activity has a role in the turnover and recycling of protein ADP-ribosylation, and we have implicated the importance of this protein in supporting normal cellular function in humans.","container-title":"The EMBO journal","DOI":"10.1038/emboj.2013.51","ISSN":"1460-2075","issue":"9","journalAbbreviation":"EMBO J","language":"eng","note":"PMID: 23481255\nPMCID: PMC3642678","page":"1225-1237","source":"PubMed","title":"Deficiency of terminal ADP-ribose protein glycohydrolase TARG1/C6orf130 in neurodegenerative disease","volume":"32","author":[{"family":"Sharifi","given":"Reza"},{"family":"Morra","given":"Rosa"},{"family":"Appel","given":"C. Denise"},{"family":"Tallis","given":"Michael"},{"family":"Chioza","given":"Barry"},{"family":"Jankevicius","given":"Gytis"},{"family":"Simpson","given":"Michael A."},{"family":"Matic","given":"Ivan"},{"family":"Ozkan","given":"Ege"},{"family":"Golia","given":"Barbara"},{"family":"Schellenberg","given":"Matthew J."},{"family":"Weston","given":"Ria"},{"family":"Williams","given":"Jason G."},{"family":"Rossi","given":"Marianna N."},{"family":"Galehdari","given":"Hamid"},{"family":"Krahn","given":"Juno"},{"family":"Wan","given":"Alexander"},{"family":"Trembath","given":"Richard C."},{"family":"Crosby","given":"Andrew H."},{"family":"Ahel","given":"Dragana"},{"family":"Hay","given":"Ron"},{"family":"Ladurner","given":"Andreas G."},{"family":"Timinszky","given":"Gyula"},{"family":"Williams","given":"R. Scott"},{"family":"Ahel","given":"Ivan"}],"issued":{"date-parts":[["2013",5,2]]}}}],"schema":"https://github.com/citation-style-language/schema/raw/master/csl-citation.json"} </w:instrText>
      </w:r>
      <w:r w:rsidRPr="00107040">
        <w:rPr>
          <w:rFonts w:ascii="Times New Roman" w:hAnsi="Times New Roman"/>
          <w:sz w:val="28"/>
          <w:szCs w:val="28"/>
          <w:lang w:val="en-US"/>
        </w:rPr>
        <w:fldChar w:fldCharType="separate"/>
      </w:r>
      <w:r w:rsidRPr="00107040">
        <w:rPr>
          <w:rFonts w:ascii="Times New Roman" w:hAnsi="Times New Roman"/>
          <w:sz w:val="28"/>
        </w:rPr>
        <w:t>[20]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(Рисунок </w:t>
      </w:r>
      <w:r w:rsidRPr="00107040">
        <w:rPr>
          <w:rFonts w:ascii="Times New Roman" w:hAnsi="Times New Roman"/>
          <w:sz w:val="28"/>
          <w:szCs w:val="28"/>
          <w:lang w:val="kk-KZ"/>
        </w:rPr>
        <w:t>6</w:t>
      </w:r>
      <w:r w:rsidRPr="00107040">
        <w:rPr>
          <w:rFonts w:ascii="Times New Roman" w:hAnsi="Times New Roman"/>
          <w:sz w:val="28"/>
          <w:szCs w:val="28"/>
        </w:rPr>
        <w:t xml:space="preserve">). </w:t>
      </w:r>
    </w:p>
    <w:p w14:paraId="0C4B7B46" w14:textId="2FAC4D7C"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Роль </w:t>
      </w:r>
      <w:r w:rsidRPr="00107040">
        <w:rPr>
          <w:rFonts w:ascii="Times New Roman" w:hAnsi="Times New Roman"/>
          <w:sz w:val="28"/>
          <w:szCs w:val="28"/>
          <w:lang w:val="en-US"/>
        </w:rPr>
        <w:t>TARG</w:t>
      </w:r>
      <w:r w:rsidRPr="00107040">
        <w:rPr>
          <w:rFonts w:ascii="Times New Roman" w:hAnsi="Times New Roman"/>
          <w:sz w:val="28"/>
          <w:szCs w:val="28"/>
        </w:rPr>
        <w:t xml:space="preserve">1 в циркуляции ПАР остается неясной, но существует ПАРилирование-зависимое перемещение </w:t>
      </w:r>
      <w:r w:rsidRPr="00107040">
        <w:rPr>
          <w:rFonts w:ascii="Times New Roman" w:hAnsi="Times New Roman"/>
          <w:sz w:val="28"/>
          <w:szCs w:val="28"/>
          <w:lang w:val="en-US"/>
        </w:rPr>
        <w:t>TARG</w:t>
      </w:r>
      <w:r w:rsidRPr="00107040">
        <w:rPr>
          <w:rFonts w:ascii="Times New Roman" w:hAnsi="Times New Roman"/>
          <w:sz w:val="28"/>
          <w:szCs w:val="28"/>
        </w:rPr>
        <w:t xml:space="preserve">1 в нуклеоплазму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{"citationID":"OojwYEO6","properties":{"formattedCitation":"[260]","plainCitation":"[260]","noteIndex":0},"citationItems":[{"id":319,"uris":["http://zotero.org/users/9078202/items/GGTCM5HT"],"itemData":{"id":319,"type":"article-journal","abstract":"Macrodomains are conserved protein folds associated with ADP-ribose binding and turnover. ADP-ribosylation is a posttranslational modification catalyzed primarily by ARTD (aka PARP) enzymes in cells. ARTDs transfer either single or multiple ADP-ribose units to substrates, resulting in mono- or poly-ADP-ribosylation. TARG1/C6orf130 is a macrodomain protein that hydrolyzes mono-ADP-ribosylation and interacts with poly-ADP-ribose chains. Interactome analyses revealed that TARG1 binds strongly to ribosomes and proteins associated with rRNA processing and ribosomal assembly factors. TARG1 localized to transcriptionally active nucleoli, which occurred independently of ADP-ribose binding. TARG1 shuttled continuously between nucleoli and nucleoplasm. In response to DNA damage, which activates ARTD1/2 (PARP1/2) and promotes synthesis of poly-ADP-ribose chains, TARG1 re-localized to the nucleoplasm. This was dependent on the ability of TARG1 to bind to poly-ADP-ribose. These findings are consistent with the observed ability of TARG1 to competitively interact with RNA and PAR chains. We propose a nucleolar role of TARG1 in ribosome assembly or quality control that is stalled when TARG1 is re-located to sites of DNA damage.","container-title":"Scientific Reports","DOI":"10.1038/s41598-018-25137-w","ISSN":"2045-2322","issue":"1","journalAbbreviation":"Sci Rep","language":"eng","note":"PMID: 29712969\nPMCID: PMC5928194","page":"6748","source":"PubMed","title":"Nucleolar-nucleoplasmic shuttling of TARG1 and its control by DNA damage-induced poly-ADP-ribosylation and by nucleolar transcription","volume":"8","author":[{"family":"Bütepage","given":"Mareike"},{"family":"Preisinger","given":"Christian"},{"family":"Kriegsheim","given":"Alexander","non-dropping-particle":"von"},{"family":"Scheufen","given":"Anja"},{"family":"Lausberg","given":"Eva"},{"family":"Li","given":"Jinyu"},{"family":"Kappes","given":"Ferdinand"},{"family":"Feederle","given":"Regina"},{"family":"Ernst","given":"Sabrina"},{"family":"Eckei","given":"Laura"},{"family":"Krieg","given":"Sarah"},{"family":"Müller-Newen","given":"Gerhard"},{"family":"Rossetti","given":"Giulia"},{"family":"Feijs","given":"Karla L. H."},{"family":"Verheugd","given":"Patricia"},{"family":"Lüscher","given":"Bernhard"}],"issued":{"date-parts":[["2018",4,30]]}}}],"schema":"https://github.com/citation-style-language/schema/raw/master/csl-citation.json"}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[260]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 дополнение к его участию в повреждении ДНК ПАР-зависимым образом </w:t>
      </w:r>
      <w:r w:rsidRPr="00107040">
        <w:rPr>
          <w:rFonts w:ascii="Times New Roman" w:hAnsi="Times New Roman"/>
          <w:sz w:val="28"/>
          <w:szCs w:val="28"/>
          <w:lang w:val="en-US"/>
        </w:rPr>
        <w:fldChar w:fldCharType="begin"/>
      </w:r>
      <w:r>
        <w:rPr>
          <w:rFonts w:ascii="Times New Roman" w:hAnsi="Times New Roman"/>
          <w:sz w:val="28"/>
          <w:szCs w:val="28"/>
        </w:rPr>
        <w:instrText xml:space="preserve"> ADDIN ZOTERO_ITEM CSL_CITATION {"citationID":"tFIPoxhw","properties":{"formattedCitation":"[20]","plainCitation":"[20]","noteIndex":0},"citationItems":[{"id":320,"uris":["http://zotero.org/users/9078202/items/PQQI2R5F"],"itemData":{"id":320,"type":"article-journal","abstract":"Adenosine diphosphate (ADP)-ribosylation is a post-translational protein modification implicated in the regulation of a range of cellular processes. A family of proteins that catalyse ADP-ribosylation reactions are the poly(ADP-ribose) (PAR) polymerases (PARPs). PARPs covalently attach an ADP-ribose nucleotide to target proteins and some PARP family members can subsequently add additional ADP-ribose units to generate a PAR chain. The hydrolysis of PAR chains is catalysed by PAR glycohydrolase (PARG). PARG is unable to cleave the mono(ADP-ribose) unit directly linked to the protein and although the enzymatic activity that catalyses this reaction has been detected in mammalian cell extracts, the protein(s) responsible remain unknown. Here, we report the homozygous mutation of the c6orf130 gene in patients with severe neurodegeneration, and identify C6orf130 as a PARP-interacting protein that removes mono(ADP-ribosyl)ation on glutamate amino acid residues in PARP-modified proteins. X-ray structures and biochemical analysis of C6orf130 suggest a mechanism of catalytic reversal involving a transient C6orf130 lysyl-(ADP-ribose) intermediate. Furthermore, depletion of C6orf130 protein in cells leads to proliferation and DNA repair defects. Collectively, our data suggest that C6orf130 enzymatic activity has a role in the turnover and recycling of protein ADP-ribosylation, and we have implicated the importance of this protein in supporting normal cellular function in humans.","container-title":"The EMBO journal","DOI":"10.1038/emboj.2013.51","ISSN":"1460-2075","issue":"9","journalAbbreviation":"EMBO J","language":"eng","note":"PMID: 23481255\nPMCID: PMC3642678","page":"1225-1237","source":"PubMed","title":"Deficiency of terminal ADP-ribose protein glycohydrolase TARG1/C6orf130 in neurodegenerative disease","volume":"32","author":[{"family":"Sharifi","given":"Reza"},{"family":"Morra","given":"Rosa"},{"family":"Appel","given":"C. Denise"},{"family":"Tallis","given":"Michael"},{"family":"Chioza","given":"Barry"},{"family":"Jankevicius","given":"Gytis"},{"family":"Simpson","given":"Michael A."},{"family":"Matic","given":"Ivan"},{"family":"Ozkan","given":"Ege"},{"family":"Golia","given":"Barbara"},{"family":"Schellenberg","given":"Matthew J."},{"family":"Weston","given":"Ria"},{"family":"Williams","given":"Jason G."},{"family":"Rossi","given":"Marianna N."},{"family":"Galehdari","given":"Hamid"},{"family":"Krahn","given":"Juno"},{"family":"Wan","given":"Alexander"},{"family":"Trembath","given":"Richard C."},{"family":"Crosby","given":"Andrew H."},{"family":"Ahel","given":"Dragana"},{"family":"Hay","given":"Ron"},{"family":"Ladurner","given":"Andreas G."},{"family":"Timinszky","given":"Gyula"},{"family":"Williams","given":"R. Scott"},{"family":"Ahel","given":"Ivan"}],"issued":{"date-parts":[["2013",5,2]]}}}],"schema":"https://github.com/citation-style-language/schema/raw/master/csl-citation.json"} </w:instrText>
      </w:r>
      <w:r w:rsidRPr="00107040">
        <w:rPr>
          <w:rFonts w:ascii="Times New Roman" w:hAnsi="Times New Roman"/>
          <w:sz w:val="28"/>
          <w:szCs w:val="28"/>
          <w:lang w:val="en-US"/>
        </w:rPr>
        <w:fldChar w:fldCharType="separate"/>
      </w:r>
      <w:r w:rsidRPr="00107040">
        <w:rPr>
          <w:rFonts w:ascii="Times New Roman" w:hAnsi="Times New Roman"/>
          <w:sz w:val="28"/>
        </w:rPr>
        <w:t>[20]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Каталитический домен </w:t>
      </w:r>
      <w:r w:rsidRPr="00107040">
        <w:rPr>
          <w:rFonts w:ascii="Times New Roman" w:hAnsi="Times New Roman"/>
          <w:sz w:val="28"/>
          <w:szCs w:val="28"/>
          <w:lang w:val="en-US"/>
        </w:rPr>
        <w:t>TARG</w:t>
      </w:r>
      <w:r w:rsidRPr="00107040">
        <w:rPr>
          <w:rFonts w:ascii="Times New Roman" w:hAnsi="Times New Roman"/>
          <w:sz w:val="28"/>
          <w:szCs w:val="28"/>
        </w:rPr>
        <w:t xml:space="preserve">1 отличается от </w:t>
      </w:r>
      <w:r w:rsidRPr="00107040">
        <w:rPr>
          <w:rFonts w:ascii="Times New Roman" w:hAnsi="Times New Roman"/>
          <w:sz w:val="28"/>
          <w:szCs w:val="28"/>
          <w:lang w:val="en-US"/>
        </w:rPr>
        <w:t>PARG</w:t>
      </w:r>
      <w:r w:rsidRPr="00107040">
        <w:rPr>
          <w:rFonts w:ascii="Times New Roman" w:hAnsi="Times New Roman"/>
          <w:sz w:val="28"/>
          <w:szCs w:val="28"/>
        </w:rPr>
        <w:t xml:space="preserve">, но напоминает ДНК-гликозилазу </w:t>
      </w:r>
      <w:r w:rsidRPr="00107040">
        <w:rPr>
          <w:rFonts w:ascii="Times New Roman" w:hAnsi="Times New Roman"/>
          <w:sz w:val="28"/>
          <w:szCs w:val="28"/>
          <w:lang w:val="en-US"/>
        </w:rPr>
        <w:t>OGG</w:t>
      </w:r>
      <w:r w:rsidRPr="00107040">
        <w:rPr>
          <w:rFonts w:ascii="Times New Roman" w:hAnsi="Times New Roman"/>
          <w:sz w:val="28"/>
          <w:szCs w:val="28"/>
        </w:rPr>
        <w:t xml:space="preserve">1 </w:t>
      </w:r>
      <w:r w:rsidRPr="00107040">
        <w:rPr>
          <w:rFonts w:ascii="Times New Roman" w:hAnsi="Times New Roman"/>
          <w:sz w:val="28"/>
          <w:szCs w:val="28"/>
          <w:lang w:val="en-US"/>
        </w:rPr>
        <w:fldChar w:fldCharType="begin"/>
      </w:r>
      <w:r>
        <w:rPr>
          <w:rFonts w:ascii="Times New Roman" w:hAnsi="Times New Roman"/>
          <w:sz w:val="28"/>
          <w:szCs w:val="28"/>
        </w:rPr>
        <w:instrText xml:space="preserve"> ADDIN ZOTERO_ITEM CSL_CITATION {"citationID":"rTjbK27J","properties":{"formattedCitation":"[20]","plainCitation":"[20]","noteIndex":0},"citationItems":[{"id":320,"uris":["http://zotero.org/users/9078202/items/PQQI2R5F"],"itemData":{"id":320,"type":"article-journal","abstract":"Adenosine diphosphate (ADP)-ribosylation is a post-translational protein modification implicated in the regulation of a range of cellular processes. A family of proteins that catalyse ADP-ribosylation reactions are the poly(ADP-ribose) (PAR) polymerases (PARPs). PARPs covalently attach an ADP-ribose nucleotide to target proteins and some PARP family members can subsequently add additional ADP-ribose units to generate a PAR chain. The hydrolysis of PAR chains is catalysed by PAR glycohydrolase (PARG). PARG is unable to cleave the mono(ADP-ribose) unit directly linked to the protein and although the enzymatic activity that catalyses this reaction has been detected in mammalian cell extracts, the protein(s) responsible remain unknown. Here, we report the homozygous mutation of the c6orf130 gene in patients with severe neurodegeneration, and identify C6orf130 as a PARP-interacting protein that removes mono(ADP-ribosyl)ation on glutamate amino acid residues in PARP-modified proteins. X-ray structures and biochemical analysis of C6orf130 suggest a mechanism of catalytic reversal involving a transient C6orf130 lysyl-(ADP-ribose) intermediate. Furthermore, depletion of C6orf130 protein in cells leads to proliferation and DNA repair defects. Collectively, our data suggest that C6orf130 enzymatic activity has a role in the turnover and recycling of protein ADP-ribosylation, and we have implicated the importance of this protein in supporting normal cellular function in humans.","container-title":"The EMBO journal","DOI":"10.1038/emboj.2013.51","ISSN":"1460-2075","issue":"9","journalAbbreviation":"EMBO J","language":"eng","note":"PMID: 23481255\nPMCID: PMC3642678","page":"1225-1237","source":"PubMed","title":"Deficiency of terminal ADP-ribose protein glycohydrolase TARG1/C6orf130 in neurodegenerative disease","volume":"32","author":[{"family":"Sharifi","given":"Reza"},{"family":"Morra","given":"Rosa"},{"family":"Appel","given":"C. Denise"},{"family":"Tallis","given":"Michael"},{"family":"Chioza","given":"Barry"},{"family":"Jankevicius","given":"Gytis"},{"family":"Simpson","given":"Michael A."},{"family":"Matic","given":"Ivan"},{"family":"Ozkan","given":"Ege"},{"family":"Golia","given":"Barbara"},{"family":"Schellenberg","given":"Matthew J."},{"family":"Weston","given":"Ria"},{"family":"Williams","given":"Jason G."},{"family":"Rossi","given":"Marianna N."},{"family":"Galehdari","given":"Hamid"},{"family":"Krahn","given":"Juno"},{"family":"Wan","given":"Alexander"},{"family":"Trembath","given":"Richard C."},{"family":"Crosby","given":"Andrew H."},{"family":"Ahel","given":"Dragana"},{"family":"Hay","given":"Ron"},{"family":"Ladurner","given":"Andreas G."},{"family":"Timinszky","given":"Gyula"},{"family":"Williams","given":"R. Scott"},{"family":"Ahel","given":"Ivan"}],"issued":{"date-parts":[["2013",5,2]]}}}],"schema":"https://github.com/citation-style-language/schema/raw/master/csl-citation.json"} </w:instrText>
      </w:r>
      <w:r w:rsidRPr="00107040">
        <w:rPr>
          <w:rFonts w:ascii="Times New Roman" w:hAnsi="Times New Roman"/>
          <w:sz w:val="28"/>
          <w:szCs w:val="28"/>
          <w:lang w:val="en-US"/>
        </w:rPr>
        <w:fldChar w:fldCharType="separate"/>
      </w:r>
      <w:r w:rsidRPr="00107040">
        <w:rPr>
          <w:rFonts w:ascii="Times New Roman" w:hAnsi="Times New Roman"/>
          <w:sz w:val="28"/>
        </w:rPr>
        <w:t>[20]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и непосредственно нацеливается на связи карбоксиэфира АДФ-рибозы для удаления модификации из его субстрата. Способность TARG1 удалять целые цепи ПАР из самой проксимальной точки прикрепления субстрата уникальна среди известных стирателей, добавляя еще один предполагаемый регуляторный слой к клеточным функциям ПАР. Уже много лет известно, что только </w:t>
      </w:r>
      <w:r w:rsidRPr="00107040">
        <w:rPr>
          <w:rFonts w:ascii="Times New Roman" w:hAnsi="Times New Roman"/>
          <w:sz w:val="28"/>
          <w:szCs w:val="28"/>
          <w:lang w:val="en-US"/>
        </w:rPr>
        <w:t>PARG</w:t>
      </w:r>
      <w:r w:rsidRPr="00107040">
        <w:rPr>
          <w:rFonts w:ascii="Times New Roman" w:hAnsi="Times New Roman"/>
          <w:sz w:val="28"/>
          <w:szCs w:val="28"/>
        </w:rPr>
        <w:t xml:space="preserve"> образует безбелковые полимеры АДФ-рибозы благодаря своей эндогликозидной активности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{"citationID":"Lf6yQpnJ","properties":{"formattedCitation":"[229]","plainCitation":"[229]","noteIndex":0},"citationItems":[{"id":165,"uris":["http://zotero.org/users/9078202/items/NSLWC2XP"],"itemData":{"id":165,"type":"article-journal","abstract":"The turnover of the homopolymer of ADP-ribose, which is known to be involved in many DNA-related functions, is controlled by 2 principal enzymes. Poly(ADP-ribose) polymerase (EC 2.4.2.30) synthesizes the polymer from NAD, and poly(ADP-ribose) glycohydrolase (PARG) is the major enzyme responsible for its catabolism (Thomassin et al. (1992) Biochim. Biophys. Acta 1137, 171-181). In vivo, poly(ADP-ribose) polymers constitute a heterogeneous population of branched polymers attaining sizes of 200-400 residues. They are rapidly degraded by PARG, displaying variable kinetic parameters as a function of polymer size. Several studies have suggested that PARG acts exoglycosidically on its substrate but others observed that it could act endo/exo-glycosidically. We analysed the mode of action of PARG under conditions most suitable for expression of all the activities of PARG, using HPLC purified long free polymer and very pure PARG. We conclusively show that on large free polymers, PARG exhibits endoglycosidic activity along with exoglycosidic activity. This endoglycosidic activity could have a significant role during cellular response to DNA damage.","container-title":"Biochimica Et Biophysica Acta","DOI":"10.1016/0167-4781(94)90058-2","ISSN":"0006-3002","issue":"2","journalAbbreviation":"Biochim Biophys Acta","language":"eng","note":"PMID: 7918631","page":"342-350","source":"PubMed","title":"Mode of action of poly(ADP-ribose) glycohydrolase","volume":"1219","author":[{"family":"Brochu","given":"G."},{"family":"Duchaine","given":"C."},{"family":"Thibeault","given":"L."},{"family":"Lagueux","given":"J."},{"family":"Shah","given":"G. M."},{"family":"Poirier","given":"G. G."}],"issued":{"date-parts":[["1994",10,18]]}}}],"schema":"https://github.com/citation-style-language/schema/raw/master/csl-citation.json"}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[229]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(Рисунок </w:t>
      </w:r>
      <w:r w:rsidRPr="00107040">
        <w:rPr>
          <w:rFonts w:ascii="Times New Roman" w:hAnsi="Times New Roman"/>
          <w:sz w:val="28"/>
          <w:szCs w:val="28"/>
          <w:lang w:val="kk-KZ"/>
        </w:rPr>
        <w:t>6</w:t>
      </w:r>
      <w:r w:rsidRPr="00107040">
        <w:rPr>
          <w:rFonts w:ascii="Times New Roman" w:hAnsi="Times New Roman"/>
          <w:sz w:val="28"/>
          <w:szCs w:val="28"/>
        </w:rPr>
        <w:t xml:space="preserve">), которая становится основным механизмом действия, когда устойчивая активация </w:t>
      </w:r>
      <w:r w:rsidRPr="00107040">
        <w:rPr>
          <w:rFonts w:ascii="Times New Roman" w:hAnsi="Times New Roman"/>
          <w:sz w:val="28"/>
          <w:szCs w:val="28"/>
          <w:lang w:val="en-US"/>
        </w:rPr>
        <w:t>PARP</w:t>
      </w:r>
      <w:r w:rsidRPr="00107040">
        <w:rPr>
          <w:rFonts w:ascii="Times New Roman" w:hAnsi="Times New Roman"/>
          <w:sz w:val="28"/>
          <w:szCs w:val="28"/>
        </w:rPr>
        <w:t xml:space="preserve"> (т.е. тяжелое генотоксическое повреждение) приводит к синтезу больших и разветвленных ПАР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{"citationID":"FwyfxdBx","properties":{"formattedCitation":"[190]","plainCitation":"[190]","noteIndex":0},"citationItems":[{"id":317,"uris":["http://zotero.org/users/9078202/items/PWNMYUL8"],"itemData":{"id":317,"type":"article-journal","abstract":"Poly-ADP-ribosylation is a post-translational modification that regulates processes involved in genome stability. Breakdown of the poly(ADP-ribose) (PAR) polymer is catalysed by poly(ADP-ribose) glycohydrolase (PARG), whose endo-glycohydrolase activity generates PAR fragments. Here we present the crystal structure of PARG incorporating the PAR substrate. The two terminal ADP-ribose units of the polymeric substrate are bound in exo-mode. Biochemical and modelling studies reveal that PARG acts predominantly as an exo-glycohydrolase. This preference is linked to Phe902 (human numbering), which is responsible for low-affinity binding of the substrate in endo-mode. Our data reveal the mechanism of poly-ADP-ribosylation reversal, with ADP-ribose as the dominant product, and suggest that the release of apoptotic PAR fragments occurs at unusual PAR/PARG ratios.","container-title":"Nature Communications","DOI":"10.1038/ncomms3164","ISSN":"2041-1723","journalAbbreviation":"Nat Commun","language":"eng","note":"PMID: 23917065\nPMCID: PMC3741636","page":"2164","source":"PubMed","title":"Visualization of poly(ADP-ribose) bound to PARG reveals inherent balance between exo- and endo-glycohydrolase activities","volume":"4","author":[{"family":"Barkauskaite","given":"Eva"},{"family":"Brassington","given":"Amy"},{"family":"Tan","given":"Edwin S."},{"family":"Warwicker","given":"Jim"},{"family":"Dunstan","given":"Mark S."},{"family":"Banos","given":"Benito"},{"family":"Lafite","given":"Pierre"},{"family":"Ahel","given":"Marijan"},{"family":"Mitchison","given":"Timothy J."},{"family":"Ahel","given":"Ivan"},{"family":"Leys","given":"David"}],"issued":{"date-parts":[["2013"]]}}}],"schema":"https://github.com/citation-style-language/schema/raw/master/csl-citation.json"}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[190]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Несмотря на то, что эта идея не была полностью оценена, </w:t>
      </w:r>
      <w:r w:rsidRPr="00107040">
        <w:rPr>
          <w:rFonts w:ascii="Times New Roman" w:hAnsi="Times New Roman"/>
          <w:sz w:val="28"/>
          <w:szCs w:val="28"/>
          <w:lang w:val="en-US"/>
        </w:rPr>
        <w:t>TARG</w:t>
      </w:r>
      <w:r w:rsidRPr="00107040">
        <w:rPr>
          <w:rFonts w:ascii="Times New Roman" w:hAnsi="Times New Roman"/>
          <w:sz w:val="28"/>
          <w:szCs w:val="28"/>
        </w:rPr>
        <w:t xml:space="preserve">1-опосредованные продукты </w:t>
      </w:r>
      <w:r w:rsidRPr="00107040">
        <w:rPr>
          <w:rFonts w:ascii="Times New Roman" w:hAnsi="Times New Roman"/>
          <w:sz w:val="28"/>
          <w:szCs w:val="28"/>
          <w:lang w:val="kk-KZ"/>
        </w:rPr>
        <w:t>ПАР</w:t>
      </w:r>
      <w:r w:rsidRPr="00107040">
        <w:rPr>
          <w:rFonts w:ascii="Times New Roman" w:hAnsi="Times New Roman"/>
          <w:sz w:val="28"/>
          <w:szCs w:val="28"/>
        </w:rPr>
        <w:t xml:space="preserve">, не содержащие белков, могут быть вовлечены в партанатоз </w:t>
      </w:r>
      <w:r w:rsidRPr="00107040">
        <w:rPr>
          <w:rFonts w:ascii="Times New Roman" w:hAnsi="Times New Roman"/>
          <w:sz w:val="28"/>
          <w:szCs w:val="28"/>
          <w:lang w:val="en-US"/>
        </w:rPr>
        <w:fldChar w:fldCharType="begin"/>
      </w:r>
      <w:r>
        <w:rPr>
          <w:rFonts w:ascii="Times New Roman" w:hAnsi="Times New Roman"/>
          <w:sz w:val="28"/>
          <w:szCs w:val="28"/>
        </w:rPr>
        <w:instrText xml:space="preserve"> ADDIN ZOTERO_ITEM CSL_CITATION {"citationID":"FViqCYC6","properties":{"formattedCitation":"[20]","plainCitation":"[20]","noteIndex":0},"citationItems":[{"id":320,"uris":["http://zotero.org/users/9078202/items/PQQI2R5F"],"itemData":{"id":320,"type":"article-journal","abstract":"Adenosine diphosphate (ADP)-ribosylation is a post-translational protein modification implicated in the regulation of a range of cellular processes. A family of proteins that catalyse ADP-ribosylation reactions are the poly(ADP-ribose) (PAR) polymerases (PARPs). PARPs covalently attach an ADP-ribose nucleotide to target proteins and some PARP family members can subsequently add additional ADP-ribose units to generate a PAR chain. The hydrolysis of PAR chains is catalysed by PAR glycohydrolase (PARG). PARG is unable to cleave the mono(ADP-ribose) unit directly linked to the protein and although the enzymatic activity that catalyses this reaction has been detected in mammalian cell extracts, the protein(s) responsible remain unknown. Here, we report the homozygous mutation of the c6orf130 gene in patients with severe neurodegeneration, and identify C6orf130 as a PARP-interacting protein that removes mono(ADP-ribosyl)ation on glutamate amino acid residues in PARP-modified proteins. X-ray structures and biochemical analysis of C6orf130 suggest a mechanism of catalytic reversal involving a transient C6orf130 lysyl-(ADP-ribose) intermediate. Furthermore, depletion of C6orf130 protein in cells leads to proliferation and DNA repair defects. Collectively, our data suggest that C6orf130 enzymatic activity has a role in the turnover and recycling of protein ADP-ribosylation, and we have implicated the importance of this protein in supporting normal cellular function in humans.","container-title":"The EMBO journal","DOI":"10.1038/emboj.2013.51","ISSN":"1460-2075","issue":"9","journalAbbreviation":"EMBO J","language":"eng","note":"PMID: 23481255\nPMCID: PMC3642678","page":"1225-1237","source":"PubMed","title":"Deficiency of terminal ADP-ribose protein glycohydrolase TARG1/C6orf130 in neurodegenerative disease","volume":"32","author":[{"family":"Sharifi","given":"Reza"},{"family":"Morra","given":"Rosa"},{"family":"Appel","given":"C. Denise"},{"family":"Tallis","given":"Michael"},{"family":"Chioza","given":"Barry"},{"family":"Jankevicius","given":"Gytis"},{"family":"Simpson","given":"Michael A."},{"family":"Matic","given":"Ivan"},{"family":"Ozkan","given":"Ege"},{"family":"Golia","given":"Barbara"},{"family":"Schellenberg","given":"Matthew J."},{"family":"Weston","given":"Ria"},{"family":"Williams","given":"Jason G."},{"family":"Rossi","given":"Marianna N."},{"family":"Galehdari","given":"Hamid"},{"family":"Krahn","given":"Juno"},{"family":"Wan","given":"Alexander"},{"family":"Trembath","given":"Richard C."},{"family":"Crosby","given":"Andrew H."},{"family":"Ahel","given":"Dragana"},{"family":"Hay","given":"Ron"},{"family":"Ladurner","given":"Andreas G."},{"family":"Timinszky","given":"Gyula"},{"family":"Williams","given":"R. Scott"},{"family":"Ahel","given":"Ivan"}],"issued":{"date-parts":[["2013",5,2]]}}}],"schema":"https://github.com/citation-style-language/schema/raw/master/csl-citation.json"} </w:instrText>
      </w:r>
      <w:r w:rsidRPr="00107040">
        <w:rPr>
          <w:rFonts w:ascii="Times New Roman" w:hAnsi="Times New Roman"/>
          <w:sz w:val="28"/>
          <w:szCs w:val="28"/>
          <w:lang w:val="en-US"/>
        </w:rPr>
        <w:fldChar w:fldCharType="separate"/>
      </w:r>
      <w:r w:rsidRPr="00107040">
        <w:rPr>
          <w:rFonts w:ascii="Times New Roman" w:hAnsi="Times New Roman"/>
          <w:sz w:val="28"/>
        </w:rPr>
        <w:t>[20]</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46C4E407" w14:textId="01E454A9"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lastRenderedPageBreak/>
        <w:t xml:space="preserve">Подобно </w:t>
      </w:r>
      <w:r w:rsidRPr="00107040">
        <w:rPr>
          <w:rFonts w:ascii="Times New Roman" w:hAnsi="Times New Roman"/>
          <w:sz w:val="28"/>
          <w:szCs w:val="28"/>
          <w:lang w:val="en-US"/>
        </w:rPr>
        <w:t>TARG</w:t>
      </w:r>
      <w:r w:rsidRPr="00107040">
        <w:rPr>
          <w:rFonts w:ascii="Times New Roman" w:hAnsi="Times New Roman"/>
          <w:sz w:val="28"/>
          <w:szCs w:val="28"/>
          <w:lang w:val="kk-KZ"/>
        </w:rPr>
        <w:t xml:space="preserve"> </w:t>
      </w:r>
      <w:r w:rsidRPr="00107040">
        <w:rPr>
          <w:rFonts w:ascii="Times New Roman" w:hAnsi="Times New Roman"/>
          <w:sz w:val="28"/>
          <w:szCs w:val="28"/>
        </w:rPr>
        <w:t xml:space="preserve">1, моно-АДФ-рибозогидролазная активность </w:t>
      </w:r>
      <w:r w:rsidRPr="00107040">
        <w:rPr>
          <w:rFonts w:ascii="Times New Roman" w:hAnsi="Times New Roman"/>
          <w:sz w:val="28"/>
          <w:szCs w:val="28"/>
          <w:lang w:val="en-US"/>
        </w:rPr>
        <w:t>MacroD</w:t>
      </w:r>
      <w:r w:rsidRPr="00107040">
        <w:rPr>
          <w:rFonts w:ascii="Times New Roman" w:hAnsi="Times New Roman"/>
          <w:sz w:val="28"/>
          <w:szCs w:val="28"/>
        </w:rPr>
        <w:t xml:space="preserve">1 и </w:t>
      </w:r>
      <w:r w:rsidRPr="00107040">
        <w:rPr>
          <w:rFonts w:ascii="Times New Roman" w:hAnsi="Times New Roman"/>
          <w:sz w:val="28"/>
          <w:szCs w:val="28"/>
          <w:lang w:val="en-US"/>
        </w:rPr>
        <w:t>MacroD</w:t>
      </w:r>
      <w:r w:rsidRPr="00107040">
        <w:rPr>
          <w:rFonts w:ascii="Times New Roman" w:hAnsi="Times New Roman"/>
          <w:sz w:val="28"/>
          <w:szCs w:val="28"/>
        </w:rPr>
        <w:t xml:space="preserve">2 также избирательно направлена на сложноэфирные связи, образованные АДФ-рибозилированными остатками аспартата и глутамата, хотя и с использованием различных каталитических методов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{"citationID":"7w9dCXi3","properties":{"formattedCitation":"[188]","plainCitation":"[188]","noteIndex":0},"citationItems":[{"id":215,"uris":["http://zotero.org/users/9078202/items/TGLM9IFD"],"itemData":{"id":215,"type":"article-journal","abstract":"The poly(ADP-ribose) polymerases (PARPs) are a major family of enzymes capable of modifying proteins by ADP-ribosylation. Due to the large size and diversity of this family, PARPs affect almost every aspect of cellular life and have fundamental roles in DNA repair, transcription, heat shock and cytoplasmic stress responses, cell division, protein degradation, and much more. In the past decade, our understanding of the PARP enzymatic mechanism and activation, as well as regulation of ADP-ribosylation signals by the readers and erasers of protein ADP-ribosylation, has been significantly advanced by the emergence of new structural data, reviewed herein, which allow for better understanding of the biological roles of this widespread post-translational modification.","container-title":"Molecular Cell","DOI":"10.1016/j.molcel.2015.05.007","ISSN":"1097-4164","issue":"6","journalAbbreviation":"Mol Cell","language":"eng","note":"PMID: 26091342","page":"935-946","source":"PubMed","title":"Structures and Mechanisms of Enzymes Employed in the Synthesis and Degradation of PARP-Dependent Protein ADP-Ribosylation","volume":"58","author":[{"family":"Barkauskaite","given":"Eva"},{"family":"Jankevicius","given":"Gytis"},{"family":"Ahel","given":"Ivan"}],"issued":{"date-parts":[["2015",6,18]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[188]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Современные экспериментальные данные свидетельствуют о том, что АДФ-рибоза сложноэфирного типа в белковых субстратах является специфической мишенью для стирателей макродоменов. Эта активность может играть регулирующую роль </w:t>
      </w:r>
      <w:r w:rsidRPr="00107040">
        <w:rPr>
          <w:rFonts w:ascii="Times New Roman" w:hAnsi="Times New Roman"/>
          <w:i/>
          <w:sz w:val="28"/>
          <w:szCs w:val="28"/>
        </w:rPr>
        <w:t>in vivo</w:t>
      </w:r>
      <w:r w:rsidRPr="00107040">
        <w:rPr>
          <w:rFonts w:ascii="Times New Roman" w:hAnsi="Times New Roman"/>
          <w:sz w:val="28"/>
          <w:szCs w:val="28"/>
        </w:rPr>
        <w:t xml:space="preserve">, поскольку MacroD2 участвует, например, в процессинге аутомодифицированного PARP 1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{"citationID":"y8iEKd0h","properties":{"formattedCitation":"[261]","plainCitation":"[261]","noteIndex":0},"citationItems":[{"id":315,"uris":["http://zotero.org/users/9078202/items/Y43T63GW"],"itemData":{"id":315,"type":"article-journal","abstract":"ADP-ribosylation is an important posttranslational protein modification that regulates diverse biological processes, controlled by dedicated transferases and hydrolases. Here, we show that frequent deletions (</w:instrText>
      </w:r>
      <w:r w:rsidR="008611DC">
        <w:rPr>
          <w:rFonts w:ascii="Cambria Math" w:hAnsi="Cambria Math" w:cs="Cambria Math"/>
          <w:sz w:val="28"/>
          <w:szCs w:val="28"/>
        </w:rPr>
        <w:instrText>∼</w:instrText>
      </w:r>
      <w:r w:rsidR="008611DC">
        <w:rPr>
          <w:rFonts w:ascii="Times New Roman" w:hAnsi="Times New Roman"/>
          <w:sz w:val="28"/>
          <w:szCs w:val="28"/>
        </w:rPr>
        <w:instrText xml:space="preserve">30%) of the MACROD2 mono-ADP-ribosylhydrolase locus in human colorectal cancer cause impaired PARP1 transferase activity in a gene dosage-dependent manner. MACROD2 haploinsufficiency alters DNA repair and sensitivity to DNA damage and results in chromosome instability. Heterozygous and homozygous depletion of Macrod2 enhances intestinal tumorigenesis in ApcMin/+ mice and the growth of human colorectal cancer xenografts. MACROD2 deletion in sporadic colorectal cancer is associated with the extent of chromosome instability, independent of clinical parameters and other known genetic drivers. We conclude that MACROD2 acts as a haploinsufficient tumor suppressor, with loss of function promoting chromosome instability, thereby driving cancer evolution.Significance: Chromosome instability (CIN) is a hallmark of cancer. We identify MACROD2 deletion as a cause of CIN in human colorectal cancer. MACROD2 loss causes repression of PARP1 activity, impairing DNA repair. MACROD2 haploinsufficiency promotes CIN and intestinal tumor growth. Our results reveal MACROD2 as a major caretaker tumor suppressor gene. Cancer Discov; 8(8); 988-1005. ©2018 AACR.See related commentary by Jin and Burkard, p. 921This article is highlighted in the In This Issue feature, p. 899.","container-title":"Cancer Discovery","DOI":"10.1158/2159-8290.CD-17-0909","ISSN":"2159-8290","issue":"8","journalAbbreviation":"Cancer Discov","language":"eng","note":"PMID: 29880585","page":"988-1005","source":"PubMed","title":"MACROD2 Haploinsufficiency Impairs Catalytic Activity of PARP1 and Promotes Chromosome Instability and Growth of Intestinal Tumors","volume":"8","author":[{"family":"Sakthianandeswaren","given":"Anuratha"},{"family":"Parsons","given":"Marie J."},{"family":"Mouradov","given":"Dmitri"},{"family":"MacKinnon","given":"Ruth N."},{"family":"Catimel","given":"Bruno"},{"family":"Liu","given":"Sheng"},{"family":"Palmieri","given":"Michelle"},{"family":"Love","given":"Christopher"},{"family":"Jorissen","given":"Robert N."},{"family":"Li","given":"Shan"},{"family":"Whitehead","given":"Lachlan"},{"family":"Putoczki","given":"Tracy L."},{"family":"Preaudet","given":"Adele"},{"family":"Tsui","given":"Cary"},{"family":"Nowell","given":"Cameron J."},{"family":"Ward","given":"Robyn L."},{"family":"Hawkins","given":"Nicholas J."},{"family":"Desai","given":"Jayesh"},{"family":"Gibbs","given":"Peter"},{"family":"Ernst","given":"Matthias"},{"family":"Street","given":"Ian"},{"family":"Buchert","given":"Michael"},{"family":"Sieber","given":"Oliver M."}],"issued":{"date-parts":[["2018",8]]}}}],"schema":"https://github.com/citation-style-language/schema/raw/master/csl-citation.json"}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[261]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Удаление аутоингибиторных частей </w:t>
      </w:r>
      <w:r w:rsidRPr="00107040">
        <w:rPr>
          <w:rFonts w:ascii="Times New Roman" w:hAnsi="Times New Roman"/>
          <w:sz w:val="28"/>
          <w:szCs w:val="28"/>
          <w:lang w:val="kk-KZ"/>
        </w:rPr>
        <w:t>МАР</w:t>
      </w:r>
      <w:r w:rsidRPr="00107040">
        <w:rPr>
          <w:rFonts w:ascii="Times New Roman" w:hAnsi="Times New Roman"/>
          <w:sz w:val="28"/>
          <w:szCs w:val="28"/>
        </w:rPr>
        <w:t xml:space="preserve"> из </w:t>
      </w:r>
      <w:r w:rsidRPr="00107040">
        <w:rPr>
          <w:rFonts w:ascii="Times New Roman" w:hAnsi="Times New Roman"/>
          <w:sz w:val="28"/>
          <w:szCs w:val="28"/>
          <w:lang w:val="en-US"/>
        </w:rPr>
        <w:t>PARP</w:t>
      </w:r>
      <w:r w:rsidRPr="00107040">
        <w:rPr>
          <w:rFonts w:ascii="Times New Roman" w:hAnsi="Times New Roman"/>
          <w:sz w:val="28"/>
          <w:szCs w:val="28"/>
        </w:rPr>
        <w:t xml:space="preserve"> 1 с использованием </w:t>
      </w:r>
      <w:r w:rsidRPr="00107040">
        <w:rPr>
          <w:rFonts w:ascii="Times New Roman" w:hAnsi="Times New Roman"/>
          <w:sz w:val="28"/>
          <w:szCs w:val="28"/>
          <w:lang w:val="en-US"/>
        </w:rPr>
        <w:t>MacroD</w:t>
      </w:r>
      <w:r w:rsidRPr="00107040">
        <w:rPr>
          <w:rFonts w:ascii="Times New Roman" w:hAnsi="Times New Roman"/>
          <w:sz w:val="28"/>
          <w:szCs w:val="28"/>
        </w:rPr>
        <w:t xml:space="preserve">2 было предложено для объяснения накопления </w:t>
      </w:r>
      <w:r w:rsidRPr="00107040">
        <w:rPr>
          <w:rFonts w:ascii="Times New Roman" w:hAnsi="Times New Roman"/>
          <w:sz w:val="28"/>
          <w:szCs w:val="28"/>
          <w:lang w:val="en-US"/>
        </w:rPr>
        <w:t>MA</w:t>
      </w:r>
      <w:r w:rsidRPr="00107040">
        <w:rPr>
          <w:rFonts w:ascii="Times New Roman" w:hAnsi="Times New Roman"/>
          <w:sz w:val="28"/>
          <w:szCs w:val="28"/>
          <w:lang w:val="kk-KZ"/>
        </w:rPr>
        <w:t>Р</w:t>
      </w:r>
      <w:r w:rsidRPr="00107040">
        <w:rPr>
          <w:rFonts w:ascii="Times New Roman" w:hAnsi="Times New Roman"/>
          <w:sz w:val="28"/>
          <w:szCs w:val="28"/>
        </w:rPr>
        <w:t xml:space="preserve">илированного </w:t>
      </w:r>
      <w:r w:rsidRPr="00107040">
        <w:rPr>
          <w:rFonts w:ascii="Times New Roman" w:hAnsi="Times New Roman"/>
          <w:sz w:val="28"/>
          <w:szCs w:val="28"/>
          <w:lang w:val="en-US"/>
        </w:rPr>
        <w:t>PARP</w:t>
      </w:r>
      <w:r w:rsidRPr="00107040">
        <w:rPr>
          <w:rFonts w:ascii="Times New Roman" w:hAnsi="Times New Roman"/>
          <w:sz w:val="28"/>
          <w:szCs w:val="28"/>
        </w:rPr>
        <w:t xml:space="preserve"> 1 в контексте делеции гена </w:t>
      </w:r>
      <w:r w:rsidRPr="00107040">
        <w:rPr>
          <w:rFonts w:ascii="Times New Roman" w:hAnsi="Times New Roman"/>
          <w:sz w:val="28"/>
          <w:szCs w:val="28"/>
          <w:lang w:val="en-US"/>
        </w:rPr>
        <w:t>MacroD</w:t>
      </w:r>
      <w:r w:rsidRPr="00107040">
        <w:rPr>
          <w:rFonts w:ascii="Times New Roman" w:hAnsi="Times New Roman"/>
          <w:sz w:val="28"/>
          <w:szCs w:val="28"/>
        </w:rPr>
        <w:t>2 в клетках колоректального рака человека</w:t>
      </w:r>
      <w:r w:rsidRPr="00107040">
        <w:rPr>
          <w:rFonts w:ascii="Times New Roman" w:hAnsi="Times New Roman"/>
          <w:sz w:val="28"/>
          <w:szCs w:val="28"/>
          <w:lang w:val="kk-KZ"/>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h75MqZVT","properties":{"formattedCitation":"[262]","plainCitation":"[262]","noteIndex":0},"citationItems":[{"id":314,"uris":["http://zotero.org/users/9078202/items/EENCEI8Y"],"itemData":{"id":314,"type":"article-journal","container-title":"Oncotarget","DOI":"10.18632/oncotarget.25887","ISSN":"1949-2553","issue":"69","journalAbbreviation":"Oncotarget","language":"eng","note":"PMID: 30237848\nPMCID: PMC6145690","page":"33056-33058","source":"PubMed","title":"MACROD2 deletions cause impaired PARP1 activity and chromosome instability in colorectal cancer","volume":"9","author":[{"family":"Sakthianandeswaren","given":"Anuratha"},{"family":"Parsons","given":"Marie J."},{"family":"Mouradov","given":"Dmitri"},{"family":"Sieber","given":"Oliver M."}],"issued":{"date-parts":[["2018",9,4]]}}}],"schema":"https://github.com/citation-style-language/schema/raw/master/csl-citation.json"}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[262]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Лежащая в основе MacroD2-зависимая модель рециркуляции PARP 1, предложенная Sakthianandeswaren </w:t>
      </w:r>
      <w:r w:rsidRPr="00107040">
        <w:rPr>
          <w:rFonts w:ascii="Times New Roman" w:hAnsi="Times New Roman"/>
          <w:sz w:val="28"/>
          <w:szCs w:val="28"/>
          <w:lang w:val="kk-KZ"/>
        </w:rPr>
        <w:t>и др</w:t>
      </w:r>
      <w:r w:rsidRPr="00107040">
        <w:rPr>
          <w:rFonts w:ascii="Times New Roman" w:hAnsi="Times New Roman"/>
          <w:sz w:val="28"/>
          <w:szCs w:val="28"/>
        </w:rPr>
        <w:t xml:space="preserve">., включает двухфазное стирание автомодификации PARP 1, что указывает на то, что PARG является основным ферментом, усекающим ПАР, ответственным за создание аддуктов MAР, которые впоследствии могут стать мишенью для MacroD2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9SUOGsXR","properties":{"formattedCitation":"[262]","plainCitation":"[262]","noteIndex":0},"citationItems":[{"id":314,"uris":["http://zotero.org/users/9078202/items/EENCEI8Y"],"itemData":{"id":314,"type":"article-journal","container-title":"Oncotarget","DOI":"10.18632/oncotarget.25887","ISSN":"1949-2553","issue":"69","journalAbbreviation":"Oncotarget","language":"eng","note":"PMID: 30237848\nPMCID: PMC6145690","page":"33056-33058","source":"PubMed","title":"MACROD2 deletions cause impaired PARP1 activity and chromosome instability in colorectal cancer","volume":"9","author":[{"family":"Sakthianandeswaren","given":"Anuratha"},{"family":"Parsons","given":"Marie J."},{"family":"Mouradov","given":"Dmitri"},{"family":"Sieber","given":"Oliver M."}],"issued":{"date-parts":[["2018",9,4]]}}}],"schema":"https://github.com/citation-style-language/schema/raw/master/csl-citation.json"}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[262]</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0A6CB1D8" w14:textId="1C7BC57B"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Как упоминалось выше, </w:t>
      </w:r>
      <w:r w:rsidRPr="00107040">
        <w:rPr>
          <w:rFonts w:ascii="Times New Roman" w:hAnsi="Times New Roman"/>
          <w:sz w:val="28"/>
          <w:szCs w:val="28"/>
          <w:lang w:val="en-US"/>
        </w:rPr>
        <w:t>PARG</w:t>
      </w:r>
      <w:r w:rsidRPr="00107040">
        <w:rPr>
          <w:rFonts w:ascii="Times New Roman" w:hAnsi="Times New Roman"/>
          <w:sz w:val="28"/>
          <w:szCs w:val="28"/>
        </w:rPr>
        <w:t xml:space="preserve"> является членом семейства стирателей макродоменов, хотя между аминокислотной последовательностью </w:t>
      </w:r>
      <w:r w:rsidRPr="00107040">
        <w:rPr>
          <w:rFonts w:ascii="Times New Roman" w:hAnsi="Times New Roman"/>
          <w:sz w:val="28"/>
          <w:szCs w:val="28"/>
          <w:lang w:val="en-US"/>
        </w:rPr>
        <w:t>PARG</w:t>
      </w:r>
      <w:r w:rsidRPr="00107040">
        <w:rPr>
          <w:rFonts w:ascii="Times New Roman" w:hAnsi="Times New Roman"/>
          <w:sz w:val="28"/>
          <w:szCs w:val="28"/>
        </w:rPr>
        <w:t xml:space="preserve"> и другими белками, содержащими макродомены, нет сходства. Однако существует тесная структурная и эволюционная связь между макродоменами и </w:t>
      </w:r>
      <w:r w:rsidRPr="00107040">
        <w:rPr>
          <w:rFonts w:ascii="Times New Roman" w:hAnsi="Times New Roman"/>
          <w:sz w:val="28"/>
          <w:szCs w:val="28"/>
          <w:lang w:val="en-US"/>
        </w:rPr>
        <w:t>PARG</w:t>
      </w:r>
      <w:r w:rsidRPr="00107040">
        <w:rPr>
          <w:rFonts w:ascii="Times New Roman" w:hAnsi="Times New Roman"/>
          <w:sz w:val="28"/>
          <w:szCs w:val="28"/>
        </w:rPr>
        <w:t xml:space="preserve">, а ее каталитическим центром является макродоменная складка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{"citationID":"kKLPCdjR","properties":{"formattedCitation":"[214]","plainCitation":"[214]","noteIndex":0},"citationItems":[{"id":182,"uris":["http://zotero.org/users/9078202/items/3E5XDR3Y"],"itemData":{"id":182,"type":"article-journal","abstract":"Post-translational modification of proteins by poly(ADP-ribosyl)ation regulates many cellular pathways that are critical for genome stability, including DNA repair, chromatin structure, mitosis and apoptosis. Poly(ADP-ribose) (PAR) is composed of repeating ADP-ribose units linked via a unique glycosidic ribose-ribose bond, and is synthesized from NAD by PAR polymerases. PAR glycohydrolase (PARG) is the only protein capable of specific hydrolysis of the ribose-ribose bonds present in PAR chains; its deficiency leads to cell death. Here we show that filamentous fungi and a number of bacteria possess a divergent form of PARG that has all the main characteristics of the human PARG enzyme. We present the first PARG crystal structure (derived from the bacterium Thermomonospora curvata), which reveals that the PARG catalytic domain is a distant member of the ubiquitous ADP-ribose-binding macrodomain family. High-resolution structures of T. curvata PARG in complexes with ADP-ribose and the PARG inhibitor ADP-HPD, complemented by biochemical studies, allow us to propose a model for PAR binding and catalysis by PARG. The insights into the PARG structure and catalytic mechanism should greatly improve our understanding of how PARG activity controls reversible protein poly(ADP-ribosyl)ation and potentially of how the defects in this regulation are linked to human disease.","container-title":"Nature","DOI":"10.1038/nature10404","ISSN":"1476-4687","issue":"7366","journalAbbreviation":"Nature","language":"eng","note":"PMID: 21892188\nPMCID: PMC3184140","page":"616-620","source":"PubMed","title":"The structure and catalytic mechanism of a poly(ADP-ribose) glycohydrolase","volume":"477","author":[{"family":"Slade","given":"Dea"},{"family":"Dunstan","given":"Mark S."},{"family":"Barkauskaite","given":"Eva"},{"family":"Weston","given":"Ria"},{"family":"Lafite","given":"Pierre"},{"family":"Dixon","given":"Neil"},{"family":"Ahel","given":"Marijan"},{"family":"Leys","given":"David"},{"family":"Ahel","given":"Ivan"}],"issued":{"date-parts":[["2011",9,4]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[214]</w:t>
      </w:r>
      <w:r w:rsidRPr="00107040">
        <w:rPr>
          <w:rFonts w:ascii="Times New Roman" w:hAnsi="Times New Roman"/>
          <w:sz w:val="28"/>
          <w:szCs w:val="28"/>
          <w:lang w:val="en-US"/>
        </w:rPr>
        <w:fldChar w:fldCharType="end"/>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{"citationID":"a9Pnbm9Y","properties":{"formattedCitation":"[223]","plainCitation":"[223]","noteIndex":0},"citationItems":[{"id":170,"uris":["http://zotero.org/users/9078202/items/26VQM7DZ"],"itemData":{"id":170,"type":"article-journal","abstract":"Our understanding of poly-ADP-ribosylation as a posttranslational modification was limited by the lack of structural information on poly-ADP-ribose (PAR) hydrolysing enzymes. A recent study in Nature (Slade et al., 2011) reports the structure of PAR glycohydrolase (PARG), revealing unexpected similarity to the ubiquitous ADP-ribose-binding macrodomains.","container-title":"Structure (London, England: 1993)","DOI":"10.1016/j.str.2011.09.007","ISSN":"1878-4186","issue":"10","journalAbbreviation":"Structure","language":"eng","note":"PMID: 22000507","page":"1351-1353","source":"PubMed","title":"PARG: a macrodomain in disguise","title-short":"PARG","volume":"19","author":[{"family":"Hassler","given":"Markus"},{"family":"Jankevicius","given":"Gytis"},{"family":"Ladurner","given":"Andreas G."}],"issued":{"date-parts":[["2011",10,12]]}}}],"schema":"https://github.com/citation-style-language/schema/raw/master/csl-citation.json"}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[223]</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06EF6205" w14:textId="77777777" w:rsidR="00107040" w:rsidRPr="00107040" w:rsidRDefault="00107040" w:rsidP="00107040">
      <w:pPr>
        <w:spacing w:after="0" w:line="240" w:lineRule="auto"/>
        <w:ind w:firstLine="567"/>
        <w:jc w:val="both"/>
        <w:rPr>
          <w:rFonts w:ascii="Times New Roman" w:hAnsi="Times New Roman"/>
          <w:sz w:val="28"/>
          <w:szCs w:val="28"/>
        </w:rPr>
      </w:pPr>
    </w:p>
    <w:p w14:paraId="28901649" w14:textId="77777777" w:rsidR="00107040" w:rsidRPr="00107040" w:rsidRDefault="00107040" w:rsidP="00107040">
      <w:pPr>
        <w:spacing w:after="0" w:line="240" w:lineRule="auto"/>
        <w:ind w:firstLine="567"/>
        <w:jc w:val="both"/>
        <w:rPr>
          <w:rFonts w:ascii="Times New Roman" w:hAnsi="Times New Roman"/>
          <w:sz w:val="28"/>
          <w:szCs w:val="28"/>
        </w:rPr>
      </w:pPr>
      <w:bookmarkStart w:id="35" w:name="_Hlk113268286"/>
      <w:r w:rsidRPr="00107040">
        <w:rPr>
          <w:rFonts w:ascii="Times New Roman" w:hAnsi="Times New Roman"/>
          <w:sz w:val="28"/>
          <w:szCs w:val="28"/>
        </w:rPr>
        <w:t>1.</w:t>
      </w:r>
      <w:r w:rsidRPr="00107040">
        <w:rPr>
          <w:rFonts w:ascii="Times New Roman" w:hAnsi="Times New Roman"/>
          <w:sz w:val="28"/>
          <w:szCs w:val="28"/>
          <w:lang w:val="kk-KZ"/>
        </w:rPr>
        <w:t>5</w:t>
      </w:r>
      <w:r w:rsidRPr="00107040">
        <w:rPr>
          <w:rFonts w:ascii="Times New Roman" w:hAnsi="Times New Roman"/>
          <w:sz w:val="28"/>
          <w:szCs w:val="28"/>
        </w:rPr>
        <w:t>.4 Фосфодиэфирные АДФ-рибозил-гидролазы</w:t>
      </w:r>
    </w:p>
    <w:bookmarkEnd w:id="35"/>
    <w:p w14:paraId="3AB3B866" w14:textId="7F5FBE1A"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Гомополимеры </w:t>
      </w:r>
      <w:r w:rsidRPr="00107040">
        <w:rPr>
          <w:rFonts w:ascii="Times New Roman" w:hAnsi="Times New Roman"/>
          <w:sz w:val="28"/>
          <w:szCs w:val="28"/>
          <w:lang w:val="kk-KZ"/>
        </w:rPr>
        <w:t>ПАР</w:t>
      </w:r>
      <w:r w:rsidRPr="00107040">
        <w:rPr>
          <w:rFonts w:ascii="Times New Roman" w:hAnsi="Times New Roman"/>
          <w:sz w:val="28"/>
          <w:szCs w:val="28"/>
        </w:rPr>
        <w:t xml:space="preserve"> состоят из последовательных фрагментов АДФ-рибозы, связанных вместе чередующимися фосфодиэфирными и О-гликозидными связями (рисунок </w:t>
      </w:r>
      <w:r w:rsidRPr="00107040">
        <w:rPr>
          <w:rFonts w:ascii="Times New Roman" w:hAnsi="Times New Roman"/>
          <w:sz w:val="28"/>
          <w:szCs w:val="28"/>
          <w:lang w:val="kk-KZ"/>
        </w:rPr>
        <w:t>6</w:t>
      </w:r>
      <w:r w:rsidRPr="00107040">
        <w:rPr>
          <w:rFonts w:ascii="Times New Roman" w:hAnsi="Times New Roman"/>
          <w:sz w:val="28"/>
          <w:szCs w:val="28"/>
        </w:rPr>
        <w:t xml:space="preserve">). Фосфодиэфирная связь также является центральной для самого мономера АДФ-рибозы, поскольку она связывает структуру аденозина с рибозой. Активность фосфодиэстераз змеиного яда сыграла важную роль в выяснении структуры </w:t>
      </w:r>
      <w:r w:rsidRPr="00107040">
        <w:rPr>
          <w:rFonts w:ascii="Times New Roman" w:hAnsi="Times New Roman"/>
          <w:sz w:val="28"/>
          <w:szCs w:val="28"/>
          <w:lang w:val="kk-KZ"/>
        </w:rPr>
        <w:t>ПАР</w:t>
      </w:r>
      <w:r w:rsidRPr="00107040">
        <w:rPr>
          <w:rFonts w:ascii="Times New Roman" w:hAnsi="Times New Roman"/>
          <w:sz w:val="28"/>
          <w:szCs w:val="28"/>
        </w:rPr>
        <w:t xml:space="preserve"> в ранних исследованиях </w:t>
      </w:r>
      <w:r w:rsidRPr="00107040">
        <w:rPr>
          <w:rFonts w:ascii="Times New Roman" w:hAnsi="Times New Roman"/>
          <w:sz w:val="28"/>
          <w:szCs w:val="28"/>
          <w:lang w:val="kk-KZ"/>
        </w:rPr>
        <w:t>ПАР</w:t>
      </w:r>
      <w:r w:rsidRPr="00107040">
        <w:rPr>
          <w:rFonts w:ascii="Times New Roman" w:hAnsi="Times New Roman"/>
          <w:sz w:val="28"/>
          <w:szCs w:val="28"/>
        </w:rPr>
        <w:t xml:space="preserve">илирования, поскольку она использовалась для определения длины цепи и частоты ветвления </w:t>
      </w:r>
      <w:r w:rsidRPr="00107040">
        <w:rPr>
          <w:rFonts w:ascii="Times New Roman" w:hAnsi="Times New Roman"/>
          <w:sz w:val="28"/>
          <w:szCs w:val="28"/>
          <w:lang w:val="kk-KZ"/>
        </w:rPr>
        <w:t>ПАР</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{"citationID":"8KFOz7yc","properties":{"formattedCitation":"[263]","plainCitation":"[263]","noteIndex":0},"citationItems":[{"id":313,"uris":["http://zotero.org/users/9078202/items/4DWT7XJE"],"itemData":{"id":313,"type":"article-journal","abstract":"&lt;p&gt;A particulate fraction from rat liver nuclei catalyzes polymerization of the adenosine diphosphate ribose moiety of nicotinamide adenine dinucleotide into an acid-insoluble polymer with the simultaneous release of nicotinamide. The polymer, prepared by reaction &lt;i&gt;in vitro&lt;/i&gt;, can be phenol-extracted and gives a single symmetrical peak upon equilibrium cesium sulfate density gradient centrifugation at a density slightly lighter than transfer ribonucleic acid. On methylated albumin kieselguhr it chromatographs as a broad peak, and, upon centrifugation in a sucrose density gradient, it sediments at S values ranging up to 12 S with a peak at 4 S. The poylmer does not appear to be covalently linked to other nucleic acids or proteins. Venom phosphodiesterase converts the polymer to acid-soluble form with release, primarily, of a single compound containing adenine, ribose, and phosphate in a ratio of 1:2:2. Tracer experiments indicate that this compound is an isomer of ADP-ribose derived from NAD. Available evidence suggests that the polymer is composed of ADP-ribose units linked together through ribose-ribose linkages.&lt;/p&gt;","container-title":"Journal of Biological Chemistry","DOI":"10.1016/S0021-9258(18)95948-X","ISSN":"0021-9258, 1083-351X","issue":"13","journalAbbreviation":"Journal of Biological Chemistry","language":"English","note":"publisher: Elsevier\nPMID: 4291073","page":"3172-3179","source":"www.jbc.org","title":"Studies on the Polymer of Adenosine Diphosphate Ribose: II. CHARACTERIZATION OF THE POLYMER","title-short":"Studies on the Polymer of Adenosine Diphosphate Ribose","URL":"https://www.jbc.org/article/S0021-9258(18)95948-X/abstract","volume":"242","author":[{"family":"Reeder","given":"Ronald H."},{"family":"Ueda","given":"Kunihiro"},{"family":"Honjo","given":"Tasuku"},{"family":"Nishizuka","given":"Yasutomi"},{"family":"Hayaishi","given":"Osamu"}],"accessed":{"date-parts":[["2022",4,11]]},"issued":{"date-parts":[["1967",7,10]]}}}],"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[263]</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1BB5FEA5" w14:textId="7190C538"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Совсем недавно в обращении АДФ-рибозилирования после открытия группы фосфодиэстераз была предложена роль фосфодиэстераз, обрабатывающих АДФ-рибозу, которая включает членов надсемейства </w:t>
      </w:r>
      <w:r w:rsidRPr="00107040">
        <w:rPr>
          <w:rFonts w:ascii="Times New Roman" w:hAnsi="Times New Roman"/>
          <w:sz w:val="28"/>
          <w:szCs w:val="28"/>
          <w:lang w:val="en-US"/>
        </w:rPr>
        <w:t>NUDIX</w:t>
      </w:r>
      <w:r w:rsidRPr="00107040">
        <w:rPr>
          <w:rFonts w:ascii="Times New Roman" w:hAnsi="Times New Roman"/>
          <w:sz w:val="28"/>
          <w:szCs w:val="28"/>
        </w:rPr>
        <w:t xml:space="preserve"> (нуклеозиддифосфаты, связанные с фрагментом-</w:t>
      </w:r>
      <w:r w:rsidRPr="00107040">
        <w:rPr>
          <w:rFonts w:ascii="Times New Roman" w:hAnsi="Times New Roman"/>
          <w:sz w:val="28"/>
          <w:szCs w:val="28"/>
          <w:lang w:val="en-US"/>
        </w:rPr>
        <w:t>X</w:t>
      </w:r>
      <w:r w:rsidRPr="00107040">
        <w:rPr>
          <w:rFonts w:ascii="Times New Roman" w:hAnsi="Times New Roman"/>
          <w:sz w:val="28"/>
          <w:szCs w:val="28"/>
        </w:rPr>
        <w:t xml:space="preserve">) </w:t>
      </w:r>
      <w:r w:rsidRPr="00107040">
        <w:rPr>
          <w:rFonts w:ascii="Times New Roman" w:hAnsi="Times New Roman"/>
          <w:sz w:val="28"/>
          <w:szCs w:val="28"/>
          <w:lang w:val="en-US"/>
        </w:rPr>
        <w:t>NUDT</w:t>
      </w:r>
      <w:r w:rsidRPr="00107040">
        <w:rPr>
          <w:rFonts w:ascii="Times New Roman" w:hAnsi="Times New Roman"/>
          <w:sz w:val="28"/>
          <w:szCs w:val="28"/>
        </w:rPr>
        <w:t xml:space="preserve">9 и </w:t>
      </w:r>
      <w:r w:rsidRPr="00107040">
        <w:rPr>
          <w:rFonts w:ascii="Times New Roman" w:hAnsi="Times New Roman"/>
          <w:sz w:val="28"/>
          <w:szCs w:val="28"/>
          <w:lang w:val="en-US"/>
        </w:rPr>
        <w:t>NUDT</w:t>
      </w:r>
      <w:r w:rsidRPr="00107040">
        <w:rPr>
          <w:rFonts w:ascii="Times New Roman" w:hAnsi="Times New Roman"/>
          <w:sz w:val="28"/>
          <w:szCs w:val="28"/>
        </w:rPr>
        <w:t>16, а также эктонуклеотидная пирофосфатаза/фосфодиэстераза 1 (</w:t>
      </w:r>
      <w:r w:rsidRPr="00107040">
        <w:rPr>
          <w:rFonts w:ascii="Times New Roman" w:hAnsi="Times New Roman"/>
          <w:sz w:val="28"/>
          <w:szCs w:val="28"/>
          <w:lang w:val="en-US"/>
        </w:rPr>
        <w:t>ENPP</w:t>
      </w:r>
      <w:r w:rsidRPr="00107040">
        <w:rPr>
          <w:rFonts w:ascii="Times New Roman" w:hAnsi="Times New Roman"/>
          <w:sz w:val="28"/>
          <w:szCs w:val="28"/>
        </w:rPr>
        <w:t xml:space="preserve">1)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pRipoyHA","properties":{"formattedCitation":"[264,264,265]","plainCitation":"[264,264,265]","noteIndex":0},"citationItems":[{"id":312,"uris":["http://zotero.org/users/9078202/items/KM39D739"],"itemData":{"id":312,"type":"article-journal","abstract":"ADP-ribosylation is a post-translational modification (PTM) of proteins found in organisms from all kingdoms of life which regulates many important biological functions including DNA repair, chromatin structure, unfolded protein response and apoptosis. Several cellular enzymes, such as macrodomain containing proteins PARG [poly(ADP-ribose) glycohydrolase] and TARG1 [terminal ADP-ribose (ADPr) protein glycohydrolase], reverse protein ADP-ribosylation. In the present study, we show that human Nudix (nucleoside diphosphate-linked moiety X)-type motif 16 (hNUDT16) represents a new enzyme class that can process protein ADP-ribosylation in vitro, converting it into ribose-5'-phosphate (R5P) tags covalently attached to the modified proteins. Furthermore, our data show that hNUDT16 enzymatic activity can be used to trim ADP-ribosylation on proteins in order to facilitate analysis of ADP-ribosylation sites on proteins by MS.","container-title":"The Biochemical Journal","DOI":"10.1042/BJ20141554","ISSN":"1470-8728","issue":"2","journalAbbreviation":"Biochem J","language":"eng","note":"PMID: 25789582\nPMCID: PMC6057610","page":"293-301","source":"PubMed","title":"Processing of protein ADP-ribosylation by Nudix hydrolases","volume":"468","author":[{"family":"Palazzo","given":"Luca"},{"family":"Thomas","given":"Benjamin"},{"family":"Jemth","given":"Ann-Sofie"},{"family":"Colby","given":"Thomas"},{"family":"Leidecker","given":"Orsolya"},{"family":"Feijs","given":"Karla L. H."},{"family":"Zaja","given":"Roko"},{"family":"Loseva","given":"Olga"},{"family":"Puigvert","given":"Jordi Carreras"},{"family":"Matic","given":"Ivan"},{"family":"Helleday","given":"Thomas"},{"family":"Ahel","given":"Ivan"}],"issued":{"date-parts":[["2015",6,1]]}}},{"id":312,"uris":["http://zotero.org/users/9078202/items/KM39D739"],"itemData":{"id":312,"type":"article-journal","abstract":"ADP-ribosylation is a post-translational modification (PTM) of proteins found in organisms from all kingdoms of life which regulates many important biological functions including DNA repair, chromatin structure, unfolded protein response and apoptosis. Several cellular enzymes, such as macrodomain containing proteins PARG [poly(ADP-ribose) glycohydrolase] and TARG1 [terminal ADP-ribose (ADPr) protein glycohydrolase], reverse protein ADP-ribosylation. In the present study, we show that human Nudix (nucleoside diphosphate-linked moiety X)-type motif 16 (hNUDT16) represents a new enzyme class that can process protein ADP-ribosylation in vitro, converting it into ribose-5'-phosphate (R5P) tags covalently attached to the modified proteins. Furthermore, our data show that hNUDT16 enzymatic activity can be used to trim ADP-ribosylation on proteins in order to facilitate analysis of ADP-ribosylation sites on proteins by MS.","container-title":"The Biochemical Journal","DOI":"10.1042/BJ20141554","ISSN":"1470-8728","issue":"2","journalAbbreviation":"Biochem J","language":"eng","note":"PMID: 25789582\nPMCID: PMC6057610","page":"293-301","source":"PubMed","title":"Processing of protein ADP-ribosylation by Nudix hydrolases","volume":"468","author":[{"family":"Palazzo","given":"Luca"},{"family":"Thomas","given":"Benjamin"},{"family":"Jemth","given":"Ann-Sofie"},{"family":"Colby","given":"Thomas"},{"family":"Leidecker","given":"Orsolya"},{"family":"Feijs","given":"Karla L. H."},{"family":"Zaja","given":"Roko"},{"family":"Loseva","given":"Olga"},{"family":"Puigvert","given":"Jordi Carreras"},{"family":"Matic","given":"Ivan"},{"family":"Helleday","given":"Thomas"},{"family":"Ahel","given":"Ivan"}],"issued":{"date-parts":[["2015",6,1]]}}},{"id":311,"uris":["http://zotero.org/users/9078202/items/RRB3D69P"],"itemData":{"id":311,"type":"article-journal","abstract":"ADP-ribosylation refers to the transfer of the ADP-ribose group from NAD(+) to target proteins post-translationally, either attached singly as mono(ADP-ribose) (MAR) or in polymeric chains as poly(ADP-ribose) (PAR). Though ADP-ribosylation is therapeutically important, investigation of this protein modification has been limited by a lack of proteomic tools for site identification. Recent work has demonstrated the potential of a tag-based pipeline in which MAR/PAR is hydrolyzed down to phosphoribose, leaving a 212 Dalton tag at the modification site. While the pipeline has been proven effective by multiple groups, a barrier to application has become evident: the enzyme used to transform MAR/PAR into phosphoribose must be purified from the rattlesnake Crotalus adamanteus venom, which is contaminated with proteases detrimental for proteomic applications. Here, we outline the steps necessary to purify snake venom phosphodiesterase I (SVP) and describe two alternatives to SVP-the bacterial Nudix hydrolase EcRppH and human HsNudT16. Importantly, expression and purification schemes for these Nudix enzymes have already been proven, with high-quality yields easily attainable. We demonstrate their utility in identifying ADP-ribosylation sites on Poly(ADP-ribose) Polymerase 1 (PARP1) with mass spectrometry and discuss a structure-based rationale for this Nudix subclass in degrading protein-conjugated ADP-ribose, including both MAR and PAR.","container-title":"Scientific Reports","DOI":"10.1038/srep18271","ISSN":"2045-2322","journalAbbreviation":"Sci Rep","language":"eng","note":"PMID: 26669448\nPMCID: PMC4680915","page":"18271","source":"PubMed","title":"Nudix hydrolases degrade protein-conjugated ADP-ribose","volume":"5","author":[{"family":"Daniels","given":"Casey M."},{"family":"Thirawatananond","given":"Puchong"},{"family":"Ong","given":"Shao-En"},{"family":"Gabelli","given":"Sandra B."},{"family":"Leung","given":"Anthony K. L."}],"issued":{"date-parts":[["2015",12,16]]}}}],"schema":"https://github.com/citation-style-language/schema/raw/master/csl-citation.json"}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[264,264,265]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Мишенью для этих стирателей является фосфодиэфир, связанный с фрагментами АДФ рибозы, поэтому их активность не зависит от типа АДФ-рибозы, установленной с белком-субстратом. Однако эти ферменты следует классифицировать как частичные стиратели, поскольку они оставляют остаток фосфорибозы, присоединенный к белку-мишени (рисунок </w:t>
      </w:r>
      <w:r w:rsidRPr="00107040">
        <w:rPr>
          <w:rFonts w:ascii="Times New Roman" w:hAnsi="Times New Roman"/>
          <w:sz w:val="28"/>
          <w:szCs w:val="28"/>
          <w:lang w:val="kk-KZ"/>
        </w:rPr>
        <w:t>6</w:t>
      </w:r>
      <w:r w:rsidRPr="00107040">
        <w:rPr>
          <w:rFonts w:ascii="Times New Roman" w:hAnsi="Times New Roman"/>
          <w:sz w:val="28"/>
          <w:szCs w:val="28"/>
        </w:rPr>
        <w:t xml:space="preserve"> и таблица </w:t>
      </w:r>
      <w:r w:rsidRPr="00107040">
        <w:rPr>
          <w:rFonts w:ascii="Times New Roman" w:hAnsi="Times New Roman"/>
          <w:sz w:val="28"/>
          <w:szCs w:val="28"/>
          <w:lang w:val="kk-KZ"/>
        </w:rPr>
        <w:t>1</w:t>
      </w:r>
      <w:r w:rsidRPr="00107040">
        <w:rPr>
          <w:rFonts w:ascii="Times New Roman" w:hAnsi="Times New Roman"/>
          <w:sz w:val="28"/>
          <w:szCs w:val="28"/>
        </w:rPr>
        <w:t>). До сих пор неясно, коррелируют ли эти остатки фосфорибозы с конкретными биологическими результатами. Однако описано патологическое накопление фосфорибозы на остатках глутамата</w:t>
      </w:r>
      <w:r w:rsidRPr="00107040">
        <w:rPr>
          <w:rFonts w:ascii="Times New Roman" w:hAnsi="Times New Roman"/>
          <w:sz w:val="28"/>
          <w:szCs w:val="28"/>
          <w:lang w:val="kk-KZ"/>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{"citationID":"5tF19mEU","properties":{"formattedCitation":"[266]","plainCitation":"[266]","noteIndex":0},"citationItems":[{"id":309,"uris":["http://zotero.org/users/9078202/items/S6THZIL9"],"itemData":{"id":309,"type":"article-journal","abstract":"A patient with a lysosomal storage disease, progressive neurologic degeneration, and renal failure was found to have accumulated a low molecular weight ninhydrin and phenol-H2SO4 reactive compound. Amino acid analysis and gas chromatography-mass spectrometry identified a glutamic acid moiety. Direct insertion mass spectrometry proved the carbohydrate portion to be a sugar phosphate. NaB3H4 reduction and borate electrophoresis, paper chromatography, and enzymatic digestion indicated the presence of ribose 5-phosphate. Quantitative analysis of the intact compound indicated a 1:1:1 ratio for glutamic acid: ribose:phosphate. Brain was found to contain 0.96 mumol/g, wet weight, and kidney 0.60 mumol/g, wet weight, of glutamyl ribose 5-phosphate. This substance is the linkage region in ADP-ribosylation of histones and other proteins. It is suggested that the primary defect in this patient is a genetic abnormality of ADP-ribose protein hydrolase (Okayama, H., Honda, M., and Hayaishi, O. (1978) Proc. Natl. Acad. Sci. U. S .A. 75, 2254-2257).","container-title":"The Journal of Biological Chemistry","ISSN":"0021-9258","issue":"2","journalAbbreviation":"J Biol Chem","language":"eng","note":"PMID: 6693374","page":"1037-1042","source":"PubMed","title":"Glutamyl ribose 5-phosphate storage disease. A hereditary defect in the degradation of poly(ADP-ribosylated) proteins","volume":"259","author":[{"family":"Williams","given":"J. C."},{"family":"Chambers","given":"J. P."},{"family":"Liehr","given":"J. G."}],"issued":{"date-parts":[["1984",1,25]]}}}],"schema":"https://github.com/citation-style-language/schema/raw/master/csl-citation.json"}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[266]</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2FF6AE66" w14:textId="6957DE20"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lastRenderedPageBreak/>
        <w:t xml:space="preserve">Более того, катализируемое фосфодиэстеразой удаление дистального аденина в полимерах </w:t>
      </w:r>
      <w:r w:rsidRPr="00107040">
        <w:rPr>
          <w:rFonts w:ascii="Times New Roman" w:hAnsi="Times New Roman"/>
          <w:sz w:val="28"/>
          <w:szCs w:val="28"/>
          <w:lang w:val="kk-KZ"/>
        </w:rPr>
        <w:t>ПАР</w:t>
      </w:r>
      <w:r w:rsidRPr="00107040">
        <w:rPr>
          <w:rFonts w:ascii="Times New Roman" w:hAnsi="Times New Roman"/>
          <w:sz w:val="28"/>
          <w:szCs w:val="28"/>
        </w:rPr>
        <w:t xml:space="preserve"> путем расщепления терминального </w:t>
      </w:r>
      <w:r w:rsidRPr="00107040">
        <w:rPr>
          <w:rFonts w:ascii="Times New Roman" w:hAnsi="Times New Roman"/>
          <w:sz w:val="28"/>
          <w:szCs w:val="28"/>
          <w:lang w:val="en-US"/>
        </w:rPr>
        <w:t>AM</w:t>
      </w:r>
      <w:r w:rsidRPr="00107040">
        <w:rPr>
          <w:rFonts w:ascii="Times New Roman" w:hAnsi="Times New Roman"/>
          <w:sz w:val="28"/>
          <w:szCs w:val="28"/>
          <w:lang w:val="kk-KZ"/>
        </w:rPr>
        <w:t>Ф</w:t>
      </w:r>
      <w:r w:rsidRPr="00107040">
        <w:rPr>
          <w:rFonts w:ascii="Times New Roman" w:hAnsi="Times New Roman"/>
          <w:sz w:val="28"/>
          <w:szCs w:val="28"/>
        </w:rPr>
        <w:t xml:space="preserve">, вероятно, предотвращает расщепление </w:t>
      </w:r>
      <w:r w:rsidRPr="00107040">
        <w:rPr>
          <w:rFonts w:ascii="Times New Roman" w:hAnsi="Times New Roman"/>
          <w:sz w:val="28"/>
          <w:szCs w:val="28"/>
          <w:lang w:val="en-US"/>
        </w:rPr>
        <w:t>PARG</w:t>
      </w:r>
      <w:r w:rsidRPr="00107040">
        <w:rPr>
          <w:rFonts w:ascii="Times New Roman" w:hAnsi="Times New Roman"/>
          <w:sz w:val="28"/>
          <w:szCs w:val="28"/>
        </w:rPr>
        <w:t>, как это наблюдалось с этено-</w:t>
      </w:r>
      <w:r w:rsidRPr="00107040">
        <w:rPr>
          <w:rFonts w:ascii="Times New Roman" w:hAnsi="Times New Roman"/>
          <w:sz w:val="28"/>
          <w:szCs w:val="28"/>
          <w:lang w:val="kk-KZ"/>
        </w:rPr>
        <w:t>ПАР</w:t>
      </w:r>
      <w:r w:rsidRPr="00107040">
        <w:rPr>
          <w:rFonts w:ascii="Times New Roman" w:hAnsi="Times New Roman"/>
          <w:sz w:val="28"/>
          <w:szCs w:val="28"/>
        </w:rPr>
        <w:t xml:space="preserve">, дериватизированным </w:t>
      </w:r>
      <w:r w:rsidRPr="00107040">
        <w:rPr>
          <w:rFonts w:ascii="Times New Roman" w:hAnsi="Times New Roman"/>
          <w:sz w:val="28"/>
          <w:szCs w:val="28"/>
          <w:lang w:val="kk-KZ"/>
        </w:rPr>
        <w:t>ПАР</w:t>
      </w:r>
      <w:r w:rsidRPr="00107040">
        <w:rPr>
          <w:rFonts w:ascii="Times New Roman" w:hAnsi="Times New Roman"/>
          <w:sz w:val="28"/>
          <w:szCs w:val="28"/>
        </w:rPr>
        <w:t xml:space="preserve"> с модифицированными адениновыми фрагментами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{"citationID":"uT9mKhxM","properties":{"formattedCitation":"[267]","plainCitation":"[267]","noteIndex":0},"citationItems":[{"id":308,"uris":["http://zotero.org/users/9078202/items/4USSE3IN"],"itemData":{"id":308,"type":"article-journal","abstract":"Poly(ADP-ribose) is a biopolymer synthesized by poly(ADP-ribose) polymerases. Recent findings suggest the possibility for modulation of cellular functions including cell death and mitosis by poly(ADP-ribose). Derivatization of poly(ADP-ribose) may be useful for investigating the effects of poly(ADP-ribose) on various cellular processes. We prepared poly(etheno ADP-ribose) (poly(epsilonADP-ribose)) by converting the adenine moiety of poly(ADP-ribose) to 1-N(6)-etheno adenine residues. Poly(epsilonADP-ribose) is shown to be highly resistant to digestion by poly(ADP-ribose) glycohydrolase (Parg). On the other hand, poly(epsilonADP-ribose) could be readily digested by phosphodiesterase. Furthermore, poly(epsilonADP-ribose) inhibited Parg activity to hydrolyse ribose-ribose bonds of poly(ADP-ribose). This study suggests the possibility that poly(epsilonADP-ribose) might be a useful tool for studying the poly(ADP-ribose) dynamics and function of Parg. This study also implies that modification of the adenine moiety of poly(ADP-ribose) abrogates the susceptibility to digestion by Parg.","container-title":"Biochemical and Biophysical Research Communications","DOI":"10.1016/j.bbrc.2007.01.171","ISSN":"0006-291X","issue":"2","journalAbbreviation":"Biochem Biophys Res Commun","language":"eng","note":"PMID: 17306228","page":"451-456","source":"PubMed","title":"Poly(etheno ADP-ribose) blocks poly(ADP-ribose) glycohydrolase activity","volume":"355","author":[{"family":"Shirato","given":"Masayasu"},{"family":"Tozawa","given":"Shunichi"},{"family":"Maeda","given":"Daisuke"},{"family":"Watanabe","given":"Masatoshi"},{"family":"Nakagama","given":"Hitoshi"},{"family":"Masutani","given":"Mitsuko"}],"issued":{"date-parts":[["2007",4,6]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[267]</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258D4A36" w14:textId="4EAF8773"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i/>
          <w:sz w:val="28"/>
          <w:szCs w:val="28"/>
          <w:lang w:val="en-US"/>
        </w:rPr>
        <w:t>In</w:t>
      </w:r>
      <w:r w:rsidRPr="00107040">
        <w:rPr>
          <w:rFonts w:ascii="Times New Roman" w:hAnsi="Times New Roman"/>
          <w:i/>
          <w:sz w:val="28"/>
          <w:szCs w:val="28"/>
        </w:rPr>
        <w:t xml:space="preserve"> </w:t>
      </w:r>
      <w:r w:rsidRPr="00107040">
        <w:rPr>
          <w:rFonts w:ascii="Times New Roman" w:hAnsi="Times New Roman"/>
          <w:i/>
          <w:sz w:val="28"/>
          <w:szCs w:val="28"/>
          <w:lang w:val="en-US"/>
        </w:rPr>
        <w:t>vivo</w:t>
      </w:r>
      <w:r w:rsidRPr="00107040">
        <w:rPr>
          <w:rFonts w:ascii="Times New Roman" w:hAnsi="Times New Roman"/>
          <w:i/>
          <w:sz w:val="28"/>
          <w:szCs w:val="28"/>
        </w:rPr>
        <w:t xml:space="preserve"> </w:t>
      </w:r>
      <w:r w:rsidRPr="00107040">
        <w:rPr>
          <w:rFonts w:ascii="Times New Roman" w:hAnsi="Times New Roman"/>
          <w:sz w:val="28"/>
          <w:szCs w:val="28"/>
        </w:rPr>
        <w:t xml:space="preserve">гидролазы </w:t>
      </w:r>
      <w:r w:rsidRPr="00107040">
        <w:rPr>
          <w:rFonts w:ascii="Times New Roman" w:hAnsi="Times New Roman"/>
          <w:sz w:val="28"/>
          <w:szCs w:val="28"/>
          <w:lang w:val="en-US"/>
        </w:rPr>
        <w:t>NUDIX</w:t>
      </w:r>
      <w:r w:rsidRPr="00107040">
        <w:rPr>
          <w:rFonts w:ascii="Times New Roman" w:hAnsi="Times New Roman"/>
          <w:sz w:val="28"/>
          <w:szCs w:val="28"/>
        </w:rPr>
        <w:t>, по-видимому, действуют как ферменты «домашнего хозяйства», помогая детоксицировать потенциально вредные эндогенные метаболиты</w:t>
      </w:r>
      <w:r w:rsidRPr="00107040">
        <w:rPr>
          <w:rFonts w:ascii="Times New Roman" w:hAnsi="Times New Roman"/>
          <w:i/>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{"citationID":"wHcksteD","properties":{"formattedCitation":"[268]","plainCitation":"[268]","noteIndex":0},"citationItems":[{"id":307,"uris":["http://zotero.org/users/9078202/items/I29T8867"],"itemData":{"id":307,"type":"article-journal","container-title":"The Journal of Biological Chemistry","DOI":"10.1074/jbc.271.41.25059","ISSN":"0021-9258","issue":"41","journalAbbreviation":"J Biol Chem","language":"eng","note":"PMID: 8810257","page":"25059-25062","source":"PubMed","title":"The MutT proteins or \"Nudix\" hydrolases, a family of versatile, widely distributed, \"housecleaning\" enzymes","volume":"271","author":[{"family":"Bessman","given":"M. J."},{"family":"Frick","given":"D. N."},{"family":"O'Handley","given":"S. F."}],"issued":{"date-parts":[["1996",10,11]]}}}],"schema":"https://github.com/citation-style-language/schema/raw/master/csl-citation.json"}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[268]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Кроме того, предполагается, что они участвуют в восполнении клеточного пула АМФ за счет мономерных продуктов АДФ-рибозы, опосредованной PARG/ARH3-опосредованной деполимеризации ПАР. Этот метаболический ответ согласуется с AMФ-зависимым дефицитом митохондриальной энергии, наблюдаемым после повреждения ДНК и активации PARP 1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{"citationID":"rmwNjiFt","properties":{"formattedCitation":"[269]","plainCitation":"[269]","noteIndex":0},"citationItems":[{"id":306,"uris":["http://zotero.org/users/9078202/items/VVAK99KD"],"itemData":{"id":306,"type":"article-journal","abstract":"Upon massive DNA damage, hyperactivation of the nuclear enzyme poly(ADP-ribose) polymerase (PARP)-1 causes severe depletion of intracellular NAD and ATP pools as well as mitochondrial dysfunction. Thus far, the molecular mechanisms contributing to PARP-1-dependent impairment of mitochondrial functioning have not been identified. We found that degradation of the PARP-1 product poly(ADP-ribose) through the concerted actions of poly(ADP-ribose) glycohydrolase and NUDIX (nucleoside diphosphate-X) hydrolases leads to accumulation of AMP. The latter, in turn, inhibits the ADP/ATP translocator, prompting mitochondrial energy failure. For the first time, our findings identify NUDIX hydrolases as key enzymes involved in energy derangement during PARP-1 hyperactivity. Also, these data disclose unanticipated AMP-dependent impairment of mitochondrial exchange of adenine nucleotides, which can be of relevance to organelle functioning and disease pathogenesis.","container-title":"The Journal of Biological Chemistry","DOI":"10.1074/jbc.M109.002931","ISSN":"0021-9258","issue":"26","journalAbbreviation":"J Biol Chem","language":"eng","note":"PMID: 19411252\nPMCID: PMC2719406","page":"17668-17676","source":"PubMed","title":"Poly(ADP-ribose) catabolism triggers AMP-dependent mitochondrial energy failure","volume":"284","author":[{"family":"Formentini","given":"Laura"},{"family":"Macchiarulo","given":"Antonio"},{"family":"Cipriani","given":"Giulia"},{"family":"Camaioni","given":"Emidio"},{"family":"Rapizzi","given":"Elena"},{"family":"Pellicciari","given":"Roberto"},{"family":"Moroni","given":"Flavio"},{"family":"Chiarugi","given":"Alberto"}],"issued":{"date-parts":[["2009",6,26]]}}}],"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[269]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Накопление </w:t>
      </w:r>
      <w:r w:rsidRPr="00107040">
        <w:rPr>
          <w:rFonts w:ascii="Times New Roman" w:hAnsi="Times New Roman"/>
          <w:sz w:val="28"/>
          <w:szCs w:val="28"/>
          <w:lang w:val="en-US"/>
        </w:rPr>
        <w:t>AM</w:t>
      </w:r>
      <w:r w:rsidRPr="00107040">
        <w:rPr>
          <w:rFonts w:ascii="Times New Roman" w:hAnsi="Times New Roman"/>
          <w:sz w:val="28"/>
          <w:szCs w:val="28"/>
        </w:rPr>
        <w:t xml:space="preserve">Ф, происходящего из ПАР, также участвует в модуляции передачи сигналов </w:t>
      </w:r>
      <w:r w:rsidRPr="00107040">
        <w:rPr>
          <w:rFonts w:ascii="Times New Roman" w:hAnsi="Times New Roman"/>
          <w:sz w:val="28"/>
          <w:szCs w:val="28"/>
          <w:lang w:val="en-US"/>
        </w:rPr>
        <w:t>mTOR</w:t>
      </w:r>
      <w:r w:rsidRPr="00107040">
        <w:rPr>
          <w:rFonts w:ascii="Times New Roman" w:hAnsi="Times New Roman"/>
          <w:sz w:val="28"/>
          <w:szCs w:val="28"/>
        </w:rPr>
        <w:t xml:space="preserve"> посредством активации </w:t>
      </w:r>
      <w:r w:rsidRPr="00107040">
        <w:rPr>
          <w:rFonts w:ascii="Times New Roman" w:hAnsi="Times New Roman"/>
          <w:sz w:val="28"/>
          <w:szCs w:val="28"/>
          <w:lang w:val="en-US"/>
        </w:rPr>
        <w:t>AMPK</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{"citationID":"iMqEgzxY","properties":{"formattedCitation":"[270]","plainCitation":"[270]","noteIndex":0},"citationItems":[{"id":305,"uris":["http://zotero.org/users/9078202/items/RP4H48SM"],"itemData":{"id":305,"type":"article-journal","abstract":"Poly(ADP-ribose) polymerase-1 (PARP-1) is widely involved in cell death responses. Depending on the degree of injury and on cell type, PARP activation may lead to autophagy, apoptosis or necrosis. In HEK293 cells exposed to the alkylating agent N-methyl-N'-nitro-N'-nitrosoguanine (MNNG), we show that PARP-1 activation triggers a necrotic cell death response. The massive poly(ADP-ribose) (PAR) synthesis following PARP-1 activation leads to the modulation of mTORC1 pathway. Shortly after MNNG exposure, NAD⁺ and ATP levels decrease, while AMP levels drastically increase. We characterized at the molecular level the consequences of these altered nucleotide levels. First, AMP-activated protein kinase (AMPK) is activated and the mTORC1 pathway is inhibited by the phosphorylation of Raptor, in an attempt to preserve cellular energy. Phosphorylation of the mTORC1 target S6 is decreased as well as the phosphorylation of the mTORC2 component Rictor on Thr1135. Finally, Akt phosphorylation on Ser473 is lost and then, cell death by necrosis occurs. Inhibition of PARP-1 with the potent PARP inhibitor AG14361 prevents all of these events. Moreover, the antioxidant N-acetyl-L-cysteine (NAC) can also abrogate all the signaling events caused by MNNG exposure suggesting that reactive oxygen species (ROS) production is involved in PARP-1 activation and modulation of mTOR signaling. In this study, we show that PARP-1 activation and PAR synthesis affect the energetic status of cells, inhibit the mTORC1 signaling pathway and possibly modulate the mTORC2 complex affecting cell fate. These results provide new evidence that cell death by necrosis is orchestrated by the balance between several signaling pathways, and that PARP-1 and PAR take part in these events.","container-title":"PloS One","DOI":"10.1371/journal.pone.0047978","ISSN":"1932-6203","issue":"10","journalAbbreviation":"PLoS One","language":"eng","note":"PMID: 23110147\nPMCID: PMC3480502","page":"e47978","source":"PubMed","title":"PARP-1 modulation of mTOR signaling in response to a DNA alkylating agent","volume":"7","author":[{"family":"Ethier","given":"Chantal"},{"family":"Tardif","given":"Maxime"},{"family":"Arul","given":"Laura"},{"family":"Poirier","given":"Guy G."}],"issued":{"date-parts":[["2012"]]}}}],"schema":"https://github.com/citation-style-language/schema/raw/master/csl-citation.json"}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[270]</w:t>
      </w:r>
      <w:r w:rsidRPr="00107040">
        <w:rPr>
          <w:rFonts w:ascii="Times New Roman" w:hAnsi="Times New Roman"/>
          <w:sz w:val="28"/>
          <w:szCs w:val="28"/>
          <w:lang w:val="en-US"/>
        </w:rPr>
        <w:fldChar w:fldCharType="end"/>
      </w:r>
      <w:r w:rsidRPr="00107040">
        <w:rPr>
          <w:rFonts w:ascii="Times New Roman" w:hAnsi="Times New Roman"/>
          <w:sz w:val="28"/>
          <w:szCs w:val="28"/>
        </w:rPr>
        <w:t>. Указанные примеры показывают, что реакции стирания АДФ-рибозы могут оказывать различное влияние на метаболизм за счет образования свободных мономеров АДФ-рибозы и родственных молекул, таких как АМФ.</w:t>
      </w:r>
    </w:p>
    <w:p w14:paraId="3864B436" w14:textId="32E7AE61"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Интересно, что третий </w:t>
      </w:r>
      <w:r w:rsidRPr="00107040">
        <w:rPr>
          <w:rFonts w:ascii="Times New Roman" w:hAnsi="Times New Roman"/>
          <w:sz w:val="28"/>
          <w:szCs w:val="28"/>
          <w:lang w:val="en-US"/>
        </w:rPr>
        <w:t>NUDIX</w:t>
      </w:r>
      <w:r w:rsidRPr="00107040">
        <w:rPr>
          <w:rFonts w:ascii="Times New Roman" w:hAnsi="Times New Roman"/>
          <w:sz w:val="28"/>
          <w:szCs w:val="28"/>
        </w:rPr>
        <w:t xml:space="preserve">, </w:t>
      </w:r>
      <w:r w:rsidRPr="00107040">
        <w:rPr>
          <w:rFonts w:ascii="Times New Roman" w:hAnsi="Times New Roman"/>
          <w:sz w:val="28"/>
          <w:szCs w:val="28"/>
          <w:lang w:val="en-US"/>
        </w:rPr>
        <w:t>NUDT</w:t>
      </w:r>
      <w:r w:rsidRPr="00107040">
        <w:rPr>
          <w:rFonts w:ascii="Times New Roman" w:hAnsi="Times New Roman"/>
          <w:sz w:val="28"/>
          <w:szCs w:val="28"/>
        </w:rPr>
        <w:t xml:space="preserve">5, отличается по гидролазной активности от других гидролаз </w:t>
      </w:r>
      <w:r w:rsidRPr="00107040">
        <w:rPr>
          <w:rFonts w:ascii="Times New Roman" w:hAnsi="Times New Roman"/>
          <w:sz w:val="28"/>
          <w:szCs w:val="28"/>
          <w:lang w:val="en-US"/>
        </w:rPr>
        <w:t>NUDIX</w:t>
      </w:r>
      <w:r w:rsidRPr="00107040">
        <w:rPr>
          <w:rFonts w:ascii="Times New Roman" w:hAnsi="Times New Roman"/>
          <w:sz w:val="28"/>
          <w:szCs w:val="28"/>
        </w:rPr>
        <w:t xml:space="preserve">, которые процессируют АДФ-рибозу, поскольку он не может гидролизовать АДФ-рибозу, конъюгированную с белком. Однако </w:t>
      </w:r>
      <w:r w:rsidRPr="00107040">
        <w:rPr>
          <w:rFonts w:ascii="Times New Roman" w:hAnsi="Times New Roman"/>
          <w:sz w:val="28"/>
          <w:szCs w:val="28"/>
          <w:lang w:val="en-US"/>
        </w:rPr>
        <w:t>NUDT</w:t>
      </w:r>
      <w:r w:rsidRPr="00107040">
        <w:rPr>
          <w:rFonts w:ascii="Times New Roman" w:hAnsi="Times New Roman"/>
          <w:sz w:val="28"/>
          <w:szCs w:val="28"/>
        </w:rPr>
        <w:t xml:space="preserve">5 генерирует АТФ из свободной АДФ-рибозы и пирофосфата в процессе оборота для быстрого пополнения ядерных уровней АТФ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{"citationID":"rMcZQ3N3","properties":{"formattedCitation":"[271]","plainCitation":"[271]","noteIndex":0},"citationItems":[{"id":304,"uris":["http://zotero.org/users/9078202/items/DD85RYPG"],"itemData":{"id":304,"type":"article-journal","abstract":"Key nuclear processes in eukaryotes, including DNA replication, repair, and gene regulation, require extensive chromatin remodeling catalyzed by energy-consuming enzymes. It remains unclear how the ATP demands of such processes are met in response to rapid stimuli. We analyzed this question in the context of the massive gene regulation changes induced by progestins in breast cancer cells and found that ATP is generated in the cell nucleus via the hydrolysis of poly(ADP-ribose) to ADP-ribose. In the presence of pyrophosphate, ADP-ribose is used by the pyrophosphatase NUDIX5 to generate nuclear ATP. The nuclear source of ATP is essential for hormone-induced chromatin remodeling, transcriptional regulation, and cell proliferation.","container-title":"Science (New York, N.Y.)","DOI":"10.1126/science.aad9335","ISSN":"1095-9203","issue":"6290","journalAbbreviation":"Science","language":"eng","note":"PMID: 27257257","page":"1221-1225","source":"PubMed","title":"ADP-ribose-derived nuclear ATP synthesis by NUDIX5 is required for chromatin remodeling","volume":"352","author":[{"family":"Wright","given":"Roni H. G."},{"family":"Lioutas","given":"Antonios"},{"family":"Le Dily","given":"Francois"},{"family":"Soronellas","given":"Daniel"},{"family":"Pohl","given":"Andy"},{"family":"Bonet","given":"Jaume"},{"family":"Nacht","given":"A. S."},{"family":"Samino","given":"Sara"},{"family":"Font-Mateu","given":"Jofre"},{"family":"Vicent","given":"Guillermo P."},{"family":"Wierer","given":"Michael"},{"family":"Trabado","given":"Miriam A."},{"family":"Schelhorn","given":"Constanze"},{"family":"Carolis","given":"Carlo"},{"family":"Macias","given":"Maria J."},{"family":"Yanes","given":"Oscar"},{"family":"Oliva","given":"Baldo"},{"family":"Beato","given":"Miguel"}],"issued":{"date-parts":[["2016",6,3]]}}}],"schema":"https://github.com/citation-style-language/schema/raw/master/csl-citation.json"}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[271]</w:t>
      </w:r>
      <w:r w:rsidRPr="00107040">
        <w:rPr>
          <w:rFonts w:ascii="Times New Roman" w:hAnsi="Times New Roman"/>
          <w:sz w:val="28"/>
          <w:szCs w:val="28"/>
          <w:lang w:val="en-US"/>
        </w:rPr>
        <w:fldChar w:fldCharType="end"/>
      </w:r>
      <w:r w:rsidRPr="00107040">
        <w:rPr>
          <w:rFonts w:ascii="Times New Roman" w:hAnsi="Times New Roman"/>
          <w:sz w:val="28"/>
          <w:szCs w:val="28"/>
        </w:rPr>
        <w:t>. Хотя NUDT5 сам по себе не может быть классифицирован как стиратель АДФ-рибозы из-за его неспособности удалять АДФ-рибозилирование белка, он, безусловно, заслуживает внимания, поскольку может влиять на уровни энергетического субстрата после катаболизма ПАР.</w:t>
      </w:r>
    </w:p>
    <w:p w14:paraId="0A62571C" w14:textId="32F3A8E8"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Внеклеточную фосфодиэстеразу </w:t>
      </w:r>
      <w:r w:rsidRPr="00107040">
        <w:rPr>
          <w:rFonts w:ascii="Times New Roman" w:hAnsi="Times New Roman"/>
          <w:sz w:val="28"/>
          <w:szCs w:val="28"/>
          <w:lang w:val="en-US"/>
        </w:rPr>
        <w:t>ENPP</w:t>
      </w:r>
      <w:r w:rsidRPr="00107040">
        <w:rPr>
          <w:rFonts w:ascii="Times New Roman" w:hAnsi="Times New Roman"/>
          <w:sz w:val="28"/>
          <w:szCs w:val="28"/>
        </w:rPr>
        <w:t xml:space="preserve">1, в которой отсутствует </w:t>
      </w:r>
      <w:r w:rsidRPr="00107040">
        <w:rPr>
          <w:rFonts w:ascii="Times New Roman" w:hAnsi="Times New Roman"/>
          <w:sz w:val="28"/>
          <w:szCs w:val="28"/>
          <w:lang w:val="en-US"/>
        </w:rPr>
        <w:t>NUDIX</w:t>
      </w:r>
      <w:r w:rsidRPr="00107040">
        <w:rPr>
          <w:rFonts w:ascii="Times New Roman" w:hAnsi="Times New Roman"/>
          <w:sz w:val="28"/>
          <w:szCs w:val="28"/>
        </w:rPr>
        <w:t xml:space="preserve"> и макродомен, еще предстоит охарактеризовать в отношении ее участия в процессинге АДФ-рибозы. </w:t>
      </w:r>
      <w:r w:rsidRPr="00107040">
        <w:rPr>
          <w:rFonts w:ascii="Times New Roman" w:hAnsi="Times New Roman"/>
          <w:sz w:val="28"/>
          <w:szCs w:val="28"/>
          <w:lang w:val="en-US"/>
        </w:rPr>
        <w:t>ENPP</w:t>
      </w:r>
      <w:r w:rsidRPr="00107040">
        <w:rPr>
          <w:rFonts w:ascii="Times New Roman" w:hAnsi="Times New Roman"/>
          <w:sz w:val="28"/>
          <w:szCs w:val="28"/>
        </w:rPr>
        <w:t xml:space="preserve">1 проявляет значительную активность фосфодиэстеразы </w:t>
      </w:r>
      <w:r w:rsidRPr="00107040">
        <w:rPr>
          <w:rFonts w:ascii="Times New Roman" w:hAnsi="Times New Roman"/>
          <w:i/>
          <w:sz w:val="28"/>
          <w:szCs w:val="28"/>
          <w:lang w:val="en-US"/>
        </w:rPr>
        <w:t>in</w:t>
      </w:r>
      <w:r w:rsidRPr="00107040">
        <w:rPr>
          <w:rFonts w:ascii="Times New Roman" w:hAnsi="Times New Roman"/>
          <w:i/>
          <w:sz w:val="28"/>
          <w:szCs w:val="28"/>
        </w:rPr>
        <w:t xml:space="preserve"> </w:t>
      </w:r>
      <w:r w:rsidRPr="00107040">
        <w:rPr>
          <w:rFonts w:ascii="Times New Roman" w:hAnsi="Times New Roman"/>
          <w:i/>
          <w:sz w:val="28"/>
          <w:szCs w:val="28"/>
          <w:lang w:val="en-US"/>
        </w:rPr>
        <w:t>vitro</w:t>
      </w:r>
      <w:r w:rsidRPr="00107040">
        <w:rPr>
          <w:rFonts w:ascii="Times New Roman" w:hAnsi="Times New Roman"/>
          <w:sz w:val="28"/>
          <w:szCs w:val="28"/>
        </w:rPr>
        <w:t xml:space="preserve"> в отношении МАР и ПАР, превышающую активность, наблюдаемую </w:t>
      </w:r>
      <w:r w:rsidRPr="00107040">
        <w:rPr>
          <w:rFonts w:ascii="Times New Roman" w:hAnsi="Times New Roman"/>
          <w:sz w:val="28"/>
          <w:szCs w:val="28"/>
          <w:lang w:val="en-US"/>
        </w:rPr>
        <w:t>NUDT</w:t>
      </w:r>
      <w:r w:rsidRPr="00107040">
        <w:rPr>
          <w:rFonts w:ascii="Times New Roman" w:hAnsi="Times New Roman"/>
          <w:sz w:val="28"/>
          <w:szCs w:val="28"/>
        </w:rPr>
        <w:t xml:space="preserve">16-ом в бесклеточной системе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{"citationID":"huJBx1u0","properties":{"formattedCitation":"[272]","plainCitation":"[272]","noteIndex":0},"citationItems":[{"id":310,"uris":["http://zotero.org/users/9078202/items/N89D9K64"],"itemData":{"id":310,"type":"article-journal","abstract":"ADP-ribosylation is a conserved post-translational protein modification that plays a role in all major cellular processes, particularly DNA repair, transcription, translation, stress response and cell death. Hence, dysregulation of ADP-ribosylation is linked to the physiopathology of several human diseases including cancers, diabetes and neurodegenerative disorders. Protein ADP-ribosylation can be reversed by the macrodomain-containing proteins PARG, TARG1, MacroD1 and MacroD2, which hydrolyse the ester bond known to link proteins to ADP-ribose as well as consecutive ADP-ribose subunits; targeting this bond can thus result in the complete removal of the protein modification or the conversion of poly(ADP-ribose) to mono(ADP-ribose). Recently, proteins containing the NUDIX domain - namely human NUDT16 and bacterial RppH - have been shown to process in vitro protein ADP-ribosylation through an alternative mechanism, converting it into protein-conjugated ribose-5'-phosphate (R5P, also known as pR). Though this protein modification was recently identified in mammalian tissues, its physiological relevance and the mechanism of generating protein phosphoribosylation are currently unknown. Here, we identified ectonucleotide pyrophosphatase/phosphodiesterase 1 (ENPP1) as the first known mammalian enzyme lacking a NUDIX domain to generate pR from ADP-ribose on modified proteins in vitro. Thus, our data show that at least two enzyme families - Nudix and ENPP/NPP - are able to metabolize protein-conjugated ADP-ribose to pR in vitro, suggesting that pR exists and may be conserved from bacteria to mammals. We also demonstrate the utility of ENPP1 for converting protein-conjugated mono(ADP-ribose) and poly(ADP-ribose) into mass spectrometry-friendly pR tags, thus facilitating the identification of ADP-ribosylation sites.","container-title":"The FEBS journal","DOI":"10.1111/febs.13811","ISSN":"1742-4658","issue":"18","journalAbbreviation":"FEBS J","language":"eng","note":"PMID: 27406238\nPMCID: PMC5030157","page":"3371-3388","source":"PubMed","title":"ENPP1 processes protein ADP-ribosylation in vitro","volume":"283","author":[{"family":"Palazzo","given":"Luca"},{"family":"Daniels","given":"Casey M."},{"family":"Nettleship","given":"Joanne E."},{"family":"Rahman","given":"Nahid"},{"family":"McPherson","given":"Robert Lyle"},{"family":"Ong","given":"Shao-En"},{"family":"Kato","given":"Kazuki"},{"family":"Nureki","given":"Osamu"},{"family":"Leung","given":"Anthony K. L."},{"family":"Ahel","given":"Ivan"}],"issued":{"date-parts":[["2016",9]]}}}],"schema":"https://github.com/citation-style-language/schema/raw/master/csl-citation.json"}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[272]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Высокая скорость превращения модификаций рибозилирования АДФ в аддукты фосфорибозы с помощью </w:t>
      </w:r>
      <w:r w:rsidRPr="00107040">
        <w:rPr>
          <w:rFonts w:ascii="Times New Roman" w:hAnsi="Times New Roman"/>
          <w:sz w:val="28"/>
          <w:szCs w:val="28"/>
          <w:lang w:val="en-US"/>
        </w:rPr>
        <w:t>ENPP</w:t>
      </w:r>
      <w:r w:rsidRPr="00107040">
        <w:rPr>
          <w:rFonts w:ascii="Times New Roman" w:hAnsi="Times New Roman"/>
          <w:sz w:val="28"/>
          <w:szCs w:val="28"/>
        </w:rPr>
        <w:t>1 была предложена в качестве ключевой особенности для создания сигнатур фосфорибозы для анализа с помощью жидкостной хроматографии-масс-спектрометрии (</w:t>
      </w:r>
      <w:r w:rsidRPr="00107040">
        <w:rPr>
          <w:rFonts w:ascii="Times New Roman" w:hAnsi="Times New Roman"/>
          <w:sz w:val="28"/>
          <w:szCs w:val="28"/>
          <w:lang w:val="en-US"/>
        </w:rPr>
        <w:t>LC</w:t>
      </w:r>
      <w:r w:rsidRPr="00107040">
        <w:rPr>
          <w:rFonts w:ascii="Times New Roman" w:hAnsi="Times New Roman"/>
          <w:sz w:val="28"/>
          <w:szCs w:val="28"/>
        </w:rPr>
        <w:t>-</w:t>
      </w:r>
      <w:r w:rsidRPr="00107040">
        <w:rPr>
          <w:rFonts w:ascii="Times New Roman" w:hAnsi="Times New Roman"/>
          <w:sz w:val="28"/>
          <w:szCs w:val="28"/>
          <w:lang w:val="en-US"/>
        </w:rPr>
        <w:t>MS</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{"citationID":"0ExWZ17o","properties":{"formattedCitation":"[272]","plainCitation":"[272]","noteIndex":0},"citationItems":[{"id":310,"uris":["http://zotero.org/users/9078202/items/N89D9K64"],"itemData":{"id":310,"type":"article-journal","abstract":"ADP-ribosylation is a conserved post-translational protein modification that plays a role in all major cellular processes, particularly DNA repair, transcription, translation, stress response and cell death. Hence, dysregulation of ADP-ribosylation is linked to the physiopathology of several human diseases including cancers, diabetes and neurodegenerative disorders. Protein ADP-ribosylation can be reversed by the macrodomain-containing proteins PARG, TARG1, MacroD1 and MacroD2, which hydrolyse the ester bond known to link proteins to ADP-ribose as well as consecutive ADP-ribose subunits; targeting this bond can thus result in the complete removal of the protein modification or the conversion of poly(ADP-ribose) to mono(ADP-ribose). Recently, proteins containing the NUDIX domain - namely human NUDT16 and bacterial RppH - have been shown to process in vitro protein ADP-ribosylation through an alternative mechanism, converting it into protein-conjugated ribose-5'-phosphate (R5P, also known as pR). Though this protein modification was recently identified in mammalian tissues, its physiological relevance and the mechanism of generating protein phosphoribosylation are currently unknown. Here, we identified ectonucleotide pyrophosphatase/phosphodiesterase 1 (ENPP1) as the first known mammalian enzyme lacking a NUDIX domain to generate pR from ADP-ribose on modified proteins in vitro. Thus, our data show that at least two enzyme families - Nudix and ENPP/NPP - are able to metabolize protein-conjugated ADP-ribose to pR in vitro, suggesting that pR exists and may be conserved from bacteria to mammals. We also demonstrate the utility of ENPP1 for converting protein-conjugated mono(ADP-ribose) and poly(ADP-ribose) into mass spectrometry-friendly pR tags, thus facilitating the identification of ADP-ribosylation sites.","container-title":"The FEBS journal","DOI":"10.1111/febs.13811","ISSN":"1742-4658","issue":"18","journalAbbreviation":"FEBS J","language":"eng","note":"PMID: 27406238\nPMCID: PMC5030157","page":"3371-3388","source":"PubMed","title":"ENPP1 processes protein ADP-ribosylation in vitro","volume":"283","author":[{"family":"Palazzo","given":"Luca"},{"family":"Daniels","given":"Casey M."},{"family":"Nettleship","given":"Joanne E."},{"family":"Rahman","given":"Nahid"},{"family":"McPherson","given":"Robert Lyle"},{"family":"Ong","given":"Shao-En"},{"family":"Kato","given":"Kazuki"},{"family":"Nureki","given":"Osamu"},{"family":"Leung","given":"Anthony K. L."},{"family":"Ahel","given":"Ivan"}],"issued":{"date-parts":[["2016",9]]}}}],"schema":"https://github.com/citation-style-language/schema/raw/master/csl-citation.json"}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[272]</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79B47854" w14:textId="77777777" w:rsidR="00107040" w:rsidRPr="00107040" w:rsidRDefault="00107040" w:rsidP="00107040">
      <w:pPr>
        <w:spacing w:after="0" w:line="240" w:lineRule="auto"/>
        <w:ind w:firstLine="567"/>
        <w:jc w:val="both"/>
        <w:rPr>
          <w:rFonts w:ascii="Times New Roman" w:hAnsi="Times New Roman"/>
          <w:sz w:val="28"/>
          <w:szCs w:val="28"/>
        </w:rPr>
      </w:pPr>
    </w:p>
    <w:p w14:paraId="1B792056" w14:textId="77777777" w:rsidR="00107040" w:rsidRPr="00107040" w:rsidRDefault="00107040" w:rsidP="00107040">
      <w:pPr>
        <w:pStyle w:val="a8"/>
        <w:ind w:left="0" w:firstLine="567"/>
        <w:jc w:val="both"/>
        <w:rPr>
          <w:b/>
          <w:sz w:val="28"/>
          <w:szCs w:val="28"/>
          <w:lang w:val="ru-RU"/>
        </w:rPr>
      </w:pPr>
      <w:bookmarkStart w:id="36" w:name="_Hlk113268310"/>
      <w:r w:rsidRPr="00107040">
        <w:rPr>
          <w:b/>
          <w:sz w:val="28"/>
          <w:szCs w:val="28"/>
          <w:lang w:val="ru-RU"/>
        </w:rPr>
        <w:t>1.6 Модули чтения поли(АДФ-рибозы)</w:t>
      </w:r>
    </w:p>
    <w:bookmarkEnd w:id="36"/>
    <w:p w14:paraId="10DA336D" w14:textId="77777777" w:rsidR="00107040" w:rsidRPr="00107040" w:rsidRDefault="00107040" w:rsidP="00107040">
      <w:pPr>
        <w:pStyle w:val="a8"/>
        <w:ind w:left="0" w:firstLine="567"/>
        <w:jc w:val="both"/>
        <w:rPr>
          <w:sz w:val="28"/>
          <w:szCs w:val="28"/>
          <w:lang w:val="ru-RU"/>
        </w:rPr>
      </w:pPr>
      <w:r w:rsidRPr="00107040">
        <w:rPr>
          <w:sz w:val="28"/>
          <w:szCs w:val="28"/>
          <w:lang w:val="ru-RU"/>
        </w:rPr>
        <w:t xml:space="preserve">В ответ на активацию белка </w:t>
      </w:r>
      <w:r w:rsidRPr="00107040">
        <w:rPr>
          <w:sz w:val="28"/>
          <w:szCs w:val="28"/>
        </w:rPr>
        <w:t>PARP</w:t>
      </w:r>
      <w:r w:rsidRPr="00107040">
        <w:rPr>
          <w:sz w:val="28"/>
          <w:szCs w:val="28"/>
          <w:lang w:val="ru-RU"/>
        </w:rPr>
        <w:t xml:space="preserve"> индуцированные посттрансляционные модификации позволяют локально рекрутировать многочисленные белки с помощью модулей распознавания ПАР или МАР. Этот ответ обеспечивает локальное и быстрое накопление большого количества белков и способствует последующим белок-белковым взаимодействиям (рисунок 7). Некоторые из них хорошо структурированы и характеризуются белковыми доменами, в то время как другие определены недостаточно четко.</w:t>
      </w:r>
    </w:p>
    <w:p w14:paraId="1DF38835" w14:textId="77777777" w:rsidR="00107040" w:rsidRPr="00107040" w:rsidRDefault="00107040" w:rsidP="00107040">
      <w:pPr>
        <w:spacing w:after="0" w:line="240" w:lineRule="auto"/>
        <w:ind w:firstLine="567"/>
        <w:jc w:val="both"/>
        <w:rPr>
          <w:rFonts w:ascii="Times New Roman" w:hAnsi="Times New Roman"/>
          <w:sz w:val="28"/>
          <w:szCs w:val="28"/>
        </w:rPr>
      </w:pPr>
    </w:p>
    <w:p w14:paraId="22BD2828" w14:textId="77777777" w:rsidR="00107040" w:rsidRPr="00107040" w:rsidRDefault="00107040" w:rsidP="00107040">
      <w:pPr>
        <w:spacing w:after="0" w:line="240" w:lineRule="auto"/>
        <w:ind w:firstLine="567"/>
        <w:jc w:val="both"/>
        <w:rPr>
          <w:rFonts w:ascii="Times New Roman" w:hAnsi="Times New Roman"/>
          <w:sz w:val="28"/>
          <w:szCs w:val="28"/>
        </w:rPr>
      </w:pPr>
      <w:bookmarkStart w:id="37" w:name="_Hlk113268319"/>
      <w:r w:rsidRPr="00107040">
        <w:rPr>
          <w:rFonts w:ascii="Times New Roman" w:hAnsi="Times New Roman"/>
          <w:sz w:val="28"/>
          <w:szCs w:val="28"/>
        </w:rPr>
        <w:lastRenderedPageBreak/>
        <w:t>1.</w:t>
      </w:r>
      <w:r w:rsidRPr="00107040">
        <w:rPr>
          <w:rFonts w:ascii="Times New Roman" w:hAnsi="Times New Roman"/>
          <w:sz w:val="28"/>
          <w:szCs w:val="28"/>
          <w:lang w:val="kk-KZ"/>
        </w:rPr>
        <w:t>6</w:t>
      </w:r>
      <w:r w:rsidRPr="00107040">
        <w:rPr>
          <w:rFonts w:ascii="Times New Roman" w:hAnsi="Times New Roman"/>
          <w:sz w:val="28"/>
          <w:szCs w:val="28"/>
        </w:rPr>
        <w:t xml:space="preserve">.1 Мотив </w:t>
      </w:r>
      <w:r w:rsidRPr="00107040">
        <w:rPr>
          <w:rFonts w:ascii="Times New Roman" w:hAnsi="Times New Roman"/>
          <w:sz w:val="28"/>
          <w:szCs w:val="28"/>
          <w:lang w:val="en-US"/>
        </w:rPr>
        <w:t>PBM</w:t>
      </w:r>
    </w:p>
    <w:bookmarkEnd w:id="37"/>
    <w:p w14:paraId="4DBA4446" w14:textId="4443354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Первым белком, идентифицированным как имеющий мотив </w:t>
      </w:r>
      <w:r w:rsidRPr="00107040">
        <w:rPr>
          <w:rFonts w:ascii="Times New Roman" w:hAnsi="Times New Roman"/>
          <w:sz w:val="28"/>
          <w:szCs w:val="28"/>
          <w:lang w:val="en-US"/>
        </w:rPr>
        <w:t>PBM</w:t>
      </w:r>
      <w:r w:rsidRPr="00107040">
        <w:rPr>
          <w:rFonts w:ascii="Times New Roman" w:hAnsi="Times New Roman"/>
          <w:sz w:val="28"/>
          <w:szCs w:val="28"/>
        </w:rPr>
        <w:t xml:space="preserve"> (для ПАР-связывающего мотива) нековалентного взаимодействия с ПАР, является супрессор опухоли </w:t>
      </w:r>
      <w:r w:rsidRPr="00107040">
        <w:rPr>
          <w:rFonts w:ascii="Times New Roman" w:hAnsi="Times New Roman"/>
          <w:sz w:val="28"/>
          <w:szCs w:val="28"/>
          <w:lang w:val="en-US"/>
        </w:rPr>
        <w:t>p</w:t>
      </w:r>
      <w:r w:rsidRPr="00107040">
        <w:rPr>
          <w:rFonts w:ascii="Times New Roman" w:hAnsi="Times New Roman"/>
          <w:sz w:val="28"/>
          <w:szCs w:val="28"/>
        </w:rPr>
        <w:t xml:space="preserve">53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{"citationID":"e5zBBHW8","properties":{"formattedCitation":"[273]","plainCitation":"[273]","noteIndex":0},"citationItems":[{"id":303,"uris":["http://zotero.org/users/9078202/items/4T2FC87K"],"itemData":{"id":303,"type":"article-journal","abstract":"DNA strand breaks are potential interaction sites for the nuclear enzyme poly(ADP-ribose) polymerase (PARP; E.C. 2.4.2.30) and the tumor suppressor protein p53. Both proteins bind and respond to DNA breaks and both play a role in DNA damage signaling. A temporary colocalization and complex formation between these proteins has been demonstrated in mammalian cells. Here we show that free and poly(ADP-ribose) polymerase-bound ADP-ribose polymers target three domains in p53 protein for strong noncovalent interactions. The polymer binding sites could be mapped to two amino acid sequences in the sequence-specific core DNA binding domain of p53 (amino acid positions 153-178 and 231-253) and another one in the oligomerization domain (amino acids 326-348). In mobility shift experiments, poly(ADP-ribose) effectively prevented and reversed p53 binding to the palindromic p53 consensus sequence. Additionally, poly(ADP-ribose) also interfered with the DNA single strand end binding of p53. The results suggest that ADP-ribose polymers could play a role in regulating the DNA binding properties of p53.","container-title":"The Journal of Biological Chemistry","DOI":"10.1074/jbc.273.19.11839","ISSN":"0021-9258","issue":"19","journalAbbreviation":"J Biol Chem","language":"eng","note":"PMID: 9565608","page":"11839-11843","source":"PubMed","title":"Poly(ADP-ribose) binds to specific domains of p53 and alters its DNA binding functions","volume":"273","author":[{"family":"Malanga","given":"M."},{"family":"Pleschke","given":"J. M."},{"family":"Kleczkowska","given":"H. E."},{"family":"Althaus","given":"F. R."}],"issued":{"date-parts":[["1998",5,8]]}}}],"schema":"https://github.com/citation-style-language/schema/raw/master/csl-citation.json"}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[273]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Мотив PBM (рисунок </w:t>
      </w:r>
      <w:r w:rsidRPr="00107040">
        <w:rPr>
          <w:rFonts w:ascii="Times New Roman" w:hAnsi="Times New Roman"/>
          <w:sz w:val="28"/>
          <w:szCs w:val="28"/>
          <w:lang w:val="kk-KZ"/>
        </w:rPr>
        <w:t>7</w:t>
      </w:r>
      <w:r w:rsidRPr="00107040">
        <w:rPr>
          <w:rFonts w:ascii="Times New Roman" w:hAnsi="Times New Roman"/>
          <w:sz w:val="28"/>
          <w:szCs w:val="28"/>
        </w:rPr>
        <w:t xml:space="preserve">) был охарактеризован в 2000-х годах и состоит из двух консервативных участков. Первая область содержит основные аминокислоты, а вторая содержит гидрофобные аминокислоты, но с вкраплениями основных остатков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{"citationID":"1RlC7XIV","properties":{"formattedCitation":"[274]","plainCitation":"[274]","noteIndex":0},"citationItems":[{"id":302,"uris":["http://zotero.org/users/9078202/items/29REZDLH"],"itemData":{"id":302,"type":"article-journal","abstract":"Poly(ADP-ribose) is formed in possibly all multicellular organisms by a familiy of poly(ADP-ribose) polymerases (PARPs). PARP-1, the best understood and until recently the only known member of this family, is a DNA damage signal protein catalyzing its automodification with multiple, variably sized ADP-ribose polymers that may contain up to 200 residues and several branching points. Through these polymers, PARP-1 can interact noncovalently with other proteins and alter their functions. Here we report the discovery of a poly(ADP-ribose)-binding sequence motif in several important DNA damage checkpoint proteins. The 20-amino acid motif contains two conserved regions: (i) a cluster rich in basic amino acids and (ii) a pattern of hydrophobic amino acids interspersed with basic residues. Using a combination of alanine scanning, polymer blot analysis, and photoaffinity labeling, we have identified poly(ADP-ribose)-binding sites in the following proteins: p53, p21(CIP1/WAF1), xeroderma pigmentosum group A complementing protein, MSH6, DNA ligase III, XRCC1, DNA polymerase epsilon, DNA-PK(CS), Ku70, NF-kappaB, inducible nitric-oxide synthase, caspase-activated DNase, and telomerase. The poly(ADP-ribose)-binding motif was found to overlap with five important functional domains responsible for (i) protein-protein interactions, (ii) DNA binding, (iii) nuclear localization, (iv) nuclear export, and (v) protein degradation. Thus, PARPs may target specific signal network proteins via poly(ADP-ribose) and regulate their domain functions.","container-title":"The Journal of Biological Chemistry","DOI":"10.1074/jbc.M006520200","ISSN":"0021-9258","issue":"52","journalAbbreviation":"J Biol Chem","language":"eng","note":"PMID: 11016934","page":"40974-40980","source":"PubMed","title":"Poly(ADP-ribose) binds to specific domains in DNA damage checkpoint proteins","volume":"275","author":[{"family":"Pleschke","given":"J. M."},{"family":"Kleczkowska","given":"H. E."},{"family":"Strohm","given":"M."},{"family":"Althaus","given":"F. R."}],"issued":{"date-parts":[["2000",12,29]]}}}],"schema":"https://github.com/citation-style-language/schema/raw/master/csl-citation.json"}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[274]</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Консенсусная последовательность </w:t>
      </w:r>
      <w:r w:rsidRPr="00107040">
        <w:rPr>
          <w:rFonts w:ascii="Times New Roman" w:hAnsi="Times New Roman"/>
          <w:sz w:val="28"/>
          <w:szCs w:val="28"/>
          <w:lang w:val="en-US"/>
        </w:rPr>
        <w:t>PBM</w:t>
      </w:r>
      <w:r w:rsidRPr="00107040">
        <w:rPr>
          <w:rFonts w:ascii="Times New Roman" w:hAnsi="Times New Roman"/>
          <w:sz w:val="28"/>
          <w:szCs w:val="28"/>
        </w:rPr>
        <w:t xml:space="preserve"> ([</w:t>
      </w:r>
      <w:r w:rsidRPr="00107040">
        <w:rPr>
          <w:rFonts w:ascii="Times New Roman" w:hAnsi="Times New Roman"/>
          <w:sz w:val="28"/>
          <w:szCs w:val="28"/>
          <w:lang w:val="en-US"/>
        </w:rPr>
        <w:t>HKR</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AIQVY</w:t>
      </w:r>
      <w:r w:rsidRPr="00107040">
        <w:rPr>
          <w:rFonts w:ascii="Times New Roman" w:hAnsi="Times New Roman"/>
          <w:sz w:val="28"/>
          <w:szCs w:val="28"/>
        </w:rPr>
        <w:t>]-[</w:t>
      </w:r>
      <w:r w:rsidRPr="00107040">
        <w:rPr>
          <w:rFonts w:ascii="Times New Roman" w:hAnsi="Times New Roman"/>
          <w:sz w:val="28"/>
          <w:szCs w:val="28"/>
          <w:lang w:val="en-US"/>
        </w:rPr>
        <w:t>KR</w:t>
      </w:r>
      <w:r w:rsidRPr="00107040">
        <w:rPr>
          <w:rFonts w:ascii="Times New Roman" w:hAnsi="Times New Roman"/>
          <w:sz w:val="28"/>
          <w:szCs w:val="28"/>
        </w:rPr>
        <w:t>]-[</w:t>
      </w:r>
      <w:r w:rsidRPr="00107040">
        <w:rPr>
          <w:rFonts w:ascii="Times New Roman" w:hAnsi="Times New Roman"/>
          <w:sz w:val="28"/>
          <w:szCs w:val="28"/>
          <w:lang w:val="en-US"/>
        </w:rPr>
        <w:t>KR</w:t>
      </w:r>
      <w:r w:rsidRPr="00107040">
        <w:rPr>
          <w:rFonts w:ascii="Times New Roman" w:hAnsi="Times New Roman"/>
          <w:sz w:val="28"/>
          <w:szCs w:val="28"/>
        </w:rPr>
        <w:t>]-[</w:t>
      </w:r>
      <w:r w:rsidRPr="00107040">
        <w:rPr>
          <w:rFonts w:ascii="Times New Roman" w:hAnsi="Times New Roman"/>
          <w:sz w:val="28"/>
          <w:szCs w:val="28"/>
          <w:lang w:val="en-US"/>
        </w:rPr>
        <w:t>AILV</w:t>
      </w:r>
      <w:r w:rsidRPr="00107040">
        <w:rPr>
          <w:rFonts w:ascii="Times New Roman" w:hAnsi="Times New Roman"/>
          <w:sz w:val="28"/>
          <w:szCs w:val="28"/>
        </w:rPr>
        <w:t>]-[</w:t>
      </w:r>
      <w:r w:rsidRPr="00107040">
        <w:rPr>
          <w:rFonts w:ascii="Times New Roman" w:hAnsi="Times New Roman"/>
          <w:sz w:val="28"/>
          <w:szCs w:val="28"/>
          <w:lang w:val="en-US"/>
        </w:rPr>
        <w:t>FILPV</w:t>
      </w:r>
      <w:r w:rsidRPr="00107040">
        <w:rPr>
          <w:rFonts w:ascii="Times New Roman" w:hAnsi="Times New Roman"/>
          <w:sz w:val="28"/>
          <w:szCs w:val="28"/>
        </w:rPr>
        <w:t xml:space="preserve">]), состоит из 20 остатков. Положительно заряженные аминокислоты, содержащиеся в PBM, обеспечивают электростатическое взаимодействие с сильно отрицательно заряженными полимерами ПАР. Согласно анализу биоинформатики, этот мотив можно найти более чем в 800 белках. Белки, содержащие этот мотив, включают </w:t>
      </w:r>
      <w:r w:rsidRPr="00107040">
        <w:rPr>
          <w:rFonts w:ascii="Times New Roman" w:hAnsi="Times New Roman"/>
          <w:sz w:val="28"/>
          <w:szCs w:val="28"/>
          <w:lang w:val="en-US"/>
        </w:rPr>
        <w:t>XRCC</w:t>
      </w:r>
      <w:r w:rsidRPr="00107040">
        <w:rPr>
          <w:rFonts w:ascii="Times New Roman" w:hAnsi="Times New Roman"/>
          <w:sz w:val="28"/>
          <w:szCs w:val="28"/>
        </w:rPr>
        <w:t xml:space="preserve">1, ДНК-лигазу </w:t>
      </w:r>
      <w:r w:rsidRPr="00107040">
        <w:rPr>
          <w:rFonts w:ascii="Times New Roman" w:hAnsi="Times New Roman"/>
          <w:sz w:val="28"/>
          <w:szCs w:val="28"/>
          <w:lang w:val="en-US"/>
        </w:rPr>
        <w:t>III</w:t>
      </w:r>
      <w:r w:rsidRPr="00107040">
        <w:rPr>
          <w:rFonts w:ascii="Times New Roman" w:hAnsi="Times New Roman"/>
          <w:sz w:val="28"/>
          <w:szCs w:val="28"/>
        </w:rPr>
        <w:t xml:space="preserve">, </w:t>
      </w:r>
      <w:r w:rsidRPr="00107040">
        <w:rPr>
          <w:rFonts w:ascii="Times New Roman" w:hAnsi="Times New Roman"/>
          <w:sz w:val="28"/>
          <w:szCs w:val="28"/>
          <w:lang w:val="en-US"/>
        </w:rPr>
        <w:t>ATM</w:t>
      </w:r>
      <w:r w:rsidRPr="00107040">
        <w:rPr>
          <w:rFonts w:ascii="Times New Roman" w:hAnsi="Times New Roman"/>
          <w:sz w:val="28"/>
          <w:szCs w:val="28"/>
        </w:rPr>
        <w:t xml:space="preserve">, </w:t>
      </w:r>
      <w:r w:rsidRPr="00107040">
        <w:rPr>
          <w:rFonts w:ascii="Times New Roman" w:hAnsi="Times New Roman"/>
          <w:sz w:val="28"/>
          <w:szCs w:val="28"/>
          <w:lang w:val="en-US"/>
        </w:rPr>
        <w:t>Ku</w:t>
      </w:r>
      <w:r w:rsidRPr="00107040">
        <w:rPr>
          <w:rFonts w:ascii="Times New Roman" w:hAnsi="Times New Roman"/>
          <w:sz w:val="28"/>
          <w:szCs w:val="28"/>
        </w:rPr>
        <w:t xml:space="preserve">70, </w:t>
      </w:r>
      <w:r w:rsidRPr="00107040">
        <w:rPr>
          <w:rFonts w:ascii="Times New Roman" w:hAnsi="Times New Roman"/>
          <w:sz w:val="28"/>
          <w:szCs w:val="28"/>
          <w:lang w:val="en-US"/>
        </w:rPr>
        <w:t>MSH</w:t>
      </w:r>
      <w:r w:rsidRPr="00107040">
        <w:rPr>
          <w:rFonts w:ascii="Times New Roman" w:hAnsi="Times New Roman"/>
          <w:sz w:val="28"/>
          <w:szCs w:val="28"/>
        </w:rPr>
        <w:t xml:space="preserve">6 или </w:t>
      </w:r>
      <w:r w:rsidRPr="00107040">
        <w:rPr>
          <w:rFonts w:ascii="Times New Roman" w:hAnsi="Times New Roman"/>
          <w:sz w:val="28"/>
          <w:szCs w:val="28"/>
          <w:lang w:val="en-US"/>
        </w:rPr>
        <w:t>p</w:t>
      </w:r>
      <w:r w:rsidRPr="00107040">
        <w:rPr>
          <w:rFonts w:ascii="Times New Roman" w:hAnsi="Times New Roman"/>
          <w:sz w:val="28"/>
          <w:szCs w:val="28"/>
        </w:rPr>
        <w:t xml:space="preserve">53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{"citationID":"2qeubEyL","properties":{"formattedCitation":"[275]","plainCitation":"[275]","noteIndex":0},"citationItems":[{"id":301,"uris":["http://zotero.org/users/9078202/items/Q9HHP38I"],"itemData":{"id":301,"type":"article-journal","abstract":"Poly(ADP-ribose) (pADPr) is a polymer assembled from the enzymatic polymerization of the ADP-ribosyl moiety of NAD by poly(ADP-ribose) polymerases (PARPs). The dynamic turnover of pADPr within the cell is essential for a number of cellular processes including progression through the cell cycle, DNA repair and the maintenance of genomic integrity, and apoptosis. In spite of the considerable advances in the knowledge of the physiological conditions modulated by poly(ADP-ribosyl)ation reactions, and notwithstanding the fact that pADPr can play a role of mediator in a wide spectrum of biological processes, few pADPr binding proteins have been identified so far. In this study, refined in silico prediction of pADPr binding proteins and large-scale mass spectrometry-based proteome analysis of pADPr binding proteins were used to establish a comprehensive repertoire of pADPr-associated proteins. Visualization and modeling of these pADPr-associated proteins in networks not only reflect the widespread involvement of poly(ADP-ribosyl)ation in several pathways but also identify protein targets that could shed new light on the regulatory functions of pADPr in normal physiological conditions as well as after exposure to genotoxic stimuli.","container-title":"Nucleic Acids Research","DOI":"10.1093/nar/gkn771","ISSN":"1362-4962","issue":"22","journalAbbreviation":"Nucleic Acids Res","language":"eng","note":"PMID: 18981049\nPMCID: PMC2602769","page":"6959-6976","source":"PubMed","title":"Proteome-wide identification of poly(ADP-ribose) binding proteins and poly(ADP-ribose)-associated protein complexes","volume":"36","author":[{"family":"Gagné","given":"Jean-Philippe"},{"family":"Isabelle","given":"Maxim"},{"family":"Lo","given":"Ken Sin"},{"family":"Bourassa","given":"Sylvie"},{"family":"Hendzel","given":"Michael J."},{"family":"Dawson","given":"Valina L."},{"family":"Dawson","given":"Ted M."},{"family":"Poirier","given":"Guy G."}],"issued":{"date-parts":[["2008",12]]}}}],"schema":"https://github.com/citation-style-language/schema/raw/master/csl-citation.json"}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[275]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w:t>
      </w:r>
      <w:r w:rsidRPr="00107040">
        <w:rPr>
          <w:rFonts w:ascii="Times New Roman" w:hAnsi="Times New Roman"/>
          <w:sz w:val="28"/>
          <w:szCs w:val="28"/>
          <w:lang w:val="en-US"/>
        </w:rPr>
        <w:t>PBM</w:t>
      </w:r>
      <w:r w:rsidRPr="00107040">
        <w:rPr>
          <w:rFonts w:ascii="Times New Roman" w:hAnsi="Times New Roman"/>
          <w:sz w:val="28"/>
          <w:szCs w:val="28"/>
        </w:rPr>
        <w:t xml:space="preserve"> часто обнаруживаются во многих белках, отвечающих за повреждение ДНК, и других белках, включенных в базу данных </w:t>
      </w:r>
      <w:r w:rsidRPr="00107040">
        <w:rPr>
          <w:rFonts w:ascii="Times New Roman" w:hAnsi="Times New Roman"/>
          <w:sz w:val="28"/>
          <w:szCs w:val="28"/>
          <w:lang w:val="en-US"/>
        </w:rPr>
        <w:t>ADPriboDB</w:t>
      </w:r>
      <w:r w:rsidRPr="00107040">
        <w:rPr>
          <w:rFonts w:ascii="Times New Roman" w:hAnsi="Times New Roman"/>
          <w:sz w:val="28"/>
          <w:szCs w:val="28"/>
        </w:rPr>
        <w:t xml:space="preserve"> по АДФ-рибозилированным белкам </w:t>
      </w:r>
      <w:r w:rsidRPr="00107040">
        <w:rPr>
          <w:rFonts w:ascii="Times New Roman" w:hAnsi="Times New Roman"/>
          <w:sz w:val="28"/>
          <w:szCs w:val="28"/>
        </w:rPr>
        <w:fldChar w:fldCharType="begin"/>
      </w:r>
      <w:r w:rsidR="008611DC">
        <w:rPr>
          <w:rFonts w:ascii="Times New Roman" w:hAnsi="Times New Roman"/>
          <w:sz w:val="28"/>
          <w:szCs w:val="28"/>
        </w:rPr>
        <w:instrText xml:space="preserve"> ADDIN ZOTERO_ITEM CSL_CITATION {"citationID":"1yyBDt1m","properties":{"formattedCitation":"[276]","plainCitation":"[276]","noteIndex":0},"citationItems":[{"id":1302,"uris":["http://zotero.org/users/9078202/items/3K3B5A3E"],"itemData":{"id":1302,"type":"article-journal","abstract":"ADP-ribosylation refers to the addition of one or more ADP-ribose units onto proteins post-translationally. This protein modification is often added by ADP-ribosyltransferases, commonly known as PARPs, but it can also be added by other enzymes, including sirtuins or bacterial toxins. While past literature has utilized a variety of methods to identify ADP-ribosylated proteins, recent proteomics studies bring the power of mass spectrometry to determine sites of the modification. To appreciate the diverse roles of ADP-ribosylation across the proteome, we have created ADPriboDB - a database of ADP-ribosylated proteins (http://ADPriboDB.leunglab.org). Each entry of ADPriboDB is annotated manually by at least two independent curators from the literature between January 1975 and July 2015. The current database includes over 12 400 protein entries from 459 publications, identifying 2389 unique proteins. Here, we describe the structure and the current state of ADPriboDB as well as the criteria for entry inclusion. Using this aggregate data, we identified a statistically significant enrichment of ADP-ribosylated proteins in non-membranous RNA granules. To our knowledge, ADPriboDB is the first publicly available database encapsulating ADP-ribosylated proteins identified from the past 40 years, with a hope to facilitate the research of both basic scientists and clinicians to better understand ADP-ribosylation at the molecular level.","container-title":"Nucleic Acids Research","DOI":"10.1093/nar/gkw706","ISSN":"1362-4962","issue":"D1","journalAbbreviation":"Nucleic Acids Res","language":"eng","note":"PMID: 27507885\nPMCID: PMC5210603","page":"D204-D209","source":"PubMed","title":"ADPriboDB: The database of ADP-ribosylated proteins","title-short":"ADPriboDB","volume":"45","author":[{"family":"Vivelo","given":"Christina A."},{"family":"Wat","given":"Ricky"},{"family":"Agrawal","given":"Charul"},{"family":"Tee","given":"Hui Yi"},{"family":"Leung","given":"Anthony K. L."}],"issued":{"date-parts":[["2017",1,4]]}}}],"schema":"https://github.com/citation-style-language/schema/raw/master/csl-citation.json"} </w:instrText>
      </w:r>
      <w:r w:rsidRPr="00107040">
        <w:rPr>
          <w:rFonts w:ascii="Times New Roman" w:hAnsi="Times New Roman"/>
          <w:sz w:val="28"/>
          <w:szCs w:val="28"/>
        </w:rPr>
        <w:fldChar w:fldCharType="separate"/>
      </w:r>
      <w:r w:rsidR="008611DC" w:rsidRPr="008611DC">
        <w:rPr>
          <w:rFonts w:ascii="Times New Roman" w:hAnsi="Times New Roman"/>
          <w:sz w:val="28"/>
        </w:rPr>
        <w:t>[276]</w:t>
      </w:r>
      <w:r w:rsidRPr="00107040">
        <w:rPr>
          <w:rFonts w:ascii="Times New Roman" w:hAnsi="Times New Roman"/>
          <w:sz w:val="28"/>
          <w:szCs w:val="28"/>
        </w:rPr>
        <w:fldChar w:fldCharType="end"/>
      </w:r>
      <w:r w:rsidRPr="00107040">
        <w:rPr>
          <w:rFonts w:ascii="Times New Roman" w:hAnsi="Times New Roman"/>
          <w:sz w:val="28"/>
          <w:szCs w:val="28"/>
        </w:rPr>
        <w:t>, что позволяет предположить, что связывание ПАР способствует ПАРилированию.</w:t>
      </w:r>
    </w:p>
    <w:p w14:paraId="7DD9FEAD" w14:textId="77777777" w:rsidR="00107040" w:rsidRPr="00107040" w:rsidRDefault="00107040" w:rsidP="00107040">
      <w:pPr>
        <w:spacing w:after="0" w:line="240" w:lineRule="auto"/>
        <w:ind w:firstLine="567"/>
        <w:jc w:val="both"/>
        <w:rPr>
          <w:rFonts w:ascii="Times New Roman" w:hAnsi="Times New Roman"/>
          <w:sz w:val="28"/>
          <w:szCs w:val="28"/>
        </w:rPr>
      </w:pPr>
    </w:p>
    <w:p w14:paraId="2F0C3D77" w14:textId="77777777" w:rsidR="00107040" w:rsidRPr="00107040" w:rsidRDefault="00107040" w:rsidP="00107040">
      <w:pPr>
        <w:spacing w:after="0" w:line="240" w:lineRule="auto"/>
        <w:ind w:firstLine="567"/>
        <w:jc w:val="both"/>
        <w:rPr>
          <w:rFonts w:ascii="Times New Roman" w:hAnsi="Times New Roman"/>
          <w:sz w:val="28"/>
          <w:szCs w:val="28"/>
        </w:rPr>
      </w:pPr>
      <w:bookmarkStart w:id="38" w:name="_Hlk113268337"/>
      <w:r w:rsidRPr="00107040">
        <w:rPr>
          <w:rFonts w:ascii="Times New Roman" w:hAnsi="Times New Roman"/>
          <w:sz w:val="28"/>
          <w:szCs w:val="28"/>
        </w:rPr>
        <w:t>1.</w:t>
      </w:r>
      <w:r w:rsidRPr="00107040">
        <w:rPr>
          <w:rFonts w:ascii="Times New Roman" w:hAnsi="Times New Roman"/>
          <w:sz w:val="28"/>
          <w:szCs w:val="28"/>
          <w:lang w:val="kk-KZ"/>
        </w:rPr>
        <w:t>6</w:t>
      </w:r>
      <w:r w:rsidRPr="00107040">
        <w:rPr>
          <w:rFonts w:ascii="Times New Roman" w:hAnsi="Times New Roman"/>
          <w:sz w:val="28"/>
          <w:szCs w:val="28"/>
        </w:rPr>
        <w:t xml:space="preserve">.2 Мотив </w:t>
      </w:r>
      <w:r w:rsidRPr="00107040">
        <w:rPr>
          <w:rFonts w:ascii="Times New Roman" w:hAnsi="Times New Roman"/>
          <w:sz w:val="28"/>
          <w:szCs w:val="28"/>
          <w:lang w:val="en-US"/>
        </w:rPr>
        <w:t>PBZ</w:t>
      </w:r>
    </w:p>
    <w:bookmarkEnd w:id="38"/>
    <w:p w14:paraId="039ED992" w14:textId="105CC7A3"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Мотив </w:t>
      </w:r>
      <w:r w:rsidRPr="00107040">
        <w:rPr>
          <w:rFonts w:ascii="Times New Roman" w:hAnsi="Times New Roman"/>
          <w:sz w:val="28"/>
          <w:szCs w:val="28"/>
          <w:lang w:val="en-US"/>
        </w:rPr>
        <w:t>PBZ</w:t>
      </w:r>
      <w:r w:rsidRPr="00107040">
        <w:rPr>
          <w:rFonts w:ascii="Times New Roman" w:hAnsi="Times New Roman"/>
          <w:sz w:val="28"/>
          <w:szCs w:val="28"/>
        </w:rPr>
        <w:t xml:space="preserve"> (для ПАР-связывающего цинкового пальца) (рисунок </w:t>
      </w:r>
      <w:r w:rsidRPr="00107040">
        <w:rPr>
          <w:rFonts w:ascii="Times New Roman" w:hAnsi="Times New Roman"/>
          <w:sz w:val="28"/>
          <w:szCs w:val="28"/>
          <w:lang w:val="kk-KZ"/>
        </w:rPr>
        <w:t>7</w:t>
      </w:r>
      <w:r w:rsidRPr="00107040">
        <w:rPr>
          <w:rFonts w:ascii="Times New Roman" w:hAnsi="Times New Roman"/>
          <w:sz w:val="28"/>
          <w:szCs w:val="28"/>
        </w:rPr>
        <w:t xml:space="preserve">) был идентифицирован в трех белках </w:t>
      </w:r>
      <w:r w:rsidRPr="00107040">
        <w:rPr>
          <w:rFonts w:ascii="Times New Roman" w:hAnsi="Times New Roman"/>
          <w:sz w:val="28"/>
          <w:szCs w:val="28"/>
          <w:lang w:val="en-US"/>
        </w:rPr>
        <w:t>APLF</w:t>
      </w:r>
      <w:r w:rsidRPr="00107040">
        <w:rPr>
          <w:rFonts w:ascii="Times New Roman" w:hAnsi="Times New Roman"/>
          <w:sz w:val="28"/>
          <w:szCs w:val="28"/>
        </w:rPr>
        <w:t xml:space="preserve"> (апратаксин и </w:t>
      </w:r>
      <w:r w:rsidRPr="00107040">
        <w:rPr>
          <w:rFonts w:ascii="Times New Roman" w:hAnsi="Times New Roman"/>
          <w:sz w:val="28"/>
          <w:szCs w:val="28"/>
          <w:lang w:val="en-US"/>
        </w:rPr>
        <w:t>PNK</w:t>
      </w:r>
      <w:r w:rsidRPr="00107040">
        <w:rPr>
          <w:rFonts w:ascii="Times New Roman" w:hAnsi="Times New Roman"/>
          <w:sz w:val="28"/>
          <w:szCs w:val="28"/>
        </w:rPr>
        <w:t xml:space="preserve">-подобный фактор) и </w:t>
      </w:r>
      <w:r w:rsidRPr="00107040">
        <w:rPr>
          <w:rFonts w:ascii="Times New Roman" w:hAnsi="Times New Roman"/>
          <w:sz w:val="28"/>
          <w:szCs w:val="28"/>
          <w:lang w:val="en-US"/>
        </w:rPr>
        <w:t>CHFR</w:t>
      </w:r>
      <w:r w:rsidRPr="00107040">
        <w:rPr>
          <w:rFonts w:ascii="Times New Roman" w:hAnsi="Times New Roman"/>
          <w:sz w:val="28"/>
          <w:szCs w:val="28"/>
        </w:rPr>
        <w:t xml:space="preserve"> (контрольная точка с доменами </w:t>
      </w:r>
      <w:r w:rsidRPr="00107040">
        <w:rPr>
          <w:rFonts w:ascii="Times New Roman" w:hAnsi="Times New Roman"/>
          <w:sz w:val="28"/>
          <w:szCs w:val="28"/>
          <w:lang w:val="en-US"/>
        </w:rPr>
        <w:t>FHA</w:t>
      </w:r>
      <w:r w:rsidRPr="00107040">
        <w:rPr>
          <w:rFonts w:ascii="Times New Roman" w:hAnsi="Times New Roman"/>
          <w:sz w:val="28"/>
          <w:szCs w:val="28"/>
        </w:rPr>
        <w:t xml:space="preserve"> и </w:t>
      </w:r>
      <w:r w:rsidRPr="00107040">
        <w:rPr>
          <w:rFonts w:ascii="Times New Roman" w:hAnsi="Times New Roman"/>
          <w:sz w:val="28"/>
          <w:szCs w:val="28"/>
          <w:lang w:val="en-US"/>
        </w:rPr>
        <w:t>RING</w:t>
      </w:r>
      <w:r w:rsidRPr="00107040">
        <w:rPr>
          <w:rFonts w:ascii="Times New Roman" w:hAnsi="Times New Roman"/>
          <w:sz w:val="28"/>
          <w:szCs w:val="28"/>
        </w:rPr>
        <w:t xml:space="preserve">) </w:t>
      </w:r>
      <w:r w:rsidRPr="00107040">
        <w:rPr>
          <w:rFonts w:ascii="Times New Roman" w:hAnsi="Times New Roman"/>
          <w:sz w:val="28"/>
          <w:szCs w:val="28"/>
          <w:lang w:val="en-US"/>
        </w:rPr>
        <w:t>and</w:t>
      </w:r>
      <w:r w:rsidRPr="00107040">
        <w:rPr>
          <w:rFonts w:ascii="Times New Roman" w:hAnsi="Times New Roman"/>
          <w:sz w:val="28"/>
          <w:szCs w:val="28"/>
        </w:rPr>
        <w:t xml:space="preserve"> </w:t>
      </w:r>
      <w:r w:rsidRPr="00107040">
        <w:rPr>
          <w:rFonts w:ascii="Times New Roman" w:hAnsi="Times New Roman"/>
          <w:sz w:val="28"/>
          <w:szCs w:val="28"/>
          <w:lang w:val="en-US"/>
        </w:rPr>
        <w:t>CTCF</w:t>
      </w:r>
      <w:r w:rsidRPr="00107040">
        <w:rPr>
          <w:rFonts w:ascii="Times New Roman" w:hAnsi="Times New Roman"/>
          <w:sz w:val="28"/>
          <w:szCs w:val="28"/>
        </w:rPr>
        <w:t xml:space="preserve"> </w:t>
      </w:r>
      <w:r w:rsidRPr="00107040">
        <w:rPr>
          <w:rFonts w:ascii="Times New Roman" w:hAnsi="Times New Roman"/>
          <w:sz w:val="28"/>
          <w:szCs w:val="28"/>
        </w:rPr>
        <w:fldChar w:fldCharType="begin"/>
      </w:r>
      <w:r w:rsidR="008611DC">
        <w:rPr>
          <w:rFonts w:ascii="Times New Roman" w:hAnsi="Times New Roman"/>
          <w:sz w:val="28"/>
          <w:szCs w:val="28"/>
        </w:rPr>
        <w:instrText xml:space="preserve"> ADDIN ZOTERO_ITEM CSL_CITATION {"citationID":"crGvclRv","properties":{"formattedCitation":"[259,276]","plainCitation":"[259,276]","noteIndex":0},"citationItems":[{"id":321,"uris":["http://zotero.org/users/9078202/items/4KBLXPSW"],"itemData":{"id":321,"type":"article-journal","abstract":"Post-translational modifications (PTMs) regulate many aspects of protein function and are indispensable for the spatio-temporal regulation of cellular processes. The proteome-wide identification of PTM targets has made significant progress in recent years, as has the characterization of their writers, readers, modifiers and erasers. One of the most elusive PTMs is poly(ADP-ribosyl)ation (PARylation), a nucleic acid-like PTM involved in chromatin dynamics, genome stability maintenance, transcription, cell metabolism and development. In this article, we provide an overview on our current understanding of the writers of this modification and their targets, as well as the enzymes that degrade and thereby modify and erase poly(ADP-ribose) (PAR). Since many cellular functions of PARylation are exerted through dynamic interactions of PAR-binding proteins with PAR, we discuss the readers of this modification and provide a synthesis of recent findings, which suggest that multiple structurally highly diverse reader modules, ranging from completely folded PAR-binding domains to intrinsically disordered sequence stretches, evolved as PAR effectors to carry out specific cellular functions.","container-title":"Nucleic Acids Research","DOI":"10.1093/nar/gkv1383","ISSN":"1362-4962","issue":"3","journalAbbreviation":"Nucleic Acids Res","language":"eng","note":"PMID: 26673700\nPMCID: PMC4756826","page":"993-1006","source":"PubMed","title":"Readers of poly(ADP-ribose): designed to be fit for purpose","title-short":"Readers of poly(ADP-ribose)","volume":"44","author":[{"family":"Teloni","given":"Federico"},{"family":"Altmeyer","given":"Matthias"}],"issued":{"date-parts":[["2016",2,18]]}}},{"id":1302,"uris":["http://zotero.org/users/9078202/items/3K3B5A3E"],"itemData":{"id":1302,"type":"article-journal","abstract":"ADP-ribosylation refers to the addition of one or more ADP-ribose units onto proteins post-translationally. This protein modification is often added by ADP-ribosyltransferases, commonly known as PARPs, but it can also be added by other enzymes, including sirtuins or bacterial toxins. While past literature has utilized a variety of methods to identify ADP-ribosylated proteins, recent proteomics studies bring the power of mass spectrometry to determine sites of the modification. To appreciate the diverse roles of ADP-ribosylation across the proteome, we have created ADPriboDB - a database of ADP-ribosylated proteins (http://ADPriboDB.leunglab.org). Each entry of ADPriboDB is annotated manually by at least two independent curators from the literature between January 1975 and July 2015. The current database includes over 12 400 protein entries from 459 publications, identifying 2389 unique proteins. Here, we describe the structure and the current state of ADPriboDB as well as the criteria for entry inclusion. Using this aggregate data, we identified a statistically significant enrichment of ADP-ribosylated proteins in non-membranous RNA granules. To our knowledge, ADPriboDB is the first publicly available database encapsulating ADP-ribosylated proteins identified from the past 40 years, with a hope to facilitate the research of both basic scientists and clinicians to better understand ADP-ribosylation at the molecular level.","container-title":"Nucleic Acids Research","DOI":"10.1093/nar/gkw706","ISSN":"1362-4962","issue":"D1","journalAbbreviation":"Nucleic Acids Res","language":"eng","note":"PMID: 27507885\nPMCID: PMC5210603","page":"D204-D209","source":"PubMed","title":"ADPriboDB: The database of ADP-ribosylated proteins","title-short":"ADPriboDB","volume":"45","author":[{"family":"Vivelo","given":"Christina A."},{"family":"Wat","given":"Ricky"},{"family":"Agrawal","given":"Charul"},{"family":"Tee","given":"Hui Yi"},{"family":"Leung","given":"Anthony K. L."}],"issued":{"date-parts":[["2017",1,4]]}}}],"schema":"https://github.com/citation-style-language/schema/raw/master/csl-citation.json"} </w:instrText>
      </w:r>
      <w:r w:rsidRPr="00107040">
        <w:rPr>
          <w:rFonts w:ascii="Times New Roman" w:hAnsi="Times New Roman"/>
          <w:sz w:val="28"/>
          <w:szCs w:val="28"/>
        </w:rPr>
        <w:fldChar w:fldCharType="separate"/>
      </w:r>
      <w:r w:rsidR="008611DC" w:rsidRPr="008611DC">
        <w:rPr>
          <w:rFonts w:ascii="Times New Roman" w:hAnsi="Times New Roman"/>
          <w:sz w:val="28"/>
        </w:rPr>
        <w:t>[259,276]</w:t>
      </w:r>
      <w:r w:rsidRPr="00107040">
        <w:rPr>
          <w:rFonts w:ascii="Times New Roman" w:hAnsi="Times New Roman"/>
          <w:sz w:val="28"/>
          <w:szCs w:val="28"/>
        </w:rPr>
        <w:fldChar w:fldCharType="end"/>
      </w:r>
      <w:r w:rsidRPr="00107040">
        <w:rPr>
          <w:rFonts w:ascii="Times New Roman" w:hAnsi="Times New Roman"/>
          <w:sz w:val="28"/>
          <w:szCs w:val="28"/>
        </w:rPr>
        <w:t xml:space="preserve">. Консенсусная последовательность </w:t>
      </w:r>
      <w:r w:rsidRPr="00107040">
        <w:rPr>
          <w:rFonts w:ascii="Times New Roman" w:hAnsi="Times New Roman"/>
          <w:sz w:val="28"/>
          <w:szCs w:val="28"/>
          <w:lang w:val="en-US"/>
        </w:rPr>
        <w:t>PBZ</w:t>
      </w:r>
      <w:r w:rsidRPr="00107040">
        <w:rPr>
          <w:rFonts w:ascii="Times New Roman" w:hAnsi="Times New Roman"/>
          <w:sz w:val="28"/>
          <w:szCs w:val="28"/>
        </w:rPr>
        <w:t xml:space="preserve"> [</w:t>
      </w:r>
      <w:r w:rsidRPr="00107040">
        <w:rPr>
          <w:rFonts w:ascii="Times New Roman" w:hAnsi="Times New Roman"/>
          <w:sz w:val="28"/>
          <w:szCs w:val="28"/>
          <w:lang w:val="en-US"/>
        </w:rPr>
        <w:t>K</w:t>
      </w:r>
      <w:r w:rsidRPr="00107040">
        <w:rPr>
          <w:rFonts w:ascii="Times New Roman" w:hAnsi="Times New Roman"/>
          <w:sz w:val="28"/>
          <w:szCs w:val="28"/>
        </w:rPr>
        <w:t>/</w:t>
      </w:r>
      <w:r w:rsidRPr="00107040">
        <w:rPr>
          <w:rFonts w:ascii="Times New Roman" w:hAnsi="Times New Roman"/>
          <w:sz w:val="28"/>
          <w:szCs w:val="28"/>
          <w:lang w:val="en-US"/>
        </w:rPr>
        <w:t>R</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C</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F</w:t>
      </w:r>
      <w:r w:rsidRPr="00107040">
        <w:rPr>
          <w:rFonts w:ascii="Times New Roman" w:hAnsi="Times New Roman"/>
          <w:sz w:val="28"/>
          <w:szCs w:val="28"/>
        </w:rPr>
        <w:t>/</w:t>
      </w:r>
      <w:r w:rsidRPr="00107040">
        <w:rPr>
          <w:rFonts w:ascii="Times New Roman" w:hAnsi="Times New Roman"/>
          <w:sz w:val="28"/>
          <w:szCs w:val="28"/>
          <w:lang w:val="en-US"/>
        </w:rPr>
        <w:t>Y</w:t>
      </w:r>
      <w:r w:rsidRPr="00107040">
        <w:rPr>
          <w:rFonts w:ascii="Times New Roman" w:hAnsi="Times New Roman"/>
          <w:sz w:val="28"/>
          <w:szCs w:val="28"/>
        </w:rPr>
        <w:t>]-</w:t>
      </w:r>
      <w:r w:rsidRPr="00107040">
        <w:rPr>
          <w:rFonts w:ascii="Times New Roman" w:hAnsi="Times New Roman"/>
          <w:sz w:val="28"/>
          <w:szCs w:val="28"/>
          <w:lang w:val="en-US"/>
        </w:rPr>
        <w:t>G</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C</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K</w:t>
      </w:r>
      <w:r w:rsidRPr="00107040">
        <w:rPr>
          <w:rFonts w:ascii="Times New Roman" w:hAnsi="Times New Roman"/>
          <w:sz w:val="28"/>
          <w:szCs w:val="28"/>
        </w:rPr>
        <w:t>/</w:t>
      </w:r>
      <w:r w:rsidRPr="00107040">
        <w:rPr>
          <w:rFonts w:ascii="Times New Roman" w:hAnsi="Times New Roman"/>
          <w:sz w:val="28"/>
          <w:szCs w:val="28"/>
          <w:lang w:val="en-US"/>
        </w:rPr>
        <w:t>R</w:t>
      </w:r>
      <w:r w:rsidRPr="00107040">
        <w:rPr>
          <w:rFonts w:ascii="Times New Roman" w:hAnsi="Times New Roman"/>
          <w:sz w:val="28"/>
          <w:szCs w:val="28"/>
        </w:rPr>
        <w:t>]-[</w:t>
      </w:r>
      <w:r w:rsidRPr="00107040">
        <w:rPr>
          <w:rFonts w:ascii="Times New Roman" w:hAnsi="Times New Roman"/>
          <w:sz w:val="28"/>
          <w:szCs w:val="28"/>
          <w:lang w:val="en-US"/>
        </w:rPr>
        <w:t>K</w:t>
      </w:r>
      <w:r w:rsidRPr="00107040">
        <w:rPr>
          <w:rFonts w:ascii="Times New Roman" w:hAnsi="Times New Roman"/>
          <w:sz w:val="28"/>
          <w:szCs w:val="28"/>
        </w:rPr>
        <w:t>/</w:t>
      </w:r>
      <w:r w:rsidRPr="00107040">
        <w:rPr>
          <w:rFonts w:ascii="Times New Roman" w:hAnsi="Times New Roman"/>
          <w:sz w:val="28"/>
          <w:szCs w:val="28"/>
          <w:lang w:val="en-US"/>
        </w:rPr>
        <w:t>R</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H</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F</w:t>
      </w:r>
      <w:r w:rsidRPr="00107040">
        <w:rPr>
          <w:rFonts w:ascii="Times New Roman" w:hAnsi="Times New Roman"/>
          <w:sz w:val="28"/>
          <w:szCs w:val="28"/>
        </w:rPr>
        <w:t>/</w:t>
      </w:r>
      <w:r w:rsidRPr="00107040">
        <w:rPr>
          <w:rFonts w:ascii="Times New Roman" w:hAnsi="Times New Roman"/>
          <w:sz w:val="28"/>
          <w:szCs w:val="28"/>
          <w:lang w:val="en-US"/>
        </w:rPr>
        <w:t>Y</w:t>
      </w:r>
      <w:r w:rsidRPr="00107040">
        <w:rPr>
          <w:rFonts w:ascii="Times New Roman" w:hAnsi="Times New Roman"/>
          <w:sz w:val="28"/>
          <w:szCs w:val="28"/>
        </w:rPr>
        <w:t>]-</w:t>
      </w:r>
      <w:r w:rsidRPr="00107040">
        <w:rPr>
          <w:rFonts w:ascii="Times New Roman" w:hAnsi="Times New Roman"/>
          <w:sz w:val="28"/>
          <w:szCs w:val="28"/>
          <w:lang w:val="en-US"/>
        </w:rPr>
        <w:t>X</w:t>
      </w:r>
      <w:r w:rsidRPr="00107040">
        <w:rPr>
          <w:rFonts w:ascii="Times New Roman" w:hAnsi="Times New Roman"/>
          <w:sz w:val="28"/>
          <w:szCs w:val="28"/>
        </w:rPr>
        <w:t>-</w:t>
      </w:r>
      <w:r w:rsidRPr="00107040">
        <w:rPr>
          <w:rFonts w:ascii="Times New Roman" w:hAnsi="Times New Roman"/>
          <w:sz w:val="28"/>
          <w:szCs w:val="28"/>
          <w:lang w:val="en-US"/>
        </w:rPr>
        <w:t>H</w:t>
      </w:r>
      <w:r w:rsidRPr="00107040">
        <w:rPr>
          <w:rFonts w:ascii="Times New Roman" w:hAnsi="Times New Roman"/>
          <w:sz w:val="28"/>
          <w:szCs w:val="28"/>
        </w:rPr>
        <w:t xml:space="preserve"> состоит из примерно 30 аминокислотных остатков. Один из </w:t>
      </w:r>
      <w:r w:rsidRPr="00107040">
        <w:rPr>
          <w:rFonts w:ascii="Times New Roman" w:hAnsi="Times New Roman"/>
          <w:sz w:val="28"/>
          <w:szCs w:val="28"/>
          <w:lang w:val="en-US"/>
        </w:rPr>
        <w:t>PBZ</w:t>
      </w:r>
      <w:r w:rsidRPr="00107040">
        <w:rPr>
          <w:rFonts w:ascii="Times New Roman" w:hAnsi="Times New Roman"/>
          <w:sz w:val="28"/>
          <w:szCs w:val="28"/>
        </w:rPr>
        <w:t xml:space="preserve"> мотивов </w:t>
      </w:r>
      <w:r w:rsidRPr="00107040">
        <w:rPr>
          <w:rFonts w:ascii="Times New Roman" w:hAnsi="Times New Roman"/>
          <w:sz w:val="28"/>
          <w:szCs w:val="28"/>
          <w:lang w:val="en-US"/>
        </w:rPr>
        <w:t>APLF</w:t>
      </w:r>
      <w:r w:rsidRPr="00107040">
        <w:rPr>
          <w:rFonts w:ascii="Times New Roman" w:hAnsi="Times New Roman"/>
          <w:sz w:val="28"/>
          <w:szCs w:val="28"/>
        </w:rPr>
        <w:t xml:space="preserve"> распознает две молекулы АДФ-рибозы, связанные между собой гликозидной связью, тогда как считается, что второй домен PBZ связывается с 3-й единицей AДФр, вероятно, на разветвленном полимере ПАР или концевом поли-ADФр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B6KpHmg9","properties":{"formattedCitation":"[277\\uc0\\u8211{}279]","plainCitation":"[277–279]","noteIndex":0},"citationItems":[{"id":298,"uris":["http://zotero.org/users/9078202/items/ERV86ZCV"],"itemData":{"id":298,"type":"article-journal","abstract":"Addition of poly(ADP-ribose) (PAR) is an important post-translational modification in higher eukaryotes. Several DNA repair and checkpoint proteins possess specific PAR-binding zinc-finger (PBZ) modules critical for function. Here, we present solution structures of the two PBZ modules of aprataxin and PNK-like factor (APLF), revealing a novel type of zinc finger. By combining in vivo PAR-binding data with NMR interaction data using PAR fragments, we propose a structural basis for PBZ-PAR recognition.","container-title":"Nature Structural &amp; Molecular Biology","DOI":"10.1038/nsmb.1747","ISSN":"1545-9985","issue":"2","journalAbbreviation":"Nat Struct Mol Biol","language":"eng","note":"PMID: 20098424\nPMCID: PMC2912505","page":"241-243","source":"PubMed","title":"Solution structures of the two PBZ domains from human APLF and their interaction with poly(ADP-ribose)","volume":"17","author":[{"family":"Eustermann","given":"Sebastian"},{"family":"Brockmann","given":"Christoph"},{"family":"Mehrotra","given":"Pawan Vinod"},{"family":"Yang","given":"Ji-Chun"},{"family":"Loakes","given":"David"},{"family":"West","given":"Stephen C."},{"family":"Ahel","given":"Ivan"},{"family":"Neuhaus","given":"David"}],"issued":{"date-parts":[["2010",2]]}}},{"id":300,"uris":["http://zotero.org/users/9078202/items/YXN9BHDW"],"itemData":{"id":300,"type":"article-journal","abstract":"Post-translational modification (PTM) of proteins plays an important part in mediating protein interactions and/or the recruitment of specific protein targets. PTM can be mediated by the addition of functional groups (for example, acetylation or phosphorylation), peptides (for example, ubiquitylation or sumoylation), or nucleotides (for example, poly(ADP-ribosyl)ation). Poly(ADP-ribosyl)ation often involves the addition of long chains of ADP-ribose units, linked by glycosidic ribose-ribose bonds, and is critical for a wide range of processes, including DNA repair, regulation of chromosome structure, transcriptional regulation, mitosis and apoptosis. Here we identify a novel poly(ADP-ribose)-binding zinc finger (PBZ) motif in a number of eukaryotic proteins involved in the DNA damage response and checkpoint regulation. The PBZ motif is also required for post-translational poly(ADP-ribosyl)ation. We demonstrate interaction of poly(ADP-ribose) with this motif in two representative human proteins, APLF (aprataxin PNK-like factor) and CHFR (checkpoint protein with FHA and RING domains), and show that the actions of CHFR in the antephase checkpoint are abrogated by mutations in PBZ or by inhibition of poly(ADP-ribose) synthesis.","container-title":"Nature","DOI":"10.1038/nature06420","ISSN":"1476-4687","issue":"7174","journalAbbreviation":"Nature","language":"eng","note":"PMID: 18172500","page":"81-85","source":"PubMed","title":"Poly(ADP-ribose)-binding zinc finger motifs in DNA repair/checkpoint proteins","volume":"451","author":[{"family":"Ahel","given":"Ivan"},{"family":"Ahel","given":"Dragana"},{"family":"Matsusaka","given":"Takahiro"},{"family":"Clark","given":"Allison J."},{"family":"Pines","given":"Jonathon"},{"family":"Boulton","given":"Simon J."},{"family":"West","given":"Stephen C."}],"issued":{"date-parts":[["2008",1,3]]}}},{"id":297,"uris":["http://zotero.org/users/9078202/items/MRMP4IPE"],"itemData":{"id":297,"type":"article-journal","abstract":"Poly(ADP-ribose) polymerase (EC 2.4.2.30) is a zinc-binding protein that specifically binds to a DNA strand break in a zinc-dependent manner. We describe here the cloning and expression in Escherichia coli of a cDNA fragment encoding the two putative zinc fingers (FI and FII) domain of the human poly(ADP-ribose) polymerase. Using site-directed mutagenesis, we identified the amino acids involved in metal coordination and analyzed the consequence of altering the proposed zinc-finger structures on DNA binding. Disruption of the metal binding ability of the second zinc finger, FII, dramatically reduced target DNA binding. In contrast, when the postulated Zn(II) ligands of FI were mutated, the DNA binding activity was only slightly affected. DNase I protection studies showed that the FII is involved in the specific recognition of a DNA strand break. These results demonstrate that poly(ADP-ribose) polymerase contains a type of zinc finger that differs from previously recognized classes in terms of both structure and function.","container-title":"Proceedings of the National Academy of Sciences of the United States of America","DOI":"10.1073/pnas.87.8.2990","ISSN":"0027-8424","issue":"8","journalAbbreviation":"Proc Natl Acad Sci U S A","language":"eng","note":"PMID: 2109322\nPMCID: PMC53819","page":"2990-2994","source":"PubMed","title":"The second zinc-finger domain of poly(ADP-ribose) polymerase determines specificity for single-stranded breaks in DNA","volume":"87","author":[{"family":"Gradwohl","given":"G."},{"family":"Ménissier de Murcia","given":"J. M."},{"family":"Molinete","given":"M."},{"family":"Simonin","given":"F."},{"family":"Koken","given":"M."},{"family":"Hoeijmakers","given":"J. H."},{"family":"Murcia","given":"G.","non-dropping-particle":"de"}],"issued":{"date-parts":[["1990",4]]}}}],"schema":"https://github.com/citation-style-language/schema/raw/master/csl-citation.json"}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[277–279]</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Этот мотив имеет сильное сродство к ПАР: субнаномолярный порядок белка </w:t>
      </w:r>
      <w:r w:rsidRPr="00107040">
        <w:rPr>
          <w:rFonts w:ascii="Times New Roman" w:hAnsi="Times New Roman"/>
          <w:sz w:val="28"/>
          <w:szCs w:val="28"/>
          <w:lang w:val="en-US"/>
        </w:rPr>
        <w:t>APLF</w:t>
      </w:r>
      <w:r w:rsidRPr="00107040">
        <w:rPr>
          <w:rFonts w:ascii="Times New Roman" w:hAnsi="Times New Roman"/>
          <w:sz w:val="28"/>
          <w:szCs w:val="28"/>
        </w:rPr>
        <w:t xml:space="preserve">, содержит два тандемных домена </w:t>
      </w:r>
      <w:r w:rsidRPr="00107040">
        <w:rPr>
          <w:rFonts w:ascii="Times New Roman" w:hAnsi="Times New Roman"/>
          <w:sz w:val="28"/>
          <w:szCs w:val="28"/>
          <w:lang w:val="en-US"/>
        </w:rPr>
        <w:t>PBZ</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{"citationID":"49f66Zko","properties":{"formattedCitation":"[280]","plainCitation":"[280]","noteIndex":0},"citationItems":[{"id":295,"uris":["http://zotero.org/users/9078202/items/8QUIH9EE"],"itemData":{"id":295,"type":"article-journal","abstract":"Poly(ADP-ribosyl)ation by poly(ADP-ribose) polymerases regulates the interaction of many DNA damage and repair factors with sites of DNA strand lesions. The interaction of these factors with poly(ADP-ribose) (PAR) is mediated by specific domains, including the recently identified PAR-binding zinc finger (PBZ) domain. However, the mechanism governing these interactions is unclear. To better understand the PBZ-PAR interaction, we performed a detailed examination of the representative PBZ-containing protein involved in the DNA damage response, aprataxin polynucleotide-kinase-like factor (APLF), which possesses two tandem PBZ domains. Here we present structural and biochemical studies that identify Y381/Y386 and Y423/Y428 residues in the conserved C(M/P)Y and CYR motifs within each APLF PBZ domain that are critical for the interaction with the adenine ring of ADP-ribose. Basic residues (R387 and R429 in the first and second PBZ domains, respectively) coordinate additional interactions with the phosphate backbone of ADP-ribose, suggesting that APLF binds to multiple ADP-ribose residues along PAR polymers. These C(M/P)Y and CYR motifs form a basic/hydrophobic pocket within a variant zinc finger structure and are required for APLF recruitment to sites of DNA damage in vivo.","container-title":"Proceedings of the National Academy of Sciences of the United States of America","DOI":"10.1073/pnas.1000556107","ISSN":"1091-6490","issue":"20","journalAbbreviation":"Proc Natl Acad Sci U S A","language":"eng","note":"PMID: 20439749\nPMCID: PMC2889080","page":"9129-9134","source":"PubMed","title":"Structure and identification of ADP-ribose recognition motifs of APLF and role in the DNA damage response","volume":"107","author":[{"family":"Li","given":"Guang-Yao"},{"family":"McCulloch","given":"Richard D."},{"family":"Fenton","given":"Amanda L."},{"family":"Cheung","given":"Melissa"},{"family":"Meng","given":"Li"},{"family":"Ikura","given":"Mitsuhiko"},{"family":"Koch","given":"C. Anne"}],"issued":{"date-parts":[["2010",5,18]]}}}],"schema":"https://github.com/citation-style-language/schema/raw/master/csl-citation.json"}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[280]</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000D79A1" w14:textId="77777777" w:rsidR="00107040" w:rsidRPr="00107040" w:rsidRDefault="00107040" w:rsidP="00107040">
      <w:pPr>
        <w:spacing w:after="0" w:line="240" w:lineRule="auto"/>
        <w:ind w:firstLine="567"/>
        <w:jc w:val="both"/>
        <w:rPr>
          <w:rFonts w:ascii="Times New Roman" w:hAnsi="Times New Roman"/>
          <w:sz w:val="28"/>
          <w:szCs w:val="28"/>
        </w:rPr>
      </w:pPr>
    </w:p>
    <w:p w14:paraId="1FFFC2D2" w14:textId="77777777" w:rsidR="00107040" w:rsidRPr="00107040" w:rsidRDefault="00107040" w:rsidP="00107040">
      <w:pPr>
        <w:spacing w:after="0" w:line="240" w:lineRule="auto"/>
        <w:ind w:firstLine="567"/>
        <w:jc w:val="both"/>
        <w:rPr>
          <w:rFonts w:ascii="Times New Roman" w:hAnsi="Times New Roman"/>
          <w:sz w:val="28"/>
          <w:szCs w:val="28"/>
        </w:rPr>
      </w:pPr>
      <w:bookmarkStart w:id="39" w:name="_Hlk113268347"/>
      <w:r w:rsidRPr="00107040">
        <w:rPr>
          <w:rFonts w:ascii="Times New Roman" w:hAnsi="Times New Roman"/>
          <w:sz w:val="28"/>
          <w:szCs w:val="28"/>
        </w:rPr>
        <w:t>1.</w:t>
      </w:r>
      <w:r w:rsidRPr="00107040">
        <w:rPr>
          <w:rFonts w:ascii="Times New Roman" w:hAnsi="Times New Roman"/>
          <w:sz w:val="28"/>
          <w:szCs w:val="28"/>
          <w:lang w:val="kk-KZ"/>
        </w:rPr>
        <w:t>6</w:t>
      </w:r>
      <w:r w:rsidRPr="00107040">
        <w:rPr>
          <w:rFonts w:ascii="Times New Roman" w:hAnsi="Times New Roman"/>
          <w:sz w:val="28"/>
          <w:szCs w:val="28"/>
        </w:rPr>
        <w:t>.3 Макродомены</w:t>
      </w:r>
    </w:p>
    <w:bookmarkEnd w:id="39"/>
    <w:p w14:paraId="31E1C802" w14:textId="139EE75E"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В отличие от мотивов </w:t>
      </w:r>
      <w:r w:rsidRPr="00107040">
        <w:rPr>
          <w:rFonts w:ascii="Times New Roman" w:hAnsi="Times New Roman"/>
          <w:sz w:val="28"/>
          <w:szCs w:val="28"/>
          <w:lang w:val="en-US"/>
        </w:rPr>
        <w:t>PBM</w:t>
      </w:r>
      <w:r w:rsidRPr="00107040">
        <w:rPr>
          <w:rFonts w:ascii="Times New Roman" w:hAnsi="Times New Roman"/>
          <w:sz w:val="28"/>
          <w:szCs w:val="28"/>
        </w:rPr>
        <w:t xml:space="preserve"> и </w:t>
      </w:r>
      <w:r w:rsidRPr="00107040">
        <w:rPr>
          <w:rFonts w:ascii="Times New Roman" w:hAnsi="Times New Roman"/>
          <w:sz w:val="28"/>
          <w:szCs w:val="28"/>
          <w:lang w:val="en-US"/>
        </w:rPr>
        <w:t>PBZ</w:t>
      </w:r>
      <w:r w:rsidRPr="00107040">
        <w:rPr>
          <w:rFonts w:ascii="Times New Roman" w:hAnsi="Times New Roman"/>
          <w:sz w:val="28"/>
          <w:szCs w:val="28"/>
        </w:rPr>
        <w:t xml:space="preserve">, макродомен (рисунок </w:t>
      </w:r>
      <w:r w:rsidRPr="00107040">
        <w:rPr>
          <w:rFonts w:ascii="Times New Roman" w:hAnsi="Times New Roman"/>
          <w:sz w:val="28"/>
          <w:szCs w:val="28"/>
          <w:lang w:val="kk-KZ"/>
        </w:rPr>
        <w:t>7</w:t>
      </w:r>
      <w:r w:rsidRPr="00107040">
        <w:rPr>
          <w:rFonts w:ascii="Times New Roman" w:hAnsi="Times New Roman"/>
          <w:sz w:val="28"/>
          <w:szCs w:val="28"/>
        </w:rPr>
        <w:t xml:space="preserve">) состоит из структурированного мотива приблизительно из 130-190 аминокислот. Этот домен взаимодействует с концевым АДФ-рибозным ПАР и, следовательно, может взаимодействовать с белком, несущим моно-АДФ-рибозу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{"citationID":"9U9HbT4K","properties":{"formattedCitation":"[281]","plainCitation":"[281]","noteIndex":0},"citationItems":[{"id":294,"uris":["http://zotero.org/users/9078202/items/LZRTH44A"],"itemData":{"id":294,"type":"article-journal","abstract":"Posttranslational modifications play key roles in regulating chromatin plasticity. Although various chromatin-remodeling enzymes have been described that respond to specific histone modifications, little is known about the role of poly[adenosine 5'-diphosphate (ADP)-ribose] in chromatin remodeling. Here, we identify a chromatin-remodeling enzyme, ALC1 (Amplified in Liver Cancer 1, also known as CHD1L), that interacts with poly(ADP-ribose) and catalyzes PARP1-stimulated nucleosome sliding. Our results define ALC1 as a DNA damage-response protein whose role in this process is sustained by its association with known DNA repair factors and its rapid poly(ADP-ribose)-dependent recruitment to DNA damage sites. Furthermore, we show that depletion or overexpression of ALC1 results in sensitivity to DNA-damaging agents. Collectively, these results provide new insights into the mechanisms by which poly(ADP-ribose) regulates DNA repair.","container-title":"Science (New York, N.Y.)","DOI":"10.1126/science.1177321","ISSN":"1095-9203","issue":"5945","journalAbbreviation":"Science","language":"eng","note":"PMID: 19661379\nPMCID: PMC3443743","page":"1240-1243","source":"PubMed","title":"Poly(ADP-ribose)-dependent regulation of DNA repair by the chromatin remodeling enzyme ALC1","volume":"325","author":[{"family":"Ahel","given":"Dragana"},{"family":"Horejsí","given":"Zuzana"},{"family":"Wiechens","given":"Nicola"},{"family":"Polo","given":"Sophie E."},{"family":"Garcia-Wilson","given":"Elisa"},{"family":"Ahel","given":"Ivan"},{"family":"Flynn","given":"Helen"},{"family":"Skehel","given":"Mark"},{"family":"West","given":"Stephen C."},{"family":"Jackson","given":"Stephen P."},{"family":"Owen-Hughes","given":"Tom"},{"family":"Boulton","given":"Simon J."}],"issued":{"date-parts":[["2009",9,4]]}}}],"schema":"https://github.com/citation-style-language/schema/raw/master/csl-citation.json"}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[281]</w:t>
      </w:r>
      <w:r w:rsidRPr="00107040">
        <w:rPr>
          <w:rFonts w:ascii="Times New Roman" w:hAnsi="Times New Roman"/>
          <w:sz w:val="28"/>
          <w:szCs w:val="28"/>
          <w:lang w:val="en-US"/>
        </w:rPr>
        <w:fldChar w:fldCharType="end"/>
      </w:r>
      <w:r w:rsidRPr="00107040">
        <w:rPr>
          <w:rFonts w:ascii="Times New Roman" w:hAnsi="Times New Roman"/>
          <w:sz w:val="28"/>
          <w:szCs w:val="28"/>
        </w:rPr>
        <w:t>. Этот домен был идентифицирован в 11 белках, включая три ранее представленных макро</w:t>
      </w:r>
      <w:r w:rsidRPr="00107040">
        <w:rPr>
          <w:rFonts w:ascii="Times New Roman" w:hAnsi="Times New Roman"/>
          <w:sz w:val="28"/>
          <w:szCs w:val="28"/>
          <w:lang w:val="en-US"/>
        </w:rPr>
        <w:t>PARP</w:t>
      </w:r>
      <w:r w:rsidRPr="00107040">
        <w:rPr>
          <w:rFonts w:ascii="Times New Roman" w:hAnsi="Times New Roman"/>
          <w:sz w:val="28"/>
          <w:szCs w:val="28"/>
        </w:rPr>
        <w:t xml:space="preserve"> (</w:t>
      </w:r>
      <w:r w:rsidRPr="00107040">
        <w:rPr>
          <w:rFonts w:ascii="Times New Roman" w:hAnsi="Times New Roman"/>
          <w:sz w:val="28"/>
          <w:szCs w:val="28"/>
          <w:lang w:val="en-US"/>
        </w:rPr>
        <w:t>PARP</w:t>
      </w:r>
      <w:r w:rsidRPr="00107040">
        <w:rPr>
          <w:rFonts w:ascii="Times New Roman" w:hAnsi="Times New Roman"/>
          <w:sz w:val="28"/>
          <w:szCs w:val="28"/>
        </w:rPr>
        <w:t xml:space="preserve">9, </w:t>
      </w:r>
      <w:r w:rsidRPr="00107040">
        <w:rPr>
          <w:rFonts w:ascii="Times New Roman" w:hAnsi="Times New Roman"/>
          <w:sz w:val="28"/>
          <w:szCs w:val="28"/>
          <w:lang w:val="en-US"/>
        </w:rPr>
        <w:t>PARP</w:t>
      </w:r>
      <w:r w:rsidRPr="00107040">
        <w:rPr>
          <w:rFonts w:ascii="Times New Roman" w:hAnsi="Times New Roman"/>
          <w:sz w:val="28"/>
          <w:szCs w:val="28"/>
        </w:rPr>
        <w:t xml:space="preserve">14 и </w:t>
      </w:r>
      <w:r w:rsidRPr="00107040">
        <w:rPr>
          <w:rFonts w:ascii="Times New Roman" w:hAnsi="Times New Roman"/>
          <w:sz w:val="28"/>
          <w:szCs w:val="28"/>
          <w:lang w:val="en-US"/>
        </w:rPr>
        <w:t>PARP</w:t>
      </w:r>
      <w:r w:rsidRPr="00107040">
        <w:rPr>
          <w:rFonts w:ascii="Times New Roman" w:hAnsi="Times New Roman"/>
          <w:sz w:val="28"/>
          <w:szCs w:val="28"/>
        </w:rPr>
        <w:t xml:space="preserve">15). Этот домен также обнаружен в ремоделере хроматина </w:t>
      </w:r>
      <w:r w:rsidRPr="00107040">
        <w:rPr>
          <w:rFonts w:ascii="Times New Roman" w:hAnsi="Times New Roman"/>
          <w:sz w:val="28"/>
          <w:szCs w:val="28"/>
          <w:lang w:val="en-US"/>
        </w:rPr>
        <w:t>ALC</w:t>
      </w:r>
      <w:r w:rsidRPr="00107040">
        <w:rPr>
          <w:rFonts w:ascii="Times New Roman" w:hAnsi="Times New Roman"/>
          <w:sz w:val="28"/>
          <w:szCs w:val="28"/>
        </w:rPr>
        <w:t xml:space="preserve">1 (амплифицированном при раке печени 1), в гистоновом варианте </w:t>
      </w:r>
      <w:r w:rsidRPr="00107040">
        <w:rPr>
          <w:rFonts w:ascii="Times New Roman" w:hAnsi="Times New Roman"/>
          <w:sz w:val="28"/>
          <w:szCs w:val="28"/>
          <w:lang w:val="en-US"/>
        </w:rPr>
        <w:t>macroH</w:t>
      </w:r>
      <w:r w:rsidRPr="00107040">
        <w:rPr>
          <w:rFonts w:ascii="Times New Roman" w:hAnsi="Times New Roman"/>
          <w:sz w:val="28"/>
          <w:szCs w:val="28"/>
        </w:rPr>
        <w:t>2</w:t>
      </w:r>
      <w:r w:rsidRPr="00107040">
        <w:rPr>
          <w:rFonts w:ascii="Times New Roman" w:hAnsi="Times New Roman"/>
          <w:sz w:val="28"/>
          <w:szCs w:val="28"/>
          <w:lang w:val="en-US"/>
        </w:rPr>
        <w:t>A</w:t>
      </w:r>
      <w:r w:rsidRPr="00107040">
        <w:rPr>
          <w:rFonts w:ascii="Times New Roman" w:hAnsi="Times New Roman"/>
          <w:sz w:val="28"/>
          <w:szCs w:val="28"/>
        </w:rPr>
        <w:t xml:space="preserve"> или даже в моноАДФ-рибозогидролазах </w:t>
      </w:r>
      <w:r w:rsidRPr="00107040">
        <w:rPr>
          <w:rFonts w:ascii="Times New Roman" w:hAnsi="Times New Roman"/>
          <w:sz w:val="28"/>
          <w:szCs w:val="28"/>
          <w:lang w:val="en-US"/>
        </w:rPr>
        <w:t>macroD</w:t>
      </w:r>
      <w:r w:rsidRPr="00107040">
        <w:rPr>
          <w:rFonts w:ascii="Times New Roman" w:hAnsi="Times New Roman"/>
          <w:sz w:val="28"/>
          <w:szCs w:val="28"/>
        </w:rPr>
        <w:t xml:space="preserve">1/2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gEEujkiv","properties":{"formattedCitation":"[281\\uc0\\u8211{}283]","plainCitation":"[281–283]","noteIndex":0},"citationItems":[{"id":294,"uris":["http://zotero.org/users/9078202/items/LZRTH44A"],"itemData":{"id":294,"type":"article-journal","abstract":"Posttranslational modifications play key roles in regulating chromatin plasticity. Although various chromatin-remodeling enzymes have been described that respond to specific histone modifications, little is known about the role of poly[adenosine 5'-diphosphate (ADP)-ribose] in chromatin remodeling. Here, we identify a chromatin-remodeling enzyme, ALC1 (Amplified in Liver Cancer 1, also known as CHD1L), that interacts with poly(ADP-ribose) and catalyzes PARP1-stimulated nucleosome sliding. Our results define ALC1 as a DNA damage-response protein whose role in this process is sustained by its association with known DNA repair factors and its rapid poly(ADP-ribose)-dependent recruitment to DNA damage sites. Furthermore, we show that depletion or overexpression of ALC1 results in sensitivity to DNA-damaging agents. Collectively, these results provide new insights into the mechanisms by which poly(ADP-ribose) regulates DNA repair.","container-title":"Science (New York, N.Y.)","DOI":"10.1126/science.1177321","ISSN":"1095-9203","issue":"5945","journalAbbreviation":"Science","language":"eng","note":"PMID: 19661379\nPMCID: PMC3443743","page":"1240-1243","source":"PubMed","title":"Poly(ADP-ribose)-dependent regulation of DNA repair by the chromatin remodeling enzyme ALC1","volume":"325","author":[{"family":"Ahel","given":"Dragana"},{"family":"Horejsí","given":"Zuzana"},{"family":"Wiechens","given":"Nicola"},{"family":"Polo","given":"Sophie E."},{"family":"Garcia-Wilson","given":"Elisa"},{"family":"Ahel","given":"Ivan"},{"family":"Flynn","given":"Helen"},{"family":"Skehel","given":"Mark"},{"family":"West","given":"Stephen C."},{"family":"Jackson","given":"Stephen P."},{"family":"Owen-Hughes","given":"Tom"},{"family":"Boulton","given":"Simon J."}],"issued":{"date-parts":[["2009",9,4]]}}},{"id":293,"uris":["http://zotero.org/users/9078202/items/BC8RRH8I"],"itemData":{"id":293,"type":"article-journal","abstract":"ADP-ribosylation is a reversible post-translational modification with wide-ranging biological functions in all kingdoms of life. A variety of enzymes use NAD(+) to transfer either single or multiple ADP-ribose (ADPr) moieties onto distinct amino acid substrates, often in response to DNA damage or other stresses. Poly-ADPr-glycohydrolase readily reverses poly-ADP-ribosylation induced by the DNA-damage sensor PARP1 and other enzymes, but it does not remove the most proximal ADPr linked to the target amino acid. Searches for enzymes capable of fully reversing cellular mono-ADP-ribosylation back to the unmodified state have proved elusive, which leaves a gap in the understanding of this modification. Here, we identify a family of macrodomain enzymes present in viruses, yeast and animals that reverse cellular ADP-ribosylation by acting on mono-ADP-ribosylated substrates. Our discoveries establish the complete reversibility of PARP-catalyzed cellular ADP-ribosylation as a regulatory modification.","container-title":"Nature Structural &amp; Molecular Biology","DOI":"10.1038/nsmb.2523","ISSN":"1545-9985","issue":"4","journalAbbreviation":"Nat Struct Mol Biol","language":"eng","note":"PMID: 23474712\nPMCID: PMC7097781","page":"508-514","source":"PubMed","title":"A family of macrodomain proteins reverses cellular mono-ADP-ribosylation","volume":"20","author":[{"family":"Jankevicius","given":"Gytis"},{"family":"Hassler","given":"Markus"},{"family":"Golia","given":"Barbara"},{"family":"Rybin","given":"Vladimir"},{"family":"Zacharias","given":"Martin"},{"family":"Timinszky","given":"Gyula"},{"family":"Ladurner","given":"Andreas G."}],"issued":{"date-parts":[["2013",4]]}}},{"id":292,"uris":["http://zotero.org/users/9078202/items/H6F5233Y"],"itemData":{"id":292,"type":"article-journal","abstract":"Poly-ADP-ribosylation is a post-translational modification catalyzed by PARP enzymes with roles in transcription and chromatin biology. Here we show that distinct macrodomains, including those of histone macroH2A1.1, are recruited to sites of PARP1 activation induced by laser-generated DNA damage. Chemical PARP1 inhibitors, PARP1 knockdown and mutation of ADP-ribose-binding residues in macroH2A1.1 abrogate macrodomain recruitment. Notably, histone macroH2A1.1 senses PARP1 activation, transiently compacts chromatin, reduces the recruitment of DNA damage factor Ku70-Ku80 and alters gamma-H2AX patterns, whereas the splice variant macroH2A1.2, which is deficient in poly-ADP-ribose binding, does not mediate chromatin rearrangements upon PARP1 activation. The structure of the macroH2A1.1 macrodomain in complex with ADP-ribose establishes a poly-ADP-ribose cap-binding function and reveals conformational changes in the macrodomain upon ligand binding. We thus identify macrodomains as modules that directly sense PARP activation in vivo and establish macroH2A histones as dynamic regulators of chromatin plasticity.","container-title":"Nature Structural &amp; Molecular Biology","DOI":"10.1038/nsmb.1664","ISSN":"1545-9985","issue":"9","journalAbbreviation":"Nat Struct Mol Biol","language":"eng","note":"PMID: 19680243","page":"923-929","source":"PubMed","title":"A macrodomain-containing histone rearranges chromatin upon sensing PARP1 activation","volume":"16","author":[{"family":"Timinszky","given":"Gyula"},{"family":"Till","given":"Susanne"},{"family":"Hassa","given":"Paul O."},{"family":"Hothorn","given":"Michael"},{"family":"Kustatscher","given":"Georg"},{"family":"Nijmeijer","given":"Bianca"},{"family":"Colombelli","given":"Julien"},{"family":"Altmeyer","given":"Matthias"},{"family":"Stelzer","given":"Ernst H. K."},{"family":"Scheffzek","given":"Klaus"},{"family":"Hottiger","given":"Michael O."},{"family":"Ladurner","given":"Andreas G."}],"issued":{"date-parts":[["2009",9]]}}}],"schema":"https://github.com/citation-style-language/schema/raw/master/csl-citation.json"}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[281–283]</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3DC2D469" w14:textId="77777777" w:rsidR="00107040" w:rsidRPr="00107040" w:rsidRDefault="00107040" w:rsidP="00107040">
      <w:pPr>
        <w:spacing w:after="0" w:line="240" w:lineRule="auto"/>
        <w:ind w:firstLine="567"/>
        <w:jc w:val="center"/>
        <w:rPr>
          <w:rFonts w:ascii="Times New Roman" w:hAnsi="Times New Roman"/>
          <w:sz w:val="28"/>
          <w:szCs w:val="28"/>
        </w:rPr>
      </w:pPr>
    </w:p>
    <w:p w14:paraId="765B9842" w14:textId="77777777" w:rsidR="00107040" w:rsidRPr="00107040" w:rsidRDefault="00107040" w:rsidP="00107040">
      <w:pPr>
        <w:spacing w:after="0" w:line="240" w:lineRule="auto"/>
        <w:jc w:val="center"/>
        <w:rPr>
          <w:rFonts w:ascii="Times New Roman" w:hAnsi="Times New Roman"/>
          <w:sz w:val="28"/>
          <w:szCs w:val="28"/>
          <w:highlight w:val="yellow"/>
        </w:rPr>
      </w:pPr>
      <w:r w:rsidRPr="00107040">
        <w:rPr>
          <w:rFonts w:ascii="Times New Roman" w:hAnsi="Times New Roman"/>
          <w:noProof/>
          <w:sz w:val="28"/>
          <w:szCs w:val="28"/>
          <w:lang w:val="ru-RU" w:eastAsia="ru-RU"/>
        </w:rPr>
        <w:lastRenderedPageBreak/>
        <w:drawing>
          <wp:inline distT="0" distB="0" distL="0" distR="0" wp14:anchorId="0A3E2CFF" wp14:editId="0E50F1A8">
            <wp:extent cx="5991225" cy="3630295"/>
            <wp:effectExtent l="0" t="0" r="952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3630295"/>
                    </a:xfrm>
                    <a:prstGeom prst="rect">
                      <a:avLst/>
                    </a:prstGeom>
                    <a:noFill/>
                    <a:ln>
                      <a:noFill/>
                    </a:ln>
                  </pic:spPr>
                </pic:pic>
              </a:graphicData>
            </a:graphic>
          </wp:inline>
        </w:drawing>
      </w:r>
    </w:p>
    <w:p w14:paraId="32ED0D32" w14:textId="77777777" w:rsidR="00107040" w:rsidRPr="00107040" w:rsidRDefault="00107040" w:rsidP="00107040">
      <w:pPr>
        <w:spacing w:after="0" w:line="240" w:lineRule="auto"/>
        <w:jc w:val="center"/>
        <w:rPr>
          <w:rFonts w:ascii="Times New Roman" w:hAnsi="Times New Roman"/>
          <w:sz w:val="28"/>
          <w:szCs w:val="28"/>
          <w:highlight w:val="yellow"/>
        </w:rPr>
      </w:pPr>
    </w:p>
    <w:p w14:paraId="4B1FFC53" w14:textId="77777777" w:rsidR="00107040" w:rsidRPr="00107040" w:rsidRDefault="00107040" w:rsidP="00107040">
      <w:pPr>
        <w:spacing w:after="0" w:line="240" w:lineRule="auto"/>
        <w:jc w:val="center"/>
        <w:rPr>
          <w:rFonts w:ascii="Times New Roman" w:hAnsi="Times New Roman"/>
          <w:sz w:val="28"/>
          <w:szCs w:val="28"/>
        </w:rPr>
      </w:pPr>
      <w:r w:rsidRPr="00107040">
        <w:rPr>
          <w:rFonts w:ascii="Times New Roman" w:hAnsi="Times New Roman"/>
          <w:sz w:val="28"/>
          <w:szCs w:val="28"/>
        </w:rPr>
        <w:t xml:space="preserve">Рисунок </w:t>
      </w:r>
      <w:r w:rsidRPr="00107040">
        <w:rPr>
          <w:rFonts w:ascii="Times New Roman" w:hAnsi="Times New Roman"/>
          <w:sz w:val="28"/>
          <w:szCs w:val="28"/>
          <w:lang w:val="kk-KZ"/>
        </w:rPr>
        <w:t>7</w:t>
      </w:r>
      <w:r w:rsidRPr="00107040">
        <w:rPr>
          <w:rFonts w:ascii="Times New Roman" w:hAnsi="Times New Roman"/>
          <w:sz w:val="28"/>
          <w:szCs w:val="28"/>
        </w:rPr>
        <w:t xml:space="preserve"> – Считыватели поли (АДФ-рибозы). Полимеразы ПАР используют НАД</w:t>
      </w:r>
      <w:r w:rsidRPr="00107040">
        <w:rPr>
          <w:rFonts w:ascii="Times New Roman" w:hAnsi="Times New Roman"/>
          <w:sz w:val="28"/>
          <w:szCs w:val="28"/>
          <w:vertAlign w:val="superscript"/>
        </w:rPr>
        <w:t>+</w:t>
      </w:r>
      <w:r w:rsidRPr="00107040">
        <w:rPr>
          <w:rFonts w:ascii="Times New Roman" w:hAnsi="Times New Roman"/>
          <w:sz w:val="28"/>
          <w:szCs w:val="28"/>
        </w:rPr>
        <w:t xml:space="preserve"> для образования сильно анионных линейных и разветвленных (не показаны) цепей </w:t>
      </w:r>
      <w:r w:rsidRPr="00107040">
        <w:rPr>
          <w:rFonts w:ascii="Times New Roman" w:hAnsi="Times New Roman"/>
          <w:sz w:val="28"/>
          <w:szCs w:val="28"/>
          <w:lang w:val="kk-KZ"/>
        </w:rPr>
        <w:t>ПАР</w:t>
      </w:r>
      <w:r w:rsidRPr="00107040">
        <w:rPr>
          <w:rFonts w:ascii="Times New Roman" w:hAnsi="Times New Roman"/>
          <w:sz w:val="28"/>
          <w:szCs w:val="28"/>
        </w:rPr>
        <w:t xml:space="preserve"> различного размера и сложности ветвления. В дополнение к классическим, хорошо охарактеризованным </w:t>
      </w:r>
      <w:r w:rsidRPr="00107040">
        <w:rPr>
          <w:rFonts w:ascii="Times New Roman" w:hAnsi="Times New Roman"/>
          <w:sz w:val="28"/>
          <w:szCs w:val="28"/>
          <w:lang w:val="en-US"/>
        </w:rPr>
        <w:t>PAR</w:t>
      </w:r>
      <w:r w:rsidRPr="00107040">
        <w:rPr>
          <w:rFonts w:ascii="Times New Roman" w:hAnsi="Times New Roman"/>
          <w:sz w:val="28"/>
          <w:szCs w:val="28"/>
        </w:rPr>
        <w:t xml:space="preserve">, </w:t>
      </w:r>
      <w:r w:rsidRPr="00107040">
        <w:rPr>
          <w:rFonts w:ascii="Times New Roman" w:hAnsi="Times New Roman"/>
          <w:sz w:val="28"/>
          <w:szCs w:val="28"/>
          <w:lang w:val="en-US"/>
        </w:rPr>
        <w:t>WWE</w:t>
      </w:r>
      <w:r w:rsidRPr="00107040">
        <w:rPr>
          <w:rFonts w:ascii="Times New Roman" w:hAnsi="Times New Roman"/>
          <w:sz w:val="28"/>
          <w:szCs w:val="28"/>
        </w:rPr>
        <w:t xml:space="preserve">, </w:t>
      </w:r>
      <w:r w:rsidRPr="00107040">
        <w:rPr>
          <w:rFonts w:ascii="Times New Roman" w:hAnsi="Times New Roman"/>
          <w:sz w:val="28"/>
          <w:szCs w:val="28"/>
          <w:lang w:val="en-US"/>
        </w:rPr>
        <w:t>PBZ</w:t>
      </w:r>
      <w:r w:rsidRPr="00107040">
        <w:rPr>
          <w:rFonts w:ascii="Times New Roman" w:hAnsi="Times New Roman"/>
          <w:sz w:val="28"/>
          <w:szCs w:val="28"/>
        </w:rPr>
        <w:t xml:space="preserve">, </w:t>
      </w:r>
      <w:r w:rsidRPr="00107040">
        <w:rPr>
          <w:rFonts w:ascii="Times New Roman" w:hAnsi="Times New Roman"/>
          <w:sz w:val="28"/>
          <w:szCs w:val="28"/>
          <w:lang w:val="en-US"/>
        </w:rPr>
        <w:t>PBM</w:t>
      </w:r>
      <w:r w:rsidRPr="00107040">
        <w:rPr>
          <w:rFonts w:ascii="Times New Roman" w:hAnsi="Times New Roman"/>
          <w:sz w:val="28"/>
          <w:szCs w:val="28"/>
        </w:rPr>
        <w:t xml:space="preserve"> и макродоменам (вверху), существуют также недавно появившиеся модули чтения </w:t>
      </w:r>
      <w:r w:rsidRPr="00107040">
        <w:rPr>
          <w:rFonts w:ascii="Times New Roman" w:hAnsi="Times New Roman"/>
          <w:sz w:val="28"/>
          <w:szCs w:val="28"/>
          <w:lang w:val="kk-KZ"/>
        </w:rPr>
        <w:t>ПАР</w:t>
      </w:r>
      <w:r w:rsidRPr="00107040">
        <w:rPr>
          <w:rFonts w:ascii="Times New Roman" w:hAnsi="Times New Roman"/>
          <w:sz w:val="28"/>
          <w:szCs w:val="28"/>
        </w:rPr>
        <w:t xml:space="preserve">, такие как </w:t>
      </w:r>
      <w:r w:rsidRPr="00107040">
        <w:rPr>
          <w:rFonts w:ascii="Times New Roman" w:hAnsi="Times New Roman"/>
          <w:sz w:val="28"/>
          <w:szCs w:val="28"/>
          <w:lang w:val="en-US"/>
        </w:rPr>
        <w:t>FHA</w:t>
      </w:r>
      <w:r w:rsidRPr="00107040">
        <w:rPr>
          <w:rFonts w:ascii="Times New Roman" w:hAnsi="Times New Roman"/>
          <w:sz w:val="28"/>
          <w:szCs w:val="28"/>
        </w:rPr>
        <w:t xml:space="preserve">, </w:t>
      </w:r>
      <w:r w:rsidRPr="00107040">
        <w:rPr>
          <w:rFonts w:ascii="Times New Roman" w:hAnsi="Times New Roman"/>
          <w:sz w:val="28"/>
          <w:szCs w:val="28"/>
          <w:lang w:val="en-US"/>
        </w:rPr>
        <w:t>OB</w:t>
      </w:r>
      <w:r w:rsidRPr="00107040">
        <w:rPr>
          <w:rFonts w:ascii="Times New Roman" w:hAnsi="Times New Roman"/>
          <w:sz w:val="28"/>
          <w:szCs w:val="28"/>
        </w:rPr>
        <w:t>-</w:t>
      </w:r>
      <w:r w:rsidRPr="00107040">
        <w:rPr>
          <w:rFonts w:ascii="Times New Roman" w:hAnsi="Times New Roman"/>
          <w:sz w:val="28"/>
          <w:szCs w:val="28"/>
          <w:lang w:val="en-US"/>
        </w:rPr>
        <w:t>fold</w:t>
      </w:r>
      <w:r w:rsidRPr="00107040">
        <w:rPr>
          <w:rFonts w:ascii="Times New Roman" w:hAnsi="Times New Roman"/>
          <w:sz w:val="28"/>
          <w:szCs w:val="28"/>
        </w:rPr>
        <w:t xml:space="preserve">, домен </w:t>
      </w:r>
      <w:r w:rsidRPr="00107040">
        <w:rPr>
          <w:rFonts w:ascii="Times New Roman" w:hAnsi="Times New Roman"/>
          <w:sz w:val="28"/>
          <w:szCs w:val="28"/>
          <w:lang w:val="en-US"/>
        </w:rPr>
        <w:t>PIN</w:t>
      </w:r>
      <w:r w:rsidRPr="00107040">
        <w:rPr>
          <w:rFonts w:ascii="Times New Roman" w:hAnsi="Times New Roman"/>
          <w:sz w:val="28"/>
          <w:szCs w:val="28"/>
        </w:rPr>
        <w:t xml:space="preserve">, повторы </w:t>
      </w:r>
      <w:r w:rsidRPr="00107040">
        <w:rPr>
          <w:rFonts w:ascii="Times New Roman" w:hAnsi="Times New Roman"/>
          <w:sz w:val="28"/>
          <w:szCs w:val="28"/>
          <w:lang w:val="en-US"/>
        </w:rPr>
        <w:t>RRM</w:t>
      </w:r>
      <w:r w:rsidRPr="00107040">
        <w:rPr>
          <w:rFonts w:ascii="Times New Roman" w:hAnsi="Times New Roman"/>
          <w:sz w:val="28"/>
          <w:szCs w:val="28"/>
        </w:rPr>
        <w:t xml:space="preserve">, </w:t>
      </w:r>
      <w:r w:rsidRPr="00107040">
        <w:rPr>
          <w:rFonts w:ascii="Times New Roman" w:hAnsi="Times New Roman"/>
          <w:sz w:val="28"/>
          <w:szCs w:val="28"/>
          <w:lang w:val="en-US"/>
        </w:rPr>
        <w:t>SR</w:t>
      </w:r>
      <w:r w:rsidRPr="00107040">
        <w:rPr>
          <w:rFonts w:ascii="Times New Roman" w:hAnsi="Times New Roman"/>
          <w:sz w:val="28"/>
          <w:szCs w:val="28"/>
        </w:rPr>
        <w:t xml:space="preserve"> и </w:t>
      </w:r>
      <w:r w:rsidRPr="00107040">
        <w:rPr>
          <w:rFonts w:ascii="Times New Roman" w:hAnsi="Times New Roman"/>
          <w:sz w:val="28"/>
          <w:szCs w:val="28"/>
          <w:lang w:val="en-US"/>
        </w:rPr>
        <w:t>KR</w:t>
      </w:r>
      <w:r w:rsidRPr="00107040">
        <w:rPr>
          <w:rFonts w:ascii="Times New Roman" w:hAnsi="Times New Roman"/>
          <w:sz w:val="28"/>
          <w:szCs w:val="28"/>
        </w:rPr>
        <w:t xml:space="preserve">, повторы </w:t>
      </w:r>
      <w:r w:rsidRPr="00107040">
        <w:rPr>
          <w:rFonts w:ascii="Times New Roman" w:hAnsi="Times New Roman"/>
          <w:sz w:val="28"/>
          <w:szCs w:val="28"/>
          <w:lang w:val="en-US"/>
        </w:rPr>
        <w:t>RGG</w:t>
      </w:r>
      <w:r w:rsidRPr="00107040">
        <w:rPr>
          <w:rFonts w:ascii="Times New Roman" w:hAnsi="Times New Roman"/>
          <w:sz w:val="28"/>
          <w:szCs w:val="28"/>
        </w:rPr>
        <w:t xml:space="preserve"> и </w:t>
      </w:r>
      <w:r w:rsidRPr="00107040">
        <w:rPr>
          <w:rFonts w:ascii="Times New Roman" w:hAnsi="Times New Roman"/>
          <w:sz w:val="28"/>
          <w:szCs w:val="28"/>
          <w:lang w:val="en-US"/>
        </w:rPr>
        <w:t>BRCT</w:t>
      </w:r>
      <w:r w:rsidRPr="00107040">
        <w:rPr>
          <w:rFonts w:ascii="Times New Roman" w:hAnsi="Times New Roman"/>
          <w:sz w:val="28"/>
          <w:szCs w:val="28"/>
        </w:rPr>
        <w:t xml:space="preserve"> (внизу) отображаются как считыватели и эффекторы ПАР. Разветвленные стрелки указывают на то, что точные сайты связывания не идентифицированы. </w:t>
      </w:r>
    </w:p>
    <w:p w14:paraId="251FC8BB" w14:textId="77777777" w:rsidR="00107040" w:rsidRPr="00107040" w:rsidRDefault="00107040" w:rsidP="00107040">
      <w:pPr>
        <w:spacing w:after="0" w:line="240" w:lineRule="auto"/>
        <w:ind w:firstLine="567"/>
        <w:rPr>
          <w:rFonts w:ascii="Times New Roman" w:hAnsi="Times New Roman"/>
          <w:sz w:val="28"/>
          <w:szCs w:val="28"/>
        </w:rPr>
      </w:pPr>
    </w:p>
    <w:p w14:paraId="4F6479D6" w14:textId="36F5F00A" w:rsidR="00107040" w:rsidRPr="00107040" w:rsidRDefault="00107040" w:rsidP="00107040">
      <w:pPr>
        <w:spacing w:after="0" w:line="240" w:lineRule="auto"/>
        <w:ind w:firstLine="567"/>
        <w:rPr>
          <w:rFonts w:ascii="Times New Roman" w:hAnsi="Times New Roman"/>
          <w:sz w:val="28"/>
          <w:szCs w:val="28"/>
        </w:rPr>
      </w:pPr>
      <w:r w:rsidRPr="00107040">
        <w:rPr>
          <w:rFonts w:ascii="Times New Roman" w:eastAsia="Arial Unicode MS" w:hAnsi="Times New Roman"/>
          <w:bCs/>
          <w:sz w:val="28"/>
          <w:szCs w:val="28"/>
          <w:lang w:bidi="en-US"/>
        </w:rPr>
        <w:t>Примечание – Составлено автором на основе источника</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{"citationID":"vhCXsanW","properties":{"formattedCitation":"[259]","plainCitation":"[259]","noteIndex":0},"citationItems":[{"id":321,"uris":["http://zotero.org/users/9078202/items/4KBLXPSW"],"itemData":{"id":321,"type":"article-journal","abstract":"Post-translational modifications (PTMs) regulate many aspects of protein function and are indispensable for the spatio-temporal regulation of cellular processes. The proteome-wide identification of PTM targets has made significant progress in recent years, as has the characterization of their writers, readers, modifiers and erasers. One of the most elusive PTMs is poly(ADP-ribosyl)ation (PARylation), a nucleic acid-like PTM involved in chromatin dynamics, genome stability maintenance, transcription, cell metabolism and development. In this article, we provide an overview on our current understanding of the writers of this modification and their targets, as well as the enzymes that degrade and thereby modify and erase poly(ADP-ribose) (PAR). Since many cellular functions of PARylation are exerted through dynamic interactions of PAR-binding proteins with PAR, we discuss the readers of this modification and provide a synthesis of recent findings, which suggest that multiple structurally highly diverse reader modules, ranging from completely folded PAR-binding domains to intrinsically disordered sequence stretches, evolved as PAR effectors to carry out specific cellular functions.","container-title":"Nucleic Acids Research","DOI":"10.1093/nar/gkv1383","ISSN":"1362-4962","issue":"3","journalAbbreviation":"Nucleic Acids Res","language":"eng","note":"PMID: 26673700\nPMCID: PMC4756826","page":"993-1006","source":"PubMed","title":"Readers of poly(ADP-ribose): designed to be fit for purpose","title-short":"Readers of poly(ADP-ribose)","volume":"44","author":[{"family":"Teloni","given":"Federico"},{"family":"Altmeyer","given":"Matthias"}],"issued":{"date-parts":[["2016",2,18]]}}}],"schema":"https://github.com/citation-style-language/schema/raw/master/csl-citation.json"}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[259]</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5CA2E0A8" w14:textId="77777777" w:rsidR="00107040" w:rsidRPr="00107040" w:rsidRDefault="00107040" w:rsidP="00107040">
      <w:pPr>
        <w:spacing w:after="0" w:line="240" w:lineRule="auto"/>
        <w:ind w:firstLine="567"/>
        <w:jc w:val="center"/>
        <w:rPr>
          <w:rFonts w:ascii="Times New Roman" w:hAnsi="Times New Roman"/>
          <w:sz w:val="28"/>
          <w:szCs w:val="28"/>
        </w:rPr>
      </w:pPr>
    </w:p>
    <w:p w14:paraId="6F9165AB" w14:textId="77777777" w:rsidR="00107040" w:rsidRPr="00107040" w:rsidRDefault="00107040" w:rsidP="00107040">
      <w:pPr>
        <w:spacing w:after="0" w:line="240" w:lineRule="auto"/>
        <w:ind w:firstLine="567"/>
        <w:jc w:val="both"/>
        <w:rPr>
          <w:rFonts w:ascii="Times New Roman" w:hAnsi="Times New Roman"/>
          <w:sz w:val="28"/>
          <w:szCs w:val="28"/>
        </w:rPr>
      </w:pPr>
      <w:bookmarkStart w:id="40" w:name="_Hlk113268382"/>
      <w:r w:rsidRPr="00107040">
        <w:rPr>
          <w:rFonts w:ascii="Times New Roman" w:hAnsi="Times New Roman"/>
          <w:sz w:val="28"/>
          <w:szCs w:val="28"/>
        </w:rPr>
        <w:t>1.</w:t>
      </w:r>
      <w:r w:rsidRPr="00107040">
        <w:rPr>
          <w:rFonts w:ascii="Times New Roman" w:hAnsi="Times New Roman"/>
          <w:sz w:val="28"/>
          <w:szCs w:val="28"/>
          <w:lang w:val="kk-KZ"/>
        </w:rPr>
        <w:t>6</w:t>
      </w:r>
      <w:r w:rsidRPr="00107040">
        <w:rPr>
          <w:rFonts w:ascii="Times New Roman" w:hAnsi="Times New Roman"/>
          <w:sz w:val="28"/>
          <w:szCs w:val="28"/>
        </w:rPr>
        <w:t xml:space="preserve">.4 Мотив </w:t>
      </w:r>
      <w:r w:rsidRPr="00107040">
        <w:rPr>
          <w:rFonts w:ascii="Times New Roman" w:hAnsi="Times New Roman"/>
          <w:sz w:val="28"/>
          <w:szCs w:val="28"/>
          <w:lang w:val="en-US"/>
        </w:rPr>
        <w:t>WWE</w:t>
      </w:r>
    </w:p>
    <w:bookmarkEnd w:id="40"/>
    <w:p w14:paraId="37F64CC1" w14:textId="3D7F74CE"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Этот мотив содержит консервативные остатки триптофана (</w:t>
      </w:r>
      <w:r w:rsidRPr="00107040">
        <w:rPr>
          <w:rFonts w:ascii="Times New Roman" w:hAnsi="Times New Roman"/>
          <w:sz w:val="28"/>
          <w:szCs w:val="28"/>
          <w:lang w:val="en-US"/>
        </w:rPr>
        <w:t>W</w:t>
      </w:r>
      <w:r w:rsidRPr="00107040">
        <w:rPr>
          <w:rFonts w:ascii="Times New Roman" w:hAnsi="Times New Roman"/>
          <w:sz w:val="28"/>
          <w:szCs w:val="28"/>
        </w:rPr>
        <w:t>) и глутамата (</w:t>
      </w:r>
      <w:r w:rsidRPr="00107040">
        <w:rPr>
          <w:rFonts w:ascii="Times New Roman" w:hAnsi="Times New Roman"/>
          <w:sz w:val="28"/>
          <w:szCs w:val="28"/>
          <w:lang w:val="en-US"/>
        </w:rPr>
        <w:t>E</w:t>
      </w:r>
      <w:r w:rsidRPr="00107040">
        <w:rPr>
          <w:rFonts w:ascii="Times New Roman" w:hAnsi="Times New Roman"/>
          <w:sz w:val="28"/>
          <w:szCs w:val="28"/>
        </w:rPr>
        <w:t xml:space="preserve">). Мотив WWE (рисунок </w:t>
      </w:r>
      <w:r w:rsidRPr="00107040">
        <w:rPr>
          <w:rFonts w:ascii="Times New Roman" w:hAnsi="Times New Roman"/>
          <w:sz w:val="28"/>
          <w:szCs w:val="28"/>
          <w:lang w:val="kk-KZ"/>
        </w:rPr>
        <w:t>7</w:t>
      </w:r>
      <w:r w:rsidRPr="00107040">
        <w:rPr>
          <w:rFonts w:ascii="Times New Roman" w:hAnsi="Times New Roman"/>
          <w:sz w:val="28"/>
          <w:szCs w:val="28"/>
        </w:rPr>
        <w:t xml:space="preserve">) обнаружен в белках семейства PARP (PARP11 и PARP14) и убиквитинлигаз (DELTEX1, DELTEX2, DELTEX4 и HUWE1). Было показано, что активность некоторых убиквитинлигаз Е3 требует связывания с ПАР через их </w:t>
      </w:r>
      <w:r w:rsidRPr="00107040">
        <w:rPr>
          <w:rFonts w:ascii="Times New Roman" w:hAnsi="Times New Roman"/>
          <w:sz w:val="28"/>
          <w:szCs w:val="28"/>
          <w:lang w:val="en-US"/>
        </w:rPr>
        <w:t>WWE</w:t>
      </w:r>
      <w:r w:rsidRPr="00107040">
        <w:rPr>
          <w:rFonts w:ascii="Times New Roman" w:hAnsi="Times New Roman"/>
          <w:sz w:val="28"/>
          <w:szCs w:val="28"/>
        </w:rPr>
        <w:t xml:space="preserve"> мотив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{"citationID":"3jr2ufZV","properties":{"formattedCitation":"[284,285]","plainCitation":"[284,285]","noteIndex":0},"citationItems":[{"id":291,"uris":["http://zotero.org/users/9078202/items/5SXTRY82"],"itemData":{"id":291,"type":"article-journal","abstract":"Protein poly(ADP-ribosyl)ation (PARylation) has a role in diverse cellular processes such as DNA repair, transcription, Wnt signalling, and cell death. Recent studies have shown that PARylation can serve as a signal for the polyubiquitination and degradation of several crucial regulatory proteins, including Axin and 3BP2 (refs 7, 8, 9). The RING-type E3 ubiquitin ligase RNF146 (also known as Iduna) is responsible for PARylation-dependent ubiquitination (PARdU). Here we provide a structural basis for RNF146-catalysed PARdU and how PARdU specificity is achieved. First, we show that iso-ADP-ribose (iso-ADPr), the smallest internal poly(ADP-ribose) (PAR) structural unit, binds between the WWE and RING domains of RNF146 and functions as an allosteric signal that switches the RING domain from a catalytically inactive state to an active one. In the absence of PAR, the RING domain is unable to bind and activate a ubiquitin-conjugating enzyme (E2) efficiently. Binding of PAR or iso-ADPr induces a major conformational change that creates a functional RING structure. Thus, RNF146 represents a new mechanistic class of RING E3 ligases, the activities of which are regulated by non-covalent ligand binding, and that may provide a template for designing inducible protein-degradation systems. Second, we find that RNF146 directly interacts with the PAR polymerase tankyrase (TNKS). Disruption of the RNF146-TNKS interaction inhibits turnover of the substrate Axin in cells. Thus, both substrate PARylation and PARdU are catalysed by enzymes within the same protein complex, and PARdU substrate specificity may be primarily determined by the substrate-TNKS interaction. We propose that the maintenance of unliganded RNF146 in an inactive state may serve to maintain the stability of the RNF146-TNKS complex, which in turn regulates the homeostasis of PARdU activity in the cell.","container-title":"Nature","DOI":"10.1038/nature13826","ISSN":"1476-4687","issue":"7533","journalAbbreviation":"Nature","language":"eng","note":"PMID: 25327252\nPMCID: PMC4289021","page":"223-226","source":"PubMed","title":"Allosteric activation of the RNF146 ubiquitin ligase by a poly(ADP-ribosyl)ation signal","volume":"517","author":[{"family":"DaRosa","given":"Paul A."},{"family":"Wang","given":"Zhizhi"},{"family":"Jiang","given":"Xiaomo"},{"family":"Pruneda","given":"Jonathan N."},{"family":"Cong","given":"Feng"},{"family":"Klevit","given":"Rachel E."},{"family":"Xu","given":"Wenqing"}],"issued":{"date-parts":[["2015",1,8]]}}},{"id":290,"uris":["http://zotero.org/users/9078202/items/5BDSK6FS"],"itemData":{"id":290,"type":"article-journal","abstract":"Ubiquitin mediated protein degradation is crucial for regulation of cell signaling and protein quality control. Poly(ADP-ribose) (PAR) is a cell-signaling molecule that mediates changes in protein function through binding at PAR binding sites. Here we characterize the PAR binding protein, Iduna, and show that it is a PAR-dependent ubiquitin E3 ligase. Iduna's E3 ligase activity requires PAR binding because point mutations at Y156A and R157A eliminate Iduna's PAR binding and Iduna's E3 ligase activity. Iduna's E3 ligase activity also requires an intact really interesting new gene (RING) domain because Iduna possessing point mutations at either H54A or C60A is devoid of ubiquitination activity. Tandem affinity purification reveals that Iduna binds to a number of proteins that are either PARsylated or bind PAR including PAR polymerase-1, 2 (PARP1, 2), nucleolin, DNA ligase III, KU70, KU86, XRCC1, and histones. PAR binding to Iduna activates its E3 ligase function, and PAR binding is required for Iduna ubiquitination of PARP1, XRCC1, DNA ligase III, and KU70. Iduna's PAR-dependent ubiquitination of PARP1 targets it for proteasomal degradation. Via PAR binding and ubiquitin E3 ligase activity, Iduna protects against cell death induced by the DNA damaging agent N-methyl-N-nitro-N- nitrosoguanidine (MNNG) and rescues cells from G1 arrest and promotes cell survival after γ-irradiation. Moreover, Iduna facilitates DNA repair by reducing apurinic/apyrimidinic (AP) sites after MNNG exposure and facilitates DNA repair following γ-irradiation as assessed by the comet assay. These results define Iduna as a PAR-dependent E3 ligase that regulates cell survival and DNA repair.","container-title":"Proceedings of the National Academy of Sciences of the United States of America","DOI":"10.1073/pnas.1108799108","ISSN":"0027-8424","issue":"34","page":"14103-14108","source":"Kyung Hee University","title":"Iduna is a poly(ADP-ribose) (PAR)-dependent E3 ubiquitin ligase that regulates DNA damage","URL":"http://www.scopus.com/inward/record.url?scp=80052153015&amp;partnerID=8YFLogxK","volume":"108","author":[{"family":"Kang","given":"Ho Chul"},{"family":"Lee","given":"Yun Il"},{"family":"Shin","given":"Joo Ho"},{"family":"Andrabi","given":"Shaida A."},{"family":"Chi","given":"Zhikai"},{"family":"Gagné","given":"Jean Philippe"},{"family":"Lee","given":"Yunjong"},{"family":"Ko","given":"Han Seok"},{"family":"Lee","given":"Byoung Dae"},{"family":"Poirier","given":"Guy G."},{"family":"Dawson","given":"Valina L."},{"family":"Dawson","given":"Ted M."}],"accessed":{"date-parts":[["2022",4,11]]},"issued":{"date-parts":[["2011",8,23]]}}}],"schema":"https://github.com/citation-style-language/schema/raw/master/csl-citation.json"}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[284,285]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Это может свидетельствовать о том, что ПАРилирование некоторых белков может служить сигналом для их последовательного убиквитинилирования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{"citationID":"Ct4fOKqV","properties":{"formattedCitation":"[286]","plainCitation":"[286]","noteIndex":0},"citationItems":[{"id":289,"uris":["http://zotero.org/users/9078202/items/4SNQX9F3"],"itemData":{"id":289,"type":"article-journal","abstract":"Protein poly(ADP-ribosyl)ation and ubiquitination are two key post-translational modifications regulating many biological processes. Through crystallographic and biochemical analysis, we show that the RNF146 WWE domain recognizes poly(ADP-ribose) (PAR) by interacting with iso-ADP-ribose (iso-ADPR), the smallest internal PAR structural unit containing the characteristic ribose-ribose glycosidic bond formed during poly(ADP-ribosyl)ation. The key iso-ADPR-binding residues we identified are highly conserved among WWE domains. Binding assays further demonstrate that PAR binding is a common function for the WWE domain family. Since many WWE domain-containing proteins are known E3 ubiquitin ligases, our results suggest that protein poly(ADP-ribosyl)ation may be a general mechanism to target proteins for ubiquitination.","container-title":"Genes &amp; Development","DOI":"10.1101/gad.182618.111","ISSN":"1549-5477","issue":"3","journalAbbreviation":"Genes Dev","language":"eng","note":"PMID: 22267412\nPMCID: PMC3278890","page":"235-240","source":"PubMed","title":"Recognition of the iso-ADP-ribose moiety in poly(ADP-ribose) by WWE domains suggests a general mechanism for poly(ADP-ribosyl)ation-dependent ubiquitination","volume":"26","author":[{"family":"Wang","given":"Zhizhi"},{"family":"Michaud","given":"Gregory A."},{"family":"Cheng","given":"Zhihong"},{"family":"Zhang","given":"Yue"},{"family":"Hinds","given":"Thomas R."},{"family":"Fan","given":"Erkang"},{"family":"Cong","given":"Feng"},{"family":"Xu","given":"Wenqing"}],"issued":{"date-parts":[["2012",2,1]]}}}],"schema":"https://github.com/citation-style-language/schema/raw/master/csl-citation.json"}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[286]</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Было ясно продемонстрировано, что домен WWE специфически распознает рибозо-рибозогликозидные связи в полимере </w:t>
      </w:r>
      <w:r w:rsidRPr="00107040">
        <w:rPr>
          <w:rFonts w:ascii="Times New Roman" w:hAnsi="Times New Roman"/>
          <w:sz w:val="28"/>
          <w:szCs w:val="28"/>
          <w:lang w:val="kk-KZ"/>
        </w:rPr>
        <w:t>ПАР</w:t>
      </w:r>
      <w:r w:rsidRPr="00107040">
        <w:rPr>
          <w:rFonts w:ascii="Times New Roman" w:hAnsi="Times New Roman"/>
          <w:sz w:val="28"/>
          <w:szCs w:val="28"/>
        </w:rPr>
        <w:t>, а не единичное звено AD</w:t>
      </w:r>
      <w:r w:rsidRPr="00107040">
        <w:rPr>
          <w:rFonts w:ascii="Times New Roman" w:hAnsi="Times New Roman"/>
          <w:sz w:val="28"/>
          <w:szCs w:val="28"/>
          <w:lang w:val="kk-KZ"/>
        </w:rPr>
        <w:t>Фр</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{"citationID":"XeunDeOx","properties":{"formattedCitation":"[286]","plainCitation":"[286]","noteIndex":0},"citationItems":[{"id":289,"uris":["http://zotero.org/users/9078202/items/4SNQX9F3"],"itemData":{"id":289,"type":"article-journal","abstract":"Protein poly(ADP-ribosyl)ation and ubiquitination are two key post-translational modifications regulating many biological processes. Through crystallographic and biochemical analysis, we show that the RNF146 WWE domain recognizes poly(ADP-ribose) (PAR) by interacting with iso-ADP-ribose (iso-ADPR), the smallest internal PAR structural unit containing the characteristic ribose-ribose glycosidic bond formed during poly(ADP-ribosyl)ation. The key iso-ADPR-binding residues we identified are highly conserved among WWE domains. Binding assays further demonstrate that PAR binding is a common function for the WWE domain family. Since many WWE domain-containing proteins are known E3 ubiquitin ligases, our results suggest that protein poly(ADP-ribosyl)ation may be a general mechanism to target proteins for ubiquitination.","container-title":"Genes &amp; Development","DOI":"10.1101/gad.182618.111","ISSN":"1549-5477","issue":"3","journalAbbreviation":"Genes Dev","language":"eng","note":"PMID: 22267412\nPMCID: PMC3278890","page":"235-240","source":"PubMed","title":"Recognition of the iso-ADP-ribose moiety in poly(ADP-ribose) by WWE domains suggests a general mechanism for poly(ADP-ribosyl)ation-dependent ubiquitination","volume":"26","author":[{"family":"Wang","given":"Zhizhi"},{"family":"Michaud","given":"Gregory A."},{"family":"Cheng","given":"Zhihong"},{"family":"Zhang","given":"Yue"},{"family":"Hinds","given":"Thomas R."},{"family":"Fan","given":"Erkang"},{"family":"Cong","given":"Feng"},{"family":"Xu","given":"Wenqing"}],"issued":{"date-parts":[["2012",2,1]]}}}],"schema":"https://github.com/citation-style-language/schema/raw/master/csl-citation.json"}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[286]</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7EEB56DC" w14:textId="77777777" w:rsidR="00107040" w:rsidRPr="00107040" w:rsidRDefault="00107040" w:rsidP="00107040">
      <w:pPr>
        <w:spacing w:after="0" w:line="240" w:lineRule="auto"/>
        <w:ind w:firstLine="567"/>
        <w:jc w:val="both"/>
        <w:rPr>
          <w:rFonts w:ascii="Times New Roman" w:hAnsi="Times New Roman"/>
          <w:sz w:val="28"/>
          <w:szCs w:val="28"/>
        </w:rPr>
      </w:pPr>
    </w:p>
    <w:p w14:paraId="25703274" w14:textId="77777777" w:rsidR="00107040" w:rsidRPr="00107040" w:rsidRDefault="00107040" w:rsidP="00107040">
      <w:pPr>
        <w:spacing w:after="0" w:line="240" w:lineRule="auto"/>
        <w:ind w:firstLine="567"/>
        <w:jc w:val="both"/>
        <w:rPr>
          <w:rFonts w:ascii="Times New Roman" w:hAnsi="Times New Roman"/>
          <w:sz w:val="28"/>
          <w:szCs w:val="28"/>
        </w:rPr>
      </w:pPr>
      <w:bookmarkStart w:id="41" w:name="_Hlk113268396"/>
      <w:r w:rsidRPr="00107040">
        <w:rPr>
          <w:rFonts w:ascii="Times New Roman" w:hAnsi="Times New Roman"/>
          <w:sz w:val="28"/>
          <w:szCs w:val="28"/>
        </w:rPr>
        <w:t>1.</w:t>
      </w:r>
      <w:r w:rsidRPr="00107040">
        <w:rPr>
          <w:rFonts w:ascii="Times New Roman" w:hAnsi="Times New Roman"/>
          <w:sz w:val="28"/>
          <w:szCs w:val="28"/>
          <w:lang w:val="kk-KZ"/>
        </w:rPr>
        <w:t>6</w:t>
      </w:r>
      <w:r w:rsidRPr="00107040">
        <w:rPr>
          <w:rFonts w:ascii="Times New Roman" w:hAnsi="Times New Roman"/>
          <w:sz w:val="28"/>
          <w:szCs w:val="28"/>
        </w:rPr>
        <w:t>.5 Домены распознавания фосфорилирования (</w:t>
      </w:r>
      <w:r w:rsidRPr="00107040">
        <w:rPr>
          <w:rFonts w:ascii="Times New Roman" w:hAnsi="Times New Roman"/>
          <w:sz w:val="28"/>
          <w:szCs w:val="28"/>
          <w:lang w:val="en-US"/>
        </w:rPr>
        <w:t>BRCT</w:t>
      </w:r>
      <w:r w:rsidRPr="00107040">
        <w:rPr>
          <w:rFonts w:ascii="Times New Roman" w:hAnsi="Times New Roman"/>
          <w:sz w:val="28"/>
          <w:szCs w:val="28"/>
        </w:rPr>
        <w:t>/</w:t>
      </w:r>
      <w:r w:rsidRPr="00107040">
        <w:rPr>
          <w:rFonts w:ascii="Times New Roman" w:hAnsi="Times New Roman"/>
          <w:sz w:val="28"/>
          <w:szCs w:val="28"/>
          <w:lang w:val="en-US"/>
        </w:rPr>
        <w:t>FHA</w:t>
      </w:r>
      <w:r w:rsidRPr="00107040">
        <w:rPr>
          <w:rFonts w:ascii="Times New Roman" w:hAnsi="Times New Roman"/>
          <w:sz w:val="28"/>
          <w:szCs w:val="28"/>
        </w:rPr>
        <w:t>)</w:t>
      </w:r>
    </w:p>
    <w:bookmarkEnd w:id="41"/>
    <w:p w14:paraId="5C4C61C8" w14:textId="598C4D35"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Хорошо известно, что домены </w:t>
      </w:r>
      <w:r w:rsidRPr="00107040">
        <w:rPr>
          <w:rFonts w:ascii="Times New Roman" w:hAnsi="Times New Roman"/>
          <w:sz w:val="28"/>
          <w:szCs w:val="28"/>
          <w:lang w:val="en-US"/>
        </w:rPr>
        <w:t>BRCT</w:t>
      </w:r>
      <w:r w:rsidRPr="00107040">
        <w:rPr>
          <w:rFonts w:ascii="Times New Roman" w:hAnsi="Times New Roman"/>
          <w:sz w:val="28"/>
          <w:szCs w:val="28"/>
        </w:rPr>
        <w:t xml:space="preserve"> (С-концевой </w:t>
      </w:r>
      <w:r w:rsidRPr="00107040">
        <w:rPr>
          <w:rFonts w:ascii="Times New Roman" w:hAnsi="Times New Roman"/>
          <w:sz w:val="28"/>
          <w:szCs w:val="28"/>
          <w:lang w:val="en-US"/>
        </w:rPr>
        <w:t>BRCA</w:t>
      </w:r>
      <w:r w:rsidRPr="00107040">
        <w:rPr>
          <w:rFonts w:ascii="Times New Roman" w:hAnsi="Times New Roman"/>
          <w:sz w:val="28"/>
          <w:szCs w:val="28"/>
        </w:rPr>
        <w:t xml:space="preserve">1) и </w:t>
      </w:r>
      <w:r w:rsidRPr="00107040">
        <w:rPr>
          <w:rFonts w:ascii="Times New Roman" w:hAnsi="Times New Roman"/>
          <w:sz w:val="28"/>
          <w:szCs w:val="28"/>
          <w:lang w:val="en-US"/>
        </w:rPr>
        <w:t>FHA</w:t>
      </w:r>
      <w:r w:rsidRPr="00107040">
        <w:rPr>
          <w:rFonts w:ascii="Times New Roman" w:hAnsi="Times New Roman"/>
          <w:sz w:val="28"/>
          <w:szCs w:val="28"/>
        </w:rPr>
        <w:t xml:space="preserve"> (связанный вилкой) (рисунок </w:t>
      </w:r>
      <w:r w:rsidRPr="00107040">
        <w:rPr>
          <w:rFonts w:ascii="Times New Roman" w:hAnsi="Times New Roman"/>
          <w:sz w:val="28"/>
          <w:szCs w:val="28"/>
          <w:lang w:val="kk-KZ"/>
        </w:rPr>
        <w:t>7</w:t>
      </w:r>
      <w:r w:rsidRPr="00107040">
        <w:rPr>
          <w:rFonts w:ascii="Times New Roman" w:hAnsi="Times New Roman"/>
          <w:sz w:val="28"/>
          <w:szCs w:val="28"/>
        </w:rPr>
        <w:t xml:space="preserve">) обладают сродством к фосфорилированным </w:t>
      </w:r>
      <w:r w:rsidRPr="00107040">
        <w:rPr>
          <w:rFonts w:ascii="Times New Roman" w:hAnsi="Times New Roman"/>
          <w:sz w:val="28"/>
          <w:szCs w:val="28"/>
        </w:rPr>
        <w:lastRenderedPageBreak/>
        <w:t xml:space="preserve">белкам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{"citationID":"KdWSvou0","properties":{"formattedCitation":"[286,287]","plainCitation":"[286,287]","noteIndex":0},"citationItems":[{"id":289,"uris":["http://zotero.org/users/9078202/items/4SNQX9F3"],"itemData":{"id":289,"type":"article-journal","abstract":"Protein poly(ADP-ribosyl)ation and ubiquitination are two key post-translational modifications regulating many biological processes. Through crystallographic and biochemical analysis, we show that the RNF146 WWE domain recognizes poly(ADP-ribose) (PAR) by interacting with iso-ADP-ribose (iso-ADPR), the smallest internal PAR structural unit containing the characteristic ribose-ribose glycosidic bond formed during poly(ADP-ribosyl)ation. The key iso-ADPR-binding residues we identified are highly conserved among WWE domains. Binding assays further demonstrate that PAR binding is a common function for the WWE domain family. Since many WWE domain-containing proteins are known E3 ubiquitin ligases, our results suggest that protein poly(ADP-ribosyl)ation may be a general mechanism to target proteins for ubiquitination.","container-title":"Genes &amp; Development","DOI":"10.1101/gad.182618.111","ISSN":"1549-5477","issue":"3","journalAbbreviation":"Genes Dev","language":"eng","note":"PMID: 22267412\nPMCID: PMC3278890","page":"235-240","source":"PubMed","title":"Recognition of the iso-ADP-ribose moiety in poly(ADP-ribose) by WWE domains suggests a general mechanism for poly(ADP-ribosyl)ation-dependent ubiquitination","volume":"26","author":[{"family":"Wang","given":"Zhizhi"},{"family":"Michaud","given":"Gregory A."},{"family":"Cheng","given":"Zhihong"},{"family":"Zhang","given":"Yue"},{"family":"Hinds","given":"Thomas R."},{"family":"Fan","given":"Erkang"},{"family":"Cong","given":"Feng"},{"family":"Xu","given":"Wenqing"}],"issued":{"date-parts":[["2012",2,1]]}}},{"id":288,"uris":["http://zotero.org/users/9078202/items/PUJTXVN4"],"itemData":{"id":288,"type":"article-journal","abstract":"Forkhead-associated (FHA) domains are a class of ubiquitous signaling modules that appear to function through interactions with phosphorylated target molecules. We have used oriented peptide library screening to determine the optimal phosphopeptide binding motifs recognized by several FHA domains, including those within a number of DNA damage checkpoint kinases, and determined the X-ray structure of Rad53p-FHA1, in complex with a phospho-threonine peptide, at 1.6 A resolution. The structure reveals a striking similarity to the MH2 domains of Smad tumor suppressor proteins and reveals a mode of peptide binding that differs from SH2, 14-3-3, or PTB domain complexes. These results have important implications for DNA damage signaling and CHK2-dependent tumor suppression, and they indicate that FHA domains play important and unsuspected roles in S/T kinase signaling mechanisms in prokaryotes and eukaryotes.","container-title":"Molecular Cell","DOI":"10.1016/s1097-2765(00)00114-3","ISSN":"1097-2765","issue":"5","journalAbbreviation":"Mol Cell","language":"eng","note":"PMID: 11106755","page":"1169-1182","source":"PubMed","title":"The molecular basis of FHA domain:phosphopeptide binding specificity and implications for phospho-dependent signaling mechanisms","title-short":"The molecular basis of FHA domain","volume":"6","author":[{"family":"Durocher","given":"D."},{"family":"Taylor","given":"I. A."},{"family":"Sarbassova","given":"D."},{"family":"Haire","given":"L. F."},{"family":"Westcott","given":"S. L."},{"family":"Jackson","given":"S. P."},{"family":"Smerdon","given":"S. J."},{"family":"Yaffe","given":"M. B."}],"issued":{"date-parts":[["2000",11]]}}}],"schema":"https://github.com/citation-style-language/schema/raw/master/csl-citation.json"}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[286,287]</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Было обнаружено, что эти два домена также могут иметь сродство к </w:t>
      </w:r>
      <w:r w:rsidRPr="00107040">
        <w:rPr>
          <w:rFonts w:ascii="Times New Roman" w:hAnsi="Times New Roman"/>
          <w:sz w:val="28"/>
          <w:szCs w:val="28"/>
          <w:lang w:val="kk-KZ"/>
        </w:rPr>
        <w:t>ПАР</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{"citationID":"zeSVKtKc","properties":{"formattedCitation":"[288]","plainCitation":"[288]","noteIndex":0},"citationItems":[{"id":286,"uris":["http://zotero.org/users/9078202/items/L6NDAMK6"],"itemData":{"id":286,"type":"article-journal","abstract":"Poly-ADP-ribosylation is a unique post-translational modification participating in many biological processes, such as DNA damage response. Here, we demonstrate that a set of Forkhead-associated (FHA) and BRCA1 C-terminal (BRCT) domains recognizes poly(ADP-ribose) (PAR) both in vitro and in vivo. Among these FHA and BRCT domains, the FHA domains of APTX and PNKP interact with iso-ADP-ribose, the linkage of PAR, whereas the BRCT domains of Ligase4, XRCC1, and NBS1 recognize ADP-ribose, the basic unit of PAR. The interactions between PAR and the FHA or BRCT domains mediate the relocation of these domain-containing proteins to DNA damage sites and facilitate the DNA damage response. Moreover, the interaction between PAR and the NBS1 BRCT domain is important for the early activation of ATM during DNA damage response and ATM-dependent cell cycle checkpoint activation. Taken together, our results demonstrate two novel PAR-binding modules that play important roles in DNA damage response.","container-title":"Genes &amp; Development","DOI":"10.1101/gad.226357.113","ISSN":"1549-5477","issue":"16","journalAbbreviation":"Genes Dev","language":"eng","note":"PMID: 23964092\nPMCID: PMC3759693","page":"1752-1768","source":"PubMed","title":"The FHA and BRCT domains recognize ADP-ribosylation during DNA damage response","volume":"27","author":[{"family":"Li","given":"Mo"},{"family":"Lu","given":"Lin-Yu"},{"family":"Yang","given":"Chao-Yie"},{"family":"Wang","given":"Shaomeng"},{"family":"Yu","given":"Xiaochun"}],"issued":{"date-parts":[["2013",8,15]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[288]</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Таким образом, происходит взаимодействие доменов </w:t>
      </w:r>
      <w:r w:rsidRPr="00107040">
        <w:rPr>
          <w:rFonts w:ascii="Times New Roman" w:hAnsi="Times New Roman"/>
          <w:sz w:val="28"/>
          <w:szCs w:val="28"/>
          <w:lang w:val="en-US"/>
        </w:rPr>
        <w:t>FHA</w:t>
      </w:r>
      <w:r w:rsidRPr="00107040">
        <w:rPr>
          <w:rFonts w:ascii="Times New Roman" w:hAnsi="Times New Roman"/>
          <w:sz w:val="28"/>
          <w:szCs w:val="28"/>
        </w:rPr>
        <w:t xml:space="preserve"> белков </w:t>
      </w:r>
      <w:r w:rsidRPr="00107040">
        <w:rPr>
          <w:rFonts w:ascii="Times New Roman" w:hAnsi="Times New Roman"/>
          <w:sz w:val="28"/>
          <w:szCs w:val="28"/>
          <w:lang w:val="en-US"/>
        </w:rPr>
        <w:t>APTX</w:t>
      </w:r>
      <w:r w:rsidRPr="00107040">
        <w:rPr>
          <w:rFonts w:ascii="Times New Roman" w:hAnsi="Times New Roman"/>
          <w:sz w:val="28"/>
          <w:szCs w:val="28"/>
        </w:rPr>
        <w:t xml:space="preserve"> (апратаксин) и </w:t>
      </w:r>
      <w:r w:rsidRPr="00107040">
        <w:rPr>
          <w:rFonts w:ascii="Times New Roman" w:hAnsi="Times New Roman"/>
          <w:sz w:val="28"/>
          <w:szCs w:val="28"/>
          <w:lang w:val="en-US"/>
        </w:rPr>
        <w:t>PNKP</w:t>
      </w:r>
      <w:r w:rsidRPr="00107040">
        <w:rPr>
          <w:rFonts w:ascii="Times New Roman" w:hAnsi="Times New Roman"/>
          <w:sz w:val="28"/>
          <w:szCs w:val="28"/>
        </w:rPr>
        <w:t xml:space="preserve"> (полинуклеотидкиназа-3-фосфатаза) с изо-АДФ-рибозами. Также вероятно, что домен </w:t>
      </w:r>
      <w:r w:rsidRPr="00107040">
        <w:rPr>
          <w:rFonts w:ascii="Times New Roman" w:hAnsi="Times New Roman"/>
          <w:sz w:val="28"/>
          <w:szCs w:val="28"/>
          <w:lang w:val="en-US"/>
        </w:rPr>
        <w:t>BRCT</w:t>
      </w:r>
      <w:r w:rsidRPr="00107040">
        <w:rPr>
          <w:rFonts w:ascii="Times New Roman" w:hAnsi="Times New Roman"/>
          <w:sz w:val="28"/>
          <w:szCs w:val="28"/>
        </w:rPr>
        <w:t xml:space="preserve">1 белка </w:t>
      </w:r>
      <w:r w:rsidRPr="00107040">
        <w:rPr>
          <w:rFonts w:ascii="Times New Roman" w:hAnsi="Times New Roman"/>
          <w:sz w:val="28"/>
          <w:szCs w:val="28"/>
          <w:lang w:val="en-US"/>
        </w:rPr>
        <w:t>XRCC</w:t>
      </w:r>
      <w:r w:rsidRPr="00107040">
        <w:rPr>
          <w:rFonts w:ascii="Times New Roman" w:hAnsi="Times New Roman"/>
          <w:sz w:val="28"/>
          <w:szCs w:val="28"/>
        </w:rPr>
        <w:t xml:space="preserve">1 или два домена </w:t>
      </w:r>
      <w:r w:rsidRPr="00107040">
        <w:rPr>
          <w:rFonts w:ascii="Times New Roman" w:hAnsi="Times New Roman"/>
          <w:sz w:val="28"/>
          <w:szCs w:val="28"/>
          <w:lang w:val="en-US"/>
        </w:rPr>
        <w:t>BRCT</w:t>
      </w:r>
      <w:r w:rsidRPr="00107040">
        <w:rPr>
          <w:rFonts w:ascii="Times New Roman" w:hAnsi="Times New Roman"/>
          <w:sz w:val="28"/>
          <w:szCs w:val="28"/>
        </w:rPr>
        <w:t xml:space="preserve"> белка </w:t>
      </w:r>
      <w:r w:rsidRPr="00107040">
        <w:rPr>
          <w:rFonts w:ascii="Times New Roman" w:hAnsi="Times New Roman"/>
          <w:sz w:val="28"/>
          <w:szCs w:val="28"/>
          <w:lang w:val="en-US"/>
        </w:rPr>
        <w:t>BARD</w:t>
      </w:r>
      <w:r w:rsidRPr="00107040">
        <w:rPr>
          <w:rFonts w:ascii="Times New Roman" w:hAnsi="Times New Roman"/>
          <w:sz w:val="28"/>
          <w:szCs w:val="28"/>
        </w:rPr>
        <w:t xml:space="preserve">1 (для связанного с </w:t>
      </w:r>
      <w:r w:rsidRPr="00107040">
        <w:rPr>
          <w:rFonts w:ascii="Times New Roman" w:hAnsi="Times New Roman"/>
          <w:sz w:val="28"/>
          <w:szCs w:val="28"/>
          <w:lang w:val="en-US"/>
        </w:rPr>
        <w:t>BRCA</w:t>
      </w:r>
      <w:r w:rsidRPr="00107040">
        <w:rPr>
          <w:rFonts w:ascii="Times New Roman" w:hAnsi="Times New Roman"/>
          <w:sz w:val="28"/>
          <w:szCs w:val="28"/>
        </w:rPr>
        <w:t xml:space="preserve">1 домена </w:t>
      </w:r>
      <w:r w:rsidRPr="00107040">
        <w:rPr>
          <w:rFonts w:ascii="Times New Roman" w:hAnsi="Times New Roman"/>
          <w:sz w:val="28"/>
          <w:szCs w:val="28"/>
          <w:lang w:val="en-US"/>
        </w:rPr>
        <w:t>RING</w:t>
      </w:r>
      <w:r w:rsidRPr="00107040">
        <w:rPr>
          <w:rFonts w:ascii="Times New Roman" w:hAnsi="Times New Roman"/>
          <w:sz w:val="28"/>
          <w:szCs w:val="28"/>
        </w:rPr>
        <w:t xml:space="preserve"> 1) являются доменами взаимодействия с </w:t>
      </w:r>
      <w:r w:rsidRPr="00107040">
        <w:rPr>
          <w:rFonts w:ascii="Times New Roman" w:hAnsi="Times New Roman"/>
          <w:sz w:val="28"/>
          <w:szCs w:val="28"/>
          <w:lang w:val="kk-KZ"/>
        </w:rPr>
        <w:t>ПАР</w:t>
      </w:r>
      <w:r w:rsidRPr="00107040">
        <w:rPr>
          <w:rFonts w:ascii="Times New Roman" w:hAnsi="Times New Roman"/>
          <w:sz w:val="28"/>
          <w:szCs w:val="28"/>
        </w:rPr>
        <w:t xml:space="preserve">, позволяя им рекрутироваться и функционировать в местах повреждения ДНК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vPfgtFma","properties":{"formattedCitation":"[288\\uc0\\u8211{}290]","plainCitation":"[288–290]","noteIndex":0},"citationItems":[{"id":286,"uris":["http://zotero.org/users/9078202/items/L6NDAMK6"],"itemData":{"id":286,"type":"article-journal","abstract":"Poly-ADP-ribosylation is a unique post-translational modification participating in many biological processes, such as DNA damage response. Here, we demonstrate that a set of Forkhead-associated (FHA) and BRCA1 C-terminal (BRCT) domains recognizes poly(ADP-ribose) (PAR) both in vitro and in vivo. Among these FHA and BRCT domains, the FHA domains of APTX and PNKP interact with iso-ADP-ribose, the linkage of PAR, whereas the BRCT domains of Ligase4, XRCC1, and NBS1 recognize ADP-ribose, the basic unit of PAR. The interactions between PAR and the FHA or BRCT domains mediate the relocation of these domain-containing proteins to DNA damage sites and facilitate the DNA damage response. Moreover, the interaction between PAR and the NBS1 BRCT domain is important for the early activation of ATM during DNA damage response and ATM-dependent cell cycle checkpoint activation. Taken together, our results demonstrate two novel PAR-binding modules that play important roles in DNA damage response.","container-title":"Genes &amp; Development","DOI":"10.1101/gad.226357.113","ISSN":"1549-5477","issue":"16","journalAbbreviation":"Genes Dev","language":"eng","note":"PMID: 23964092\nPMCID: PMC3759693","page":"1752-1768","source":"PubMed","title":"The FHA and BRCT domains recognize ADP-ribosylation during DNA damage response","volume":"27","author":[{"family":"Li","given":"Mo"},{"family":"Lu","given":"Lin-Yu"},{"family":"Yang","given":"Chao-Yie"},{"family":"Wang","given":"Shaomeng"},{"family":"Yu","given":"Xiaochun"}],"issued":{"date-parts":[["2013",8,15]]}}},{"id":285,"uris":["http://zotero.org/users/9078202/items/XS6YMFAH"],"itemData":{"id":285,"type":"article-journal","abstract":"Poly (ADP-ribose) is synthesized at DNA single-strand breaks and can promote the recruitment of the scaffold protein, XRCC1. However, the mechanism and importance of this process has been challenged. To address this issue, we have characterized the mechanism of poly (ADP-ribose) binding by XRCC1 and examined its importance for XRCC1 function. We show that the phosphate-binding pocket in the central BRCT1 domain of XRCC1 is required for selective binding to poly (ADP-ribose) at low levels of ADP-ribosylation, and promotes interaction with cellular PARP1. We also show that the phosphate-binding pocket is required for EGFP-XRCC1 accumulation at DNA damage induced by UVA laser, H2O2, and at sites of sub-nuclear PCNA foci, suggesting that poly (ADP-ribose) promotes XRCC1 recruitment both at single-strand breaks globally across the genome and at sites of DNA replication stress. Finally, we show that the phosphate-binding pocket is required following DNA damage for XRCC1-dependent acceleration of DNA single-strand break repair, DNA base excision repair, and cell survival. These data support the hypothesis that poly (ADP-ribose) synthesis promotes XRCC1 recruitment at DNA damage sites and is important for XRCC1 function.","container-title":"Nucleic Acids Research","DOI":"10.1093/nar/gkv623","ISSN":"1362-4962","issue":"14","journalAbbreviation":"Nucleic Acids Res","language":"eng","note":"PMID: 26130715\nPMCID: PMC4538820","page":"6934-6944","source":"PubMed","title":"The XRCC1 phosphate-binding pocket binds poly (ADP-ribose) and is required for XRCC1 function","volume":"43","author":[{"family":"Breslin","given":"Claire"},{"family":"Hornyak","given":"Peter"},{"family":"Ridley","given":"Andrew"},{"family":"Rulten","given":"Stuart L."},{"family":"Hanzlikova","given":"Hana"},{"family":"Oliver","given":"Antony W."},{"family":"Caldecott","given":"Keith W."}],"issued":{"date-parts":[["2015",8,18]]}}},{"id":284,"uris":["http://zotero.org/users/9078202/items/EVSX4GYE"],"itemData":{"id":284,"type":"article-journal","abstract":"Carriers of BRCA1 germline mutations are predisposed to breast and ovarian cancers. Accumulated evidence shows that BRCA1 is quickly recruited to DNA lesions and plays an important role in the DNA damage response. However, the mechanism by which BRCA1 is recruited to DNA damage sites remains elusive. BRCA1 forms a Ring-domain heterodimer with BARD1, a major partner of BRCA1 that contains tandem BRCA1 C-terminus (BRCT) motifs. Here, we identify the BRCTs of BARD1 as a poly(ADP-ribose) (PAR)-binding module. The binding of the BARD1 BRCTs to PAR targets the BRCA1/BARD1 heterodimer to DNA damage sites. Thus, our study uncovers a PAR-dependent mechanism of rapid recruitment of BRCA1/BARD1 to DNA damage sites.","container-title":"Cancer Cell","DOI":"10.1016/j.ccr.2013.03.025","ISSN":"1878-3686","issue":"5","journalAbbreviation":"Cancer Cell","language":"eng","note":"PMID: 23680151\nPMCID: PMC3759356","page":"693-704","source":"PubMed","title":"Function of BRCA1 in the DNA damage response is mediated by ADP-ribosylation","volume":"23","author":[{"family":"Li","given":"Mo"},{"family":"Yu","given":"Xiaochun"}],"issued":{"date-parts":[["2013",5,13]]}}}],"schema":"https://github.com/citation-style-language/schema/raw/master/csl-citation.json"}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[288–290]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Однако домен </w:t>
      </w:r>
      <w:r w:rsidRPr="00107040">
        <w:rPr>
          <w:rFonts w:ascii="Times New Roman" w:hAnsi="Times New Roman"/>
          <w:sz w:val="28"/>
          <w:szCs w:val="28"/>
          <w:lang w:val="en-US"/>
        </w:rPr>
        <w:t>BRCT</w:t>
      </w:r>
      <w:r w:rsidRPr="00107040">
        <w:rPr>
          <w:rFonts w:ascii="Times New Roman" w:hAnsi="Times New Roman"/>
          <w:sz w:val="28"/>
          <w:szCs w:val="28"/>
        </w:rPr>
        <w:t xml:space="preserve">1 </w:t>
      </w:r>
      <w:r w:rsidRPr="00107040">
        <w:rPr>
          <w:rFonts w:ascii="Times New Roman" w:hAnsi="Times New Roman"/>
          <w:sz w:val="28"/>
          <w:szCs w:val="28"/>
          <w:lang w:val="kk-KZ"/>
        </w:rPr>
        <w:t xml:space="preserve">белка </w:t>
      </w:r>
      <w:r w:rsidRPr="00107040">
        <w:rPr>
          <w:rFonts w:ascii="Times New Roman" w:hAnsi="Times New Roman"/>
          <w:sz w:val="28"/>
          <w:szCs w:val="28"/>
          <w:lang w:val="en-US"/>
        </w:rPr>
        <w:t>XRCC</w:t>
      </w:r>
      <w:r w:rsidRPr="00107040">
        <w:rPr>
          <w:rFonts w:ascii="Times New Roman" w:hAnsi="Times New Roman"/>
          <w:sz w:val="28"/>
          <w:szCs w:val="28"/>
        </w:rPr>
        <w:t xml:space="preserve">1 также содержит ранее описанный домен </w:t>
      </w:r>
      <w:r w:rsidRPr="00107040">
        <w:rPr>
          <w:rFonts w:ascii="Times New Roman" w:hAnsi="Times New Roman"/>
          <w:sz w:val="28"/>
          <w:szCs w:val="28"/>
          <w:lang w:val="en-US"/>
        </w:rPr>
        <w:t>PBM</w:t>
      </w:r>
      <w:r w:rsidRPr="00107040">
        <w:rPr>
          <w:rFonts w:ascii="Times New Roman" w:hAnsi="Times New Roman"/>
          <w:sz w:val="28"/>
          <w:szCs w:val="28"/>
        </w:rPr>
        <w:t xml:space="preserve"> для взаимодействия с </w:t>
      </w:r>
      <w:r w:rsidRPr="00107040">
        <w:rPr>
          <w:rFonts w:ascii="Times New Roman" w:hAnsi="Times New Roman"/>
          <w:sz w:val="28"/>
          <w:szCs w:val="28"/>
          <w:lang w:val="kk-KZ"/>
        </w:rPr>
        <w:t>ПАР</w:t>
      </w:r>
      <w:r w:rsidRPr="00107040">
        <w:rPr>
          <w:rFonts w:ascii="Times New Roman" w:hAnsi="Times New Roman"/>
          <w:sz w:val="28"/>
          <w:szCs w:val="28"/>
        </w:rPr>
        <w:t xml:space="preserve">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{"citationID":"F0kPoxz9","properties":{"formattedCitation":"[274]","plainCitation":"[274]","noteIndex":0},"citationItems":[{"id":302,"uris":["http://zotero.org/users/9078202/items/29REZDLH"],"itemData":{"id":302,"type":"article-journal","abstract":"Poly(ADP-ribose) is formed in possibly all multicellular organisms by a familiy of poly(ADP-ribose) polymerases (PARPs). PARP-1, the best understood and until recently the only known member of this family, is a DNA damage signal protein catalyzing its automodification with multiple, variably sized ADP-ribose polymers that may contain up to 200 residues and several branching points. Through these polymers, PARP-1 can interact noncovalently with other proteins and alter their functions. Here we report the discovery of a poly(ADP-ribose)-binding sequence motif in several important DNA damage checkpoint proteins. The 20-amino acid motif contains two conserved regions: (i) a cluster rich in basic amino acids and (ii) a pattern of hydrophobic amino acids interspersed with basic residues. Using a combination of alanine scanning, polymer blot analysis, and photoaffinity labeling, we have identified poly(ADP-ribose)-binding sites in the following proteins: p53, p21(CIP1/WAF1), xeroderma pigmentosum group A complementing protein, MSH6, DNA ligase III, XRCC1, DNA polymerase epsilon, DNA-PK(CS), Ku70, NF-kappaB, inducible nitric-oxide synthase, caspase-activated DNase, and telomerase. The poly(ADP-ribose)-binding motif was found to overlap with five important functional domains responsible for (i) protein-protein interactions, (ii) DNA binding, (iii) nuclear localization, (iv) nuclear export, and (v) protein degradation. Thus, PARPs may target specific signal network proteins via poly(ADP-ribose) and regulate their domain functions.","container-title":"The Journal of Biological Chemistry","DOI":"10.1074/jbc.M006520200","ISSN":"0021-9258","issue":"52","journalAbbreviation":"J Biol Chem","language":"eng","note":"PMID: 11016934","page":"40974-40980","source":"PubMed","title":"Poly(ADP-ribose) binds to specific domains in DNA damage checkpoint proteins","volume":"275","author":[{"family":"Pleschke","given":"J. M."},{"family":"Kleczkowska","given":"H. E."},{"family":"Strohm","given":"M."},{"family":"Althaus","given":"F. R."}],"issued":{"date-parts":[["2000",12,29]]}}}],"schema":"https://github.com/citation-style-language/schema/raw/master/csl-citation.json"}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[274]</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Следовательно, неясно, требуется ли вся структура домена </w:t>
      </w:r>
      <w:r w:rsidRPr="00107040">
        <w:rPr>
          <w:rFonts w:ascii="Times New Roman" w:hAnsi="Times New Roman"/>
          <w:sz w:val="28"/>
          <w:szCs w:val="28"/>
          <w:lang w:val="en-US"/>
        </w:rPr>
        <w:t>BRCT</w:t>
      </w:r>
      <w:r w:rsidRPr="00107040">
        <w:rPr>
          <w:rFonts w:ascii="Times New Roman" w:hAnsi="Times New Roman"/>
          <w:sz w:val="28"/>
          <w:szCs w:val="28"/>
        </w:rPr>
        <w:t xml:space="preserve">1 белка </w:t>
      </w:r>
      <w:r w:rsidRPr="00107040">
        <w:rPr>
          <w:rFonts w:ascii="Times New Roman" w:hAnsi="Times New Roman"/>
          <w:sz w:val="28"/>
          <w:szCs w:val="28"/>
          <w:lang w:val="en-US"/>
        </w:rPr>
        <w:t>XRCC</w:t>
      </w:r>
      <w:r w:rsidRPr="00107040">
        <w:rPr>
          <w:rFonts w:ascii="Times New Roman" w:hAnsi="Times New Roman"/>
          <w:sz w:val="28"/>
          <w:szCs w:val="28"/>
        </w:rPr>
        <w:t xml:space="preserve">1 для взаимодействия </w:t>
      </w:r>
      <w:r w:rsidRPr="00107040">
        <w:rPr>
          <w:rFonts w:ascii="Times New Roman" w:hAnsi="Times New Roman"/>
          <w:sz w:val="28"/>
          <w:szCs w:val="28"/>
          <w:lang w:val="en-US"/>
        </w:rPr>
        <w:t>XRCC</w:t>
      </w:r>
      <w:r w:rsidRPr="00107040">
        <w:rPr>
          <w:rFonts w:ascii="Times New Roman" w:hAnsi="Times New Roman"/>
          <w:sz w:val="28"/>
          <w:szCs w:val="28"/>
        </w:rPr>
        <w:t xml:space="preserve">1 с </w:t>
      </w:r>
      <w:r w:rsidRPr="00107040">
        <w:rPr>
          <w:rFonts w:ascii="Times New Roman" w:hAnsi="Times New Roman"/>
          <w:sz w:val="28"/>
          <w:szCs w:val="28"/>
          <w:lang w:val="kk-KZ"/>
        </w:rPr>
        <w:t>ПАР</w:t>
      </w:r>
      <w:r w:rsidRPr="00107040">
        <w:rPr>
          <w:rFonts w:ascii="Times New Roman" w:hAnsi="Times New Roman"/>
          <w:sz w:val="28"/>
          <w:szCs w:val="28"/>
        </w:rPr>
        <w:t xml:space="preserve">. Зная, что эти домены </w:t>
      </w:r>
      <w:r w:rsidRPr="00107040">
        <w:rPr>
          <w:rFonts w:ascii="Times New Roman" w:hAnsi="Times New Roman"/>
          <w:sz w:val="28"/>
          <w:szCs w:val="28"/>
          <w:lang w:val="en-US"/>
        </w:rPr>
        <w:t>BRCT</w:t>
      </w:r>
      <w:r w:rsidRPr="00107040">
        <w:rPr>
          <w:rFonts w:ascii="Times New Roman" w:hAnsi="Times New Roman"/>
          <w:sz w:val="28"/>
          <w:szCs w:val="28"/>
        </w:rPr>
        <w:t xml:space="preserve"> и </w:t>
      </w:r>
      <w:r w:rsidRPr="00107040">
        <w:rPr>
          <w:rFonts w:ascii="Times New Roman" w:hAnsi="Times New Roman"/>
          <w:sz w:val="28"/>
          <w:szCs w:val="28"/>
          <w:lang w:val="en-US"/>
        </w:rPr>
        <w:t>FHA</w:t>
      </w:r>
      <w:r w:rsidRPr="00107040">
        <w:rPr>
          <w:rFonts w:ascii="Times New Roman" w:hAnsi="Times New Roman"/>
          <w:sz w:val="28"/>
          <w:szCs w:val="28"/>
        </w:rPr>
        <w:t xml:space="preserve"> позволяют взаимодействовать с </w:t>
      </w:r>
      <w:r w:rsidRPr="00107040">
        <w:rPr>
          <w:rFonts w:ascii="Times New Roman" w:hAnsi="Times New Roman"/>
          <w:sz w:val="28"/>
          <w:szCs w:val="28"/>
          <w:lang w:val="kk-KZ"/>
        </w:rPr>
        <w:t>ПАР</w:t>
      </w:r>
      <w:r w:rsidRPr="00107040">
        <w:rPr>
          <w:rFonts w:ascii="Times New Roman" w:hAnsi="Times New Roman"/>
          <w:sz w:val="28"/>
          <w:szCs w:val="28"/>
        </w:rPr>
        <w:t xml:space="preserve">, а также с фосфопротеинами, возможно, что </w:t>
      </w:r>
      <w:r w:rsidRPr="00107040">
        <w:rPr>
          <w:rFonts w:ascii="Times New Roman" w:hAnsi="Times New Roman"/>
          <w:sz w:val="28"/>
          <w:szCs w:val="28"/>
          <w:lang w:val="kk-KZ"/>
        </w:rPr>
        <w:t>ПАР</w:t>
      </w:r>
      <w:r w:rsidRPr="00107040">
        <w:rPr>
          <w:rFonts w:ascii="Times New Roman" w:hAnsi="Times New Roman"/>
          <w:sz w:val="28"/>
          <w:szCs w:val="28"/>
        </w:rPr>
        <w:t xml:space="preserve">илированные белки после индукции активности </w:t>
      </w:r>
      <w:r w:rsidRPr="00107040">
        <w:rPr>
          <w:rFonts w:ascii="Times New Roman" w:hAnsi="Times New Roman"/>
          <w:sz w:val="28"/>
          <w:szCs w:val="28"/>
          <w:lang w:val="en-US"/>
        </w:rPr>
        <w:t>PARP</w:t>
      </w:r>
      <w:r w:rsidRPr="00107040">
        <w:rPr>
          <w:rFonts w:ascii="Times New Roman" w:hAnsi="Times New Roman"/>
          <w:sz w:val="28"/>
          <w:szCs w:val="28"/>
        </w:rPr>
        <w:t xml:space="preserve"> конкурируют с белками, фосфорилированными киназами, модифицируя таким образом белки системы белковых взаимодействий.</w:t>
      </w:r>
    </w:p>
    <w:p w14:paraId="79502718" w14:textId="77777777" w:rsidR="00107040" w:rsidRPr="00107040" w:rsidRDefault="00107040" w:rsidP="00107040">
      <w:pPr>
        <w:spacing w:after="0" w:line="240" w:lineRule="auto"/>
        <w:ind w:firstLine="567"/>
        <w:jc w:val="both"/>
        <w:rPr>
          <w:rFonts w:ascii="Times New Roman" w:hAnsi="Times New Roman"/>
          <w:sz w:val="28"/>
          <w:szCs w:val="28"/>
        </w:rPr>
      </w:pPr>
    </w:p>
    <w:p w14:paraId="12F8C413" w14:textId="77777777" w:rsidR="00107040" w:rsidRPr="00107040" w:rsidRDefault="00107040" w:rsidP="00107040">
      <w:pPr>
        <w:spacing w:after="0" w:line="240" w:lineRule="auto"/>
        <w:ind w:firstLine="567"/>
        <w:jc w:val="both"/>
        <w:rPr>
          <w:rFonts w:ascii="Times New Roman" w:hAnsi="Times New Roman"/>
          <w:sz w:val="28"/>
          <w:szCs w:val="28"/>
        </w:rPr>
      </w:pPr>
      <w:bookmarkStart w:id="42" w:name="_Hlk113268410"/>
      <w:r w:rsidRPr="00107040">
        <w:rPr>
          <w:rFonts w:ascii="Times New Roman" w:hAnsi="Times New Roman"/>
          <w:sz w:val="28"/>
          <w:szCs w:val="28"/>
        </w:rPr>
        <w:t>1.</w:t>
      </w:r>
      <w:r w:rsidRPr="00107040">
        <w:rPr>
          <w:rFonts w:ascii="Times New Roman" w:hAnsi="Times New Roman"/>
          <w:sz w:val="28"/>
          <w:szCs w:val="28"/>
          <w:lang w:val="kk-KZ"/>
        </w:rPr>
        <w:t>6</w:t>
      </w:r>
      <w:r w:rsidRPr="00107040">
        <w:rPr>
          <w:rFonts w:ascii="Times New Roman" w:hAnsi="Times New Roman"/>
          <w:sz w:val="28"/>
          <w:szCs w:val="28"/>
        </w:rPr>
        <w:t>.6 Области взаимодействия с ДНК или РНК</w:t>
      </w:r>
    </w:p>
    <w:bookmarkEnd w:id="42"/>
    <w:p w14:paraId="6C86C638" w14:textId="7777777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Несколько открытий показали, что ДНК- или РНК-связывающие мотивы (рисунок </w:t>
      </w:r>
      <w:r w:rsidRPr="00107040">
        <w:rPr>
          <w:rFonts w:ascii="Times New Roman" w:hAnsi="Times New Roman"/>
          <w:sz w:val="28"/>
          <w:szCs w:val="28"/>
          <w:lang w:val="kk-KZ"/>
        </w:rPr>
        <w:t>7</w:t>
      </w:r>
      <w:r w:rsidRPr="00107040">
        <w:rPr>
          <w:rFonts w:ascii="Times New Roman" w:hAnsi="Times New Roman"/>
          <w:sz w:val="28"/>
          <w:szCs w:val="28"/>
        </w:rPr>
        <w:t>) могут связывать ПАР. Это наблюдение еще раз подтверждает идею о том, что ПАР обладают свойствами, сходными со свойствами нуклеиновых кислот. Действительно, как и в случае РНК, ДНК или даже белков, несущих фосфорилирование, ПАР представляют собой преимущественно отрицательно заряженную структуру, для которой даже использовался термин третья нуклеиновая кислота. Таким образом, при сильной стимуляции синтеза ПАР взаимодействие некоторых белков с РНК и ДНК может быть снижено.</w:t>
      </w:r>
    </w:p>
    <w:p w14:paraId="096F50D4" w14:textId="5FFB9B0C"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 Складчатый домен </w:t>
      </w:r>
      <w:r w:rsidRPr="00107040">
        <w:rPr>
          <w:rFonts w:ascii="Times New Roman" w:hAnsi="Times New Roman"/>
          <w:sz w:val="28"/>
          <w:szCs w:val="28"/>
          <w:lang w:val="en-US"/>
        </w:rPr>
        <w:t>OB</w:t>
      </w:r>
      <w:r w:rsidRPr="00107040">
        <w:rPr>
          <w:rFonts w:ascii="Times New Roman" w:hAnsi="Times New Roman"/>
          <w:sz w:val="28"/>
          <w:szCs w:val="28"/>
        </w:rPr>
        <w:t xml:space="preserve"> (для связывания олигонуклеотидов / олигосахаридов) представляет собой хорошо сохранившуюся белковую область, которая была идентифицирована в группе бактерий и дрожжей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{"citationID":"HK5c8LKk","properties":{"formattedCitation":"[291]","plainCitation":"[291]","noteIndex":0},"citationItems":[{"id":283,"uris":["http://zotero.org/users/9078202/items/TYNLV83S"],"itemData":{"id":283,"type":"article-journal","abstract":"A novel folding motif has been observed in four different proteins which bind oligonucleotides or oligosaccharides: staphylococcal nuclease, anticodon binding domain of asp-tRNA synthetase and B-subunits of heat-labile enterotoxin and verotoxin-1. The common fold of the four proteins, which we call the OB-fold, has a five-stranded beta-sheet coiled to form a closed beta-barrel. This barrel is capped by an alpha-helix located between the third and fourth strands. The barrel-helix frameworks can be superimposed with r.m.s. deviations of 1.4-2.2 A, but no similarities can be observed in the corresponding alignment of the four sequences. The nucleotide or sugar binding sites, known for three of the four proteins, are located in nearly the same position in each protein: on the side surface of the beta-barrel, where three loops come together. Here we describe the determinants of the OB-fold, based on an analysis of all four structures. These proposed determinants explain how very different sequences adopt the OB-fold. They also suggest a reinterpretation of the controversial structure of gene 5 ssDNA binding protein, which exhibits some topological and functional similarities with the OB-fold proteins.","container-title":"The EMBO journal","ISSN":"0261-4189","issue":"3","journalAbbreviation":"EMBO J","language":"eng","note":"PMID: 8458342\nPMCID: PMC413284","page":"861-867","source":"PubMed","title":"OB(oligonucleotide/oligosaccharide binding)-fold: common structural and functional solution for non-homologous sequences","title-short":"OB(oligonucleotide/oligosaccharide binding)-fold","volume":"12","author":[{"family":"Murzin","given":"A. G."}],"issued":{"date-parts":[["1993",3]]}}}],"schema":"https://github.com/citation-style-language/schema/raw/master/csl-citation.json"}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[291]</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Этот домен позволяет распознавать одноцепочечную ДНК или РНК и обнаружен в таких белках, как </w:t>
      </w:r>
      <w:r w:rsidRPr="00107040">
        <w:rPr>
          <w:rFonts w:ascii="Times New Roman" w:hAnsi="Times New Roman"/>
          <w:sz w:val="28"/>
          <w:szCs w:val="28"/>
          <w:lang w:val="en-US"/>
        </w:rPr>
        <w:t>RPA</w:t>
      </w:r>
      <w:r w:rsidRPr="00107040">
        <w:rPr>
          <w:rFonts w:ascii="Times New Roman" w:hAnsi="Times New Roman"/>
          <w:sz w:val="28"/>
          <w:szCs w:val="28"/>
        </w:rPr>
        <w:t xml:space="preserve">, </w:t>
      </w:r>
      <w:r w:rsidRPr="00107040">
        <w:rPr>
          <w:rFonts w:ascii="Times New Roman" w:hAnsi="Times New Roman"/>
          <w:sz w:val="28"/>
          <w:szCs w:val="28"/>
          <w:lang w:val="en-US"/>
        </w:rPr>
        <w:t>hSSB</w:t>
      </w:r>
      <w:r w:rsidRPr="00107040">
        <w:rPr>
          <w:rFonts w:ascii="Times New Roman" w:hAnsi="Times New Roman"/>
          <w:sz w:val="28"/>
          <w:szCs w:val="28"/>
        </w:rPr>
        <w:t xml:space="preserve">1/2, </w:t>
      </w:r>
      <w:r w:rsidRPr="00107040">
        <w:rPr>
          <w:rFonts w:ascii="Times New Roman" w:hAnsi="Times New Roman"/>
          <w:sz w:val="28"/>
          <w:szCs w:val="28"/>
          <w:lang w:val="en-US"/>
        </w:rPr>
        <w:t>BRCA</w:t>
      </w:r>
      <w:r w:rsidRPr="00107040">
        <w:rPr>
          <w:rFonts w:ascii="Times New Roman" w:hAnsi="Times New Roman"/>
          <w:sz w:val="28"/>
          <w:szCs w:val="28"/>
        </w:rPr>
        <w:t xml:space="preserve">2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{"citationID":"ckcOCdv0","properties":{"formattedCitation":"[292]","plainCitation":"[292]","noteIndex":0},"citationItems":[{"id":282,"uris":["http://zotero.org/users/9078202/items/R498M5SP"],"itemData":{"id":282,"type":"article-journal","abstract":"The maintenance of genomic stability relies on the coordinated action of a number of cellular processes, including activation of the DNA-damage checkpoint, DNA replication, DNA repair, and telomere homeostasis. Many proteins involved in these cellular processes use different types of functional modules to regulate and execute their functions. Recent studies have revealed that many DNA-damage checkpoint and DNA repair proteins in human cells possess the oligonucleotide/oligosaccharide-binding (OB) fold domains, which are known to bind single-stranded DNA in both prokaryotes and eukaryotes. Furthermore, during the DNA damage response, the OB folds of the human checkpoint and DNA repair proteins play critical roles in DNA binding, protein complex assembly, and regulating protein-protein interactions. These findings suggest that the OB fold is an evolutionarily conserved functional module that is widely used by genome guardians. In this review, we will highlight the functions of several well-characterized or newly discovered eukaryotic OB-fold proteins in the DNA damage response.","container-title":"Critical Reviews in Biochemistry and Molecular Biology","DOI":"10.3109/10409238.2010.488216","ISSN":"1549-7798","issue":"4","journalAbbreviation":"Crit Rev Biochem Mol Biol","language":"eng","note":"PMID: 20515430\nPMCID: PMC2906097","page":"266-275","source":"PubMed","title":"Oligonucleotide/oligosaccharide-binding fold proteins: a growing family of genome guardians","title-short":"Oligonucleotide/oligosaccharide-binding fold proteins","volume":"45","author":[{"family":"Flynn","given":"Rachel Litman"},{"family":"Zou","given":"Lee"}],"issued":{"date-parts":[["2010",8]]}}}],"schema":"https://github.com/citation-style-language/schema/raw/master/csl-citation.json"}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[292]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Недавно этот домен был идентифицирован для распознавания изо-АДФ-рибозы и для рекрутирования многих белков репарации в места повреждения ДНК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L8opzecE","properties":{"formattedCitation":"[293]","plainCitation":"[293]","noteIndex":0},"citationItems":[{"id":281,"uris":["http://zotero.org/users/9078202/items/VGFRDFJF"],"itemData":{"id":281,"type":"article-journal","abstract":"Oligonucleotide/oligosaccharide-binding (OB) fold is a ssDNA or RNA binding motif in prokaryotes and eukaryotes. Unexpectedly, we found that the OB fold of human ssDNA-binding protein 1 (hSSB1) is a poly(ADP ribose) (PAR) binding domain. hSSB1 exhibits high-affinity binding to PAR and recognizes iso-ADP ribose (ADPR), the linkage between two ADPR units. This interaction between PAR and hSSB1 mediates the early recruitment of hSSB1 to the sites of DNA damage. Mutations in the OB fold of hSSB1 that disrupt PAR binding abolish the relocation of hSSB1 to the sites of DNA damage. Moreover, PAR-mediated recruitment of hSSB1 is important for early DNA damage repair. We have screened other OB folds and found that several other OB folds also recognize PAR. Taken together, our study reveals a PAR-binding domain that mediates DNA damage repair.","container-title":"Proceedings of the National Academy of Sciences of the United States of America","DOI":"10.1073/pnas.1318367111","ISSN":"1091-6490","issue":"20","journalAbbreviation":"Proc Natl Acad Sci U S A","language":"eng","note":"PMID: 24799691\nPMCID: PMC4034225","page":"7278-7283","source":"PubMed","title":"The oligonucleotide/oligosaccharide-binding fold motif is a poly(ADP-ribose)-binding domain that mediates DNA damage response","volume":"111","author":[{"family":"Zhang","given":"Feng"},{"family":"Chen","given":"Yibin"},{"family":"Li","given":"Mo"},{"family":"Yu","given":"Xiaochun"}],"issued":{"date-parts":[["2014",5,20]]}}}],"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[293]</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 частности, быстрая фаза рекрутирования белка </w:t>
      </w:r>
      <w:r w:rsidRPr="00107040">
        <w:rPr>
          <w:rFonts w:ascii="Times New Roman" w:hAnsi="Times New Roman"/>
          <w:sz w:val="28"/>
          <w:szCs w:val="28"/>
          <w:lang w:val="en-US"/>
        </w:rPr>
        <w:t>BRCA</w:t>
      </w:r>
      <w:r w:rsidRPr="00107040">
        <w:rPr>
          <w:rFonts w:ascii="Times New Roman" w:hAnsi="Times New Roman"/>
          <w:sz w:val="28"/>
          <w:szCs w:val="28"/>
        </w:rPr>
        <w:t xml:space="preserve">2 к месту повреждения ДНК зависит от узнавания ПАР через его свернутый </w:t>
      </w:r>
      <w:r w:rsidRPr="00107040">
        <w:rPr>
          <w:rFonts w:ascii="Times New Roman" w:hAnsi="Times New Roman"/>
          <w:sz w:val="28"/>
          <w:szCs w:val="28"/>
          <w:lang w:val="en-US"/>
        </w:rPr>
        <w:t>OB</w:t>
      </w:r>
      <w:r w:rsidRPr="00107040">
        <w:rPr>
          <w:rFonts w:ascii="Times New Roman" w:hAnsi="Times New Roman"/>
          <w:sz w:val="28"/>
          <w:szCs w:val="28"/>
        </w:rPr>
        <w:t xml:space="preserve">-домен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{"citationID":"dzkx1dxk","properties":{"formattedCitation":"[294]","plainCitation":"[294]","noteIndex":0},"citationItems":[{"id":280,"uris":["http://zotero.org/users/9078202/items/5DTTB4QS"],"itemData":{"id":280,"type":"article-journal","abstract":"Breast cancer susceptibility gene 2 (BRCA2) plays a key role in DNA damage repair for maintaining genomic stability. Previous studies have shown that BRCA2 contains three tandem oligonucleotide/oligosaccharide binding folds (OB-folds) that are involved in DNA binding during DNA double-strand break repair. However, the molecular mechanism of BRCA2 in DNA damage repair remains elusive. Unexpectedly, we found that the OB-folds of BRCA2 recognize poly(ADP-ribose) (PAR) and mediate the fast recruitment of BRCA2 to DNA lesions, which is suppressed by PARP inhibitor treatment. Cancer-associated mutations in the OB-folds of BRCA2 disrupt the interaction with PAR and abolish the fast relocation of BRCA2 to DNA lesions. The quickly recruited BRCA2 is important for the early recruitment of exonuclease 1(EXO1) and is involved in DNA end resection, the first step of homologous recombination (HR). Thus, these findings uncover a molecular mechanism by which BRCA2 participates in DNA damage repair.","container-title":"Cell Reports","DOI":"10.1016/j.celrep.2015.09.040","ISSN":"2211-1247","issue":"4","journalAbbreviation":"Cell Rep","language":"eng","note":"PMID: 26489468\nPMCID: PMC4794993","page":"678-689","source":"PubMed","title":"Poly(ADP-Ribose) Mediates the BRCA2-Dependent Early DNA Damage Response","volume":"13","author":[{"family":"Zhang","given":"Feng"},{"family":"Shi","given":"Jiazhong"},{"family":"Bian","given":"Chunjing"},{"family":"Yu","given":"Xiaochun"}],"issued":{"date-parts":[["2015",10,27]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[294]</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0E7C7982" w14:textId="20C3E0BC"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 Мотив </w:t>
      </w:r>
      <w:r w:rsidRPr="00107040">
        <w:rPr>
          <w:rFonts w:ascii="Times New Roman" w:hAnsi="Times New Roman"/>
          <w:sz w:val="28"/>
          <w:szCs w:val="28"/>
          <w:lang w:val="en-US"/>
        </w:rPr>
        <w:t>RRM</w:t>
      </w:r>
      <w:r w:rsidRPr="00107040">
        <w:rPr>
          <w:rFonts w:ascii="Times New Roman" w:hAnsi="Times New Roman"/>
          <w:sz w:val="28"/>
          <w:szCs w:val="28"/>
        </w:rPr>
        <w:t xml:space="preserve"> (для мотива узнавания РНК) является одним из наиболее распространенных РНК-связывающих доменов среди белков, взаимодействующих с РНК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{"citationID":"N55z2yJC","properties":{"formattedCitation":"[295]","plainCitation":"[295]","noteIndex":0},"citationItems":[{"id":279,"uris":["http://zotero.org/users/9078202/items/B27T28WI"],"itemData":{"id":279,"type":"article-journal","abstract":"The RNA recognition motif (RRM), also known as RNA-binding domain (RBD) or ribonucleoprotein domain (RNP) is one of the most abundant protein domains in eukaryotes. Based on the comparison of more than 40 structures including 15 complexes (RRM-RNA or RRM-protein), we reviewed the structure-function relationships of this domain. We identified and classified the different structural elements of the RRM that are important for binding a multitude of RNA sequences and proteins. Common structural aspects were extracted that allowed us to define a structural leitmotif of the RRM-nucleic acid interface with its variations. Outside of the two conserved RNP motifs that lie in the center of the RRM beta-sheet, the two external beta-strands, the loops, the C- and N-termini, or even a second RRM domain allow high RNA-binding affinity and specific recognition. Protein-RRM interactions that have been found in several structures reinforce the notion of an extreme structural versatility of this domain supporting the numerous biological functions of the RRM-containing proteins.","container-title":"The FEBS journal","DOI":"10.1111/j.1742-4658.2005.04653.x","ISSN":"1742-464X","issue":"9","journalAbbreviation":"FEBS J","language":"eng","note":"PMID: 15853797","page":"2118-2131","source":"PubMed","title":"The RNA recognition motif, a plastic RNA-binding platform to regulate post-transcriptional gene expression","volume":"272","author":[{"family":"Maris","given":"Christophe"},{"family":"Dominguez","given":"Cyril"},{"family":"Allain","given":"Frédéric H.-T."}],"issued":{"date-parts":[["2005",5]]}}}],"schema":"https://github.com/citation-style-language/schema/raw/master/csl-citation.json"}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[295]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В последние годы стало очевидным, что многие белки, содержащие RRM-мотивы, могут быть вовлечены в сайты синтеза ПАР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{"citationID":"X5yeN5Ft","properties":{"formattedCitation":"[296\\uc0\\u8211{}299]","plainCitation":"[296–299]","noteIndex":0},"citationItems":[{"id":278,"uris":["http://zotero.org/users/9078202/items/J6WE2XVS"],"itemData":{"id":278,"type":"article-journal","abstract":"Repair of DNA double-strand breaks is critical to genomic stability and the prevention of developmental disorders and cancer. A central pathway for this repair is homologous recombination (HR). Most knowledge of HR is derived from work in prokaryotic and eukaryotic model organisms. We carried out a genome-wide siRNA-based screen in human cells. Among positive regulators of HR we identified networks of DNA-damage-response and pre-mRNA-processing proteins, and among negative regulators we identified a phosphatase network. Three candidate proteins localized to DNA lesions, including RBMX, a heterogeneous nuclear ribonucleoprotein that has a role in alternative splicing. RBMX accumulated at DNA lesions through multiple domains in a poly(ADP-ribose) polymerase 1-dependent manner and promoted HR by facilitating proper BRCA2 expression. Our screen also revealed that off-target depletion of RAD51 is a common source of RNAi false positives, raising a cautionary note for siRNA screens and RNAi-based studies of HR.","container-title":"Nature Cell Biology","DOI":"10.1038/ncb2426","ISSN":"1476-4679","issue":"3","journalAbbreviation":"Nat Cell Biol","language":"eng","note":"PMID: 22344029\nPMCID: PMC3290715","page":"318-328","source":"PubMed","title":"A genome-wide homologous recombination screen identifies the RNA-binding protein RBMX as a component of the DNA-damage response","volume":"14","author":[{"family":"Adamson","given":"Britt"},{"family":"Smogorzewska","given":"Agata"},{"family":"Sigoillot","given":"Frederic D."},{"family":"King","given":"Randall W."},{"family":"Elledge","given":"Stephen J."}],"issued":{"date-parts":[["2012",2,19]]}}},{"id":277,"uris":["http://zotero.org/users/9078202/items/EA9JRMYB"],"itemData":{"id":277,"type":"article-journal","abstract":"A new class of poly(ADP-ribose) (pADPr)-binding proteins, heterogeneous nuclear ribonucleoproteins (hnRNPs), has been identified by a proteomic approach using matrix-assisted laser-desorption-ionization time-of-flight ('MALDI-TOF') MS. Liquid-phase isoelectric focusing with a Rotofor cell (Bio-Rad) allowed pre-fractionation of proteins extracted from HeLa cells. Rotofor protein fractions were further separated by SDS/PAGE and then transferred to a PVDF membrane. pADPr-binding proteins were analysed by autoradiography of the protein blot after incubation with (32)P-labelled automodified pADPr polymerase-1 (PARP-1). Peptide mass fingerprinting of selected bands identified the most abundant pADPr-binding proteins as hnRNPs, a family of proteins that bind pre-mRNA into functional complexes involved in mRNA maturation and transport to the cytoplasm. Sequence homology database searching against a previously reported pADPr-binding sequence motif revealed that the hnRNPs contain a putative pADPr-binding sequence pattern [Pleschke, Kleczkowska, Strohm and Althaus (2000) J. Biol. Chem. 275, 40974-40980]. pADPr-binding assays performed with synthetic peptides by the dot-blot technique and with nitrocellulose-transferred recombinant hnRNPs confirmed the pADPr-binding protein identification and the specificity of the interaction. These results could establish a link between increased levels of pADPr in DNA damaged cells and the modified protein expression pattern resulting from altered mRNA trafficking.","container-title":"The Biochemical Journal","DOI":"10.1042/BJ20021675","ISSN":"0264-6021","issue":"Pt 2","journalAbbreviation":"Biochem J","language":"eng","note":"PMID: 12517304\nPMCID: PMC1223283","page":"331-340","source":"PubMed","title":"A proteomic approach to the identification of heterogeneous nuclear ribonucleoproteins as a new family of poly(ADP-ribose)-binding proteins","volume":"371","author":[{"family":"Gagné","given":"Jean-Philippe"},{"family":"Hunter","given":"Joanna M."},{"family":"Labrecque","given":"Benoît"},{"family":"Chabot","given":"Benoît"},{"family":"Poirier","given":"Guy G."}],"issued":{"date-parts":[["2003",4,15]]}}},{"id":276,"uris":["http://zotero.org/users/9078202/items/HTHTP8BW"],"itemData":{"id":276,"type":"article-journal","abstract":"Localization to sites of DNA damage is a hallmark of DNA damage response (DDR) proteins. To identify DDR factors, we screened epitope-tagged proteins for localization to sites of chromatin damaged by UV laser microirradiation and found &gt;120 proteins that localize to damaged chromatin. These include the BAF tumor suppressor complex and the amyotrophic lateral sclerosis (ALS) candidate protein TAF15. TAF15 contains multiple domains that bind damaged chromatin in a poly-(ADP-ribose) polymerase (PARP)-dependent manner, suggesting a possible role as glue that tethers multiple PAR chains together. Many positives were transcription factors; &gt; 70% of randomly tested transcription factors localized to sites of DNA damage, and of these, </w:instrText>
      </w:r>
      <w:r w:rsidR="008611DC">
        <w:rPr>
          <w:rFonts w:ascii="Cambria Math" w:hAnsi="Cambria Math" w:cs="Cambria Math"/>
          <w:sz w:val="28"/>
          <w:szCs w:val="28"/>
        </w:rPr>
        <w:instrText>∼</w:instrText>
      </w:r>
      <w:r w:rsidR="008611DC">
        <w:rPr>
          <w:rFonts w:ascii="Times New Roman" w:hAnsi="Times New Roman"/>
          <w:sz w:val="28"/>
          <w:szCs w:val="28"/>
        </w:rPr>
        <w:instrText xml:space="preserve">90% were PARP dependent for localization. Mutational analyses showed that localization to damaged chromatin is DNA-binding-domain dependent. By examining Hoechst staining patterns at damage sites, we see evidence of chromatin decompaction that is PARP dependent. We propose that PARP-regulated chromatin remodeling at sites of damage allows transient accessibility of DNA-binding proteins.","container-title":"Cell Reports","DOI":"10.1016/j.celrep.2015.04.053","ISSN":"2211-1247","issue":"9","journalAbbreviation":"Cell Rep","language":"eng","note":"PMID: 26004182\nPMCID: PMC4464939","page":"1486-1500","source":"PubMed","title":"A Systematic Analysis of Factors Localized to Damaged Chromatin Reveals PARP-Dependent Recruitment of Transcription Factors","volume":"11","author":[{"family":"Izhar","given":"Lior"},{"family":"Adamson","given":"Britt"},{"family":"Ciccia","given":"Alberto"},{"family":"Lewis","given":"Jedd"},{"family":"Pontano-Vaites","given":"Laura"},{"family":"Leng","given":"Yumei"},{"family":"Liang","given":"Anthony C."},{"family":"Westbrook","given":"Thomas F."},{"family":"Harper","given":"J. Wade"},{"family":"Elledge","given":"Stephen J."}],"issued":{"date-parts":[["2015",6,9]]}}},{"id":275,"uris":["http://zotero.org/users/9078202/items/BFRHVECC"],"itemData":{"id":275,"type":"article-journal","abstract":"After the generation of DNA double-strand breaks (DSBs), poly(ADP-ribose) polymerase-1 (PARP-1) is one of the first proteins to be recruited and activated through its binding to the free DNA ends. Upon activation, PARP-1 uses NAD+ to generate large amounts of poly(ADP-ribose) (PAR), which facilitates the recruitment of DNA repair factors. Here, we identify the RNA-binding protein NONO, a partner protein of SFPQ, as a novel PAR-binding protein. The protein motif being primarily responsible for PAR-binding is the RNA recognition motif 1 (RRM1), which is also crucial for RNA-binding, highlighting a competition between RNA and PAR as they share the same binding site. Strikingly, the in vivo recruitment of NONO to DNA damage sites completely depends on PAR, generated by activated PARP-1. Furthermore, we show that upon PAR-dependent recruitment, NONO stimulates nonhomologous end joining (NHEJ) and represses homologous recombination (HR) in vivo. Our results therefore place NONO after PARP activation in the context of DNA DSB repair pathway decision. Understanding the mechanism of action of proteins that act in the same pathway as PARP-1 is crucial to shed more light onto the effect of interference on PAR-mediated pathways with PARP inhibitors, which have already reached phase III clinical trials but are until date poorly understood.","container-title":"Nucleic Acids Research","DOI":"10.1093/nar/gks798","ISSN":"0305-1048","issue":"20","journalAbbreviation":"Nucleic Acids Res","note":"PMID: 22941645\nPMCID: PMC3488241","page":"10287-10301","source":"PubMed Central","title":"PARP activation regulates the RNA-binding protein NONO in the DNA damage response to DNA double-strand breaks","URL":"https://www.ncbi.nlm.nih.gov/pmc/articles/PMC3488241/","volume":"40","author":[{"family":"Krietsch","given":"Jana"},{"family":"Caron","given":"Marie-Christine"},{"family":"Gagné","given":"Jean-Philippe"},{"family":"Ethier","given":"Chantal"},{"family":"Vignard","given":"Julien"},{"family":"Vincent","given":"Michel"},{"family":"Rouleau","given":"Michèle"},{"family":"Hendzel","given":"Michael J."},{"family":"Poirier","given":"Guy G."},{"family":"Masson","given":"Jean-Yves"}],"accessed":{"date-parts":[["2022",4,11]]},"issued":{"date-parts":[["2012",11]]}}}],"schema":"https://github.com/citation-style-language/schema/raw/master/csl-citation.json"}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szCs w:val="24"/>
        </w:rPr>
        <w:t>[296–299]</w:t>
      </w:r>
      <w:r w:rsidRPr="00107040">
        <w:rPr>
          <w:rFonts w:ascii="Times New Roman" w:hAnsi="Times New Roman"/>
          <w:sz w:val="28"/>
          <w:szCs w:val="28"/>
          <w:lang w:val="en-US"/>
        </w:rPr>
        <w:fldChar w:fldCharType="end"/>
      </w:r>
      <w:r w:rsidRPr="00107040">
        <w:rPr>
          <w:rFonts w:ascii="Times New Roman" w:hAnsi="Times New Roman"/>
          <w:sz w:val="28"/>
          <w:szCs w:val="28"/>
        </w:rPr>
        <w:t>. Таким образом, имея строение, сходное со структурой РНК, ПАР создают реальную конкуренцию за взаимодействие многих белков с РНК.</w:t>
      </w:r>
    </w:p>
    <w:p w14:paraId="584E354F" w14:textId="5F2FD8A2"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 Домен </w:t>
      </w:r>
      <w:r w:rsidRPr="00107040">
        <w:rPr>
          <w:rFonts w:ascii="Times New Roman" w:hAnsi="Times New Roman"/>
          <w:sz w:val="28"/>
          <w:szCs w:val="28"/>
          <w:lang w:val="en-US"/>
        </w:rPr>
        <w:t>PIN</w:t>
      </w:r>
      <w:r w:rsidRPr="00107040">
        <w:rPr>
          <w:rFonts w:ascii="Times New Roman" w:hAnsi="Times New Roman"/>
          <w:sz w:val="28"/>
          <w:szCs w:val="28"/>
        </w:rPr>
        <w:t xml:space="preserve"> (</w:t>
      </w:r>
      <w:r w:rsidRPr="00107040">
        <w:rPr>
          <w:rFonts w:ascii="Times New Roman" w:hAnsi="Times New Roman"/>
          <w:sz w:val="28"/>
          <w:szCs w:val="28"/>
          <w:lang w:val="en-US"/>
        </w:rPr>
        <w:t>N</w:t>
      </w:r>
      <w:r w:rsidRPr="00107040">
        <w:rPr>
          <w:rFonts w:ascii="Times New Roman" w:hAnsi="Times New Roman"/>
          <w:sz w:val="28"/>
          <w:szCs w:val="28"/>
        </w:rPr>
        <w:t xml:space="preserve">-конец </w:t>
      </w:r>
      <w:r w:rsidRPr="00107040">
        <w:rPr>
          <w:rFonts w:ascii="Times New Roman" w:hAnsi="Times New Roman"/>
          <w:sz w:val="28"/>
          <w:szCs w:val="28"/>
          <w:lang w:val="en-US"/>
        </w:rPr>
        <w:t>PilT</w:t>
      </w:r>
      <w:r w:rsidRPr="00107040">
        <w:rPr>
          <w:rFonts w:ascii="Times New Roman" w:hAnsi="Times New Roman"/>
          <w:sz w:val="28"/>
          <w:szCs w:val="28"/>
        </w:rPr>
        <w:t xml:space="preserve">) является хорошо консервативным доменом в процессе эволюции, что позволяет ему связываться с одноцепочечной ДНК или РНК. Этот домен также несет нуклеазную активность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{"citationID":"r8uMyD4m","properties":{"formattedCitation":"[300]","plainCitation":"[300]","noteIndex":0},"citationItems":[{"id":274,"uris":["http://zotero.org/users/9078202/items/VK54MIID"],"itemData":{"id":274,"type":"article-journal","abstract":"The PIN-domains are small proteins of ~130 amino acids that are found in bacteria, archaea and eukaryotes and are defined by a group of three strictly conserved acidic amino acids. The conserved three-dimensional structures of the PIN-domains cluster these acidic residues in an enzymatic active site. PIN-domains cleave single-stranded RNA in a sequence-specific, Mg²+- or Mn²+-dependent manner. These ribonucleases are toxic to the cells which express them and to offset this toxicity, they are co-expressed with tight binding protein inhibitors. The genes encoding these two proteins are adjacent in the genome of all prokaryotic organisms where they are found. This sequential arrangement of inhibitor-RNAse genes conforms to that of the so-called toxin-antitoxin (TA) modules and the PIN-domain TAs have been named VapBC TAs (virulence associated proteins, VapB is the inhibitor which contains a transcription factor domain and VapC is the PIN-domain ribonuclease). The presence of large numbers of vapBC loci in disparate prokaryotes has motivated many researchers to investigate their biochemical and biological functions. For example, the devastating human pathogen Mycobacterium tuberculosis has 45 vapBC loci encoded in its genome whereas its non-pathogenic relative, Mycobacterium smegmatis has just one vapBC operon. On another branch of the prokaryotic tree, the nitrogen-fixing symbiont of legumes, Sinorhizobium meliloti has 21 vapBC loci and at least one of these loci have been implicated in the regulation of growth in the plant nodule. A range of biological functions has been suggested for these operons and this review sets out to survey the PIN-domains and summarise the current knowledge about the vapBC TA systems and their roles in diverse bacteria.","container-title":"Protein engineering, design &amp; selection: PEDS","DOI":"10.1093/protein/gzq081","ISSN":"1741-0134","issue":"1-2","journalAbbreviation":"Protein Eng Des Sel","language":"eng","note":"PMID: 21036780","page":"33-40","source":"PubMed","title":"The PIN-domain ribonucleases and the prokaryotic VapBC toxin-antitoxin array","volume":"24","author":[{"family":"Arcus","given":"Vickery L."},{"family":"McKenzie","given":"Joanna L."},{"family":"Robson","given":"Jennifer"},{"family":"Cook","given":"Gregory M."}],"issued":{"date-parts":[["2011",1]]}}}],"schema":"https://github.com/citation-style-language/schema/raw/master/csl-citation.json"}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[300]</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Например, он несет экзонуклеазную активность белка </w:t>
      </w:r>
      <w:r w:rsidRPr="00107040">
        <w:rPr>
          <w:rFonts w:ascii="Times New Roman" w:hAnsi="Times New Roman"/>
          <w:sz w:val="28"/>
          <w:szCs w:val="28"/>
          <w:lang w:val="en-US"/>
        </w:rPr>
        <w:t>EXO</w:t>
      </w:r>
      <w:r w:rsidRPr="00107040">
        <w:rPr>
          <w:rFonts w:ascii="Times New Roman" w:hAnsi="Times New Roman"/>
          <w:sz w:val="28"/>
          <w:szCs w:val="28"/>
        </w:rPr>
        <w:t xml:space="preserve">1 (экзонуклеаза 1) и эндонуклеазную активность белка </w:t>
      </w:r>
      <w:r w:rsidRPr="00107040">
        <w:rPr>
          <w:rFonts w:ascii="Times New Roman" w:hAnsi="Times New Roman"/>
          <w:sz w:val="28"/>
          <w:szCs w:val="28"/>
          <w:lang w:val="en-US"/>
        </w:rPr>
        <w:t>GEN</w:t>
      </w:r>
      <w:r w:rsidRPr="00107040">
        <w:rPr>
          <w:rFonts w:ascii="Times New Roman" w:hAnsi="Times New Roman"/>
          <w:sz w:val="28"/>
          <w:szCs w:val="28"/>
        </w:rPr>
        <w:t xml:space="preserve">1 (гомолог 1 эндонуклеазы 1 лоскута </w:t>
      </w:r>
      <w:r w:rsidRPr="00107040">
        <w:rPr>
          <w:rFonts w:ascii="Times New Roman" w:hAnsi="Times New Roman"/>
          <w:sz w:val="28"/>
          <w:szCs w:val="28"/>
          <w:lang w:val="en-US"/>
        </w:rPr>
        <w:t>GEN</w:t>
      </w:r>
      <w:r w:rsidRPr="00107040">
        <w:rPr>
          <w:rFonts w:ascii="Times New Roman" w:hAnsi="Times New Roman"/>
          <w:sz w:val="28"/>
          <w:szCs w:val="28"/>
        </w:rPr>
        <w:t xml:space="preserve">). Было обнаружено, что </w:t>
      </w:r>
      <w:r w:rsidRPr="00107040">
        <w:rPr>
          <w:rFonts w:ascii="Times New Roman" w:hAnsi="Times New Roman"/>
          <w:sz w:val="28"/>
          <w:szCs w:val="28"/>
          <w:lang w:val="en-US"/>
        </w:rPr>
        <w:t>PIN</w:t>
      </w:r>
      <w:r w:rsidRPr="00107040">
        <w:rPr>
          <w:rFonts w:ascii="Times New Roman" w:hAnsi="Times New Roman"/>
          <w:sz w:val="28"/>
          <w:szCs w:val="28"/>
        </w:rPr>
        <w:t xml:space="preserve">-домен распознает ПАР </w:t>
      </w:r>
      <w:r w:rsidRPr="00107040">
        <w:rPr>
          <w:rFonts w:ascii="Times New Roman" w:hAnsi="Times New Roman"/>
          <w:i/>
          <w:sz w:val="28"/>
          <w:szCs w:val="28"/>
          <w:lang w:val="en-US"/>
        </w:rPr>
        <w:t>in</w:t>
      </w:r>
      <w:r w:rsidRPr="00107040">
        <w:rPr>
          <w:rFonts w:ascii="Times New Roman" w:hAnsi="Times New Roman"/>
          <w:i/>
          <w:sz w:val="28"/>
          <w:szCs w:val="28"/>
        </w:rPr>
        <w:t xml:space="preserve"> </w:t>
      </w:r>
      <w:r w:rsidRPr="00107040">
        <w:rPr>
          <w:rFonts w:ascii="Times New Roman" w:hAnsi="Times New Roman"/>
          <w:i/>
          <w:sz w:val="28"/>
          <w:szCs w:val="28"/>
          <w:lang w:val="en-US"/>
        </w:rPr>
        <w:t>vitro</w:t>
      </w:r>
      <w:r w:rsidRPr="00107040">
        <w:rPr>
          <w:rFonts w:ascii="Times New Roman" w:hAnsi="Times New Roman"/>
          <w:sz w:val="28"/>
          <w:szCs w:val="28"/>
        </w:rPr>
        <w:t xml:space="preserve"> и </w:t>
      </w:r>
      <w:r w:rsidRPr="00107040">
        <w:rPr>
          <w:rFonts w:ascii="Times New Roman" w:hAnsi="Times New Roman"/>
          <w:i/>
          <w:sz w:val="28"/>
          <w:szCs w:val="28"/>
          <w:lang w:val="en-US"/>
        </w:rPr>
        <w:t>in</w:t>
      </w:r>
      <w:r w:rsidRPr="00107040">
        <w:rPr>
          <w:rFonts w:ascii="Times New Roman" w:hAnsi="Times New Roman"/>
          <w:i/>
          <w:sz w:val="28"/>
          <w:szCs w:val="28"/>
        </w:rPr>
        <w:t xml:space="preserve"> </w:t>
      </w:r>
      <w:r w:rsidRPr="00107040">
        <w:rPr>
          <w:rFonts w:ascii="Times New Roman" w:hAnsi="Times New Roman"/>
          <w:i/>
          <w:sz w:val="28"/>
          <w:szCs w:val="28"/>
          <w:lang w:val="en-US"/>
        </w:rPr>
        <w:t>vivo</w:t>
      </w:r>
      <w:r w:rsidRPr="00107040">
        <w:rPr>
          <w:rFonts w:ascii="Times New Roman" w:hAnsi="Times New Roman"/>
          <w:sz w:val="28"/>
          <w:szCs w:val="28"/>
        </w:rPr>
        <w:t xml:space="preserve"> с высокой </w:t>
      </w:r>
      <w:r w:rsidRPr="00107040">
        <w:rPr>
          <w:rFonts w:ascii="Times New Roman" w:hAnsi="Times New Roman"/>
          <w:sz w:val="28"/>
          <w:szCs w:val="28"/>
        </w:rPr>
        <w:lastRenderedPageBreak/>
        <w:t xml:space="preserve">аффинностью наномолярного порядка. Это взаимодействие позволяет белку </w:t>
      </w:r>
      <w:r w:rsidRPr="00107040">
        <w:rPr>
          <w:rFonts w:ascii="Times New Roman" w:hAnsi="Times New Roman"/>
          <w:sz w:val="28"/>
          <w:szCs w:val="28"/>
          <w:lang w:val="en-US"/>
        </w:rPr>
        <w:t>EXO</w:t>
      </w:r>
      <w:r w:rsidRPr="00107040">
        <w:rPr>
          <w:rFonts w:ascii="Times New Roman" w:hAnsi="Times New Roman"/>
          <w:sz w:val="28"/>
          <w:szCs w:val="28"/>
        </w:rPr>
        <w:t xml:space="preserve">1 быстро рекрутироваться в места повреждения ДНК. Домен </w:t>
      </w:r>
      <w:r w:rsidRPr="00107040">
        <w:rPr>
          <w:rFonts w:ascii="Times New Roman" w:hAnsi="Times New Roman"/>
          <w:sz w:val="28"/>
          <w:szCs w:val="28"/>
          <w:lang w:val="en-US"/>
        </w:rPr>
        <w:t>PIN</w:t>
      </w:r>
      <w:r w:rsidRPr="00107040">
        <w:rPr>
          <w:rFonts w:ascii="Times New Roman" w:hAnsi="Times New Roman"/>
          <w:sz w:val="28"/>
          <w:szCs w:val="28"/>
        </w:rPr>
        <w:t xml:space="preserve"> эндонуклеазы </w:t>
      </w:r>
      <w:r w:rsidRPr="00107040">
        <w:rPr>
          <w:rFonts w:ascii="Times New Roman" w:hAnsi="Times New Roman"/>
          <w:sz w:val="28"/>
          <w:szCs w:val="28"/>
          <w:lang w:val="en-US"/>
        </w:rPr>
        <w:t>GEN</w:t>
      </w:r>
      <w:r w:rsidRPr="00107040">
        <w:rPr>
          <w:rFonts w:ascii="Times New Roman" w:hAnsi="Times New Roman"/>
          <w:sz w:val="28"/>
          <w:szCs w:val="28"/>
        </w:rPr>
        <w:t xml:space="preserve">1 также взаимодействует с ПАР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{"citationID":"4iUvmWS4","properties":{"formattedCitation":"[301]","plainCitation":"[301]","noteIndex":0},"citationItems":[{"id":273,"uris":["http://zotero.org/users/9078202/items/MWEJ29LN"],"itemData":{"id":273,"type":"article-journal","abstract":"Following DNA double-strand breaks, poly(ADP-ribose) (PAR) is quickly and heavily synthesized to mediate fast and early recruitment of a number of DNA damage response factors to the sites of DNA lesions and facilitates DNA damage repair. Here, we found that EXO1, an exonuclease for DNA damage repair, is quickly recruited to the sites of DNA damage via PAR-binding. With further dissection of the functional domains of EXO1, we report that the PIN domain of EXO1 recognizes PAR both in vitro and in vivo and the interaction between the PIN domain and PAR is sufficient for the recruitment. We also found that the R93G variant of EXO1, generated by a single nucleotide polymorphism, abolishes the interaction and the early recruitment. Moreover, our study suggests that the PAR-mediated fast recruitment of EXO1 facilities early DNA end resection, the first step of homologous recombination repair. We observed that other PIN domains could also recognize DNA damage-induced PAR. Taken together, our study demonstrates a novel class of PAR-binding module that plays an important role in DNA damage response.","container-title":"Nucleic Acids Research","DOI":"10.1093/nar/gkv939","ISSN":"0305-1048","issue":"22","journalAbbreviation":"Nucleic Acids Res","note":"PMID: 26400172\nPMCID: PMC4678857","page":"10782-10794","source":"PubMed Central","title":"The PIN domain of EXO1 recognizes poly(ADP-ribose) in DNA damage response","URL":"https://www.ncbi.nlm.nih.gov/pmc/articles/PMC4678857/","volume":"43","author":[{"family":"Zhang","given":"Feng"},{"family":"Shi","given":"Jiazhong"},{"family":"Chen","given":"Shih-Hsun"},{"family":"Bian","given":"Chunjing"},{"family":"Yu","given":"Xiaochun"}],"accessed":{"date-parts":[["2022",4,11]]},"issued":{"date-parts":[["2015",12,15]]}}}],"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[301]</w:t>
      </w:r>
      <w:r w:rsidRPr="00107040">
        <w:rPr>
          <w:rFonts w:ascii="Times New Roman" w:hAnsi="Times New Roman"/>
          <w:sz w:val="28"/>
          <w:szCs w:val="28"/>
          <w:lang w:val="en-US"/>
        </w:rPr>
        <w:fldChar w:fldCharType="end"/>
      </w:r>
      <w:r w:rsidRPr="00107040">
        <w:rPr>
          <w:rFonts w:ascii="Times New Roman" w:hAnsi="Times New Roman"/>
          <w:sz w:val="28"/>
          <w:szCs w:val="28"/>
        </w:rPr>
        <w:t>.</w:t>
      </w:r>
    </w:p>
    <w:p w14:paraId="4B6003AC" w14:textId="55E084D7"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 xml:space="preserve">- Домены, богатые серинами и аргининами (домен </w:t>
      </w:r>
      <w:r w:rsidRPr="00107040">
        <w:rPr>
          <w:rFonts w:ascii="Times New Roman" w:hAnsi="Times New Roman"/>
          <w:sz w:val="28"/>
          <w:szCs w:val="28"/>
          <w:lang w:val="en-US"/>
        </w:rPr>
        <w:t>SR</w:t>
      </w:r>
      <w:r w:rsidRPr="00107040">
        <w:rPr>
          <w:rFonts w:ascii="Times New Roman" w:hAnsi="Times New Roman"/>
          <w:sz w:val="28"/>
          <w:szCs w:val="28"/>
        </w:rPr>
        <w:t xml:space="preserve">) или глицинами и аргининами (домен </w:t>
      </w:r>
      <w:r w:rsidRPr="00107040">
        <w:rPr>
          <w:rFonts w:ascii="Times New Roman" w:hAnsi="Times New Roman"/>
          <w:sz w:val="28"/>
          <w:szCs w:val="28"/>
          <w:lang w:val="en-US"/>
        </w:rPr>
        <w:t>GAR</w:t>
      </w:r>
      <w:r w:rsidRPr="00107040">
        <w:rPr>
          <w:rFonts w:ascii="Times New Roman" w:hAnsi="Times New Roman"/>
          <w:sz w:val="28"/>
          <w:szCs w:val="28"/>
        </w:rPr>
        <w:t xml:space="preserve">), обнаружены во многих РНК-связывающих белках. Эти области находятся в основном в регуляторах сплайсинга РНК и в стрессовых гранулах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{"citationID":"kkQnkbYo","properties":{"formattedCitation":"[302]","plainCitation":"[302]","noteIndex":0},"citationItems":[{"id":272,"uris":["http://zotero.org/users/9078202/items/ZNBRYVIP"],"itemData":{"id":272,"type":"article-journal","abstract":"The processing of pre-mRNAs is a fundamental step required for the expression of most metazoan genes. Members of the family of serine/arginine (SR)-rich proteins are critical components of the machineries carrying out these essential processing events, highlighting their importance in maintaining efficient gene expression. SR proteins are characterized by their ability to interact simultaneously with RNA and other protein components via an RNA recognition motif (RRM) and through a domain rich in arginine and serine residues, the RS domain. Their functional roles in gene expression are surprisingly diverse, ranging from their classical involvement in constitutive and alternative pre-mRNA splicing to various post-splicing activities, including mRNA nuclear export, nonsense-mediated decay, and mRNA translation. These activities point up the importance of SR proteins during the regulation of mRNA metabolism.","container-title":"Genome Biology","DOI":"10.1186/gb-2009-10-10-242","ISSN":"1474-760X","issue":"10","journalAbbreviation":"Genome Biology","page":"242","source":"BioMed Central","title":"The SR protein family","URL":"https://doi.org/10.1186/gb-2009-10-10-242","volume":"10","author":[{"family":"Shepard","given":"Peter J."},{"family":"Hertel","given":"Klemens J."}],"accessed":{"date-parts":[["2022",4,11]]},"issued":{"date-parts":[["2009",10,27]]}}}],"schema":"https://github.com/citation-style-language/schema/raw/master/csl-citation.json"}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[302]</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Недавно было показано, что многие белки, несущие этот домен, могут взаимодействовать с ПАР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{"citationID":"RZGOJIxo","properties":{"formattedCitation":"[303,304]","plainCitation":"[303,304]","noteIndex":0},"citationItems":[{"id":271,"uris":["http://zotero.org/users/9078202/items/Y3BRSLS3"],"itemData":{"id":271,"type":"article-journal","abstract":"Poly(ADP-ribose) (pADPr) is a heterogenic molecule synthesised from NAD by poly(ADP-ribose) polymerases (PARPs). Many cellular functions from genome integrity surveillance, cell cycle progression and DNA repair to apoptosis are affected by pADPr through its network of associated proteins. Using quantitative proteomics, we established a temporal map of pADPr-associated complexes upon genotoxic stress. Results suggested a strong pADPr association to many proteins involved in stress granule formation, notably the ras-GAP SH3-binding protein G3BP, as well as in the later phases of alkylation-stress-induced responses. Further investigation with dynamic imaging clearly demonstrated a pADPr-dependent initiation of stress granule assembly originating from the nucleus. The co-transfection of G3BP with poly(ADP-ribose) glycohydrolase (PARG) indicates that pADPr is involved in modulating the nuclear translocation of G3BP. Moreover, a peptide pADPr blot assay of G3BP revealed that pADPr binds to the glycine-arginine-rich domain of G3BP. Thereafter, we established a comprehensive G3BP interactome in the presence of pADPr. Our findings establish a novel function for pADPr in the formation of G3BP-induced stress granules upon genotoxic stress.","container-title":"Journal of Cell Science","DOI":"10.1242/jcs.106963","ISSN":"1477-9137","issue":"Pt 19","journalAbbreviation":"J Cell Sci","language":"eng","note":"PMID: 22767504","page":"4555-4566","source":"PubMed","title":"Quantitative proteomics and dynamic imaging reveal that G3BP-mediated stress granule assembly is poly(ADP-ribose)-dependent following exposure to MNNG-induced DNA alkylation","volume":"125","author":[{"family":"Isabelle","given":"Maxim"},{"family":"Gagné","given":"Jean-Philippe"},{"family":"Gallouzi","given":"Imed-Eddine"},{"family":"Poirier","given":"Guy G."}],"issued":{"date-parts":[["2012",10,1]]}}},{"id":270,"uris":["http://zotero.org/users/9078202/items/PHKNF7DP"],"itemData":{"id":270,"type":"article-journal","abstract":"Human DNA topoisomerase I plays a dual role in transcription, by controlling DNA supercoiling and by acting as a specific kinase for the SR-protein family of splicing factors. The two activities are mutually exclusive, but the identity of the molecular switch is unknown. Here we identify poly(ADP-ribose) as a physiological regulator of the two topoisomerase I functions. We found that, in the presence of both DNA and the alternative splicing factor/splicing factor 2 (ASF/SF2, a prototypical SR-protein), poly(ADP-ribose) affected topoisomerase I substrate selection and gradually shifted enzyme activity from protein phosphorylation to DNA cleavage. A likely mechanistic explanation was offered by the discovery that poly(ADP-ribose) forms a high affinity complex with ASF/SF2 thereby leaving topoisomerase I available for directing its action onto DNA. We identified two functionally important domains, RRM1 and RS, as specific poly(ADP-ribose) binding targets. Two independent lines of evidence emphasize the potential biological relevance of our findings: (i) in HeLa nuclear extracts, ASF/SF2, but not histone, phosphorylation was inhibited by poly(ADP-ribose); (ii) an in silico study based on gene expression profiling data revealed an increased incidence of alternative splicing within a subset of inflammatory response genes that are dysregulated in cells lacking a functional poly(ADP-ribose) polymerase-1. We propose that poly(ADP-ribose) targeting of topoisomerase I and ASF/SF2 functions may participate in the regulation of gene expression.","container-title":"The Journal of Biological Chemistry","DOI":"10.1074/jbc.M709495200","ISSN":"0021-9258","issue":"29","journalAbbreviation":"J Biol Chem","language":"eng","note":"PMID: 18495665","page":"19991-19998","source":"PubMed","title":"Poly(ADP-ribose) binds to the splicing factor ASF/SF2 and regulates its phosphorylation by DNA topoisomerase I","volume":"283","author":[{"family":"Malanga","given":"Maria"},{"family":"Czubaty","given":"Alicja"},{"family":"Girstun","given":"Agnieszka"},{"family":"Staron","given":"Krzysztof"},{"family":"Althaus","given":"Felix R."}],"issued":{"date-parts":[["2008",7,18]]}}}],"schema":"https://github.com/citation-style-language/schema/raw/master/csl-citation.json"}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[303,304]</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Механизм распознавания ПАР не был охарактеризован, но вполне вероятно, что положительные заряды, переносимые этим доменом, обеспечивают электростатические взаимодействия с отрицательными зарядами ПАР. Таким образом, эти взаимодействия могут играть ключевую роль в сплайсинге РНК и сборке стрессовых гранул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{"citationID":"iP67KsKt","properties":{"formattedCitation":"[305]","plainCitation":"[305]","noteIndex":0},"citationItems":[{"id":269,"uris":["http://zotero.org/users/9078202/items/M5Z6IGNY"],"itemData":{"id":269,"type":"article-journal","abstract":"Poly(ADP-ribose) is a major regulatory macromolecule in the nucleus, where it regulates transcription, chromosome structure, and DNA damage repair. Functions in the interphase cytoplasm are less understood. Here, we identify a requirement for poly(ADP-ribose) in the assembly of cytoplasmic stress granules, which accumulate RNA-binding proteins that regulate the translation and stability of mRNAs upon stress. We show that poly(ADP-ribose), six specific poly(ADP-ribose) polymerases, and two poly(ADP-ribose) glycohydrolase isoforms are stress granule components. A subset of stress granule proteins, including microRNA-binding Argonaute family members Ago1-4, are modified by poly(ADP-ribose), and such modification increases upon stress, a condition when both microRNA-mediated translational repression and microRNA-directed mRNA cleavage are relieved. Similar relief of repression is also observed upon overexpression of specific poly(ADP-ribose) polymerases or, conversely, upon knockdown of glycohydrolase. We conclude that poly(ADP-ribose) is a key regulator of posttranscriptional gene expression in the cytoplasm.","container-title":"Molecular Cell","DOI":"10.1016/j.molcel.2011.04.015","ISSN":"1097-4164","issue":"4","journalAbbreviation":"Mol Cell","language":"eng","note":"PMID: 21596313\nPMCID: PMC3898460","page":"489-499","source":"PubMed","title":"Poly(ADP-ribose) regulates stress responses and microRNA activity in the cytoplasm","volume":"42","author":[{"family":"Leung","given":"Anthony K. L."},{"family":"Vyas","given":"Sejal"},{"family":"Rood","given":"Jennifer E."},{"family":"Bhutkar","given":"Arjun"},{"family":"Sharp","given":"Phillip A."},{"family":"Chang","given":"Paul"}],"issued":{"date-parts":[["2011",5,20]]}}}],"schema":"https://github.com/citation-style-language/schema/raw/master/csl-citation.json"}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[305]</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Наконец, рекрутирование и агрегация определенных белков, несущих домены </w:t>
      </w:r>
      <w:r w:rsidRPr="00107040">
        <w:rPr>
          <w:rFonts w:ascii="Times New Roman" w:hAnsi="Times New Roman"/>
          <w:sz w:val="28"/>
          <w:szCs w:val="28"/>
          <w:lang w:val="en-US"/>
        </w:rPr>
        <w:t>GAR</w:t>
      </w:r>
      <w:r w:rsidRPr="00107040">
        <w:rPr>
          <w:rFonts w:ascii="Times New Roman" w:hAnsi="Times New Roman"/>
          <w:sz w:val="28"/>
          <w:szCs w:val="28"/>
        </w:rPr>
        <w:t xml:space="preserve">, может вызывать сложное и очень интригующее явление фазового разделения. Это физическое явление можно сравнить с тем, что происходит, когда капля масла попадает в воду. Действительно, локальный синтез ПАР будет индуцировать рекрутирование белков, несущих домен </w:t>
      </w:r>
      <w:r w:rsidRPr="00107040">
        <w:rPr>
          <w:rFonts w:ascii="Times New Roman" w:hAnsi="Times New Roman"/>
          <w:sz w:val="28"/>
          <w:szCs w:val="28"/>
          <w:lang w:val="en-US"/>
        </w:rPr>
        <w:t>GAR</w:t>
      </w:r>
      <w:r w:rsidRPr="00107040">
        <w:rPr>
          <w:rFonts w:ascii="Times New Roman" w:hAnsi="Times New Roman"/>
          <w:sz w:val="28"/>
          <w:szCs w:val="28"/>
        </w:rPr>
        <w:t xml:space="preserve">, таких как онкогенный белок </w:t>
      </w:r>
      <w:r w:rsidRPr="00107040">
        <w:rPr>
          <w:rFonts w:ascii="Times New Roman" w:hAnsi="Times New Roman"/>
          <w:sz w:val="28"/>
          <w:szCs w:val="28"/>
          <w:lang w:val="en-US"/>
        </w:rPr>
        <w:t>Fus</w:t>
      </w:r>
      <w:r w:rsidRPr="00107040">
        <w:rPr>
          <w:rFonts w:ascii="Times New Roman" w:hAnsi="Times New Roman"/>
          <w:sz w:val="28"/>
          <w:szCs w:val="28"/>
        </w:rPr>
        <w:t xml:space="preserve"> (белок, связывающий РНК </w:t>
      </w:r>
      <w:r w:rsidRPr="00107040">
        <w:rPr>
          <w:rFonts w:ascii="Times New Roman" w:hAnsi="Times New Roman"/>
          <w:sz w:val="28"/>
          <w:szCs w:val="28"/>
          <w:lang w:val="en-US"/>
        </w:rPr>
        <w:t>FUS</w:t>
      </w:r>
      <w:r w:rsidRPr="00107040">
        <w:rPr>
          <w:rFonts w:ascii="Times New Roman" w:hAnsi="Times New Roman"/>
          <w:sz w:val="28"/>
          <w:szCs w:val="28"/>
        </w:rPr>
        <w:t xml:space="preserve">). Этот естественно неупорядоченный белок способен агрегировать по механизму, сходному с прионоподобными белками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{"citationID":"Thni24Zz","properties":{"formattedCitation":"[306]","plainCitation":"[306]","noteIndex":0},"citationItems":[{"id":268,"uris":["http://zotero.org/users/9078202/items/4DERUPL8"],"itemData":{"id":268,"type":"article-journal","abstract":"Huntington’s disease is caused by an abnormally long polyglutamine tract in the huntingtin protein. This leads to the generation and deposition of N-terminal exon1 fragments of the protein in intracellular aggregates. We combined electron tomography and quantitative fluorescence microscopy to analyze the structural and material properties of huntingtin exon1 assemblies in mammalian cells, in yeast, and in vitro. We found that huntingtin exon1 proteins can form reversible liquid-like assemblies, a process driven by huntingtin’s polyQ tract and proline-rich region. In cells and in vitro, the liquid-like assemblies converted to solid-like assemblies with a fibrillar structure. Intracellular phase transitions of polyglutamine proteins could play a role in initiating irreversible pathological aggregation., \n          \n            \n              •\n              Aggregates of huntingtin exon1 exist in distinct liquid-like and solid-like forms\n            \n            \n              •\n              Liquid-like assembly formation is driven by polyQ and proline-rich regions of exon1\n            \n            \n              •\n              The liquid-like assemblies convert into solid-like assemblies in vitro and in cells\n            \n            \n              •\n              Electron tomography reveals liquid and solid assemblies have distinct structures\n            \n          \n        , In Huntington’s disease, a polyglutamine expanded exon1 fragment of the huntingtin protein forms aggregates in the brains of affected individuals. Peskett et al. show that this protein fragment can form reversible liquid-like assemblies, which convert into solid-like fibrillar assemblies when the polyglutamine tract reaches disease-associated lengths.","container-title":"Molecular Cell","DOI":"10.1016/j.molcel.2018.04.007","ISSN":"1097-2765","issue":"4","journalAbbreviation":"Mol Cell","note":"PMID: 29754822\nPMCID: PMC5971205","page":"588-601.e6","source":"PubMed Central","title":"A Liquid to Solid Phase Transition Underlying Pathological Huntingtin Exon1 Aggregation","URL":"https://www.ncbi.nlm.nih.gov/pmc/articles/PMC5971205/","volume":"70","author":[{"family":"Peskett","given":"Thomas R."},{"family":"Rau","given":"Frédérique"},{"family":"O’Driscoll","given":"Jonathan"},{"family":"Patani","given":"Rickie"},{"family":"Lowe","given":"Alan R."},{"family":"Saibil","given":"Helen R."}],"accessed":{"date-parts":[["2022",4,11]]},"issued":{"date-parts":[["2018",5,17]]}}}],"schema":"https://github.com/citation-style-language/schema/raw/master/csl-citation.json"}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[306]</w:t>
      </w:r>
      <w:r w:rsidRPr="00107040">
        <w:rPr>
          <w:rFonts w:ascii="Times New Roman" w:hAnsi="Times New Roman"/>
          <w:sz w:val="28"/>
          <w:szCs w:val="28"/>
          <w:lang w:val="en-US"/>
        </w:rPr>
        <w:fldChar w:fldCharType="end"/>
      </w:r>
      <w:r w:rsidRPr="00107040">
        <w:rPr>
          <w:rFonts w:ascii="Times New Roman" w:hAnsi="Times New Roman"/>
          <w:sz w:val="28"/>
          <w:szCs w:val="28"/>
        </w:rPr>
        <w:t xml:space="preserve">. Это явление вызовет реорганизацию и компартментализацию среды вокруг места синтеза ПАР. Следствием этого будет стимуляция локальной диффузии белков и стимуляция некоторых белок-белковых взаимодействий, в частности, в местах повреждения ДНК </w:t>
      </w:r>
      <w:r w:rsidRPr="00107040">
        <w:rPr>
          <w:rFonts w:ascii="Times New Roman" w:hAnsi="Times New Roman"/>
          <w:sz w:val="28"/>
          <w:szCs w:val="28"/>
          <w:lang w:val="en-US"/>
        </w:rPr>
        <w:fldChar w:fldCharType="begin"/>
      </w:r>
      <w:r w:rsidR="008611DC">
        <w:rPr>
          <w:rFonts w:ascii="Times New Roman" w:hAnsi="Times New Roman"/>
          <w:sz w:val="28"/>
          <w:szCs w:val="28"/>
        </w:rPr>
        <w:instrText xml:space="preserve"> ADDIN ZOTERO_ITEM CSL_CITATION {"citationID":"z6sMAHNU","properties":{"formattedCitation":"[306,307]","plainCitation":"[306,307]","noteIndex":0},"citationItems":[{"id":268,"uris":["http://zotero.org/users/9078202/items/4DERUPL8"],"itemData":{"id":268,"type":"article-journal","abstract":"Huntington’s disease is caused by an abnormally long polyglutamine tract in the huntingtin protein. This leads to the generation and deposition of N-terminal exon1 fragments of the protein in intracellular aggregates. We combined electron tomography and quantitative fluorescence microscopy to analyze the structural and material properties of huntingtin exon1 assemblies in mammalian cells, in yeast, and in vitro. We found that huntingtin exon1 proteins can form reversible liquid-like assemblies, a process driven by huntingtin’s polyQ tract and proline-rich region. In cells and in vitro, the liquid-like assemblies converted to solid-like assemblies with a fibrillar structure. Intracellular phase transitions of polyglutamine proteins could play a role in initiating irreversible pathological aggregation., \n          \n            \n              •\n              Aggregates of huntingtin exon1 exist in distinct liquid-like and solid-like forms\n            \n            \n              •\n              Liquid-like assembly formation is driven by polyQ and proline-rich regions of exon1\n            \n            \n              •\n              The liquid-like assemblies convert into solid-like assemblies in vitro and in cells\n            \n            \n              •\n              Electron tomography reveals liquid and solid assemblies have distinct structures\n            \n          \n        , In Huntington’s disease, a polyglutamine expanded exon1 fragment of the huntingtin protein forms aggregates in the brains of affected individuals. Peskett et al. show that this protein fragment can form reversible liquid-like assemblies, which convert into solid-like fibrillar assemblies when the polyglutamine tract reaches disease-associated lengths.","container-title":"Molecular Cell","DOI":"10.1016/j.molcel.2018.04.007","ISSN":"1097-2765","issue":"4","journalAbbreviation":"Mol Cell","note":"PMID: 29754822\nPMCID: PMC5971205","page":"588-601.e6","source":"PubMed Central","title":"A Liquid to Solid Phase Transition Underlying Pathological Huntingtin Exon1 Aggregation","URL":"https://www.ncbi.nlm.nih.gov/pmc/articles/PMC5971205/","volume":"70","author":[{"family":"Peskett","given":"Thomas R."},{"family":"Rau","given":"Frédérique"},{"family":"O’Driscoll","given":"Jonathan"},{"family":"Patani","given":"Rickie"},{"family":"Lowe","given":"Alan R."},{"family":"Saibil","given":"Helen R."}],"accessed":{"date-parts":[["2022",4,11]]},"issued":{"date-parts":[["2018",5,17]]}}},{"id":266,"uris":["http://zotero.org/users/9078202/items/ATFM8RKS"],"itemData":{"id":266,"type":"article-journal","abstract":"Intrinsically disordered proteins can phase separate from the soluble intracellular space, and tend to aggregate under pathological conditions. The physiological functions and molecular triggers of liquid demixing by phase separation are not well understood. Here we show in vitro and in vivo that the nucleic acid-mimicking biopolymer poly(ADP-ribose) (PAR) nucleates intracellular liquid demixing. PAR levels are markedly induced at sites of DNA damage, and we provide evidence that PAR-seeded liquid demixing results in rapid, yet transient and fully reversible assembly of various intrinsically disordered proteins at DNA break sites. Demixing, which relies on electrostatic interactions between positively charged RGG repeats and negatively charged PAR, is amplified by aggregation-prone prion-like domains, and orchestrates the earliest cellular responses to DNA breakage. We propose that PAR-seeded liquid demixing is a general mechanism to dynamically reorganize the soluble nuclear space with implications for pathological protein aggregation caused by derailed phase separation.","container-title":"Nature Communications","DOI":"10.1038/ncomms9088","ISSN":"2041-1723","journalAbbreviation":"Nat Commun","language":"eng","note":"PMID: 26286827\nPMCID: PMC4560800","page":"8088","source":"PubMed","title":"Liquid demixing of intrinsically disordered proteins is seeded by poly(ADP-ribose)","volume":"6","author":[{"family":"Altmeyer","given":"Matthias"},{"family":"Neelsen","given":"Kai J."},{"family":"Teloni","given":"Federico"},{"family":"Pozdnyakova","given":"Irina"},{"family":"Pellegrino","given":"Stefania"},{"family":"Grøfte","given":"Merete"},{"family":"Rask","given":"Maj-Britt Druedahl"},{"family":"Streicher","given":"Werner"},{"family":"Jungmichel","given":"Stephanie"},{"family":"Nielsen","given":"Michael Lund"},{"family":"Lukas","given":"Jiri"}],"issued":{"date-parts":[["2015",8,19]]}}}],"schema":"https://github.com/citation-style-language/schema/raw/master/csl-citation.json"} </w:instrText>
      </w:r>
      <w:r w:rsidRPr="00107040">
        <w:rPr>
          <w:rFonts w:ascii="Times New Roman" w:hAnsi="Times New Roman"/>
          <w:sz w:val="28"/>
          <w:szCs w:val="28"/>
          <w:lang w:val="en-US"/>
        </w:rPr>
        <w:fldChar w:fldCharType="separate"/>
      </w:r>
      <w:r w:rsidR="008611DC" w:rsidRPr="008611DC">
        <w:rPr>
          <w:rFonts w:ascii="Times New Roman" w:hAnsi="Times New Roman"/>
          <w:sz w:val="28"/>
        </w:rPr>
        <w:t>[306,307]</w:t>
      </w:r>
      <w:r w:rsidRPr="00107040">
        <w:rPr>
          <w:rFonts w:ascii="Times New Roman" w:hAnsi="Times New Roman"/>
          <w:sz w:val="28"/>
          <w:szCs w:val="28"/>
          <w:lang w:val="en-US"/>
        </w:rPr>
        <w:fldChar w:fldCharType="end"/>
      </w:r>
      <w:r w:rsidRPr="00107040">
        <w:rPr>
          <w:rFonts w:ascii="Times New Roman" w:hAnsi="Times New Roman"/>
          <w:sz w:val="28"/>
          <w:szCs w:val="28"/>
        </w:rPr>
        <w:t>. Это же явление может быть причиной многих нейродегенеративных патологий, связанных со старением.</w:t>
      </w:r>
    </w:p>
    <w:p w14:paraId="3D79AD82" w14:textId="77777777" w:rsidR="00107040" w:rsidRPr="00107040" w:rsidRDefault="00107040" w:rsidP="00107040">
      <w:pPr>
        <w:spacing w:after="0" w:line="240" w:lineRule="auto"/>
        <w:ind w:firstLine="567"/>
        <w:jc w:val="both"/>
        <w:rPr>
          <w:rFonts w:ascii="Times New Roman" w:hAnsi="Times New Roman"/>
          <w:sz w:val="28"/>
          <w:szCs w:val="28"/>
          <w:u w:val="single"/>
        </w:rPr>
      </w:pPr>
    </w:p>
    <w:p w14:paraId="00022DC5" w14:textId="77777777" w:rsidR="00107040" w:rsidRPr="00107040" w:rsidRDefault="00107040" w:rsidP="00107040">
      <w:pPr>
        <w:spacing w:after="0" w:line="240" w:lineRule="auto"/>
        <w:ind w:firstLine="567"/>
        <w:jc w:val="both"/>
        <w:rPr>
          <w:rFonts w:ascii="Times New Roman" w:hAnsi="Times New Roman"/>
          <w:b/>
          <w:sz w:val="28"/>
          <w:szCs w:val="28"/>
        </w:rPr>
      </w:pPr>
      <w:bookmarkStart w:id="43" w:name="_Hlk113268431"/>
      <w:r w:rsidRPr="00107040">
        <w:rPr>
          <w:rFonts w:ascii="Times New Roman" w:hAnsi="Times New Roman"/>
          <w:b/>
          <w:sz w:val="28"/>
          <w:szCs w:val="28"/>
        </w:rPr>
        <w:t>1.</w:t>
      </w:r>
      <w:r w:rsidRPr="00107040">
        <w:rPr>
          <w:rFonts w:ascii="Times New Roman" w:hAnsi="Times New Roman"/>
          <w:b/>
          <w:sz w:val="28"/>
          <w:szCs w:val="28"/>
          <w:lang w:val="kk-KZ"/>
        </w:rPr>
        <w:t>7</w:t>
      </w:r>
      <w:r w:rsidRPr="00107040">
        <w:rPr>
          <w:rFonts w:ascii="Times New Roman" w:hAnsi="Times New Roman"/>
          <w:b/>
          <w:sz w:val="28"/>
          <w:szCs w:val="28"/>
        </w:rPr>
        <w:t xml:space="preserve"> Поли(АДФ-рибозил)ирование в растениях</w:t>
      </w:r>
    </w:p>
    <w:p w14:paraId="6EA2945D" w14:textId="226FE752" w:rsidR="00107040" w:rsidRPr="00107040" w:rsidRDefault="00107040" w:rsidP="00107040">
      <w:pPr>
        <w:spacing w:after="0" w:line="240" w:lineRule="auto"/>
        <w:ind w:firstLine="567"/>
        <w:jc w:val="both"/>
        <w:rPr>
          <w:rFonts w:ascii="Times New Roman" w:hAnsi="Times New Roman"/>
          <w:sz w:val="28"/>
          <w:szCs w:val="28"/>
        </w:rPr>
      </w:pPr>
      <w:r w:rsidRPr="00107040">
        <w:rPr>
          <w:rFonts w:ascii="Times New Roman" w:hAnsi="Times New Roman"/>
          <w:sz w:val="28"/>
          <w:szCs w:val="28"/>
        </w:rPr>
        <w:t>1.</w:t>
      </w:r>
      <w:r w:rsidRPr="00107040">
        <w:rPr>
          <w:rFonts w:ascii="Times New Roman" w:hAnsi="Times New Roman"/>
          <w:sz w:val="28"/>
          <w:szCs w:val="28"/>
          <w:lang w:val="kk-KZ"/>
        </w:rPr>
        <w:t>7.</w:t>
      </w:r>
      <w:r w:rsidRPr="00107040">
        <w:rPr>
          <w:rFonts w:ascii="Times New Roman" w:hAnsi="Times New Roman"/>
          <w:sz w:val="28"/>
          <w:szCs w:val="28"/>
        </w:rPr>
        <w:t xml:space="preserve">1 Три канонических белка PARP </w:t>
      </w:r>
      <w:r w:rsidR="008C6134">
        <w:rPr>
          <w:rFonts w:ascii="Times New Roman" w:hAnsi="Times New Roman"/>
          <w:sz w:val="28"/>
          <w:szCs w:val="28"/>
          <w:lang w:val="kk-KZ"/>
        </w:rPr>
        <w:t xml:space="preserve">у </w:t>
      </w:r>
      <w:r w:rsidRPr="00107040">
        <w:rPr>
          <w:rFonts w:ascii="Times New Roman" w:hAnsi="Times New Roman"/>
          <w:i/>
          <w:sz w:val="28"/>
          <w:szCs w:val="28"/>
        </w:rPr>
        <w:t>Arabidopsis thaliana</w:t>
      </w:r>
      <w:bookmarkEnd w:id="43"/>
    </w:p>
    <w:p w14:paraId="6E229DA8" w14:textId="526B5C49" w:rsidR="00107040" w:rsidRPr="00107040" w:rsidRDefault="00107040" w:rsidP="00107040">
      <w:pPr>
        <w:spacing w:after="0" w:line="240" w:lineRule="auto"/>
        <w:ind w:firstLine="567"/>
        <w:jc w:val="both"/>
        <w:rPr>
          <w:rFonts w:ascii="Times New Roman" w:hAnsi="Times New Roman"/>
          <w:sz w:val="28"/>
          <w:szCs w:val="28"/>
          <w:lang w:val="kk-KZ"/>
        </w:rPr>
      </w:pPr>
      <w:r w:rsidRPr="00107040">
        <w:rPr>
          <w:rFonts w:ascii="Times New Roman" w:eastAsia="Times New Roman" w:hAnsi="Times New Roman"/>
          <w:sz w:val="28"/>
          <w:szCs w:val="28"/>
          <w:lang w:eastAsia="ru-RU"/>
        </w:rPr>
        <w:t>В конце 1970-х годов активность поли(АДФ-рибозил)ирования была показана у высших растений путем включения [</w:t>
      </w:r>
      <w:r w:rsidRPr="00107040">
        <w:rPr>
          <w:rFonts w:ascii="Times New Roman" w:eastAsia="Times New Roman" w:hAnsi="Times New Roman"/>
          <w:sz w:val="28"/>
          <w:szCs w:val="28"/>
          <w:vertAlign w:val="superscript"/>
          <w:lang w:eastAsia="ru-RU"/>
        </w:rPr>
        <w:t>3</w:t>
      </w:r>
      <w:r w:rsidRPr="00107040">
        <w:rPr>
          <w:rFonts w:ascii="Times New Roman" w:eastAsia="Times New Roman" w:hAnsi="Times New Roman"/>
          <w:sz w:val="28"/>
          <w:szCs w:val="28"/>
          <w:lang w:val="en-US" w:eastAsia="ru-RU"/>
        </w:rPr>
        <w:t>H</w:t>
      </w:r>
      <w:r w:rsidRPr="00107040">
        <w:rPr>
          <w:rFonts w:ascii="Times New Roman" w:eastAsia="Times New Roman" w:hAnsi="Times New Roman"/>
          <w:sz w:val="28"/>
          <w:szCs w:val="28"/>
          <w:lang w:eastAsia="ru-RU"/>
        </w:rPr>
        <w:t>]НАД в ядра клеток зародыша лука и пшеницы и меристематические ткани корней лука</w:t>
      </w:r>
      <w:r w:rsidRPr="00107040">
        <w:rPr>
          <w:rFonts w:ascii="Times New Roman" w:eastAsia="Times New Roman" w:hAnsi="Times New Roman"/>
          <w:sz w:val="28"/>
          <w:szCs w:val="28"/>
          <w:lang w:val="kk-KZ" w:eastAsia="ru-RU"/>
        </w:rPr>
        <w:t xml:space="preserve"> </w:t>
      </w:r>
      <w:r w:rsidRPr="00107040">
        <w:rPr>
          <w:rFonts w:ascii="Times New Roman" w:eastAsia="Times New Roman" w:hAnsi="Times New Roman"/>
          <w:sz w:val="28"/>
          <w:szCs w:val="28"/>
          <w:lang w:val="kk-KZ" w:eastAsia="ru-RU"/>
        </w:rPr>
        <w:fldChar w:fldCharType="begin"/>
      </w:r>
      <w:r w:rsidR="008611DC">
        <w:rPr>
          <w:rFonts w:ascii="Times New Roman" w:eastAsia="Times New Roman" w:hAnsi="Times New Roman"/>
          <w:sz w:val="28"/>
          <w:szCs w:val="28"/>
          <w:lang w:val="kk-KZ" w:eastAsia="ru-RU"/>
        </w:rPr>
        <w:instrText xml:space="preserve"> ADDIN ZOTERO_ITEM CSL_CITATION {"citationID":"Ve6SkQpp","properties":{"formattedCitation":"[308\\uc0\\u8211{}311]","plainCitation":"[308–311]","noteIndex":0},"citationItems":[{"id":1582,"uris":["http://zotero.org/users/9078202/items/XRKAZFCF"],"itemData":{"id":1582,"type":"article-journal","container-title":"Biochemical Society Transactions","DOI":"10.1042/bst0050948","ISSN":"0300-5127","issue":"4","journalAbbreviation":"Biochemical Society Transactions","page":"948-949","source":"Silverchair","title":"Poly(Adenosine Diphosphate Ribose) in Wheat","URL":"https://doi.org/10.1042/bst0050948","volume":"5","author":[{"family":"WHITBY","given":"ANDREW J."},{"family":"WHISH","given":"WILLIAM J. D."}],"accessed":{"date-parts":[["2022",9,5]]},"issued":{"date-parts":[["1977",8,1]]}},"label":"page"},{"id":1585,"uris":["http://zotero.org/users/9078202/items/Y2HSB9GY"],"itemData":{"id":1585,"type":"article-journal","container-title":"Biochemical Society Transactions","DOI":"10.1042/bst0060619","ISSN":"0300-5127","issue":"3","journalAbbreviation":"Biochemical Society Transactions","page":"619-620","source":"Silverchair","title":"Poly(Adenosine Diphosphate Ribose) Glycohydrolase in Germinating Wheat Embryos","URL":"https://doi.org/10.1042/bst0060619","volume":"6","author":[{"family":"WHITBY","given":"ANDREW J."},{"family":"WHISH","given":"WILLIAM J. D."}],"accessed":{"date-parts":[["2022",9,5]]},"issued":{"date-parts":[["1978",6,1]]}}},{"id":1588,"uris":["http://zotero.org/users/9078202/items/2U56DZ7W"],"itemData":{"id":1588,"type":"article-journal","abstract":"Polyamines in the presence or absence of Mg++ have been shown to stimulate 2–4 fold the total synthesis of poly(ADP-ribose) in isolated wheat nuclei. The stimulation by Mg++ and polyamines is dose dependent and is an affect on actual synthesis of new chains of polymer since neither Mg++ nor polyamines increase the average chain length of the polymer synthesised or inhibit the degradation of the polymer in isolated nuclei. Mg++ and polyamine treated nuclei showed an increased ADP-ribosylation of total histones to the same extent as did total polymer synthesised. Furthermore the distribution of poly(ADP-ribose) between histone H1 and the other core histones remained the same in control, Mg++ and polyamine treated nuclei.","container-title":"Biochemical and Biophysical Research Communications","DOI":"10.1016/0006-291X(79)91177-X","ISSN":"0006-291X","issue":"4","journalAbbreviation":"Biochemical and Biophysical Research Communications","language":"en","page":"1295-1304","source":"ScienceDirect","title":"Effect of polyamines and Mg++ on poly(ADP-ribose) synthesis and ADP-ribosylation of histones in wheat","URL":"https://www.sciencedirect.com/science/article/pii/0006291X7991177X","volume":"90","author":[{"family":"Whitby","given":"Andrew J."},{"family":"Stone","given":"Peter R."},{"family":"Whish","given":"William J. D."}],"accessed":{"date-parts":[["2022",9,5]]},"issued":{"date-parts":[["1979",10,29]]}}},{"id":1938,"uris":["http://zotero.org/users/9078202/items/V8KMIBJB"],"itemData":{"id":1938,"type":"article-journal","container-title":"Experimental Cell Research","DOI":"10.1016/0014-4827(76)90601-7","ISSN":"0014-4827","issue":"2","journalAbbreviation":"Exp Cell Res","language":"eng","note":"PMID: 178515","page":"428-432","source":"PubMed","title":"Cytological detection of poly (ADP-ribose) polymerase","volume":"99","author":[{"family":"Payne","given":"J. F."},{"family":"Bal","given":"A. K."}],"issued":{"date-parts":[["1976",5]]}}}],"schema":"https://github.com/citation-style-language/schema/raw/master/csl-citation.json"} </w:instrText>
      </w:r>
      <w:r w:rsidRPr="00107040">
        <w:rPr>
          <w:rFonts w:ascii="Times New Roman" w:eastAsia="Times New Roman" w:hAnsi="Times New Roman"/>
          <w:sz w:val="28"/>
          <w:szCs w:val="28"/>
          <w:lang w:val="kk-KZ" w:eastAsia="ru-RU"/>
        </w:rPr>
        <w:fldChar w:fldCharType="separate"/>
      </w:r>
      <w:r w:rsidR="008611DC" w:rsidRPr="008611DC">
        <w:rPr>
          <w:rFonts w:ascii="Times New Roman" w:hAnsi="Times New Roman"/>
          <w:sz w:val="28"/>
          <w:szCs w:val="24"/>
        </w:rPr>
        <w:t>[308–311]</w:t>
      </w:r>
      <w:r w:rsidRPr="00107040">
        <w:rPr>
          <w:rFonts w:ascii="Times New Roman" w:eastAsia="Times New Roman" w:hAnsi="Times New Roman"/>
          <w:sz w:val="28"/>
          <w:szCs w:val="28"/>
          <w:lang w:val="kk-KZ" w:eastAsia="ru-RU"/>
        </w:rPr>
        <w:fldChar w:fldCharType="end"/>
      </w:r>
      <w:r w:rsidRPr="00107040">
        <w:rPr>
          <w:rFonts w:ascii="Times New Roman" w:eastAsia="Times New Roman" w:hAnsi="Times New Roman"/>
          <w:sz w:val="28"/>
          <w:szCs w:val="28"/>
          <w:lang w:eastAsia="ru-RU"/>
        </w:rPr>
        <w:t xml:space="preserve">. Было обнаружено, что это включение представляет собой ферментативную реакцию ковалентного связывания молекул поли(АДФ-рибозы) с карбоксильными группами белков-мишеней </w:t>
      </w:r>
      <w:r w:rsidRPr="00107040">
        <w:rPr>
          <w:rFonts w:ascii="Times New Roman" w:eastAsia="Times New Roman" w:hAnsi="Times New Roman"/>
          <w:sz w:val="28"/>
          <w:szCs w:val="28"/>
          <w:lang w:eastAsia="ru-RU"/>
        </w:rPr>
        <w:fldChar w:fldCharType="begin"/>
      </w:r>
      <w:r w:rsidR="008611DC">
        <w:rPr>
          <w:rFonts w:ascii="Times New Roman" w:eastAsia="Times New Roman" w:hAnsi="Times New Roman"/>
          <w:sz w:val="28"/>
          <w:szCs w:val="28"/>
          <w:lang w:eastAsia="ru-RU"/>
        </w:rPr>
        <w:instrText xml:space="preserve"> ADDIN ZOTERO_ITEM CSL_CITATION {"citationID":"a1u113hrlkc","properties":{"formattedCitation":"[312]","plainCitation":"[312]","noteIndex":0},"citationItems":[{"id":257,"uris":["http://zotero.org/users/9078202/items/CQVPEE3D"],"itemData":{"id":257,"type":"article-journal","container-title":"FEBS letters","DOI":"10.1016/0014-5793(79)81167-9","ISSN":"0014-5793","issue":"1","journalAbbreviation":"FEBS Lett","language":"eng","note":"PMID: 230075","page":"13-16","source":"PubMed","title":"Demonstration of in vitro covalent modification of chromosomal proteins by poly(ADP) ribosylation in plant nuclei","volume":"108","author":[{"family":"Willmitzer","given":"L."}],"issued":{"date-parts":[["1979",12,1]]}}}],"schema":"https://github.com/citation-style-language/schema/raw/master/csl-citation.json"} </w:instrText>
      </w:r>
      <w:r w:rsidRPr="00107040">
        <w:rPr>
          <w:rFonts w:ascii="Times New Roman" w:eastAsia="Times New Roman" w:hAnsi="Times New Roman"/>
          <w:sz w:val="28"/>
          <w:szCs w:val="28"/>
          <w:lang w:eastAsia="ru-RU"/>
        </w:rPr>
        <w:fldChar w:fldCharType="separate"/>
      </w:r>
      <w:r w:rsidR="008611DC" w:rsidRPr="008611DC">
        <w:rPr>
          <w:rFonts w:ascii="Times New Roman" w:hAnsi="Times New Roman"/>
          <w:sz w:val="28"/>
        </w:rPr>
        <w:t>[312]</w:t>
      </w:r>
      <w:r w:rsidRPr="00107040">
        <w:rPr>
          <w:rFonts w:ascii="Times New Roman" w:eastAsia="Times New Roman" w:hAnsi="Times New Roman"/>
          <w:sz w:val="28"/>
          <w:szCs w:val="28"/>
          <w:lang w:eastAsia="ru-RU"/>
        </w:rPr>
        <w:fldChar w:fldCharType="end"/>
      </w:r>
      <w:r w:rsidRPr="00107040">
        <w:rPr>
          <w:rFonts w:ascii="Times New Roman" w:eastAsia="Times New Roman" w:hAnsi="Times New Roman"/>
          <w:sz w:val="28"/>
          <w:szCs w:val="28"/>
          <w:lang w:eastAsia="ru-RU"/>
        </w:rPr>
        <w:t xml:space="preserve">. Богатые лизином гистоны </w:t>
      </w:r>
      <w:r w:rsidRPr="00107040">
        <w:rPr>
          <w:rFonts w:ascii="Times New Roman" w:eastAsia="Times New Roman" w:hAnsi="Times New Roman"/>
          <w:sz w:val="28"/>
          <w:szCs w:val="28"/>
          <w:lang w:val="en-US" w:eastAsia="ru-RU"/>
        </w:rPr>
        <w:t>H</w:t>
      </w:r>
      <w:r w:rsidRPr="00107040">
        <w:rPr>
          <w:rFonts w:ascii="Times New Roman" w:eastAsia="Times New Roman" w:hAnsi="Times New Roman"/>
          <w:sz w:val="28"/>
          <w:szCs w:val="28"/>
          <w:lang w:eastAsia="ru-RU"/>
        </w:rPr>
        <w:t xml:space="preserve">1, </w:t>
      </w:r>
      <w:r w:rsidRPr="00107040">
        <w:rPr>
          <w:rFonts w:ascii="Times New Roman" w:eastAsia="Times New Roman" w:hAnsi="Times New Roman"/>
          <w:sz w:val="28"/>
          <w:szCs w:val="28"/>
          <w:lang w:val="en-US" w:eastAsia="ru-RU"/>
        </w:rPr>
        <w:t>H</w:t>
      </w:r>
      <w:r w:rsidRPr="00107040">
        <w:rPr>
          <w:rFonts w:ascii="Times New Roman" w:eastAsia="Times New Roman" w:hAnsi="Times New Roman"/>
          <w:sz w:val="28"/>
          <w:szCs w:val="28"/>
          <w:lang w:eastAsia="ru-RU"/>
        </w:rPr>
        <w:t>2</w:t>
      </w:r>
      <w:r w:rsidRPr="00107040">
        <w:rPr>
          <w:rFonts w:ascii="Times New Roman" w:eastAsia="Times New Roman" w:hAnsi="Times New Roman"/>
          <w:sz w:val="28"/>
          <w:szCs w:val="28"/>
          <w:lang w:val="en-US" w:eastAsia="ru-RU"/>
        </w:rPr>
        <w:t>A</w:t>
      </w:r>
      <w:r w:rsidRPr="00107040">
        <w:rPr>
          <w:rFonts w:ascii="Times New Roman" w:eastAsia="Times New Roman" w:hAnsi="Times New Roman"/>
          <w:sz w:val="28"/>
          <w:szCs w:val="28"/>
          <w:lang w:eastAsia="ru-RU"/>
        </w:rPr>
        <w:t xml:space="preserve"> и </w:t>
      </w:r>
      <w:r w:rsidRPr="00107040">
        <w:rPr>
          <w:rFonts w:ascii="Times New Roman" w:eastAsia="Times New Roman" w:hAnsi="Times New Roman"/>
          <w:sz w:val="28"/>
          <w:szCs w:val="28"/>
          <w:lang w:val="en-US" w:eastAsia="ru-RU"/>
        </w:rPr>
        <w:t>H</w:t>
      </w:r>
      <w:r w:rsidRPr="00107040">
        <w:rPr>
          <w:rFonts w:ascii="Times New Roman" w:eastAsia="Times New Roman" w:hAnsi="Times New Roman"/>
          <w:sz w:val="28"/>
          <w:szCs w:val="28"/>
          <w:lang w:eastAsia="ru-RU"/>
        </w:rPr>
        <w:t>2</w:t>
      </w:r>
      <w:r w:rsidRPr="00107040">
        <w:rPr>
          <w:rFonts w:ascii="Times New Roman" w:eastAsia="Times New Roman" w:hAnsi="Times New Roman"/>
          <w:sz w:val="28"/>
          <w:szCs w:val="28"/>
          <w:lang w:val="en-US" w:eastAsia="ru-RU"/>
        </w:rPr>
        <w:t>B</w:t>
      </w:r>
      <w:r w:rsidRPr="00107040">
        <w:rPr>
          <w:rFonts w:ascii="Times New Roman" w:eastAsia="Times New Roman" w:hAnsi="Times New Roman"/>
          <w:sz w:val="28"/>
          <w:szCs w:val="28"/>
          <w:lang w:eastAsia="ru-RU"/>
        </w:rPr>
        <w:t xml:space="preserve">, но не аргинином гистоны </w:t>
      </w:r>
      <w:r w:rsidRPr="00107040">
        <w:rPr>
          <w:rFonts w:ascii="Times New Roman" w:eastAsia="Times New Roman" w:hAnsi="Times New Roman"/>
          <w:sz w:val="28"/>
          <w:szCs w:val="28"/>
          <w:lang w:val="en-US" w:eastAsia="ru-RU"/>
        </w:rPr>
        <w:t>H</w:t>
      </w:r>
      <w:r w:rsidRPr="00107040">
        <w:rPr>
          <w:rFonts w:ascii="Times New Roman" w:eastAsia="Times New Roman" w:hAnsi="Times New Roman"/>
          <w:sz w:val="28"/>
          <w:szCs w:val="28"/>
          <w:lang w:eastAsia="ru-RU"/>
        </w:rPr>
        <w:t xml:space="preserve">3 и </w:t>
      </w:r>
      <w:r w:rsidRPr="00107040">
        <w:rPr>
          <w:rFonts w:ascii="Times New Roman" w:eastAsia="Times New Roman" w:hAnsi="Times New Roman"/>
          <w:sz w:val="28"/>
          <w:szCs w:val="28"/>
          <w:lang w:val="en-US" w:eastAsia="ru-RU"/>
        </w:rPr>
        <w:t>H</w:t>
      </w:r>
      <w:r w:rsidRPr="00107040">
        <w:rPr>
          <w:rFonts w:ascii="Times New Roman" w:eastAsia="Times New Roman" w:hAnsi="Times New Roman"/>
          <w:sz w:val="28"/>
          <w:szCs w:val="28"/>
          <w:lang w:eastAsia="ru-RU"/>
        </w:rPr>
        <w:t xml:space="preserve">4, были идентифицированы как акцепторные белки для молекул поли(АДФ-рибозы) </w:t>
      </w:r>
      <w:r w:rsidRPr="00107040">
        <w:rPr>
          <w:rFonts w:ascii="Times New Roman" w:eastAsia="Times New Roman" w:hAnsi="Times New Roman"/>
          <w:sz w:val="28"/>
          <w:szCs w:val="28"/>
          <w:lang w:eastAsia="ru-RU"/>
        </w:rPr>
        <w:fldChar w:fldCharType="begin"/>
      </w:r>
      <w:r w:rsidR="008611DC">
        <w:rPr>
          <w:rFonts w:ascii="Times New Roman" w:eastAsia="Times New Roman" w:hAnsi="Times New Roman"/>
          <w:sz w:val="28"/>
          <w:szCs w:val="28"/>
          <w:lang w:eastAsia="ru-RU"/>
        </w:rPr>
        <w:instrText xml:space="preserve"> ADDIN ZOTERO_ITEM CSL_CITATION {"citationID":"a13kkdquann","properties":{"formattedCitation":"[310,312]","plainCitation":"[310,312]","noteIndex":0},"citationItems":[{"id":1588,"uris":["http://zotero.org/users/9078202/items/2U56DZ7W"],"itemData":{"id":1588,"type":"article-journal","abstract":"Polyamines in the presence or absence of Mg++ have been shown to stimulate 2–4 fold the total synthesis of poly(ADP-ribose) in isolated wheat nuclei. The stimulation by Mg++ and polyamines is dose dependent and is an affect on actual synthesis of new chains of polymer since neither Mg++ nor polyamines increase the average chain length of the polymer synthesised or inhibit the degradation of the polymer in isolated nuclei. Mg++ and polyamine treated nuclei showed an increased ADP-ribosylation of total histones to the same extent as did total polymer synthesised. Furthermore the distribution of poly(ADP-ribose) between histone H1 and the other core histones remained the same in control, Mg++ and polyamine treated nuclei.","container-title":"Biochemical and Biophysical Research Communications","DOI":"10.1016/0006-291X(79)91177-X","ISSN":"0006-291X","issue":"4","journalAbbreviation":"Biochemical and Biophysical Research Communications","language":"en","page":"1295-1304","source":"ScienceDirect","title":"Effect of polyamines and Mg++ on poly(ADP-ribose) synthesis and ADP-ribosylation of histones in wheat","URL":"https://www.sciencedirect.com/science/article/pii/0006291X7991177X","volume":"90","author":[{"family":"Whitby","given":"Andrew J."},{"family":"Stone","given":"Peter R."},{"family":"Whish","given":"William J. D."}],"accessed":{"date-parts":[["2022",9,5]]},"issued":{"date-parts":[["1979",10,29]]}}},{"id":257,"uris":["http://zotero.org/users/9078202/items/CQVPEE3D"],"itemData":{"id":257,"type":"article-journal","container-title":"FEBS letters","DOI":"10.1016/0014-5793(79)81167-9","ISSN":"0014-5793","issue":"1","journalAbbreviation":"FEBS Lett","language":"eng","note":"PMID: 230075","page":"13-16","source":"PubMed","title":"Demonstration of in vitro covalent modification of chromosomal proteins by poly(ADP) ribosylation in plant nuclei","volume":"108","author":[{"family":"Willmitzer","given":"L."}],"issued":{"date-parts":[["1979",12,1]]}}}],"schema":"https://github.com/citation-style-language/schema/raw/master/csl-citation.json"} </w:instrText>
      </w:r>
      <w:r w:rsidRPr="00107040">
        <w:rPr>
          <w:rFonts w:ascii="Times New Roman" w:eastAsia="Times New Roman" w:hAnsi="Times New Roman"/>
          <w:sz w:val="28"/>
          <w:szCs w:val="28"/>
          <w:lang w:eastAsia="ru-RU"/>
        </w:rPr>
        <w:fldChar w:fldCharType="separate"/>
      </w:r>
      <w:r w:rsidR="008611DC" w:rsidRPr="008611DC">
        <w:rPr>
          <w:rFonts w:ascii="Times New Roman" w:hAnsi="Times New Roman"/>
          <w:sz w:val="28"/>
        </w:rPr>
        <w:t>[310,312]</w:t>
      </w:r>
      <w:r w:rsidRPr="00107040">
        <w:rPr>
          <w:rFonts w:ascii="Times New Roman" w:eastAsia="Times New Roman" w:hAnsi="Times New Roman"/>
          <w:sz w:val="28"/>
          <w:szCs w:val="28"/>
          <w:lang w:eastAsia="ru-RU"/>
        </w:rPr>
        <w:fldChar w:fldCharType="end"/>
      </w:r>
      <w:r w:rsidRPr="00107040">
        <w:rPr>
          <w:rFonts w:ascii="Times New Roman" w:eastAsia="Times New Roman" w:hAnsi="Times New Roman"/>
          <w:sz w:val="28"/>
          <w:szCs w:val="28"/>
          <w:lang w:eastAsia="ru-RU"/>
        </w:rPr>
        <w:t xml:space="preserve">. Кроме того, в ранних исследованиях поли(АДФ-рибозы) в растениях была описана автомодификация белка молекулярной массой от 114 до 116 кДа </w:t>
      </w:r>
      <w:r w:rsidRPr="00107040">
        <w:rPr>
          <w:rFonts w:ascii="Times New Roman" w:eastAsia="Times New Roman" w:hAnsi="Times New Roman"/>
          <w:sz w:val="28"/>
          <w:szCs w:val="28"/>
          <w:lang w:eastAsia="ru-RU"/>
        </w:rPr>
        <w:fldChar w:fldCharType="begin"/>
      </w:r>
      <w:r w:rsidR="008611DC">
        <w:rPr>
          <w:rFonts w:ascii="Times New Roman" w:eastAsia="Times New Roman" w:hAnsi="Times New Roman"/>
          <w:sz w:val="28"/>
          <w:szCs w:val="28"/>
          <w:lang w:eastAsia="ru-RU"/>
        </w:rPr>
        <w:instrText xml:space="preserve"> ADDIN ZOTERO_ITEM CSL_CITATION {"citationID":"a276i13psmg","properties":{"formattedCitation":"[312,313]","plainCitation":"[312,313]","noteIndex":0},"citationItems":[{"id":257,"uris":["http://zotero.org/users/9078202/items/CQVPEE3D"],"itemData":{"id":257,"type":"article-journal","container-title":"FEBS letters","DOI":"10.1016/0014-5793(79)81167-9","ISSN":"0014-5793","issue":"1","journalAbbreviation":"FEBS Lett","language":"eng","note":"PMID: 230075","page":"13-16","source":"PubMed","title":"Demonstration of in vitro covalent modification of chromosomal proteins by poly(ADP) ribosylation in plant nuclei","volume":"108","author":[{"family":"Willmitzer","given":"L."}],"issued":{"date-parts":[["1979",12,1]]}}},{"id":254,"uris":["http://zotero.org/users/9078202/items/SJ39L39F"],"itemData":{"id":254,"type":"article-journal","abstract":"We show that poly(ADP-ribose) polymerase is present in maize, pea and wheat nuclei. We have identified the enzyme product as poly(ADP-ribose) by purification and electrophoresis on a DNA sequencing gel. This reveals a polymer ladder consisting of up to 45 residues. The polymer product from maize, after digestion with snake venom phosphodiesterase, gave only 5′-AMP and (phosphoribosyl)-AMP; the mean chain length of the polymer was 5 and 11 residues in two separate experiments. The optimum pH of the plant enzyme is greater than pH 7.0 in pea, wheat and maize; the optimum temperature for enzyme activity is approximately 15°C. The Km for NAD+ for the enzyme from maize is estimated to be approximately 50 μM under optimal conditions. Several compounds (nicotinamide, deoxythymidine, 3-aminobenzamide, 3-methoxybenzamide and 5-bromodeoxyuridine) that specifically inhibit the animal enzyme also inhibit the enzyme from plants. The ratio of the IC50 for 5-bromodeoxyuridine to the IC50 for 3-aminobenzamide in maize is similar to that of the animal enzyme indicating that the enzyme involved is poly(ADP-ribose) polymerase and not mono(ADP-ribosyl) transferase. SDS gel electrophoresis and gel filtration analysis of a crude extract of maize nuclei indicate a molecular mass for poly(ADP-ribose) polymerase of approximately 114 kDa.","container-title":"European Journal of Biochemistry","DOI":"10.1111/j.1432-1033.1994.tb20004.x","ISSN":"1432-1033","issue":"1","language":"en","note":"_eprint: https://onlinelibrary.wiley.com/doi/pdf/10.1111/j.1432-1033.1994.tb20004.x","page":"135-142","source":"Wiley Online Library","title":"Poly(ADP-Ribose) Polymerase in Plant Nuclei","URL":"https://onlinelibrary.wiley.com/doi/abs/10.1111/j.1432-1033.1994.tb20004.x","volume":"224","author":[{"family":"Chen","given":"Yi-Min"},{"family":"Shall","given":"Sydney"},{"family":"O'farrell","given":"Minnie"}],"accessed":{"date-parts":[["2022",4,11]]},"issued":{"date-parts":[["1994"]]}}}],"schema":"https://github.com/citation-style-language/schema/raw/master/csl-citation.json"} </w:instrText>
      </w:r>
      <w:r w:rsidRPr="00107040">
        <w:rPr>
          <w:rFonts w:ascii="Times New Roman" w:eastAsia="Times New Roman" w:hAnsi="Times New Roman"/>
          <w:sz w:val="28"/>
          <w:szCs w:val="28"/>
          <w:lang w:eastAsia="ru-RU"/>
        </w:rPr>
        <w:fldChar w:fldCharType="separate"/>
      </w:r>
      <w:r w:rsidR="008611DC" w:rsidRPr="008611DC">
        <w:rPr>
          <w:rFonts w:ascii="Times New Roman" w:hAnsi="Times New Roman"/>
          <w:sz w:val="28"/>
        </w:rPr>
        <w:t>[312,313]</w:t>
      </w:r>
      <w:r w:rsidRPr="00107040">
        <w:rPr>
          <w:rFonts w:ascii="Times New Roman" w:eastAsia="Times New Roman" w:hAnsi="Times New Roman"/>
          <w:sz w:val="28"/>
          <w:szCs w:val="28"/>
          <w:lang w:eastAsia="ru-RU"/>
        </w:rPr>
        <w:fldChar w:fldCharType="end"/>
      </w:r>
      <w:r w:rsidRPr="00107040">
        <w:rPr>
          <w:rFonts w:ascii="Times New Roman" w:eastAsia="Times New Roman" w:hAnsi="Times New Roman"/>
          <w:sz w:val="28"/>
          <w:szCs w:val="28"/>
          <w:lang w:val="kk-KZ" w:eastAsia="ru-RU"/>
        </w:rPr>
        <w:t>.</w:t>
      </w:r>
    </w:p>
    <w:p w14:paraId="410736FC" w14:textId="5468CD29" w:rsidR="00107040" w:rsidRPr="00107040" w:rsidRDefault="00107040" w:rsidP="00107040">
      <w:pPr>
        <w:spacing w:after="0" w:line="240" w:lineRule="auto"/>
        <w:ind w:firstLine="567"/>
        <w:jc w:val="both"/>
        <w:rPr>
          <w:rFonts w:ascii="Times New Roman" w:hAnsi="Times New Roman"/>
          <w:sz w:val="28"/>
          <w:szCs w:val="28"/>
          <w:shd w:val="clear" w:color="auto" w:fill="FFFFFF"/>
        </w:rPr>
      </w:pPr>
      <w:r w:rsidRPr="00107040">
        <w:rPr>
          <w:rFonts w:ascii="Times New Roman" w:hAnsi="Times New Roman"/>
          <w:sz w:val="28"/>
          <w:szCs w:val="28"/>
          <w:shd w:val="clear" w:color="auto" w:fill="FFFFFF"/>
        </w:rPr>
        <w:t xml:space="preserve">Первым геном PARP, идентифицированным у растений, был APP </w:t>
      </w:r>
      <w:r w:rsidRPr="00107040">
        <w:rPr>
          <w:rFonts w:ascii="Times New Roman" w:hAnsi="Times New Roman"/>
          <w:i/>
          <w:sz w:val="28"/>
          <w:szCs w:val="28"/>
          <w:shd w:val="clear" w:color="auto" w:fill="FFFFFF"/>
        </w:rPr>
        <w:t>Arabidopsis thaliana</w:t>
      </w:r>
      <w:r w:rsidRPr="00107040">
        <w:rPr>
          <w:rFonts w:ascii="Times New Roman" w:hAnsi="Times New Roman"/>
          <w:sz w:val="28"/>
          <w:szCs w:val="28"/>
          <w:shd w:val="clear" w:color="auto" w:fill="FFFFFF"/>
        </w:rPr>
        <w:t xml:space="preserve"> (At4g02390) </w:t>
      </w:r>
      <w:r w:rsidRPr="00107040">
        <w:rPr>
          <w:rFonts w:ascii="Times New Roman" w:hAnsi="Times New Roman"/>
          <w:sz w:val="28"/>
          <w:szCs w:val="28"/>
          <w:shd w:val="clear" w:color="auto" w:fill="FFFFFF"/>
        </w:rPr>
        <w:fldChar w:fldCharType="begin"/>
      </w:r>
      <w:r w:rsidR="00FB5E68">
        <w:rPr>
          <w:rFonts w:ascii="Times New Roman" w:hAnsi="Times New Roman"/>
          <w:sz w:val="28"/>
          <w:szCs w:val="28"/>
          <w:shd w:val="clear" w:color="auto" w:fill="FFFFFF"/>
        </w:rPr>
        <w:instrText xml:space="preserve"> ADDIN ZOTERO_ITEM CSL_CITATION {"citationID":"a25jbf6gfq2","properties":{"formattedCitation":"[314]","plainCitation":"[314]","noteIndex":0},"citationItems":[{"id":"MPjqK5ng/4mLEFfaN","uris":["http://zotero.org/users/9078202/items/SMAP7S65"],"itemData":{"id":1595,"type":"article-journal","abstract":"A full-lengthArabidopsis thaliana cDNA (app) encoding a protein with high similarity (about 60%) to the catalytic domain of vertebrate poly(ADP-ribose) polymerase (PARP; EC 2.4.2.30) has been cloned. The N-terminal extension of theArabidopsis protein shows similarities with domains of different nuclear and DNA binding proteins in agreement with nuclear localization and putative function of a plant PARP. APP is encoded by a single gene mapped at the top of chromosome 4 of theArabidopsis genome and mRNA is abundant in cell suspension culture compared to its accumulation in whole plant.","container-title":"FEBS Letters","DOI":"10.1016/0014-5793(95)00335-7","ISSN":"1873-3468","issue":"2","language":"en","license":"FEBS Letters 364 (1995) 1873-3468 © 2015 Federation of European Biochemical Societies","note":"_eprint: https://onlinelibrary.wiley.com/doi/pdf/10.1016/0014-5793%2895%2900335-7","page":"103-108","source":"Wiley Online Library","title":"Characterization of anArabidopsis thaliana cDNA homologue to animal poly(ADP-ribose) polymerase","URL":"https://onlinelibrary.wiley.com/doi/abs/10.1016/0014-5793%2895%2900335-7","volume":"364","accessed":{"date-parts":[["2022",9,5]]},"issued":{"date-parts":[["1995"]]}}}],"schema":"https://github.com/citation-style-language/schema/raw/master/csl-citation.json"} </w:instrText>
      </w:r>
      <w:r w:rsidRPr="00107040">
        <w:rPr>
          <w:rFonts w:ascii="Times New Roman" w:hAnsi="Times New Roman"/>
          <w:sz w:val="28"/>
          <w:szCs w:val="28"/>
          <w:shd w:val="clear" w:color="auto" w:fill="FFFFFF"/>
        </w:rPr>
        <w:fldChar w:fldCharType="separate"/>
      </w:r>
      <w:r w:rsidR="008611DC" w:rsidRPr="008611DC">
        <w:rPr>
          <w:rFonts w:ascii="Times New Roman" w:hAnsi="Times New Roman"/>
          <w:sz w:val="28"/>
        </w:rPr>
        <w:t>[314]</w:t>
      </w:r>
      <w:r w:rsidRPr="00107040">
        <w:rPr>
          <w:rFonts w:ascii="Times New Roman" w:hAnsi="Times New Roman"/>
          <w:sz w:val="28"/>
          <w:szCs w:val="28"/>
          <w:shd w:val="clear" w:color="auto" w:fill="FFFFFF"/>
        </w:rPr>
        <w:fldChar w:fldCharType="end"/>
      </w:r>
      <w:r w:rsidRPr="00107040">
        <w:rPr>
          <w:rFonts w:ascii="Times New Roman" w:hAnsi="Times New Roman"/>
          <w:sz w:val="28"/>
          <w:szCs w:val="28"/>
          <w:shd w:val="clear" w:color="auto" w:fill="FFFFFF"/>
        </w:rPr>
        <w:t>. APP это AtPARP2, поскольку он структурно наиболее похож на человеческий PARP2 (</w:t>
      </w:r>
      <w:r w:rsidRPr="00E11A5F">
        <w:rPr>
          <w:rFonts w:ascii="Times New Roman" w:hAnsi="Times New Roman"/>
          <w:sz w:val="28"/>
          <w:szCs w:val="28"/>
          <w:shd w:val="clear" w:color="auto" w:fill="FFFFFF"/>
        </w:rPr>
        <w:t xml:space="preserve">рисунок </w:t>
      </w:r>
      <w:r w:rsidRPr="00E11A5F">
        <w:rPr>
          <w:rFonts w:ascii="Times New Roman" w:hAnsi="Times New Roman"/>
          <w:sz w:val="28"/>
          <w:szCs w:val="28"/>
          <w:shd w:val="clear" w:color="auto" w:fill="FFFFFF"/>
          <w:lang w:val="kk-KZ"/>
        </w:rPr>
        <w:t>8</w:t>
      </w:r>
      <w:r w:rsidRPr="00107040">
        <w:rPr>
          <w:rFonts w:ascii="Times New Roman" w:hAnsi="Times New Roman"/>
          <w:sz w:val="28"/>
          <w:szCs w:val="28"/>
          <w:shd w:val="clear" w:color="auto" w:fill="FFFFFF"/>
        </w:rPr>
        <w:t xml:space="preserve">). кДНК </w:t>
      </w:r>
      <w:r w:rsidRPr="00107040">
        <w:rPr>
          <w:rFonts w:ascii="Times New Roman" w:hAnsi="Times New Roman"/>
          <w:i/>
          <w:sz w:val="28"/>
          <w:szCs w:val="28"/>
          <w:shd w:val="clear" w:color="auto" w:fill="FFFFFF"/>
        </w:rPr>
        <w:t>AtPARP2</w:t>
      </w:r>
      <w:r w:rsidRPr="00107040">
        <w:rPr>
          <w:rFonts w:ascii="Times New Roman" w:hAnsi="Times New Roman"/>
          <w:sz w:val="28"/>
          <w:szCs w:val="28"/>
          <w:shd w:val="clear" w:color="auto" w:fill="FFFFFF"/>
        </w:rPr>
        <w:t xml:space="preserve"> была идентифицирована благодаря ее 62 %-ному сходству с каталитическим доменом PARP1 человека в ходе экспериментов, проведенных для идентификации белков арабидопсиса, позволяющих дрожжевым клеткам расти в условиях стресса. Белок AtPARP2 состоит из 637 аминокислот и имеет размер </w:t>
      </w:r>
      <w:r w:rsidRPr="00107040">
        <w:rPr>
          <w:rFonts w:ascii="Times New Roman" w:hAnsi="Times New Roman"/>
          <w:sz w:val="28"/>
          <w:szCs w:val="28"/>
          <w:shd w:val="clear" w:color="auto" w:fill="FFFFFF"/>
        </w:rPr>
        <w:lastRenderedPageBreak/>
        <w:t>72 кДа. Домен PARP сохраняется в AtPARP2. Кроме того, были обнаружены сигнал ядерной локализации и домен автомодификации. В отличие от человеческого PARP1, который обладает N-концевыми доменами цинковых пальцев, AtPARP2 содержит N-концевой домен SAP (</w:t>
      </w:r>
      <w:r w:rsidRPr="00E11A5F">
        <w:rPr>
          <w:rFonts w:ascii="Times New Roman" w:hAnsi="Times New Roman"/>
          <w:sz w:val="28"/>
          <w:szCs w:val="28"/>
          <w:shd w:val="clear" w:color="auto" w:fill="FFFFFF"/>
        </w:rPr>
        <w:t xml:space="preserve">рисунок </w:t>
      </w:r>
      <w:r w:rsidRPr="00E11A5F">
        <w:rPr>
          <w:rFonts w:ascii="Times New Roman" w:hAnsi="Times New Roman"/>
          <w:sz w:val="28"/>
          <w:szCs w:val="28"/>
          <w:shd w:val="clear" w:color="auto" w:fill="FFFFFF"/>
          <w:lang w:val="kk-KZ"/>
        </w:rPr>
        <w:t>8</w:t>
      </w:r>
      <w:r w:rsidRPr="00107040">
        <w:rPr>
          <w:rFonts w:ascii="Times New Roman" w:hAnsi="Times New Roman"/>
          <w:sz w:val="28"/>
          <w:szCs w:val="28"/>
          <w:shd w:val="clear" w:color="auto" w:fill="FFFFFF"/>
        </w:rPr>
        <w:t xml:space="preserve">). Домен SAP является предполагаемым ДНК-связывающим доменом, участвующим в метаболизме нуклеиновых кислот, названным в честь трех белков, которые его содержат (SAF-A/B, Acinus и PIAS) </w:t>
      </w:r>
      <w:r w:rsidRPr="00107040">
        <w:rPr>
          <w:rFonts w:ascii="Times New Roman" w:hAnsi="Times New Roman"/>
          <w:sz w:val="28"/>
          <w:szCs w:val="28"/>
          <w:shd w:val="clear" w:color="auto" w:fill="FFFFFF"/>
        </w:rPr>
        <w:fldChar w:fldCharType="begin"/>
      </w:r>
      <w:r w:rsidR="008611DC">
        <w:rPr>
          <w:rFonts w:ascii="Times New Roman" w:hAnsi="Times New Roman"/>
          <w:sz w:val="28"/>
          <w:szCs w:val="28"/>
          <w:shd w:val="clear" w:color="auto" w:fill="FFFFFF"/>
        </w:rPr>
        <w:instrText xml:space="preserve"> ADDIN ZOTERO_ITEM CSL_CITATION {"citationID":"a17mm1ussgb","properties":{"formattedCitation":"[315]","plainCitation":"[315]","noteIndex":0},"citationItems":[{"id":1598,"uris":["http://zotero.org/users/9078202/items/9MBUJJSQ"],"itemData":{"id":1598,"type":"article-journal","abstract":"DPPA4 is essential for the pluripotent stem cell state, yet its function is poorly understood. DPPA4 is localized in the nucleus, where it is associated with active chromatin. We now report that it is also present in the cytosol, where it appears as diffused clouds, distinct foci and sometimes as spaghetti-like structures. This cytosolic localization is dynamic and DPPA4 shuttles between the cytosol and the nucleus. Its presence is almost abolished from the nucleus upon differentiation. Co-immunoprecipitation studies highlighted novel protein interactors, many of which are also found in the cytosol and are implicated in mRNA processing and RNA and protein transport between the cytosol and the nucleus. Finally, the depletion of DPPA4 resulted in cytosolic accumulation of vesicles. The cytosolic presence of DPPA4 highlights unexplored research directions that could significantly advance the understanding of DPPA4 in pluripotent stem cells and in cancer.\nSUMOylation is an important posttranslational modification of eukaryotes that is widely present in metabolic regulation processes under various stresses. SIZ1 is a SUMO E3 ligase that plays a key role in substrate-specific recognition and directly promotes the binding of SUMO proteins to target proteins. Here, we reviewed the characteristics of SUMO as well as SUMOylation and the role of the SUMO E3 ligase SIZ1 in plant adaptation to abiotic stresses such as abnormal temperature, drought, salinization, phosphorus and nitrogen deficiency, heavy metal and metalloid toxicity, light exposure and reactive oxygen species. This review will enhance our understanding of these stressors and provide a useful reference for appropriate crop improvement, especially in suboptimal environments. Moreover, we provide a reference for future research on the role of SUMOylation in plant responses to abiotic stress.\nElevated DNA replication stress causes instability of the DNA replication fork and increased DNA mutations, which underlies tumorigenesis. The DNA replication stress regulator silencing-defective 2 (SDE2) is known to bind to TIMELESS (TIM), a protein of the fork protection complex, and enhances its stability, thereby supporting replisome activity at DNA replication forks. However, the DNA-binding activity of SDE2 is not well defined. Here, we structurally and functionally characterize a new conserved DNA-binding motif related to the SAP (SAF-A/B, Acinus, PIAS) domain in human SDE2 and establish its preference for ssDNA. Our NMR solution structure of the SDE2SAP domain reveals a helix-extended loop-helix core with the helices aligned parallel to each other, consistent with known canonical SAP folds. Notably, we have shown that the DNA interaction of this SAP domain extends beyond the core SAP domain and is augmented by two lysine residues in the C-terminal tail, which is uniquely positioned adjacent to the SAP motif and conserved in the pre-mRNA splicing factor SF3A3. Furthermore, we found that mutation in the SAP domain and extended C terminus not only disrupts ssDNA binding but also impairs TIM localization at replication forks, thus inhibiting efficient fork progression. Taken together, our results establish SDE2SAP as an essential element for SDE2 to exert its role in preserving replication fork integrity via fork protection complex regulation and highlight the structural diversity of the DNA–protein interactions achieved by a specialized DNA-binding motif.\nThe mammalian KU70 is a pleiotropic protein functioning in DNA repair and cytoplasmic suppression of apoptosis. We report a regulatory mechanism by which KU70’s cytoplasmic function is enabled due to a methylation at K570 of KU70 by SET-domain-containing protein 4 (SETD4). While SETD4 silencing reduces the level of methylated KU70, over-expression of SETD4 enhances methylation of KU70. Mutations of Y272 and Y284 of SETD4 abrogate methylation of KU70. Although SETD4 is predominantly a nuclear protein, the methylated KU70 is enriched in the cytoplasm. SETD4 knockdown enhances staurosporine (STS)-induced apoptosis and cell killing. Over-expression of the wild-type (WT) SETD4, but not the SETD4-Y272/Y284F mutant, suppresses STS-induced apoptosis. The KU70-K570R (mouse Ku70-K568R) mutation dampens the anti-apoptosis activity of KU70. Our study identifies KU70 as a non-histone substrate of SETD4, discovers a post-translational modification of KU70, and uncovers a role for SETD4 and KU70-K570 methylation in the suppression of apoptosis.\nSignal transducer and activator of transcription (STAT) proteins are latent transcription factors that reside in the cytoplasm of several types of cells. In canonical signaling, upon stimulation by cytokines and growth factors, STATs get activated and translocate into the nucleus to transcribe target genes. Among STATs, the STAT3 variant has been studied extensively and implicated in diverse human malignancies. Transcriptionally, STAT3 can upregulate the expression of genes associated with cell proliferation, antiapoptosis, prosurvival, angiogenesis, metastasis, and immune evasion. STAT3 can be constitutively activated in a broad range of human cancers including solid as well as hematological tumors and overexpression of STAT3 has been observed in a wide-range of patient-derived tumor tissue samples that may contribute to dismal prognosis. In contrast, blockade of STAT3 activation using inhibitors or knockdown systems can markedly suppress tumor progression, thus highlighting the significance of abrogating STAT3 signaling cascade in cancer therapy. In this review, we have provided a comprehensive overview of mechanisms of STAT3 signal transduction and its endogenous negative modulators, the role of STAT3 in oncogenesis, the interplay of miRNAs in STAT3 signaling, and mechanisms involved in persistent activation of STAT3. Furthermore, the review also provides a detailed overview of STAT3 signaling inhibition by selected natural compounds, which have displayed potent activity in various preclinical cancer model.\nAlthough RNA-binding proteins (RBPs) are known to be enriched in intrinsic disorder, no previous analysis focused on RBPs interacting with specific RNA types. We fill this gap with a comprehensive analysis of the putative disorder in RBPs binding to six common RNA types: messenger RNA (mRNA), transfer RNA (tRNA), small nuclear RNA (snRNA), non-coding RNA (ncRNA), ribosomal RNA (rRNA), and internal ribosome RNA (irRNA). We also analyze the amount of putative intrinsic disorder in the RNA-binding domains (RBDs) and non-RNA-binding-domain regions (non-RBD regions). Consistent with previous studies, we show that in comparison with human proteome, RBPs are significantly enriched in disorder. However, closer examination finds significant enrichment in predicted disorder for the mRNA-, rRNA- and snRNA-binding proteins, while the proteins that interact with ncRNA and irRNA are not enriched in disorder, and the tRNA-binding proteins are significantly depleted in disorder. We show a consistent pattern of significant disorder enrichment in the non-RBD regions coupled with low levels of disorder in RBDs, which suggests that disorder is relatively rarely utilized in the RNA-binding regions. Our analysis of the non-RBD regions suggests that disorder harbors posttranslational modification sites and is involved in the putative interactions with DNA. Importantly, we utilize experimental data from DisProt and independent data from Pfam to validate the above observations that rely on the disorder predictions. This study provides new insights into the distribution of disorder across proteins that bind different RNA types and the functional role of disorder in the regions where it is enriched.","container-title":"Trends in Biochemical Sciences","DOI":"10.1016/S0968-0004(99)01537-6","ISSN":"0968-0004","issue":"3","journalAbbreviation":"Trends in Biochemical Sciences","language":"en","page":"112-114","source":"ScienceDirect","title":"SAP – a putative DNA-binding motif involved in chromosomal organization","URL":"https://www.sciencedirect.com/science/article/pii/S0968000499015376","volume":"25","author":[{"family":"Aravind","given":"L."},{"family":"Koonin","given":"Eugene V."}],"accessed":{"date-parts":[["2022",9,5]]},"issued":{"date-parts":[["2000",3,1]]}}}],"schema":"https://github.com/citation-style-language/schema/raw/master/csl-citation.json"} </w:instrText>
      </w:r>
      <w:r w:rsidRPr="00107040">
        <w:rPr>
          <w:rFonts w:ascii="Times New Roman" w:hAnsi="Times New Roman"/>
          <w:sz w:val="28"/>
          <w:szCs w:val="28"/>
          <w:shd w:val="clear" w:color="auto" w:fill="FFFFFF"/>
        </w:rPr>
        <w:fldChar w:fldCharType="separate"/>
      </w:r>
      <w:r w:rsidR="008611DC" w:rsidRPr="008611DC">
        <w:rPr>
          <w:rFonts w:ascii="Times New Roman" w:hAnsi="Times New Roman"/>
          <w:sz w:val="28"/>
        </w:rPr>
        <w:t>[315]</w:t>
      </w:r>
      <w:r w:rsidRPr="00107040">
        <w:rPr>
          <w:rFonts w:ascii="Times New Roman" w:hAnsi="Times New Roman"/>
          <w:sz w:val="28"/>
          <w:szCs w:val="28"/>
          <w:shd w:val="clear" w:color="auto" w:fill="FFFFFF"/>
        </w:rPr>
        <w:fldChar w:fldCharType="end"/>
      </w:r>
      <w:r w:rsidRPr="00107040">
        <w:rPr>
          <w:rFonts w:ascii="Times New Roman" w:hAnsi="Times New Roman"/>
          <w:sz w:val="28"/>
          <w:szCs w:val="28"/>
          <w:shd w:val="clear" w:color="auto" w:fill="FFFFFF"/>
        </w:rPr>
        <w:t xml:space="preserve">. Экспрессия AtPARP2 в дрожжах выявила ядерную локализацию и поли(АДФ-рибозил)ирующую активность. Основной размер полимера составлял от 10 до 15 остатков, но образовывались полимеры до 40 АДФ-рибозильных остатков </w:t>
      </w:r>
      <w:r w:rsidRPr="00107040">
        <w:rPr>
          <w:rFonts w:ascii="Times New Roman" w:hAnsi="Times New Roman"/>
          <w:sz w:val="28"/>
          <w:szCs w:val="28"/>
          <w:shd w:val="clear" w:color="auto" w:fill="FFFFFF"/>
        </w:rPr>
        <w:fldChar w:fldCharType="begin"/>
      </w:r>
      <w:r w:rsidR="008611DC">
        <w:rPr>
          <w:rFonts w:ascii="Times New Roman" w:hAnsi="Times New Roman"/>
          <w:sz w:val="28"/>
          <w:szCs w:val="28"/>
          <w:shd w:val="clear" w:color="auto" w:fill="FFFFFF"/>
        </w:rPr>
        <w:instrText xml:space="preserve"> ADDIN ZOTERO_ITEM CSL_CITATION {"citationID":"a1ihvqae7ad","properties":{"formattedCitation":"[316]","plainCitation":"[316]","noteIndex":0},"citationItems":[{"id":253,"uris":["http://zotero.org/users/9078202/items/XCDNFQWX"],"itemData":{"id":253,"type":"article-journal","abstract":"One of the immediate reactions of the mammalian cell to many environmental stresses is a massive synthesis of poly(ADP-ribose), catalyzed by poly(ADP-ribose) polymerase (PARP). Most of the biological functions attributed to PARP are inferred from experimentation with mammalian cells. In plants, the biology of PARP may be more complicated and diverse than was previously thought. Two poly(ADP-ribose) polymerase homologues were found in plants, the classical Zn-finger-containing polymerase (ZAP) and the structurally non-classical PARP proteins (APP and NAP), which lack the characteristic N-terminal Zn-finger domain. By enzymatic and cytological experiments the recombinant APP protein was shown to be located in the nucleus and to possess DNA-dependent poly(ADP-ribose) polymerase activity in yeast. The nuclear localization was further confirmed by the analysis of transgenic tobacco plants that expressed a translational gene fusion between APP and the bacterial beta-glucuronidase. The app promoter was transcriptionally up-regulated in cells pre-determined to die because of deficiency in a DNA ligase I.","container-title":"The Plant Journal: For Cell and Molecular Biology","DOI":"10.1046/j.1365-313x.1998.00240.x","ISSN":"0960-7412","issue":"5","journalAbbreviation":"Plant J","language":"eng","note":"PMID: 9778846","page":"635-645","source":"PubMed","title":"Higher plants possess two structurally different poly(ADP-ribose) polymerases","volume":"15","author":[{"family":"Babiychuk","given":"E."},{"family":"Cottrill","given":"P. B."},{"family":"Storozhenko","given":"S."},{"family":"Fuangthong","given":"M."},{"family":"Chen","given":"Y."},{"family":"O'Farrell","given":"M. K."},{"family":"Van Montagu","given":"M."},{"family":"Inzé","given":"D."},{"family":"Kushnir","given":"S."}],"issued":{"date-parts":[["1998",9]]}}}],"schema":"https://github.com/citation-style-language/schema/raw/master/csl-citation.json"} </w:instrText>
      </w:r>
      <w:r w:rsidRPr="00107040">
        <w:rPr>
          <w:rFonts w:ascii="Times New Roman" w:hAnsi="Times New Roman"/>
          <w:sz w:val="28"/>
          <w:szCs w:val="28"/>
          <w:shd w:val="clear" w:color="auto" w:fill="FFFFFF"/>
        </w:rPr>
        <w:fldChar w:fldCharType="separate"/>
      </w:r>
      <w:r w:rsidR="008611DC" w:rsidRPr="008611DC">
        <w:rPr>
          <w:rFonts w:ascii="Times New Roman" w:hAnsi="Times New Roman"/>
          <w:sz w:val="28"/>
        </w:rPr>
        <w:t>[316]</w:t>
      </w:r>
      <w:r w:rsidRPr="00107040">
        <w:rPr>
          <w:rFonts w:ascii="Times New Roman" w:hAnsi="Times New Roman"/>
          <w:sz w:val="28"/>
          <w:szCs w:val="28"/>
          <w:shd w:val="clear" w:color="auto" w:fill="FFFFFF"/>
        </w:rPr>
        <w:fldChar w:fldCharType="end"/>
      </w:r>
      <w:r w:rsidRPr="00107040">
        <w:rPr>
          <w:rFonts w:ascii="Times New Roman" w:hAnsi="Times New Roman"/>
          <w:sz w:val="28"/>
          <w:szCs w:val="28"/>
          <w:shd w:val="clear" w:color="auto" w:fill="FFFFFF"/>
        </w:rPr>
        <w:t xml:space="preserve">. Поли(АДФ-рибозил)ирующая активность снижалась ингибиторами PARP, 3-аминобензамидом (3АВ) и никотинамидом. Ядерная локализация AtPARP2 в растениях была подтверждена транзиторной экспрессией конструкций AtPARP2-GFP у </w:t>
      </w:r>
      <w:r w:rsidRPr="00107040">
        <w:rPr>
          <w:rFonts w:ascii="Times New Roman" w:hAnsi="Times New Roman"/>
          <w:i/>
          <w:sz w:val="28"/>
          <w:szCs w:val="28"/>
          <w:shd w:val="clear" w:color="auto" w:fill="FFFFFF"/>
        </w:rPr>
        <w:t>Nicotiana benthamiana</w:t>
      </w:r>
      <w:r w:rsidRPr="00107040">
        <w:rPr>
          <w:rFonts w:ascii="Times New Roman" w:hAnsi="Times New Roman"/>
          <w:sz w:val="28"/>
          <w:szCs w:val="28"/>
          <w:shd w:val="clear" w:color="auto" w:fill="FFFFFF"/>
        </w:rPr>
        <w:t xml:space="preserve"> и </w:t>
      </w:r>
      <w:r w:rsidRPr="00107040">
        <w:rPr>
          <w:rFonts w:ascii="Times New Roman" w:hAnsi="Times New Roman"/>
          <w:i/>
          <w:sz w:val="28"/>
          <w:szCs w:val="28"/>
          <w:shd w:val="clear" w:color="auto" w:fill="FFFFFF"/>
        </w:rPr>
        <w:t>Arabidopsis</w:t>
      </w:r>
      <w:r w:rsidRPr="00107040">
        <w:rPr>
          <w:rFonts w:ascii="Times New Roman" w:hAnsi="Times New Roman"/>
          <w:sz w:val="28"/>
          <w:szCs w:val="28"/>
          <w:shd w:val="clear" w:color="auto" w:fill="FFFFFF"/>
        </w:rPr>
        <w:t xml:space="preserve"> </w:t>
      </w:r>
      <w:r w:rsidRPr="00107040">
        <w:rPr>
          <w:rFonts w:ascii="Times New Roman" w:hAnsi="Times New Roman"/>
          <w:sz w:val="28"/>
          <w:szCs w:val="28"/>
          <w:shd w:val="clear" w:color="auto" w:fill="FFFFFF"/>
        </w:rPr>
        <w:fldChar w:fldCharType="begin"/>
      </w:r>
      <w:r w:rsidR="008611DC">
        <w:rPr>
          <w:rFonts w:ascii="Times New Roman" w:hAnsi="Times New Roman"/>
          <w:sz w:val="28"/>
          <w:szCs w:val="28"/>
          <w:shd w:val="clear" w:color="auto" w:fill="FFFFFF"/>
        </w:rPr>
        <w:instrText xml:space="preserve"> ADDIN ZOTERO_ITEM CSL_CITATION {"citationID":"amlbhf678b","properties":{"formattedCitation":"[317\\uc0\\u8211{}319]","plainCitation":"[317–319]","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F."}],"accessed":{"date-parts":[["2022",9,5]]},"issued":{"date-parts":[["2015",5,7]]}}},{"id":1392,"uris":["http://zotero.org/users/9078202/items/SUTL6GYM"],"itemData":{"id":1392,"type":"article-journal","abstract":"The enzyme poly(ADP-ribose)polymerase (PARP) has a dual function being involved both in the poly(ADP-ribosyl)ation and being a constituent of the NAD+ salvage pathway. To date most studies, both in plant and non-plant systems, have focused on the signaling role of PARP in poly(ADP-ribosyl)ation rather than any role that can be ascribed to its metabolic function. In order to address this question we here used a combination of expression, transcript and protein localization studies of all three PARP isoforms of Arabidopsis alongside physiological analysis of the corresponding mutants. Our analyses indicated that whilst all isoforms of PARP were localized to the nucleus they are also present in non-nuclear locations with parp1 and parp3 also localised in the cytosol, and parp2 also present in the mitochondria. We next isolated and characterized insertional knockout mutants of all three isoforms confirming a complete knockout in the full length transcript levels of the target genes as well as a reduced total leaf NAD hydrolase activity in the two isoforms (PARP1, PARP2) that are highly expressed in leaves. Physiological evaluation of the mutant lines revealed that they displayed distinctive metabolic and root growth characteristics albeit unaltered leaf morphology under optimal growth conditions. We therefore conclude that the PARP isoforms play non-redundant non-nuclear metabolic roles and that their function is highly important in rapidly growing tissues such as the shoot apical meristem, roots and seeds.","container-title":"Plant Molecular Biology","DOI":"10.1007/s11103-015-0363-5","ISSN":"0167-4412","issue":"4-5","journalAbbreviation":"Plant Mol Biol","note":"PMID: 26428915\nPMCID: PMC4631723","page":"319-338","source":"PubMed Central","title":"Analysis of knockout mutants reveals non-redundant functions of poly(ADP-ribose)polymerase isoforms in Arabidopsis","URL":"https://www.ncbi.nlm.nih.gov/pmc/articles/PMC4631723/","volume":"89","author":[{"family":"Pham","given":"Phuong Anh"},{"family":"Wahl","given":"Vanessa"},{"family":"Tohge","given":"Takayuki"},{"family":"Souza","given":"Laise Rosado","non-dropping-particle":"de"},{"family":"Zhang","given":"Youjun"},{"family":"Do","given":"Phuc Thi"},{"family":"Olas","given":"Justyna J."},{"family":"Stitt","given":"Mark"},{"family":"Araújo","given":"Wagner L."},{"family":"Fernie","given":"Alisdair R."}],"accessed":{"date-parts":[["2022",5,23]]},"issued":{"date-parts":[["2015"]]}}},{"id":1612,"uris":["http://zotero.org/users/9078202/items/P64XLK8C"],"itemData":{"id":1612,"type":"article-journal","abstract":"Proteins of the Poly(ADP-Ribose) Polymerase (PARP) family modify target proteins by covalent attachment of ADP-ribose moieties onto amino acid side chains. In Arabidopsis, PARP proteins contribute to repair of DNA lesions and modulate plant responses to various abiotic and biotic stressors. Arabidopsis PARP1 and PARP2 are nuclear proteins and given that their molecular weights exceed the diffusion limit of nuclear pore complexes, an active import mechanism into the nucleus is likely. Here we use confocal microscopy of fluorescent protein-tagged Arabidopsis PARP2 and PARP2 deletion constructs in combination with site-directed mutagenesis to identify a nuclear localization sequence in PARP2 that is required for nuclear import. We report that in co-immunoprecipitation assays PARP2 interacts with several isoforms of the importin-α group of nuclear transport adapters and that PARP2 binding to IMPORTIN-α2 is mediated by the identified nuclear localization sequence. Our results demonstrate that PARP2 is a cargo protein of the canonical importin-α/β nuclear import pathway.","container-title":"Frontiers in Plant Science","ISSN":"1664-462X","source":"Frontiers","title":"Nuclear Import of Arabidopsis Poly(ADP-Ribose) Polymerase 2 Is Mediated by Importin-α and a Nuclear Localization Sequence Located Between the Predicted SAP Domains","URL":"https://www.frontiersin.org/articles/10.3389/fpls.2018.01581","volume":"9","author":[{"family":"Chen","given":"Chao"},{"family":"Masi","given":"Raffaella De"},{"family":"Lintermann","given":"Ruth"},{"family":"Wirthmueller","given":"Lennart"}],"accessed":{"date-parts":[["2022",9,5]]},"issued":{"date-parts":[["2018"]]}}}],"schema":"https://github.com/citation-style-language/schema/raw/master/csl-citation.json"} </w:instrText>
      </w:r>
      <w:r w:rsidRPr="00107040">
        <w:rPr>
          <w:rFonts w:ascii="Times New Roman" w:hAnsi="Times New Roman"/>
          <w:sz w:val="28"/>
          <w:szCs w:val="28"/>
          <w:shd w:val="clear" w:color="auto" w:fill="FFFFFF"/>
        </w:rPr>
        <w:fldChar w:fldCharType="separate"/>
      </w:r>
      <w:r w:rsidR="008611DC" w:rsidRPr="008611DC">
        <w:rPr>
          <w:rFonts w:ascii="Times New Roman" w:hAnsi="Times New Roman"/>
          <w:sz w:val="28"/>
          <w:szCs w:val="24"/>
        </w:rPr>
        <w:t>[317–319]</w:t>
      </w:r>
      <w:r w:rsidRPr="00107040">
        <w:rPr>
          <w:rFonts w:ascii="Times New Roman" w:hAnsi="Times New Roman"/>
          <w:sz w:val="28"/>
          <w:szCs w:val="28"/>
          <w:shd w:val="clear" w:color="auto" w:fill="FFFFFF"/>
        </w:rPr>
        <w:fldChar w:fldCharType="end"/>
      </w:r>
      <w:r w:rsidRPr="00107040">
        <w:rPr>
          <w:rFonts w:ascii="Times New Roman" w:hAnsi="Times New Roman"/>
          <w:sz w:val="28"/>
          <w:szCs w:val="28"/>
          <w:shd w:val="clear" w:color="auto" w:fill="FFFFFF"/>
        </w:rPr>
        <w:t xml:space="preserve">. Недавно было показано, что импорт AtPARP2 в ядро опосредуется Importin-α </w:t>
      </w:r>
      <w:r w:rsidRPr="00107040">
        <w:rPr>
          <w:rFonts w:ascii="Times New Roman" w:hAnsi="Times New Roman"/>
          <w:sz w:val="28"/>
          <w:szCs w:val="28"/>
          <w:shd w:val="clear" w:color="auto" w:fill="FFFFFF"/>
        </w:rPr>
        <w:fldChar w:fldCharType="begin"/>
      </w:r>
      <w:r w:rsidR="008611DC">
        <w:rPr>
          <w:rFonts w:ascii="Times New Roman" w:hAnsi="Times New Roman"/>
          <w:sz w:val="28"/>
          <w:szCs w:val="28"/>
          <w:shd w:val="clear" w:color="auto" w:fill="FFFFFF"/>
        </w:rPr>
        <w:instrText xml:space="preserve"> ADDIN ZOTERO_ITEM CSL_CITATION {"citationID":"agsgn3h4o7","properties":{"formattedCitation":"[319]","plainCitation":"[319]","noteIndex":0},"citationItems":[{"id":1612,"uris":["http://zotero.org/users/9078202/items/P64XLK8C"],"itemData":{"id":1612,"type":"article-journal","abstract":"Proteins of the Poly(ADP-Ribose) Polymerase (PARP) family modify target proteins by covalent attachment of ADP-ribose moieties onto amino acid side chains. In Arabidopsis, PARP proteins contribute to repair of DNA lesions and modulate plant responses to various abiotic and biotic stressors. Arabidopsis PARP1 and PARP2 are nuclear proteins and given that their molecular weights exceed the diffusion limit of nuclear pore complexes, an active import mechanism into the nucleus is likely. Here we use confocal microscopy of fluorescent protein-tagged Arabidopsis PARP2 and PARP2 deletion constructs in combination with site-directed mutagenesis to identify a nuclear localization sequence in PARP2 that is required for nuclear import. We report that in co-immunoprecipitation assays PARP2 interacts with several isoforms of the importin-α group of nuclear transport adapters and that PARP2 binding to IMPORTIN-α2 is mediated by the identified nuclear localization sequence. Our results demonstrate that PARP2 is a cargo protein of the canonical importin-α/β nuclear import pathway.","container-title":"Frontiers in Plant Science","ISSN":"1664-462X","source":"Frontiers","title":"Nuclear Import of Arabidopsis Poly(ADP-Ribose) Polymerase 2 Is Mediated by Importin-α and a Nuclear Localization Sequence Located Between the Predicted SAP Domains","URL":"https://www.frontiersin.org/articles/10.3389/fpls.2018.01581","volume":"9","author":[{"family":"Chen","given":"Chao"},{"family":"Masi","given":"Raffaella De"},{"family":"Lintermann","given":"Ruth"},{"family":"Wirthmueller","given":"Lennart"}],"accessed":{"date-parts":[["2022",9,5]]},"issued":{"date-parts":[["2018"]]}}}],"schema":"https://github.com/citation-style-language/schema/raw/master/csl-citation.json"} </w:instrText>
      </w:r>
      <w:r w:rsidRPr="00107040">
        <w:rPr>
          <w:rFonts w:ascii="Times New Roman" w:hAnsi="Times New Roman"/>
          <w:sz w:val="28"/>
          <w:szCs w:val="28"/>
          <w:shd w:val="clear" w:color="auto" w:fill="FFFFFF"/>
        </w:rPr>
        <w:fldChar w:fldCharType="separate"/>
      </w:r>
      <w:r w:rsidR="008611DC" w:rsidRPr="008611DC">
        <w:rPr>
          <w:rFonts w:ascii="Times New Roman" w:hAnsi="Times New Roman"/>
          <w:sz w:val="28"/>
        </w:rPr>
        <w:t>[319]</w:t>
      </w:r>
      <w:r w:rsidRPr="00107040">
        <w:rPr>
          <w:rFonts w:ascii="Times New Roman" w:hAnsi="Times New Roman"/>
          <w:sz w:val="28"/>
          <w:szCs w:val="28"/>
          <w:shd w:val="clear" w:color="auto" w:fill="FFFFFF"/>
        </w:rPr>
        <w:fldChar w:fldCharType="end"/>
      </w:r>
      <w:r w:rsidRPr="00107040">
        <w:rPr>
          <w:rFonts w:ascii="Times New Roman" w:hAnsi="Times New Roman"/>
          <w:sz w:val="28"/>
          <w:szCs w:val="28"/>
          <w:shd w:val="clear" w:color="auto" w:fill="FFFFFF"/>
        </w:rPr>
        <w:t xml:space="preserve">. Предполагается, что в дополнение к ядерной локализации AtPARP2 частично локализован в хлоропластах </w:t>
      </w:r>
      <w:r w:rsidRPr="00107040">
        <w:rPr>
          <w:rFonts w:ascii="Times New Roman" w:hAnsi="Times New Roman"/>
          <w:sz w:val="28"/>
          <w:szCs w:val="28"/>
          <w:shd w:val="clear" w:color="auto" w:fill="FFFFFF"/>
        </w:rPr>
        <w:fldChar w:fldCharType="begin"/>
      </w:r>
      <w:r w:rsidR="008611DC">
        <w:rPr>
          <w:rFonts w:ascii="Times New Roman" w:hAnsi="Times New Roman"/>
          <w:sz w:val="28"/>
          <w:szCs w:val="28"/>
          <w:shd w:val="clear" w:color="auto" w:fill="FFFFFF"/>
        </w:rPr>
        <w:instrText xml:space="preserve"> ADDIN ZOTERO_ITEM CSL_CITATION {"citationID":"atnjtsge0q","properties":{"formattedCitation":"[318]","plainCitation":"[318]","noteIndex":0},"citationItems":[{"id":1392,"uris":["http://zotero.org/users/9078202/items/SUTL6GYM"],"itemData":{"id":1392,"type":"article-journal","abstract":"The enzyme poly(ADP-ribose)polymerase (PARP) has a dual function being involved both in the poly(ADP-ribosyl)ation and being a constituent of the NAD+ salvage pathway. To date most studies, both in plant and non-plant systems, have focused on the signaling role of PARP in poly(ADP-ribosyl)ation rather than any role that can be ascribed to its metabolic function. In order to address this question we here used a combination of expression, transcript and protein localization studies of all three PARP isoforms of Arabidopsis alongside physiological analysis of the corresponding mutants. Our analyses indicated that whilst all isoforms of PARP were localized to the nucleus they are also present in non-nuclear locations with parp1 and parp3 also localised in the cytosol, and parp2 also present in the mitochondria. We next isolated and characterized insertional knockout mutants of all three isoforms confirming a complete knockout in the full length transcript levels of the target genes as well as a reduced total leaf NAD hydrolase activity in the two isoforms (PARP1, PARP2) that are highly expressed in leaves. Physiological evaluation of the mutant lines revealed that they displayed distinctive metabolic and root growth characteristics albeit unaltered leaf morphology under optimal growth conditions. We therefore conclude that the PARP isoforms play non-redundant non-nuclear metabolic roles and that their function is highly important in rapidly growing tissues such as the shoot apical meristem, roots and seeds.","container-title":"Plant Molecular Biology","DOI":"10.1007/s11103-015-0363-5","ISSN":"0167-4412","issue":"4-5","journalAbbreviation":"Plant Mol Biol","note":"PMID: 26428915\nPMCID: PMC4631723","page":"319-338","source":"PubMed Central","title":"Analysis of knockout mutants reveals non-redundant functions of poly(ADP-ribose)polymerase isoforms in Arabidopsis","URL":"https://www.ncbi.nlm.nih.gov/pmc/articles/PMC4631723/","volume":"89","author":[{"family":"Pham","given":"Phuong Anh"},{"family":"Wahl","given":"Vanessa"},{"family":"Tohge","given":"Takayuki"},{"family":"Souza","given":"Laise Rosado","non-dropping-particle":"de"},{"family":"Zhang","given":"Youjun"},{"family":"Do","given":"Phuc Thi"},{"family":"Olas","given":"Justyna J."},{"family":"Stitt","given":"Mark"},{"family":"Araújo","given":"Wagner L."},{"family":"Fernie","given":"Alisdair R."}],"accessed":{"date-parts":[["2022",5,23]]},"issued":{"date-parts":[["2015"]]}}}],"schema":"https://github.com/citation-style-language/schema/raw/master/csl-citation.json"} </w:instrText>
      </w:r>
      <w:r w:rsidRPr="00107040">
        <w:rPr>
          <w:rFonts w:ascii="Times New Roman" w:hAnsi="Times New Roman"/>
          <w:sz w:val="28"/>
          <w:szCs w:val="28"/>
          <w:shd w:val="clear" w:color="auto" w:fill="FFFFFF"/>
        </w:rPr>
        <w:fldChar w:fldCharType="separate"/>
      </w:r>
      <w:r w:rsidR="008611DC" w:rsidRPr="008611DC">
        <w:rPr>
          <w:rFonts w:ascii="Times New Roman" w:hAnsi="Times New Roman"/>
          <w:sz w:val="28"/>
        </w:rPr>
        <w:t>[318]</w:t>
      </w:r>
      <w:r w:rsidRPr="00107040">
        <w:rPr>
          <w:rFonts w:ascii="Times New Roman" w:hAnsi="Times New Roman"/>
          <w:sz w:val="28"/>
          <w:szCs w:val="28"/>
          <w:shd w:val="clear" w:color="auto" w:fill="FFFFFF"/>
        </w:rPr>
        <w:fldChar w:fldCharType="end"/>
      </w:r>
      <w:r w:rsidRPr="00107040">
        <w:rPr>
          <w:rFonts w:ascii="Times New Roman" w:hAnsi="Times New Roman"/>
          <w:sz w:val="28"/>
          <w:szCs w:val="28"/>
          <w:shd w:val="clear" w:color="auto" w:fill="FFFFFF"/>
        </w:rPr>
        <w:t xml:space="preserve">. Слияния промотор-GUS и исследования гибридизации РНК </w:t>
      </w:r>
      <w:r w:rsidRPr="00107040">
        <w:rPr>
          <w:rFonts w:ascii="Times New Roman" w:hAnsi="Times New Roman"/>
          <w:i/>
          <w:sz w:val="28"/>
          <w:szCs w:val="28"/>
          <w:shd w:val="clear" w:color="auto" w:fill="FFFFFF"/>
        </w:rPr>
        <w:t>in situ</w:t>
      </w:r>
      <w:r w:rsidRPr="00107040">
        <w:rPr>
          <w:rFonts w:ascii="Times New Roman" w:hAnsi="Times New Roman"/>
          <w:sz w:val="28"/>
          <w:szCs w:val="28"/>
          <w:shd w:val="clear" w:color="auto" w:fill="FFFFFF"/>
        </w:rPr>
        <w:t xml:space="preserve"> показали экспрессию AtPARP2 в набухших семенах, вегетативной меристеме верхушки побега, тычинках открытых цветков и на поздних стадиях развития зародыша </w:t>
      </w:r>
      <w:r w:rsidRPr="00107040">
        <w:rPr>
          <w:rFonts w:ascii="Times New Roman" w:hAnsi="Times New Roman"/>
          <w:sz w:val="28"/>
          <w:szCs w:val="28"/>
          <w:shd w:val="clear" w:color="auto" w:fill="FFFFFF"/>
        </w:rPr>
        <w:fldChar w:fldCharType="begin"/>
      </w:r>
      <w:r w:rsidR="008611DC">
        <w:rPr>
          <w:rFonts w:ascii="Times New Roman" w:hAnsi="Times New Roman"/>
          <w:sz w:val="28"/>
          <w:szCs w:val="28"/>
          <w:shd w:val="clear" w:color="auto" w:fill="FFFFFF"/>
        </w:rPr>
        <w:instrText xml:space="preserve"> ADDIN ZOTERO_ITEM CSL_CITATION {"citationID":"aivkjoi6i2","properties":{"formattedCitation":"[318]","plainCitation":"[318]","noteIndex":0},"citationItems":[{"id":1392,"uris":["http://zotero.org/users/9078202/items/SUTL6GYM"],"itemData":{"id":1392,"type":"article-journal","abstract":"The enzyme poly(ADP-ribose)polymerase (PARP) has a dual function being involved both in the poly(ADP-ribosyl)ation and being a constituent of the NAD+ salvage pathway. To date most studies, both in plant and non-plant systems, have focused on the signaling role of PARP in poly(ADP-ribosyl)ation rather than any role that can be ascribed to its metabolic function. In order to address this question we here used a combination of expression, transcript and protein localization studies of all three PARP isoforms of Arabidopsis alongside physiological analysis of the corresponding mutants. Our analyses indicated that whilst all isoforms of PARP were localized to the nucleus they are also present in non-nuclear locations with parp1 and parp3 also localised in the cytosol, and parp2 also present in the mitochondria. We next isolated and characterized insertional knockout mutants of all three isoforms confirming a complete knockout in the full length transcript levels of the target genes as well as a reduced total leaf NAD hydrolase activity in the two isoforms (PARP1, PARP2) that are highly expressed in leaves. Physiological evaluation of the mutant lines revealed that they displayed distinctive metabolic and root growth characteristics albeit unaltered leaf morphology under optimal growth conditions. We therefore conclude that the PARP isoforms play non-redundant non-nuclear metabolic roles and that their function is highly important in rapidly growing tissues such as the shoot apical meristem, roots and seeds.","container-title":"Plant Molecular Biology","DOI":"10.1007/s11103-015-0363-5","ISSN":"0167-4412","issue":"4-5","journalAbbreviation":"Plant Mol Biol","note":"PMID: 26428915\nPMCID: PMC4631723","page":"319-338","source":"PubMed Central","title":"Analysis of knockout mutants reveals non-redundant functions of poly(ADP-ribose)polymerase isoforms in Arabidopsis","URL":"https://www.ncbi.nlm.nih.gov/pmc/articles/PMC4631723/","volume":"89","author":[{"family":"Pham","given":"Phuong Anh"},{"family":"Wahl","given":"Vanessa"},{"family":"Tohge","given":"Takayuki"},{"family":"Souza","given":"Laise Rosado","non-dropping-particle":"de"},{"family":"Zhang","given":"Youjun"},{"family":"Do","given":"Phuc Thi"},{"family":"Olas","given":"Justyna J."},{"family":"Stitt","given":"Mark"},{"family":"Araújo","given":"Wagner L."},{"family":"Fernie","given":"Alisdair R."}],"accessed":{"date-parts":[["2022",5,23]]},"issued":{"date-parts":[["2015"]]}}}],"schema":"https://github.com/citation-style-language/schema/raw/master/csl-citation.json"} </w:instrText>
      </w:r>
      <w:r w:rsidRPr="00107040">
        <w:rPr>
          <w:rFonts w:ascii="Times New Roman" w:hAnsi="Times New Roman"/>
          <w:sz w:val="28"/>
          <w:szCs w:val="28"/>
          <w:shd w:val="clear" w:color="auto" w:fill="FFFFFF"/>
        </w:rPr>
        <w:fldChar w:fldCharType="separate"/>
      </w:r>
      <w:r w:rsidR="008611DC" w:rsidRPr="008611DC">
        <w:rPr>
          <w:rFonts w:ascii="Times New Roman" w:hAnsi="Times New Roman"/>
          <w:sz w:val="28"/>
        </w:rPr>
        <w:t>[318]</w:t>
      </w:r>
      <w:r w:rsidRPr="00107040">
        <w:rPr>
          <w:rFonts w:ascii="Times New Roman" w:hAnsi="Times New Roman"/>
          <w:sz w:val="28"/>
          <w:szCs w:val="28"/>
          <w:shd w:val="clear" w:color="auto" w:fill="FFFFFF"/>
        </w:rPr>
        <w:fldChar w:fldCharType="end"/>
      </w:r>
      <w:r w:rsidRPr="00107040">
        <w:rPr>
          <w:rFonts w:ascii="Times New Roman" w:hAnsi="Times New Roman"/>
          <w:sz w:val="28"/>
          <w:szCs w:val="28"/>
          <w:shd w:val="clear" w:color="auto" w:fill="FFFFFF"/>
        </w:rPr>
        <w:t>.</w:t>
      </w:r>
    </w:p>
    <w:p w14:paraId="4CD52C40" w14:textId="7589CB54" w:rsidR="00107040" w:rsidRPr="00107040" w:rsidRDefault="00107040" w:rsidP="00107040">
      <w:pPr>
        <w:pStyle w:val="afa"/>
        <w:shd w:val="clear" w:color="auto" w:fill="FFFFFF"/>
        <w:spacing w:before="0" w:beforeAutospacing="0" w:after="0" w:afterAutospacing="0"/>
        <w:ind w:firstLine="567"/>
        <w:jc w:val="both"/>
        <w:rPr>
          <w:rStyle w:val="a7"/>
          <w:i w:val="0"/>
          <w:sz w:val="28"/>
          <w:szCs w:val="28"/>
          <w:lang w:val="ru-RU"/>
        </w:rPr>
      </w:pPr>
      <w:r w:rsidRPr="00107040">
        <w:rPr>
          <w:rStyle w:val="a7"/>
          <w:sz w:val="28"/>
          <w:szCs w:val="28"/>
        </w:rPr>
        <w:t>AtPARP</w:t>
      </w:r>
      <w:r w:rsidRPr="00107040">
        <w:rPr>
          <w:rStyle w:val="a7"/>
          <w:sz w:val="28"/>
          <w:szCs w:val="28"/>
          <w:lang w:val="ru-RU"/>
        </w:rPr>
        <w:t xml:space="preserve">1 </w:t>
      </w:r>
      <w:r w:rsidRPr="00107040">
        <w:rPr>
          <w:rStyle w:val="a7"/>
          <w:i w:val="0"/>
          <w:sz w:val="28"/>
          <w:szCs w:val="28"/>
          <w:lang w:val="ru-RU"/>
        </w:rPr>
        <w:t>(</w:t>
      </w:r>
      <w:r w:rsidRPr="00107040">
        <w:rPr>
          <w:rStyle w:val="a7"/>
          <w:i w:val="0"/>
          <w:sz w:val="28"/>
          <w:szCs w:val="28"/>
        </w:rPr>
        <w:t>At</w:t>
      </w:r>
      <w:r w:rsidRPr="00107040">
        <w:rPr>
          <w:rStyle w:val="a7"/>
          <w:i w:val="0"/>
          <w:sz w:val="28"/>
          <w:szCs w:val="28"/>
          <w:lang w:val="ru-RU"/>
        </w:rPr>
        <w:t>2</w:t>
      </w:r>
      <w:r w:rsidRPr="00107040">
        <w:rPr>
          <w:rStyle w:val="a7"/>
          <w:i w:val="0"/>
          <w:sz w:val="28"/>
          <w:szCs w:val="28"/>
        </w:rPr>
        <w:t>g</w:t>
      </w:r>
      <w:r w:rsidRPr="00107040">
        <w:rPr>
          <w:rStyle w:val="a7"/>
          <w:i w:val="0"/>
          <w:sz w:val="28"/>
          <w:szCs w:val="28"/>
          <w:lang w:val="ru-RU"/>
        </w:rPr>
        <w:t xml:space="preserve">31320) был идентифицирован при скрининге генов, индуцированных ионизирующим излучением, у </w:t>
      </w:r>
      <w:r w:rsidRPr="00107040">
        <w:rPr>
          <w:rStyle w:val="a7"/>
          <w:sz w:val="28"/>
          <w:szCs w:val="28"/>
        </w:rPr>
        <w:t>Arabidopsis</w:t>
      </w:r>
      <w:r w:rsidRPr="00107040">
        <w:rPr>
          <w:rStyle w:val="a7"/>
          <w:sz w:val="28"/>
          <w:szCs w:val="28"/>
          <w:lang w:val="ru-RU"/>
        </w:rPr>
        <w:t xml:space="preserve"> </w:t>
      </w:r>
      <w:r w:rsidRPr="00107040">
        <w:rPr>
          <w:rStyle w:val="a7"/>
          <w:sz w:val="28"/>
          <w:szCs w:val="28"/>
        </w:rPr>
        <w:t>thaliana</w:t>
      </w:r>
      <w:r w:rsidRPr="00107040">
        <w:rPr>
          <w:rStyle w:val="a7"/>
          <w:i w:val="0"/>
          <w:sz w:val="28"/>
          <w:szCs w:val="28"/>
          <w:lang w:val="ru-RU"/>
        </w:rPr>
        <w:t xml:space="preserve"> </w:t>
      </w:r>
      <w:r w:rsidRPr="00107040">
        <w:rPr>
          <w:rStyle w:val="a7"/>
          <w:i w:val="0"/>
          <w:sz w:val="28"/>
          <w:szCs w:val="28"/>
          <w:lang w:val="ru-RU"/>
        </w:rPr>
        <w:fldChar w:fldCharType="begin"/>
      </w:r>
      <w:r w:rsidR="008611DC">
        <w:rPr>
          <w:rStyle w:val="a7"/>
          <w:i w:val="0"/>
          <w:sz w:val="28"/>
          <w:szCs w:val="28"/>
          <w:lang w:val="ru-RU"/>
        </w:rPr>
        <w:instrText xml:space="preserve"> ADDIN ZOTERO_ITEM CSL_CITATION {"citationID":"afs3b1edsp","properties":{"formattedCitation":"[320]","plainCitation":"[320]","noteIndex":0},"citationItems":[{"id":249,"uris":["http://zotero.org/users/9078202/items/9SNUKG3E"],"itemData":{"id":249,"type":"article-journal","abstract":"By screening for Arabidopsis genes activated by ionising radiation (IR)-induced DNA damage, we have isolated a cDNA hybridising with a 3.2-kb mRNA that accumulates rapidly and strongly in irradiated cell suspensions or whole plants. The cDNA codes for a 110-kDa protein that is highly homologous to the 116-kDa vertebrate poly(ADP-ribose) polymerase (PARP-1). It is recognised by a human anti-PARP-1 antibody, binds efficiently to DNA strand interruptions in vitro, and catalyses DNA damage-dependent (ADP-ribose) polymer synthesis. We have named this protein AtPARP-1. We have also extended our observations to the Arabidopsis app (AtPARP-2) gene, demonstrating for the first time that IR-induced DNA strand interruptions induce rapid and massive accumulation of AtPARP-1 and AtPARP-2 transcripts, whereas dehydration and cadmium preferentially induce the accumulation of AtPARP-2 transcripts. The IR-induced PARP gene expression seen in Arabidopsis is in striking contrast to the post-translational activation of the PARP-1 protein that is associated with genotoxic stress in animal cells. AtPARP-1 transcripts accumulate in all plant organs after exposure to ionising radiation, but this is followed by an increase in AtPARP-1 protein levels only in tissues that contain large amounts of actively dividing cells. This cell-type specific accumulation of AtPARP-1 protein in response to DNA damage is compatible with a role for the AtPARP-1 protein in the maintenance of DNA integrity during replication, similar to the role of \"guardian of the genome\" attributed to its animal counterpart.","container-title":"Molecular genetics and genomics: MGG","DOI":"10.1007/s004380100506","ISSN":"1617-4615","issue":"6","journalAbbreviation":"Mol Genet Genomics","language":"eng","note":"PMID: 11523787","page":"954-963","source":"PubMed","title":"Ionising radiation induces the expression of PARP-1 and PARP-2 genes in Arabidopsis","volume":"265","author":[{"family":"Doucet-Chabeaud","given":"G."},{"family":"Godon","given":"C."},{"family":"Brutesco","given":"C."},{"family":"Murcia","given":"G.","non-dropping-particle":"de"},{"family":"Kazmaier","given":"M."}],"issued":{"date-parts":[["2001",8]]}}}],"schema":"https://github.com/citation-style-language/schema/raw/master/csl-citation.json"} </w:instrText>
      </w:r>
      <w:r w:rsidRPr="00107040">
        <w:rPr>
          <w:rStyle w:val="a7"/>
          <w:i w:val="0"/>
          <w:sz w:val="28"/>
          <w:szCs w:val="28"/>
          <w:lang w:val="ru-RU"/>
        </w:rPr>
        <w:fldChar w:fldCharType="separate"/>
      </w:r>
      <w:r w:rsidR="008611DC" w:rsidRPr="008611DC">
        <w:rPr>
          <w:sz w:val="28"/>
          <w:lang w:val="ru-RU"/>
        </w:rPr>
        <w:t>[320]</w:t>
      </w:r>
      <w:r w:rsidRPr="00107040">
        <w:rPr>
          <w:rStyle w:val="a7"/>
          <w:i w:val="0"/>
          <w:sz w:val="28"/>
          <w:szCs w:val="28"/>
          <w:lang w:val="ru-RU"/>
        </w:rPr>
        <w:fldChar w:fldCharType="end"/>
      </w:r>
      <w:r w:rsidRPr="00107040">
        <w:rPr>
          <w:rStyle w:val="a7"/>
          <w:i w:val="0"/>
          <w:sz w:val="28"/>
          <w:szCs w:val="28"/>
          <w:lang w:val="ru-RU"/>
        </w:rPr>
        <w:t xml:space="preserve">. </w:t>
      </w:r>
      <w:r w:rsidRPr="00107040">
        <w:rPr>
          <w:rStyle w:val="a7"/>
          <w:i w:val="0"/>
          <w:sz w:val="28"/>
          <w:szCs w:val="28"/>
        </w:rPr>
        <w:t>AtPARP</w:t>
      </w:r>
      <w:r w:rsidRPr="00107040">
        <w:rPr>
          <w:rStyle w:val="a7"/>
          <w:i w:val="0"/>
          <w:sz w:val="28"/>
          <w:szCs w:val="28"/>
          <w:lang w:val="ru-RU"/>
        </w:rPr>
        <w:t xml:space="preserve">1 состоит из 983 аминокислот и имеет консервативные структурные мотивы по сравнению с </w:t>
      </w:r>
      <w:r w:rsidRPr="00107040">
        <w:rPr>
          <w:rStyle w:val="a7"/>
          <w:i w:val="0"/>
          <w:sz w:val="28"/>
          <w:szCs w:val="28"/>
        </w:rPr>
        <w:t>PARP</w:t>
      </w:r>
      <w:r w:rsidRPr="00107040">
        <w:rPr>
          <w:rStyle w:val="a7"/>
          <w:i w:val="0"/>
          <w:sz w:val="28"/>
          <w:szCs w:val="28"/>
          <w:lang w:val="ru-RU"/>
        </w:rPr>
        <w:t xml:space="preserve">1 человека. Подобно </w:t>
      </w:r>
      <w:r w:rsidRPr="00107040">
        <w:rPr>
          <w:rStyle w:val="a7"/>
          <w:i w:val="0"/>
          <w:sz w:val="28"/>
          <w:szCs w:val="28"/>
        </w:rPr>
        <w:t>PARP</w:t>
      </w:r>
      <w:r w:rsidRPr="00107040">
        <w:rPr>
          <w:rStyle w:val="a7"/>
          <w:i w:val="0"/>
          <w:sz w:val="28"/>
          <w:szCs w:val="28"/>
          <w:lang w:val="ru-RU"/>
        </w:rPr>
        <w:t xml:space="preserve">1 человека, </w:t>
      </w:r>
      <w:r w:rsidRPr="00107040">
        <w:rPr>
          <w:rStyle w:val="a7"/>
          <w:i w:val="0"/>
          <w:sz w:val="28"/>
          <w:szCs w:val="28"/>
        </w:rPr>
        <w:t>AtPARP</w:t>
      </w:r>
      <w:r w:rsidRPr="00107040">
        <w:rPr>
          <w:rStyle w:val="a7"/>
          <w:i w:val="0"/>
          <w:sz w:val="28"/>
          <w:szCs w:val="28"/>
          <w:lang w:val="ru-RU"/>
        </w:rPr>
        <w:t>1 содержит консервативный каталитический домен, мотивы цинковых отпечатков и мотив ядерной локализации (</w:t>
      </w:r>
      <w:r w:rsidRPr="00E11A5F">
        <w:rPr>
          <w:rStyle w:val="a7"/>
          <w:i w:val="0"/>
          <w:sz w:val="28"/>
          <w:szCs w:val="28"/>
          <w:lang w:val="ru-RU"/>
        </w:rPr>
        <w:t xml:space="preserve">рисунок </w:t>
      </w:r>
      <w:r w:rsidRPr="00107040">
        <w:rPr>
          <w:rStyle w:val="a7"/>
          <w:i w:val="0"/>
          <w:sz w:val="28"/>
          <w:szCs w:val="28"/>
          <w:lang w:val="ru-RU"/>
        </w:rPr>
        <w:t xml:space="preserve">8). Центральный домен автомодификации менее консервативен, но присутствуют остатки глутамата, что делает возможным автополи(АДФ-рибозил)ирование. Кроме того, домен </w:t>
      </w:r>
      <w:r w:rsidRPr="00107040">
        <w:rPr>
          <w:rStyle w:val="a7"/>
          <w:i w:val="0"/>
          <w:sz w:val="28"/>
          <w:szCs w:val="28"/>
        </w:rPr>
        <w:t>BRCT</w:t>
      </w:r>
      <w:r w:rsidRPr="00107040">
        <w:rPr>
          <w:rStyle w:val="a7"/>
          <w:i w:val="0"/>
          <w:sz w:val="28"/>
          <w:szCs w:val="28"/>
          <w:lang w:val="ru-RU"/>
        </w:rPr>
        <w:t xml:space="preserve">, позволяющий белок-белковые взаимодействия, также менее консервативен. Как правило, структурное сходство между </w:t>
      </w:r>
      <w:r w:rsidRPr="00107040">
        <w:rPr>
          <w:rStyle w:val="a7"/>
          <w:i w:val="0"/>
          <w:sz w:val="28"/>
          <w:szCs w:val="28"/>
        </w:rPr>
        <w:t>AtPARP</w:t>
      </w:r>
      <w:r w:rsidRPr="00107040">
        <w:rPr>
          <w:rStyle w:val="a7"/>
          <w:i w:val="0"/>
          <w:sz w:val="28"/>
          <w:szCs w:val="28"/>
          <w:lang w:val="ru-RU"/>
        </w:rPr>
        <w:t xml:space="preserve">1 и </w:t>
      </w:r>
      <w:r w:rsidRPr="00107040">
        <w:rPr>
          <w:rStyle w:val="a7"/>
          <w:i w:val="0"/>
          <w:sz w:val="28"/>
          <w:szCs w:val="28"/>
        </w:rPr>
        <w:t>PARP</w:t>
      </w:r>
      <w:r w:rsidRPr="00107040">
        <w:rPr>
          <w:rStyle w:val="a7"/>
          <w:i w:val="0"/>
          <w:sz w:val="28"/>
          <w:szCs w:val="28"/>
          <w:lang w:val="ru-RU"/>
        </w:rPr>
        <w:t xml:space="preserve">1 человека вызывает функциональное сходство. Это предположение допольнительно было доказано исследованием экспрессии дрожжей, в которой экспрессия </w:t>
      </w:r>
      <w:r w:rsidRPr="00107040">
        <w:rPr>
          <w:rStyle w:val="a7"/>
          <w:i w:val="0"/>
          <w:sz w:val="28"/>
          <w:szCs w:val="28"/>
        </w:rPr>
        <w:t>AtPARP</w:t>
      </w:r>
      <w:r w:rsidRPr="00107040">
        <w:rPr>
          <w:rStyle w:val="a7"/>
          <w:i w:val="0"/>
          <w:sz w:val="28"/>
          <w:szCs w:val="28"/>
          <w:lang w:val="ru-RU"/>
        </w:rPr>
        <w:t xml:space="preserve">1 ингибирует рост дрожжевых клеток, также как и </w:t>
      </w:r>
      <w:r w:rsidRPr="00107040">
        <w:rPr>
          <w:rStyle w:val="a7"/>
          <w:i w:val="0"/>
          <w:sz w:val="28"/>
          <w:szCs w:val="28"/>
        </w:rPr>
        <w:t>HsPARP</w:t>
      </w:r>
      <w:r w:rsidRPr="00107040">
        <w:rPr>
          <w:rStyle w:val="a7"/>
          <w:i w:val="0"/>
          <w:sz w:val="28"/>
          <w:szCs w:val="28"/>
          <w:lang w:val="ru-RU"/>
        </w:rPr>
        <w:t xml:space="preserve">1 </w:t>
      </w:r>
      <w:r w:rsidRPr="00107040">
        <w:rPr>
          <w:rStyle w:val="a7"/>
          <w:sz w:val="28"/>
          <w:szCs w:val="28"/>
          <w:lang w:val="ru-RU"/>
        </w:rPr>
        <w:fldChar w:fldCharType="begin"/>
      </w:r>
      <w:r w:rsidR="008611DC">
        <w:rPr>
          <w:rStyle w:val="a7"/>
          <w:sz w:val="28"/>
          <w:szCs w:val="28"/>
          <w:lang w:val="ru-RU"/>
        </w:rPr>
        <w:instrText xml:space="preserve"> ADDIN ZOTERO_ITEM CSL_CITATION {"citationID":"FllbnbdH","properties":{"formattedCitation":"[321]","plainCitation":"[321]","noteIndex":0},"citationItems":[{"id":1626,"uris":["http://zotero.org/users/9078202/items/Y66KSECN"],"itemData":{"id":1626,"type":"article-journal","abstract":"Poly(ADP-ribose) polymerases (PARPs) have been implicated in responses of plants to DNA damage and numerous stresses, whereby the mechanistic basis of the interference is often unclear. Therefore, the identification of specific inhibitors and potential interactors of plant PARPs is desirable. For this purpose, we established an assay based on heterologous expression of PARP genes from the model plant Arabidopsis thaliana in yeast. Expression of AtPARPs caused an inhibition of yeast growth to different extent, which was alleviated by inhibitors targeted at human PARPs. This assay provides a fast and simple means to identify target proteins and pharmacological inhibitors of AtPARP1.","container-title":"Analytical Biochemistry","DOI":"10.1016/j.ab.2017.04.002","ISSN":"0003-2697","journalAbbreviation":"Analytical Biochemistry","language":"en","page":"20-23","source":"ScienceDirect","title":"A yeast growth assay to characterize plant poly(ADP-ribose) polymerase (PARP) proteins and inhibitors","URL":"https://www.sciencedirect.com/science/article/pii/S0003269717301604","volume":"527","author":[{"family":"Rissel","given":"Dagmar"},{"family":"Heym","given":"Peter Paul"},{"family":"Peiter","given":"Edgar"}],"accessed":{"date-parts":[["2022",9,6]]},"issued":{"date-parts":[["2017",6,15]]}}}],"schema":"https://github.com/citation-style-language/schema/raw/master/csl-citation.json"} </w:instrText>
      </w:r>
      <w:r w:rsidRPr="00107040">
        <w:rPr>
          <w:rStyle w:val="a7"/>
          <w:sz w:val="28"/>
          <w:szCs w:val="28"/>
          <w:lang w:val="ru-RU"/>
        </w:rPr>
        <w:fldChar w:fldCharType="separate"/>
      </w:r>
      <w:r w:rsidR="008611DC" w:rsidRPr="008611DC">
        <w:rPr>
          <w:sz w:val="28"/>
          <w:lang w:val="ru-RU"/>
        </w:rPr>
        <w:t>[321]</w:t>
      </w:r>
      <w:r w:rsidRPr="00107040">
        <w:rPr>
          <w:rStyle w:val="a7"/>
          <w:sz w:val="28"/>
          <w:szCs w:val="28"/>
          <w:lang w:val="ru-RU"/>
        </w:rPr>
        <w:fldChar w:fldCharType="end"/>
      </w:r>
      <w:r w:rsidRPr="00107040">
        <w:rPr>
          <w:rStyle w:val="a7"/>
          <w:i w:val="0"/>
          <w:sz w:val="28"/>
          <w:szCs w:val="28"/>
          <w:lang w:val="ru-RU"/>
        </w:rPr>
        <w:t xml:space="preserve">. Ингибирование роста двумя белками возвращалась назад добавлением ингибиторов </w:t>
      </w:r>
      <w:r w:rsidRPr="00107040">
        <w:rPr>
          <w:rStyle w:val="a7"/>
          <w:i w:val="0"/>
          <w:sz w:val="28"/>
          <w:szCs w:val="28"/>
        </w:rPr>
        <w:t>PARP</w:t>
      </w:r>
      <w:r w:rsidRPr="00107040">
        <w:rPr>
          <w:rStyle w:val="a7"/>
          <w:i w:val="0"/>
          <w:sz w:val="28"/>
          <w:szCs w:val="28"/>
          <w:lang w:val="ru-RU"/>
        </w:rPr>
        <w:t xml:space="preserve"> 3</w:t>
      </w:r>
      <w:r w:rsidRPr="00107040">
        <w:rPr>
          <w:rStyle w:val="a7"/>
          <w:i w:val="0"/>
          <w:sz w:val="28"/>
          <w:szCs w:val="28"/>
        </w:rPr>
        <w:t>AB</w:t>
      </w:r>
      <w:r w:rsidRPr="00107040">
        <w:rPr>
          <w:rStyle w:val="a7"/>
          <w:i w:val="0"/>
          <w:sz w:val="28"/>
          <w:szCs w:val="28"/>
          <w:lang w:val="ru-RU"/>
        </w:rPr>
        <w:t xml:space="preserve"> и 6-(5</w:t>
      </w:r>
      <w:r w:rsidRPr="00107040">
        <w:rPr>
          <w:rStyle w:val="a7"/>
          <w:i w:val="0"/>
          <w:sz w:val="28"/>
          <w:szCs w:val="28"/>
        </w:rPr>
        <w:t>H</w:t>
      </w:r>
      <w:r w:rsidRPr="00107040">
        <w:rPr>
          <w:rStyle w:val="a7"/>
          <w:i w:val="0"/>
          <w:sz w:val="28"/>
          <w:szCs w:val="28"/>
          <w:lang w:val="ru-RU"/>
        </w:rPr>
        <w:t>)-фенантридинона</w:t>
      </w:r>
      <w:r w:rsidR="00074EEA">
        <w:rPr>
          <w:rStyle w:val="a7"/>
          <w:sz w:val="28"/>
          <w:szCs w:val="28"/>
          <w:lang w:val="ru-RU"/>
        </w:rPr>
        <w:t xml:space="preserve"> </w:t>
      </w:r>
      <w:r w:rsidR="00074EEA">
        <w:rPr>
          <w:rStyle w:val="a7"/>
          <w:sz w:val="28"/>
          <w:szCs w:val="28"/>
          <w:lang w:val="ru-RU"/>
        </w:rPr>
        <w:fldChar w:fldCharType="begin"/>
      </w:r>
      <w:r w:rsidR="008611DC">
        <w:rPr>
          <w:rStyle w:val="a7"/>
          <w:sz w:val="28"/>
          <w:szCs w:val="28"/>
          <w:lang w:val="ru-RU"/>
        </w:rPr>
        <w:instrText xml:space="preserve"> ADDIN ZOTERO_ITEM CSL_CITATION {"citationID":"uF8ZjISk","properties":{"formattedCitation":"[321]","plainCitation":"[321]","noteIndex":0},"citationItems":[{"id":1626,"uris":["http://zotero.org/users/9078202/items/Y66KSECN"],"itemData":{"id":1626,"type":"article-journal","abstract":"Poly(ADP-ribose) polymerases (PARPs) have been implicated in responses of plants to DNA damage and numerous stresses, whereby the mechanistic basis of the interference is often unclear. Therefore, the identification of specific inhibitors and potential interactors of plant PARPs is desirable. For this purpose, we established an assay based on heterologous expression of PARP genes from the model plant Arabidopsis thaliana in yeast. Expression of AtPARPs caused an inhibition of yeast growth to different extent, which was alleviated by inhibitors targeted at human PARPs. This assay provides a fast and simple means to identify target proteins and pharmacological inhibitors of AtPARP1.","container-title":"Analytical Biochemistry","DOI":"10.1016/j.ab.2017.04.002","ISSN":"0003-2697","journalAbbreviation":"Analytical Biochemistry","language":"en","page":"20-23","source":"ScienceDirect","title":"A yeast growth assay to characterize plant poly(ADP-ribose) polymerase (PARP) proteins and inhibitors","URL":"https://www.sciencedirect.com/science/article/pii/S0003269717301604","volume":"527","author":[{"family":"Rissel","given":"Dagmar"},{"family":"Heym","given":"Peter Paul"},{"family":"Peiter","given":"Edgar"}],"accessed":{"date-parts":[["2022",9,6]]},"issued":{"date-parts":[["2017",6,15]]}}}],"schema":"https://github.com/citation-style-language/schema/raw/master/csl-citation.json"} </w:instrText>
      </w:r>
      <w:r w:rsidR="00074EEA">
        <w:rPr>
          <w:rStyle w:val="a7"/>
          <w:sz w:val="28"/>
          <w:szCs w:val="28"/>
          <w:lang w:val="ru-RU"/>
        </w:rPr>
        <w:fldChar w:fldCharType="separate"/>
      </w:r>
      <w:r w:rsidR="008611DC" w:rsidRPr="008611DC">
        <w:rPr>
          <w:sz w:val="28"/>
          <w:lang w:val="ru-RU"/>
        </w:rPr>
        <w:t>[321]</w:t>
      </w:r>
      <w:r w:rsidR="00074EEA">
        <w:rPr>
          <w:rStyle w:val="a7"/>
          <w:sz w:val="28"/>
          <w:szCs w:val="28"/>
          <w:lang w:val="ru-RU"/>
        </w:rPr>
        <w:fldChar w:fldCharType="end"/>
      </w:r>
      <w:r w:rsidRPr="00107040">
        <w:rPr>
          <w:rStyle w:val="a7"/>
          <w:sz w:val="28"/>
          <w:szCs w:val="28"/>
          <w:lang w:val="ru-RU"/>
        </w:rPr>
        <w:t>.</w:t>
      </w:r>
    </w:p>
    <w:p w14:paraId="290F70C3" w14:textId="18F4E1A8"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t xml:space="preserve">Как и </w:t>
      </w:r>
      <w:r w:rsidRPr="00107040">
        <w:rPr>
          <w:sz w:val="28"/>
          <w:szCs w:val="28"/>
        </w:rPr>
        <w:t>AtPARP</w:t>
      </w:r>
      <w:r w:rsidRPr="00107040">
        <w:rPr>
          <w:sz w:val="28"/>
          <w:szCs w:val="28"/>
          <w:lang w:val="ru-RU"/>
        </w:rPr>
        <w:t xml:space="preserve">2, было обнаружено, что </w:t>
      </w:r>
      <w:r w:rsidRPr="00107040">
        <w:rPr>
          <w:sz w:val="28"/>
          <w:szCs w:val="28"/>
        </w:rPr>
        <w:t>AtPARP</w:t>
      </w:r>
      <w:r w:rsidRPr="00107040">
        <w:rPr>
          <w:sz w:val="28"/>
          <w:szCs w:val="28"/>
          <w:lang w:val="ru-RU"/>
        </w:rPr>
        <w:t>1-</w:t>
      </w:r>
      <w:r w:rsidRPr="00107040">
        <w:rPr>
          <w:sz w:val="28"/>
          <w:szCs w:val="28"/>
        </w:rPr>
        <w:t>GFP</w:t>
      </w:r>
      <w:r w:rsidRPr="00107040">
        <w:rPr>
          <w:sz w:val="28"/>
          <w:szCs w:val="28"/>
          <w:lang w:val="ru-RU"/>
        </w:rPr>
        <w:t xml:space="preserve"> локализуется в ядре у </w:t>
      </w:r>
      <w:r w:rsidRPr="00107040">
        <w:rPr>
          <w:i/>
          <w:sz w:val="28"/>
          <w:szCs w:val="28"/>
        </w:rPr>
        <w:t>Nicotiana</w:t>
      </w:r>
      <w:r w:rsidRPr="00107040">
        <w:rPr>
          <w:i/>
          <w:sz w:val="28"/>
          <w:szCs w:val="28"/>
          <w:lang w:val="ru-RU"/>
        </w:rPr>
        <w:t xml:space="preserve"> </w:t>
      </w:r>
      <w:r w:rsidRPr="00107040">
        <w:rPr>
          <w:i/>
          <w:sz w:val="28"/>
          <w:szCs w:val="28"/>
        </w:rPr>
        <w:t>benthamiana</w:t>
      </w:r>
      <w:r w:rsidRPr="00107040">
        <w:rPr>
          <w:sz w:val="28"/>
          <w:szCs w:val="28"/>
          <w:lang w:val="ru-RU"/>
        </w:rPr>
        <w:t xml:space="preserve"> и в культуре суспензии клеток </w:t>
      </w:r>
      <w:r w:rsidRPr="00107040">
        <w:rPr>
          <w:i/>
          <w:sz w:val="28"/>
          <w:szCs w:val="28"/>
        </w:rPr>
        <w:t>Arabidopsis</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{"citationID":"a2efh1d93s0","properties":{"formattedCitation":"[317,318]","plainCitation":"[317,318]","noteIndex":0},"citationItems":[{"id":1603,"uris":["http://zotero.org/users/9078202/items/7ULQ9USS"],"itemData":{"id":1603,"type":"article-journal","abstract":"Poly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F."}],"accessed":{"date-parts":[["2022",9,5]]},"issued":{"date-parts":[["2015",5,7]]}}},{"id":1392,"uris":["http://zotero.org/users/9078202/items/SUTL6GYM"],"itemData":{"id":1392,"type":"article-journal","abstract":"The enzyme poly(ADP-ribose)polymerase (PARP) has a dual function being involved both in the poly(ADP-ribosyl)ation and being a constituent of the NAD+ salvage pathway. To date most studies, both in plant and non-plant systems, have focused on the signaling role of PARP in poly(ADP-ribosyl)ation rather than any role that can be ascribed to its metabolic function. In order to address this question we here used a combination of expression, transcript and protein localization studies of all three PARP isoforms of Arabidopsis alongside physiological analysis of the corresponding mutants. Our analyses indicated that whilst all isoforms of PARP were localized to the nucleus they are also present in non-nuclear locations with parp1 and parp3 also localised in the cytosol, and parp2 also present in the mitochondria. We next isolated and characterized insertional knockout mutants of all three isoforms confirming a complete knockout in the full length transcript levels of the target genes as well as a reduced total leaf NAD hydrolase activity in the two isoforms (PARP1, PARP2) that are highly expressed in leaves. Physiological evaluation of the mutant lines revealed that they displayed distinctive metabolic and root growth characteristics albeit unaltered leaf morphology under optimal growth conditions. We therefore conclude that the PARP isoforms play non-redundant non-nuclear metabolic roles and that their function is highly important in rapidly growing tissues such as the shoot apical meristem, roots and seeds.","container-title":"Plant Molecular Biology","DOI":"10.1007/s11103-015-0363-5","ISSN":"0167-4412","issue":"4-5","journalAbbreviation":"Plant Mol Biol","note":"PMID: 26428915\nPMCID: PMC4631723","page":"319-338","source":"PubMed Central","title":"Analysis of knockout mutants reveals non-redundant functions of poly(ADP-ribose)polymerase isoforms in Arabidopsis","URL":"https://www.ncbi.nlm.nih.gov/pmc/articles/PMC4631723/","volume":"89","author":[{"family":"Pham","given":"Phuong Anh"},{"family":"Wahl","given":"Vanessa"},{"family":"Tohge","given":"Takayuki"},{"family":"Souza","given":"Laise Rosado","non-dropping-particle":"de"},{"family":"Zhang","given":"Youjun"},{"family":"Do","given":"Phuc Thi"},{"family":"Olas","given":"Justyna J."},{"family":"Stitt","given":"Mark"},{"family":"Araújo","given":"Wagner L."},{"family":"Fernie","given":"Alisdair R."}],"accessed":{"date-parts":[["2022",5,23]]},"issued":{"date-parts":[["2015"]]}}}],"schema":"https://github.com/citation-style-language/schema/raw/master/csl-citation.json"} </w:instrText>
      </w:r>
      <w:r w:rsidRPr="00107040">
        <w:rPr>
          <w:sz w:val="28"/>
          <w:szCs w:val="28"/>
          <w:lang w:val="ru-RU"/>
        </w:rPr>
        <w:fldChar w:fldCharType="separate"/>
      </w:r>
      <w:r w:rsidR="008611DC" w:rsidRPr="008611DC">
        <w:rPr>
          <w:sz w:val="28"/>
          <w:lang w:val="ru-RU"/>
        </w:rPr>
        <w:t>[317,318]</w:t>
      </w:r>
      <w:r w:rsidRPr="00107040">
        <w:rPr>
          <w:sz w:val="28"/>
          <w:szCs w:val="28"/>
          <w:lang w:val="ru-RU"/>
        </w:rPr>
        <w:fldChar w:fldCharType="end"/>
      </w:r>
      <w:r w:rsidRPr="00107040">
        <w:rPr>
          <w:sz w:val="28"/>
          <w:szCs w:val="28"/>
          <w:lang w:val="ru-RU"/>
        </w:rPr>
        <w:t xml:space="preserve">. Кроме того, </w:t>
      </w:r>
      <w:r w:rsidRPr="00107040">
        <w:rPr>
          <w:sz w:val="28"/>
          <w:szCs w:val="28"/>
        </w:rPr>
        <w:t>PARP</w:t>
      </w:r>
      <w:r w:rsidRPr="00107040">
        <w:rPr>
          <w:sz w:val="28"/>
          <w:szCs w:val="28"/>
          <w:lang w:val="ru-RU"/>
        </w:rPr>
        <w:t>1-</w:t>
      </w:r>
      <w:r w:rsidRPr="00107040">
        <w:rPr>
          <w:sz w:val="28"/>
          <w:szCs w:val="28"/>
        </w:rPr>
        <w:t>GFP</w:t>
      </w:r>
      <w:r w:rsidRPr="00107040">
        <w:rPr>
          <w:sz w:val="28"/>
          <w:szCs w:val="28"/>
          <w:lang w:val="ru-RU"/>
        </w:rPr>
        <w:t xml:space="preserve"> был обнаружен в хлоропластах и митохондриях при экспрессии в протопластах </w:t>
      </w:r>
      <w:r w:rsidRPr="00107040">
        <w:rPr>
          <w:i/>
          <w:sz w:val="28"/>
          <w:szCs w:val="28"/>
        </w:rPr>
        <w:t>Arabidopsis</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{"citationID":"a2bcvrd0c1p","properties":{"formattedCitation":"[318]","plainCitation":"[318]","noteIndex":0},"citationItems":[{"id":1392,"uris":["http://zotero.org/users/9078202/items/SUTL6GYM"],"itemData":{"id":1392,"type":"article-journal","abstract":"The enzyme poly(ADP-ribose)polymerase (PARP) has a dual function being involved both in the poly(ADP-ribosyl)ation and being a constituent of the NAD+ salvage pathway. To date most studies, both in plant and non-plant systems, have focused on the signaling role of PARP in poly(ADP-ribosyl)ation rather than any role that can be ascribed to its metabolic function. In order to address this question we here used a combination of expression, transcript and protein localization studies of all three PARP isoforms of Arabidopsis alongside physiological analysis of the corresponding mutants. Our analyses indicated that whilst all isoforms of PARP were localized to the nucleus they are also present in non-nuclear locations with parp1 and parp3 also localised in the cytosol, and parp2 also present in the mitochondria. We next isolated and characterized insertional knockout mutants of all three isoforms confirming a complete knockout in the full length transcript levels of the target genes as well as a reduced total leaf NAD hydrolase activity in the two isoforms (PARP1, PARP2) that are highly expressed in leaves. Physiological evaluation of the mutant lines revealed that they displayed distinctive metabolic and root growth characteristics albeit unaltered leaf morphology under optimal growth conditions. We therefore conclude that the PARP isoforms play non-redundant non-nuclear metabolic roles and that their function is highly important in rapidly growing tissues such as the shoot apical meristem, roots and seeds.","container-title":"Plant Molecular Biology","DOI":"10.1007/s11103-015-0363-5","ISSN":"0167-4412","issue":"4-5","journalAbbreviation":"Plant Mol Biol","note":"PMID: 26428915\nPMCID: PMC4631723","page":"319-338","source":"PubMed Central","title":"Analysis of knockout mutants reveals non-redundant functions of poly(ADP-ribose)polymerase isoforms in Arabidopsis","URL":"https://www.ncbi.nlm.nih.gov/pmc/articles/PMC4631723/","volume":"89","author":[{"family":"Pham","given":"Phuong Anh"},{"family":"Wahl","given":"Vanessa"},{"family":"Tohge","given":"Takayuki"},{"family":"Souza","given":"Laise Rosado","non-dropping-particle":"de"},{"family":"Zhang","given":"Youjun"},{"family":"Do","given":"Phuc Thi"},{"family":"Olas","given":"Justyna J."},{"family":"Stitt","given":"Mark"},{"family":"Araújo","given":"Wagner L."},{"family":"Fernie","given":"Alisdair R."}],"accessed":{"date-parts":[["2022",5,23]]},"issued":{"date-parts":[["2015"]]}}}],"schema":"https://github.com/citation-style-language/schema/raw/master/csl-citation.json"} </w:instrText>
      </w:r>
      <w:r w:rsidRPr="00107040">
        <w:rPr>
          <w:sz w:val="28"/>
          <w:szCs w:val="28"/>
          <w:lang w:val="ru-RU"/>
        </w:rPr>
        <w:fldChar w:fldCharType="separate"/>
      </w:r>
      <w:r w:rsidR="008611DC" w:rsidRPr="008611DC">
        <w:rPr>
          <w:sz w:val="28"/>
          <w:lang w:val="ru-RU"/>
        </w:rPr>
        <w:t>[318]</w:t>
      </w:r>
      <w:r w:rsidRPr="00107040">
        <w:rPr>
          <w:sz w:val="28"/>
          <w:szCs w:val="28"/>
          <w:lang w:val="ru-RU"/>
        </w:rPr>
        <w:fldChar w:fldCharType="end"/>
      </w:r>
      <w:r w:rsidRPr="00107040">
        <w:rPr>
          <w:sz w:val="28"/>
          <w:szCs w:val="28"/>
          <w:lang w:val="ru-RU"/>
        </w:rPr>
        <w:t xml:space="preserve">. Слияние предполагаемого промотора </w:t>
      </w:r>
      <w:r w:rsidRPr="00107040">
        <w:rPr>
          <w:sz w:val="28"/>
          <w:szCs w:val="28"/>
        </w:rPr>
        <w:t>AtPARP</w:t>
      </w:r>
      <w:r w:rsidRPr="00107040">
        <w:rPr>
          <w:sz w:val="28"/>
          <w:szCs w:val="28"/>
          <w:lang w:val="ru-RU"/>
        </w:rPr>
        <w:t xml:space="preserve">1 с </w:t>
      </w:r>
      <w:r w:rsidRPr="00107040">
        <w:rPr>
          <w:sz w:val="28"/>
          <w:szCs w:val="28"/>
        </w:rPr>
        <w:t>GUS</w:t>
      </w:r>
      <w:r w:rsidRPr="00107040">
        <w:rPr>
          <w:sz w:val="28"/>
          <w:szCs w:val="28"/>
          <w:lang w:val="ru-RU"/>
        </w:rPr>
        <w:t xml:space="preserve"> и гибридизационным анализом РНК выявило экспрессию </w:t>
      </w:r>
      <w:r w:rsidRPr="00107040">
        <w:rPr>
          <w:sz w:val="28"/>
          <w:szCs w:val="28"/>
        </w:rPr>
        <w:t>AtPARP</w:t>
      </w:r>
      <w:r w:rsidRPr="00107040">
        <w:rPr>
          <w:sz w:val="28"/>
          <w:szCs w:val="28"/>
          <w:lang w:val="ru-RU"/>
        </w:rPr>
        <w:t xml:space="preserve">1 в корнях, верхушках соцветий, вегетативной меристеме и на поздних стадиях развития зародыша </w:t>
      </w:r>
      <w:r w:rsidRPr="00107040">
        <w:rPr>
          <w:sz w:val="28"/>
          <w:szCs w:val="28"/>
          <w:lang w:val="ru-RU"/>
        </w:rPr>
        <w:fldChar w:fldCharType="begin"/>
      </w:r>
      <w:r w:rsidR="008611DC">
        <w:rPr>
          <w:sz w:val="28"/>
          <w:szCs w:val="28"/>
          <w:lang w:val="ru-RU"/>
        </w:rPr>
        <w:instrText xml:space="preserve"> ADDIN ZOTERO_ITEM CSL_CITATION {"citationID":"auji2bnqbh","properties":{"formattedCitation":"[318]","plainCitation":"[318]","noteIndex":0},"citationItems":[{"id":1392,"uris":["http://zotero.org/users/9078202/items/SUTL6GYM"],"itemData":{"id":1392,"type":"article-journal","abstract":"The enzyme poly(ADP-ribose)polymerase (PARP) has a dual function being involved both in the poly(ADP-ribosyl)ation and being a constituent of the NAD+ salvage pathway. To date most studies, both in plant and non-plant systems, have focused on the signaling role of PARP in poly(ADP-ribosyl)ation rather than any role that can be ascribed to its metabolic function. In order to address this question we here used a combination of expression, transcript and protein localization studies of all three PARP isoforms of Arabidopsis alongside physiological analysis of the corresponding mutants. Our analyses indicated that whilst all isoforms of PARP were localized to the nucleus they are also present in non-nuclear locations with parp1 and parp3 also localised in the cytosol, and parp2 also present in the mitochondria. We next isolated and characterized insertional knockout mutants of all three isoforms confirming a complete knockout in the full length transcript levels of the target genes as well as a reduced total leaf NAD hydrolase activity in the two isoforms (PARP1, PARP2) that are highly expressed in leaves. Physiological evaluation of the mutant lines revealed that they displayed distinctive metabolic and root growth characteristics albeit unaltered leaf morphology under optimal growth conditions. We therefore conclude that the PARP isoforms play non-redundant non-nuclear metabolic roles and that their function is highly important in rapidly growing tissues such as the shoot apical meristem, roots and seeds.","container-title":"Plant Molecular Biology","DOI":"10.1007/s11103-015-0363-5","ISSN":"0167-4412","issue":"4-5","journalAbbreviation":"Plant Mol Biol","note":"PMID: 26428915\nPMCID: PMC4631723","page":"319-338","source":"PubMed Central","title":"Analysis of knockout mutants reveals non-redundant functions of poly(ADP-ribose)polymerase isoforms in Arabidopsis","URL":"https://www.ncbi.nlm.nih.gov/pmc/articles/PMC4631723/","volume":"89","author":[{"family":"Pham","given":"Phuong Anh"},{"family":"Wahl","given":"Vanessa"},{"family":"Tohge","given":"Takayuki"},{"family":"Souza","given":"Laise Rosado","non-dropping-particle":"de"},{"family":"Zhang","given":"Youjun"},{"family":"Do","given":"Phuc Thi"},{"family":"Olas","given":"Justyna J."},{"family":"Stitt","given":"Mark"},{"family":"Araújo","given":"Wagner L."},{"family":"Fernie","given":"Alisdair R."}],"accessed":{"date-parts":[["2022",5,23]]},"issued":{"date-parts":[["2015"]]}}}],"schema":"https://github.com/citation-style-language/schema/raw/master/csl-citation.json"} </w:instrText>
      </w:r>
      <w:r w:rsidRPr="00107040">
        <w:rPr>
          <w:sz w:val="28"/>
          <w:szCs w:val="28"/>
          <w:lang w:val="ru-RU"/>
        </w:rPr>
        <w:fldChar w:fldCharType="separate"/>
      </w:r>
      <w:r w:rsidR="008611DC" w:rsidRPr="008611DC">
        <w:rPr>
          <w:sz w:val="28"/>
          <w:lang w:val="ru-RU"/>
        </w:rPr>
        <w:t>[318]</w:t>
      </w:r>
      <w:r w:rsidRPr="00107040">
        <w:rPr>
          <w:sz w:val="28"/>
          <w:szCs w:val="28"/>
          <w:lang w:val="ru-RU"/>
        </w:rPr>
        <w:fldChar w:fldCharType="end"/>
      </w:r>
      <w:r w:rsidRPr="00107040">
        <w:rPr>
          <w:sz w:val="28"/>
          <w:szCs w:val="28"/>
          <w:lang w:val="ru-RU"/>
        </w:rPr>
        <w:t xml:space="preserve">. </w:t>
      </w:r>
    </w:p>
    <w:p w14:paraId="5065B6B1" w14:textId="23416DB6"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t xml:space="preserve">Пока меньше известно об </w:t>
      </w:r>
      <w:r w:rsidRPr="00107040">
        <w:rPr>
          <w:sz w:val="28"/>
          <w:szCs w:val="28"/>
        </w:rPr>
        <w:t>AtPARP</w:t>
      </w:r>
      <w:r w:rsidRPr="00107040">
        <w:rPr>
          <w:sz w:val="28"/>
          <w:szCs w:val="28"/>
          <w:lang w:val="ru-RU"/>
        </w:rPr>
        <w:t>3 (</w:t>
      </w:r>
      <w:r w:rsidRPr="00107040">
        <w:rPr>
          <w:sz w:val="28"/>
          <w:szCs w:val="28"/>
        </w:rPr>
        <w:t>At</w:t>
      </w:r>
      <w:r w:rsidRPr="00107040">
        <w:rPr>
          <w:sz w:val="28"/>
          <w:szCs w:val="28"/>
          <w:lang w:val="ru-RU"/>
        </w:rPr>
        <w:t>5</w:t>
      </w:r>
      <w:r w:rsidRPr="00107040">
        <w:rPr>
          <w:sz w:val="28"/>
          <w:szCs w:val="28"/>
        </w:rPr>
        <w:t>g</w:t>
      </w:r>
      <w:r w:rsidRPr="00107040">
        <w:rPr>
          <w:sz w:val="28"/>
          <w:szCs w:val="28"/>
          <w:lang w:val="ru-RU"/>
        </w:rPr>
        <w:t xml:space="preserve">22470), впервые идентифицированном при анализе генома арабидопсиса. В основном он экспрессировался в семенах, а также в проростках и корнях взрослых растений </w:t>
      </w:r>
      <w:r w:rsidRPr="00107040">
        <w:rPr>
          <w:sz w:val="28"/>
          <w:szCs w:val="28"/>
          <w:lang w:val="ru-RU"/>
        </w:rPr>
        <w:lastRenderedPageBreak/>
        <w:fldChar w:fldCharType="begin"/>
      </w:r>
      <w:r w:rsidR="00FB5E68">
        <w:rPr>
          <w:sz w:val="28"/>
          <w:szCs w:val="28"/>
          <w:lang w:val="ru-RU"/>
        </w:rPr>
        <w:instrText xml:space="preserve"> ADDIN ZOTERO_ITEM CSL_CITATION {"citationID":"a269uaa3sjh","properties":{"formattedCitation":"[318,322\\uc0\\u8211{}324]","plainCitation":"[318,322–324]","noteIndex":0},"citationItems":[{"id":1392,"uris":["http://zotero.org/users/9078202/items/SUTL6GYM"],"itemData":{"id":1392,"type":"article-journal","abstract":"The enzyme poly(ADP-ribose)polymerase (PARP) has a dual function being involved both in the poly(ADP-ribosyl)ation and being a constituent of the NAD+ salvage pathway. To date most studies, both in plant and non-plant systems, have focused on the signaling role of PARP in poly(ADP-ribosyl)ation rather than any role that can be ascribed to its metabolic function. In order to address this question we here used a combination of expression, transcript and protein localization studies of all three PARP isoforms of Arabidopsis alongside physiological analysis of the corresponding mutants. Our analyses indicated that whilst all isoforms of PARP were localized to the nucleus they are also present in non-nuclear locations with parp1 and parp3 also localised in the cytosol, and parp2 also present in the mitochondria. We next isolated and characterized insertional knockout mutants of all three isoforms confirming a complete knockout in the full length transcript levels of the target genes as well as a reduced total leaf NAD hydrolase activity in the two isoforms (PARP1, PARP2) that are highly expressed in leaves. Physiological evaluation of the mutant lines revealed that they displayed distinctive metabolic and root growth characteristics albeit unaltered leaf morphology under optimal growth conditions. We therefore conclude that the PARP isoforms play non-redundant non-nuclear metabolic roles and that their function is highly important in rapidly growing tissues such as the shoot apical meristem, roots and seeds.","container-title":"Plant Molecular Biology","DOI":"10.1007/s11103-015-0363-5","ISSN":"0167-4412","issue":"4-5","journalAbbreviation":"Plant Mol Biol","note":"PMID: 26428915\nPMCID: PMC4631723","page":"319-338","source":"PubMed Central","title":"Analysis of knockout mutants reveals non-redundant functions of poly(ADP-ribose)polymerase isoforms in Arabidopsis","URL":"https://www.ncbi.nlm.nih.gov/pmc/articles/PMC4631723/","volume":"89","author":[{"family":"Pham","given":"Phuong Anh"},{"family":"Wahl","given":"Vanessa"},{"family":"Tohge","given":"Takayuki"},{"family":"Souza","given":"Laise Rosado","non-dropping-particle":"de"},{"family":"Zhang","given":"Youjun"},{"family":"Do","given":"Phuc Thi"},{"family":"Olas","given":"Justyna J."},{"family":"Stitt","given":"Mark"},{"family":"Araújo","given":"Wagner L."},{"family":"Fernie","given":"Alisdair R."}],"accessed":{"date-parts":[["2022",5,23]]},"issued":{"date-parts":[["2015"]]}}},{"id":"MPjqK5ng/v6qLSWfx","uris":["http://zotero.org/users/9078202/items/PX5WSTDM"],"itemData":{"id":251,"type":"article-journal","abstract":"Perception of microbe-associated molecular patterns (MAMPs) elicits transcriptional reprogramming in hosts and activates defense to pathogen attacks. The molecular mechanisms underlying plant pattern-triggered immunity remain elusive. A genetic screen identified Arabidopsis poly(ADP-ribose) glycohydrolase 1 (atparg1) mutant with elevated immune gene expression upon multiple MAMP and pathogen treatments. Poly(ADP-ribose) glycohydrolase (PARG) is predicted to remove poly(ADP-ribose) polymers on acceptor proteins modified by poly(ADP-ribose) polymerases (PARPs) with three PARPs and two PARGs in Arabidopsis genome. AtPARP1 and AtPARP2 possess poly(ADP-ribose) polymerase activity, and the activity of AtPARP2 was enhanced by MAMP treatment. AtPARG1, but not AtPARG2, carries glycohydrolase activity in vivo and in vitro. Importantly, mutation (G450R) in atparg1 blocks its activity and the corresponding residue is highly conserved and essential for human HsPARG activity. Consistently, mutant atparp1atparp2 plants exhibited compromised immune gene activation and enhanced susceptibility to pathogen infections. Our study indicates that protein poly(ADP-ribosyl)ation plays critical roles in plant immune gene expression and defense to pathogen attacks.","container-title":"PLOS Genetics","DOI":"10.1371/journal.pgen.1004936","ISSN":"1553-7404","issue":"1","journalAbbreviation":"PLOS Genetics","language":"en","note":"publisher: Public Library of Science","page":"e1004936","source":"PLoS Journals","title":"Protein Poly(ADP-ribosyl)ation Regulates Arabidopsis Immune Gene Expression and Defense Responses","URL":"https://journals.plos.org/plosgenetics/article?id=10.1371/journal.pgen.1004936","volume":"11","author":[{"family":"Feng","given":"Baomin"},{"family":"Liu","given":"Chenglong"},{"family":"Oliveira","given":"Marcos V. V.","dropping-particle":"de"},{"family":"Intorne","given":"Aline C."},{"family":"Li","given":"Bo"},{"family":"Babilonia","given":"Kevin"},{"family":"Filho","given":"Gonçalo A. de Souza"},{"family":"Shan","given":"Libo"},{"family":"He","given":"Ping"}],"accessed":{"date-parts":[["2022",4,11]]},"issued":{"date-parts":[["2015",1,8]]}}},{"id":1618,"uris":["http://zotero.org/users/9078202/items/EPK4I4YY"],"itemData":{"id":1618,"type":"article-journal","abstract":"The pyridine nucleotides, NAD+, NADH, NADP+, and NADPH have long-established and well-characterised roles as redox factors in processes such as oxidative phosphorylation, the TCA cycle, and as electron acceptors in photosynthesis. Recent years have seen an increase in the number of signalling and gene regulatory processes where NAD+ or NADP+ are metabolised. Cyclic ADP-ribose (cADPR) and nicotinic acid adenine dinucleotide phosphate (NAADP) are metabolites of NAD+ and NADP+, respectively, and now have widely accepted roles as potent intracellular calcium releasing agents in animals, but are less well characterised in plants. NAD kinases catalyse the transfer of a phosphate group from ATP to NAD to form NADP and are well characterised in plants in their requirement for the calcium binding protein calmodulin, thereby putatively linking their regulation to stress-induced intracellular calcium release. A second group of proteins unrelated to those above, the sirtuins (Sir2) and poly ADP-ribose polymerases (PARPs), cleave NAD and transfer the ADP-ribose group to acetyl groups and proteins, respectively. These have roles in transcriptional control and DNA repair in eukaryotes. Contents Summary I. Introduction 32 II. NAD synthesis and breakdown 32 III. cADPR in plants 34 IV. NAADP in plants 35 V. NAD kinases 35 VI. NAD and gene regulation 37 VII. Sir2 is an NAD dependant histone deacetylase 37 VIII. Nicotinamidases 38 IX. Poly ADP-ribosylation 39 X. Poly(ADP-ribose) glycohydrolase (PARG) 40 XI. Subcellular compartmentation of NAD and NADP in plants 41 XII. Conclusions 41 Acknowledgements 41 References 41","container-title":"New Phytologist","DOI":"10.1111/j.1469-8137.2004.01087.x","ISSN":"1469-8137","issue":"1","language":"en","note":"_eprint: https://onlinelibrary.wiley.com/doi/pdf/10.1111/j.1469-8137.2004.01087.x","page":"31-44","source":"Wiley Online Library","title":"NAD – new roles in signalling and gene regulation in plants","URL":"https://onlinelibrary.wiley.com/doi/abs/10.1111/j.1469-8137.2004.01087.x","volume":"163","author":[{"family":"Hunt","given":"Lee"},{"family":"Lerner","given":"Felicitas"},{"family":"Ziegler","given":"Mathias"}],"accessed":{"date-parts":[["2022",9,6]]},"issued":{"date-parts":[["2004"]]}}},{"id":"MPjqK5ng/9HXO2hDs","uris":["http://zotero.org/users/9078202/items/NYAP7I89"],"itemData":{"id":258,"type":"article-journal","abstract":"The deterioration of seeds during prolonged storage results in a reduction of viability and germination rate. DNA damage is one of the major cellular defects associated with seed deterioration. It is provoked by the formation of reactive oxygen species (ROS) even in the quiescent state of the desiccated seed. In contrast to other stages of seed life, DNA repair during storage is hindered through the low seed water content; thereby DNA lesions can accumulate. To allow subsequent seedling development, DNA repair has thus to be initiated immediately upon imbibition. Poly(ADP-ribose) polymerases (PARPs) are important components in the DNA damage response in humans. Arabidopsis thaliana contains three homologues to the human HsPARP1 protein. Of these three, only AtPARP3 was very highly expressed in seeds. Histochemical GUS staining of embryos and endosperm layers revealed strong promoter activity of AtPARP3 during all steps of germination. This coincided with high ROS activity and indicated a role of the nuclear-localised AtPARP3 in DNA repair during germination. Accordingly, stored parp3-1 mutant seeds lacking AtPARP3 expression displayed a delay in germination as compared to Col-0 wild-type seeds. A controlled deterioration test showed that the mutant seeds were hypersensitive to unfavourable storage conditions. The results demonstrate that AtPARP3 is an important component of seed storability and viability.","container-title":"Plant Biology (Stuttgart, Germany)","DOI":"10.1111/plb.12167","ISSN":"1438-8677","issue":"6","journalAbbreviation":"Plant Biol (Stuttg)","language":"eng","note":"PMID: 24533577","page":"1058-1064","source":"PubMed","title":"The nuclear protein Poly(ADP-ribose) polymerase 3 (AtPARP3) is required for seed storability in Arabidopsis thaliana","volume":"16","author":[{"family":"Rissel","given":"D."},{"family":"Losch","given":"J."},{"family":"Peiter","given":"E."}],"issued":{"date-parts":[["2014",11]]}}}],"schema":"https://github.com/citation-style-language/schema/raw/master/csl-citation.json"} </w:instrText>
      </w:r>
      <w:r w:rsidRPr="00107040">
        <w:rPr>
          <w:sz w:val="28"/>
          <w:szCs w:val="28"/>
          <w:lang w:val="ru-RU"/>
        </w:rPr>
        <w:fldChar w:fldCharType="separate"/>
      </w:r>
      <w:r w:rsidR="008611DC" w:rsidRPr="00FB5E68">
        <w:rPr>
          <w:sz w:val="28"/>
          <w:lang w:val="ru-RU"/>
        </w:rPr>
        <w:t>[318,322–324]</w:t>
      </w:r>
      <w:r w:rsidRPr="00107040">
        <w:rPr>
          <w:sz w:val="28"/>
          <w:szCs w:val="28"/>
          <w:lang w:val="ru-RU"/>
        </w:rPr>
        <w:fldChar w:fldCharType="end"/>
      </w:r>
      <w:r w:rsidRPr="00107040">
        <w:rPr>
          <w:sz w:val="28"/>
          <w:szCs w:val="28"/>
          <w:lang w:val="ru-RU"/>
        </w:rPr>
        <w:t xml:space="preserve">. Кроме того, экспрессия </w:t>
      </w:r>
      <w:r w:rsidRPr="00107040">
        <w:rPr>
          <w:sz w:val="28"/>
          <w:szCs w:val="28"/>
        </w:rPr>
        <w:t>AtPARP</w:t>
      </w:r>
      <w:r w:rsidRPr="00107040">
        <w:rPr>
          <w:sz w:val="28"/>
          <w:szCs w:val="28"/>
          <w:lang w:val="ru-RU"/>
        </w:rPr>
        <w:t xml:space="preserve">3 сильно индуцировалась (хотя и на низком абсолютном уровне) в листьях сильным абиотическим стрессом в виде параквата, </w:t>
      </w:r>
      <w:r w:rsidRPr="00107040">
        <w:rPr>
          <w:sz w:val="28"/>
          <w:szCs w:val="28"/>
        </w:rPr>
        <w:t>NaCl</w:t>
      </w:r>
      <w:r w:rsidRPr="00107040">
        <w:rPr>
          <w:sz w:val="28"/>
          <w:szCs w:val="28"/>
          <w:lang w:val="ru-RU"/>
        </w:rPr>
        <w:t xml:space="preserve">, яркого света или высушивания </w:t>
      </w:r>
      <w:r w:rsidRPr="00107040">
        <w:rPr>
          <w:sz w:val="28"/>
          <w:szCs w:val="28"/>
          <w:lang w:val="ru-RU"/>
        </w:rPr>
        <w:fldChar w:fldCharType="begin"/>
      </w:r>
      <w:r w:rsidR="008611DC">
        <w:rPr>
          <w:sz w:val="28"/>
          <w:szCs w:val="28"/>
          <w:lang w:val="ru-RU"/>
        </w:rPr>
        <w:instrText xml:space="preserve"> ADDIN ZOTERO_ITEM CSL_CITATION {"citationID":"a1vb6k76585","properties":{"formattedCitation":"[325]","plainCitation":"[325]","noteIndex":0},"citationItems":[{"id":243,"uris":["http://zotero.org/users/9078202/items/KQBUK5IH"],"itemData":{"id":243,"type":"article-journal","container-title":"The Plant Journal","DOI":"10.1111/j.1365-313X.2008.03686.x","ISSN":"09607412, 1365313X","issue":"2","language":"en","page":"289-301","source":"DOI.org (Crossref)","title":"Overexpression of an ADP-ribose pyrophosphatase, &lt;i&gt;AtNUDX2&lt;/i&gt; , confers enhanced tolerance to oxidative stress in Arabidopsis plants","URL":"https://onlinelibrary.wiley.com/doi/10.1111/j.1365-313X.2008.03686.x","volume":"57","author":[{"family":"Ogawa","given":"Takahisa"},{"family":"Ishikawa","given":"Kazuya"},{"family":"Harada","given":"Kazuo"},{"family":"Fukusaki","given":"Eiichiro"},{"family":"Yoshimura","given":"Kazuya"},{"family":"Shigeoka","given":"Shigeru"}],"accessed":{"date-parts":[["2022",4,11]]},"issued":{"date-parts":[["2009",1]]}}}],"schema":"https://github.com/citation-style-language/schema/raw/master/csl-citation.json"} </w:instrText>
      </w:r>
      <w:r w:rsidRPr="00107040">
        <w:rPr>
          <w:sz w:val="28"/>
          <w:szCs w:val="28"/>
          <w:lang w:val="ru-RU"/>
        </w:rPr>
        <w:fldChar w:fldCharType="separate"/>
      </w:r>
      <w:r w:rsidR="008611DC" w:rsidRPr="008611DC">
        <w:rPr>
          <w:sz w:val="28"/>
          <w:lang w:val="ru-RU"/>
        </w:rPr>
        <w:t>[325]</w:t>
      </w:r>
      <w:r w:rsidRPr="00107040">
        <w:rPr>
          <w:sz w:val="28"/>
          <w:szCs w:val="28"/>
          <w:lang w:val="ru-RU"/>
        </w:rPr>
        <w:fldChar w:fldCharType="end"/>
      </w:r>
      <w:r w:rsidRPr="00107040">
        <w:rPr>
          <w:sz w:val="28"/>
          <w:szCs w:val="28"/>
          <w:lang w:val="ru-RU"/>
        </w:rPr>
        <w:t xml:space="preserve">. Слияния </w:t>
      </w:r>
      <w:r w:rsidRPr="00107040">
        <w:rPr>
          <w:sz w:val="28"/>
          <w:szCs w:val="28"/>
        </w:rPr>
        <w:t>PARP</w:t>
      </w:r>
      <w:r w:rsidRPr="00107040">
        <w:rPr>
          <w:sz w:val="28"/>
          <w:szCs w:val="28"/>
          <w:lang w:val="ru-RU"/>
        </w:rPr>
        <w:t>3-</w:t>
      </w:r>
      <w:r w:rsidRPr="00107040">
        <w:rPr>
          <w:sz w:val="28"/>
          <w:szCs w:val="28"/>
        </w:rPr>
        <w:t>GFP</w:t>
      </w:r>
      <w:r w:rsidRPr="00107040">
        <w:rPr>
          <w:sz w:val="28"/>
          <w:szCs w:val="28"/>
          <w:lang w:val="ru-RU"/>
        </w:rPr>
        <w:t xml:space="preserve"> локализованы в ядре </w:t>
      </w:r>
      <w:r w:rsidRPr="00107040">
        <w:rPr>
          <w:sz w:val="28"/>
          <w:szCs w:val="28"/>
          <w:lang w:val="ru-RU"/>
        </w:rPr>
        <w:fldChar w:fldCharType="begin"/>
      </w:r>
      <w:r w:rsidR="00FB5E68">
        <w:rPr>
          <w:sz w:val="28"/>
          <w:szCs w:val="28"/>
          <w:lang w:val="ru-RU"/>
        </w:rPr>
        <w:instrText xml:space="preserve"> ADDIN ZOTERO_ITEM CSL_CITATION {"citationID":"a1o0faar57v","properties":{"formattedCitation":"[318,324]","plainCitation":"[318,324]","noteIndex":0},"citationItems":[{"id":"MPjqK5ng/9HXO2hDs","uris":["http://zotero.org/users/9078202/items/NYAP7I89"],"itemData":{"id":258,"type":"article-journal","abstract":"The deterioration of seeds during prolonged storage results in a reduction of viability and germination rate. DNA damage is one of the major cellular defects associated with seed deterioration. It is provoked by the formation of reactive oxygen species (ROS) even in the quiescent state of the desiccated seed. In contrast to other stages of seed life, DNA repair during storage is hindered through the low seed water content; thereby DNA lesions can accumulate. To allow subsequent seedling development, DNA repair has thus to be initiated immediately upon imbibition. Poly(ADP-ribose) polymerases (PARPs) are important components in the DNA damage response in humans. Arabidopsis thaliana contains three homologues to the human HsPARP1 protein. Of these three, only AtPARP3 was very highly expressed in seeds. Histochemical GUS staining of embryos and endosperm layers revealed strong promoter activity of AtPARP3 during all steps of germination. This coincided with high ROS activity and indicated a role of the nuclear-localised AtPARP3 in DNA repair during germination. Accordingly, stored parp3-1 mutant seeds lacking AtPARP3 expression displayed a delay in germination as compared to Col-0 wild-type seeds. A controlled deterioration test showed that the mutant seeds were hypersensitive to unfavourable storage conditions. The results demonstrate that AtPARP3 is an important component of seed storability and viability.","container-title":"Plant Biology (Stuttgart, Germany)","DOI":"10.1111/plb.12167","ISSN":"1438-8677","issue":"6","journalAbbreviation":"Plant Biol (Stuttg)","language":"eng","note":"PMID: 24533577","page":"1058-1064","source":"PubMed","title":"The nuclear protein Poly(ADP-ribose) polymerase 3 (AtPARP3) is required for seed storability in Arabidopsis thaliana","volume":"16","author":[{"family":"Rissel","given":"D."},{"family":"Losch","given":"J."},{"family":"Peiter","given":"E."}],"issued":{"date-parts":[["2014",11]]}}},{"id":1392,"uris":["http://zotero.org/users/9078202/items/SUTL6GYM"],"itemData":{"id":1392,"type":"article-journal","abstract":"The enzyme poly(ADP-ribose)polymerase (PARP) has a dual function being involved both in the poly(ADP-ribosyl)ation and being a constituent of the NAD+ salvage pathway. To date most studies, both in plant and non-plant systems, have focused on the signaling role of PARP in poly(ADP-ribosyl)ation rather than any role that can be ascribed to its metabolic function. In order to address this question we here used a combination of expression, transcript and protein localization studies of all three PARP isoforms of Arabidopsis alongside physiological analysis of the corresponding mutants. Our analyses indicated that whilst all isoforms of PARP were localized to the nucleus they are also present in non-nuclear locations with parp1 and parp3 also localised in the cytosol, and parp2 also present in the mitochondria. We next isolated and characterized insertional knockout mutants of all three isoforms confirming a complete knockout in the full length transcript levels of the target genes as well as a reduced total leaf NAD hydrolase activity in the two isoforms (PARP1, PARP2) that are highly expressed in leaves. Physiological evaluation of the mutant lines revealed that they displayed distinctive metabolic and root growth characteristics albeit unaltered leaf morphology under optimal growth conditions. We therefore conclude that the PARP isoforms play non-redundant non-nuclear metabolic roles and that their function is highly important in rapidly growing tissues such as the shoot apical meristem, roots and seeds.","container-title":"Plant Molecular Biology","DOI":"10.1007/s11103-015-0363-5","ISSN":"0167-4412","issue":"4-5","journalAbbreviation":"Plant Mol Biol","note":"PMID: 26428915\nPMCID: PMC4631723","page":"319-338","source":"PubMed Central","title":"Analysis of knockout mutants reveals non-redundant functions of poly(ADP-ribose)polymerase isoforms in Arabidopsis","URL":"https://www.ncbi.nlm.nih.gov/pmc/articles/PMC4631723/","volume":"89","author":[{"family":"Pham","given":"Phuong Anh"},{"family":"Wahl","given":"Vanessa"},{"family":"Tohge","given":"Takayuki"},{"family":"Souza","given":"Laise Rosado","non-dropping-particle":"de"},{"family":"Zhang","given":"Youjun"},{"family":"Do","given":"Phuc Thi"},{"family":"Olas","given":"Justyna J."},{"family":"Stitt","given":"Mark"},{"family":"Araújo","given":"Wagner L."},{"family":"Fernie","given":"Alisdair R."}],"accessed":{"date-parts":[["2022",5,23]]},"issued":{"date-parts":[["2015"]]}}}],"schema":"https://github.com/citation-style-language/schema/raw/master/csl-citation.json"} </w:instrText>
      </w:r>
      <w:r w:rsidRPr="00107040">
        <w:rPr>
          <w:sz w:val="28"/>
          <w:szCs w:val="28"/>
          <w:lang w:val="ru-RU"/>
        </w:rPr>
        <w:fldChar w:fldCharType="separate"/>
      </w:r>
      <w:r w:rsidR="008611DC" w:rsidRPr="008611DC">
        <w:rPr>
          <w:sz w:val="28"/>
          <w:lang w:val="ru-RU"/>
        </w:rPr>
        <w:t>[318,324]</w:t>
      </w:r>
      <w:r w:rsidRPr="00107040">
        <w:rPr>
          <w:sz w:val="28"/>
          <w:szCs w:val="28"/>
          <w:lang w:val="ru-RU"/>
        </w:rPr>
        <w:fldChar w:fldCharType="end"/>
      </w:r>
      <w:r w:rsidRPr="00107040">
        <w:rPr>
          <w:sz w:val="28"/>
          <w:szCs w:val="28"/>
          <w:lang w:val="ru-RU"/>
        </w:rPr>
        <w:t xml:space="preserve">, а в одном исследовании также в цитозоле </w:t>
      </w:r>
      <w:r w:rsidRPr="00107040">
        <w:rPr>
          <w:sz w:val="28"/>
          <w:szCs w:val="28"/>
          <w:lang w:val="ru-RU"/>
        </w:rPr>
        <w:fldChar w:fldCharType="begin"/>
      </w:r>
      <w:r w:rsidR="008611DC">
        <w:rPr>
          <w:sz w:val="28"/>
          <w:szCs w:val="28"/>
          <w:lang w:val="ru-RU"/>
        </w:rPr>
        <w:instrText xml:space="preserve"> ADDIN ZOTERO_ITEM CSL_CITATION {"citationID":"a2i1vecpo16","properties":{"formattedCitation":"[318]","plainCitation":"[318]","noteIndex":0},"citationItems":[{"id":1392,"uris":["http://zotero.org/users/9078202/items/SUTL6GYM"],"itemData":{"id":1392,"type":"article-journal","abstract":"The enzyme poly(ADP-ribose)polymerase (PARP) has a dual function being involved both in the poly(ADP-ribosyl)ation and being a constituent of the NAD+ salvage pathway. To date most studies, both in plant and non-plant systems, have focused on the signaling role of PARP in poly(ADP-ribosyl)ation rather than any role that can be ascribed to its metabolic function. In order to address this question we here used a combination of expression, transcript and protein localization studies of all three PARP isoforms of Arabidopsis alongside physiological analysis of the corresponding mutants. Our analyses indicated that whilst all isoforms of PARP were localized to the nucleus they are also present in non-nuclear locations with parp1 and parp3 also localised in the cytosol, and parp2 also present in the mitochondria. We next isolated and characterized insertional knockout mutants of all three isoforms confirming a complete knockout in the full length transcript levels of the target genes as well as a reduced total leaf NAD hydrolase activity in the two isoforms (PARP1, PARP2) that are highly expressed in leaves. Physiological evaluation of the mutant lines revealed that they displayed distinctive metabolic and root growth characteristics albeit unaltered leaf morphology under optimal growth conditions. We therefore conclude that the PARP isoforms play non-redundant non-nuclear metabolic roles and that their function is highly important in rapidly growing tissues such as the shoot apical meristem, roots and seeds.","container-title":"Plant Molecular Biology","DOI":"10.1007/s11103-015-0363-5","ISSN":"0167-4412","issue":"4-5","journalAbbreviation":"Plant Mol Biol","note":"PMID: 26428915\nPMCID: PMC4631723","page":"319-338","source":"PubMed Central","title":"Analysis of knockout mutants reveals non-redundant functions of poly(ADP-ribose)polymerase isoforms in Arabidopsis","URL":"https://www.ncbi.nlm.nih.gov/pmc/articles/PMC4631723/","volume":"89","author":[{"family":"Pham","given":"Phuong Anh"},{"family":"Wahl","given":"Vanessa"},{"family":"Tohge","given":"Takayuki"},{"family":"Souza","given":"Laise Rosado","non-dropping-particle":"de"},{"family":"Zhang","given":"Youjun"},{"family":"Do","given":"Phuc Thi"},{"family":"Olas","given":"Justyna J."},{"family":"Stitt","given":"Mark"},{"family":"Araújo","given":"Wagner L."},{"family":"Fernie","given":"Alisdair R."}],"accessed":{"date-parts":[["2022",5,23]]},"issued":{"date-parts":[["2015"]]}}}],"schema":"https://github.com/citation-style-language/schema/raw/master/csl-citation.json"} </w:instrText>
      </w:r>
      <w:r w:rsidRPr="00107040">
        <w:rPr>
          <w:sz w:val="28"/>
          <w:szCs w:val="28"/>
          <w:lang w:val="ru-RU"/>
        </w:rPr>
        <w:fldChar w:fldCharType="separate"/>
      </w:r>
      <w:r w:rsidR="008611DC" w:rsidRPr="008611DC">
        <w:rPr>
          <w:sz w:val="28"/>
          <w:lang w:val="ru-RU"/>
        </w:rPr>
        <w:t>[318]</w:t>
      </w:r>
      <w:r w:rsidRPr="00107040">
        <w:rPr>
          <w:sz w:val="28"/>
          <w:szCs w:val="28"/>
          <w:lang w:val="ru-RU"/>
        </w:rPr>
        <w:fldChar w:fldCharType="end"/>
      </w:r>
      <w:r w:rsidRPr="00107040">
        <w:rPr>
          <w:sz w:val="28"/>
          <w:szCs w:val="28"/>
          <w:lang w:val="ru-RU"/>
        </w:rPr>
        <w:t xml:space="preserve">. </w:t>
      </w:r>
    </w:p>
    <w:p w14:paraId="691E7393" w14:textId="35607B58"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В отличие от экспрессии </w:t>
      </w:r>
      <w:r w:rsidRPr="00107040">
        <w:rPr>
          <w:sz w:val="28"/>
          <w:szCs w:val="28"/>
        </w:rPr>
        <w:t>AtPARP</w:t>
      </w:r>
      <w:r w:rsidRPr="00107040">
        <w:rPr>
          <w:sz w:val="28"/>
          <w:szCs w:val="28"/>
          <w:lang w:val="ru-RU"/>
        </w:rPr>
        <w:t xml:space="preserve">1 в дрожжевых клетках, </w:t>
      </w:r>
      <w:r w:rsidRPr="00107040">
        <w:rPr>
          <w:sz w:val="28"/>
          <w:szCs w:val="28"/>
        </w:rPr>
        <w:t>AtPARP</w:t>
      </w:r>
      <w:r w:rsidRPr="00107040">
        <w:rPr>
          <w:sz w:val="28"/>
          <w:szCs w:val="28"/>
          <w:lang w:val="ru-RU"/>
        </w:rPr>
        <w:t xml:space="preserve">2 только частично ингибировал рост дрожжей, в то время как экспрессия </w:t>
      </w:r>
      <w:r w:rsidRPr="00107040">
        <w:rPr>
          <w:sz w:val="28"/>
          <w:szCs w:val="28"/>
        </w:rPr>
        <w:t>AtPARP</w:t>
      </w:r>
      <w:r w:rsidRPr="00107040">
        <w:rPr>
          <w:sz w:val="28"/>
          <w:szCs w:val="28"/>
          <w:lang w:val="ru-RU"/>
        </w:rPr>
        <w:t>3 не влияла на рост</w:t>
      </w:r>
      <w:r w:rsidR="005061B1">
        <w:rPr>
          <w:sz w:val="28"/>
          <w:szCs w:val="28"/>
          <w:lang w:val="ru-RU"/>
        </w:rPr>
        <w:t xml:space="preserve"> </w:t>
      </w:r>
      <w:r w:rsidR="005061B1">
        <w:rPr>
          <w:sz w:val="28"/>
          <w:szCs w:val="28"/>
          <w:lang w:val="ru-RU"/>
        </w:rPr>
        <w:fldChar w:fldCharType="begin"/>
      </w:r>
      <w:r w:rsidR="008611DC">
        <w:rPr>
          <w:sz w:val="28"/>
          <w:szCs w:val="28"/>
          <w:lang w:val="ru-RU"/>
        </w:rPr>
        <w:instrText xml:space="preserve"> ADDIN ZOTERO_ITEM CSL_CITATION {"citationID":"J8ABVUlO","properties":{"formattedCitation":"[321]","plainCitation":"[321]","noteIndex":0},"citationItems":[{"id":1626,"uris":["http://zotero.org/users/9078202/items/Y66KSECN"],"itemData":{"id":1626,"type":"article-journal","abstract":"Poly(ADP-ribose) polymerases (PARPs) have been implicated in responses of plants to DNA damage and numerous stresses, whereby the mechanistic basis of the interference is often unclear. Therefore, the identification of specific inhibitors and potential interactors of plant PARPs is desirable. For this purpose, we established an assay based on heterologous expression of PARP genes from the model plant Arabidopsis thaliana in yeast. Expression of AtPARPs caused an inhibition of yeast growth to different extent, which was alleviated by inhibitors targeted at human PARPs. This assay provides a fast and simple means to identify target proteins and pharmacological inhibitors of AtPARP1.","container-title":"Analytical Biochemistry","DOI":"10.1016/j.ab.2017.04.002","ISSN":"0003-2697","journalAbbreviation":"Analytical Biochemistry","language":"en","page":"20-23","source":"ScienceDirect","title":"A yeast growth assay to characterize plant poly(ADP-ribose) polymerase (PARP) proteins and inhibitors","URL":"https://www.sciencedirect.com/science/article/pii/S0003269717301604","volume":"527","author":[{"family":"Rissel","given":"Dagmar"},{"family":"Heym","given":"Peter Paul"},{"family":"Peiter","given":"Edgar"}],"accessed":{"date-parts":[["2022",9,6]]},"issued":{"date-parts":[["2017",6,15]]}}}],"schema":"https://github.com/citation-style-language/schema/raw/master/csl-citation.json"} </w:instrText>
      </w:r>
      <w:r w:rsidR="005061B1">
        <w:rPr>
          <w:sz w:val="28"/>
          <w:szCs w:val="28"/>
          <w:lang w:val="ru-RU"/>
        </w:rPr>
        <w:fldChar w:fldCharType="separate"/>
      </w:r>
      <w:r w:rsidR="008611DC" w:rsidRPr="008611DC">
        <w:rPr>
          <w:sz w:val="28"/>
          <w:lang w:val="ru-RU"/>
        </w:rPr>
        <w:t>[321]</w:t>
      </w:r>
      <w:r w:rsidR="005061B1">
        <w:rPr>
          <w:sz w:val="28"/>
          <w:szCs w:val="28"/>
          <w:lang w:val="ru-RU"/>
        </w:rPr>
        <w:fldChar w:fldCharType="end"/>
      </w:r>
      <w:r w:rsidRPr="00107040">
        <w:rPr>
          <w:sz w:val="28"/>
          <w:szCs w:val="28"/>
          <w:lang w:val="ru-RU"/>
        </w:rPr>
        <w:t xml:space="preserve">. Это может быть связано с различиями или отсутствием ДНК-связывающего домена в </w:t>
      </w:r>
      <w:r w:rsidRPr="00107040">
        <w:rPr>
          <w:sz w:val="28"/>
          <w:szCs w:val="28"/>
        </w:rPr>
        <w:t>AtPARP</w:t>
      </w:r>
      <w:r w:rsidRPr="00107040">
        <w:rPr>
          <w:sz w:val="28"/>
          <w:szCs w:val="28"/>
          <w:lang w:val="ru-RU"/>
        </w:rPr>
        <w:t xml:space="preserve">2 и </w:t>
      </w:r>
      <w:r w:rsidRPr="00107040">
        <w:rPr>
          <w:sz w:val="28"/>
          <w:szCs w:val="28"/>
        </w:rPr>
        <w:t>AtPARP</w:t>
      </w:r>
      <w:r w:rsidRPr="00107040">
        <w:rPr>
          <w:sz w:val="28"/>
          <w:szCs w:val="28"/>
          <w:lang w:val="ru-RU"/>
        </w:rPr>
        <w:t xml:space="preserve">3. ДНК-связывающий домен </w:t>
      </w:r>
      <w:r w:rsidRPr="00107040">
        <w:rPr>
          <w:sz w:val="28"/>
          <w:szCs w:val="28"/>
        </w:rPr>
        <w:t>HsPARP</w:t>
      </w:r>
      <w:r w:rsidRPr="00107040">
        <w:rPr>
          <w:sz w:val="28"/>
          <w:szCs w:val="28"/>
          <w:lang w:val="ru-RU"/>
        </w:rPr>
        <w:t xml:space="preserve">2 также структурно отличается от домена </w:t>
      </w:r>
      <w:r w:rsidRPr="00107040">
        <w:rPr>
          <w:sz w:val="28"/>
          <w:szCs w:val="28"/>
        </w:rPr>
        <w:t>HsPARP</w:t>
      </w:r>
      <w:r w:rsidRPr="00107040">
        <w:rPr>
          <w:sz w:val="28"/>
          <w:szCs w:val="28"/>
          <w:lang w:val="ru-RU"/>
        </w:rPr>
        <w:t xml:space="preserve">1, но экспрессия </w:t>
      </w:r>
      <w:r w:rsidRPr="00107040">
        <w:rPr>
          <w:sz w:val="28"/>
          <w:szCs w:val="28"/>
        </w:rPr>
        <w:t>HsPARP</w:t>
      </w:r>
      <w:r w:rsidRPr="00107040">
        <w:rPr>
          <w:sz w:val="28"/>
          <w:szCs w:val="28"/>
          <w:lang w:val="ru-RU"/>
        </w:rPr>
        <w:t xml:space="preserve">2 вызывает ингибирование роста дрожжей </w:t>
      </w:r>
      <w:r w:rsidRPr="00107040">
        <w:rPr>
          <w:sz w:val="28"/>
          <w:szCs w:val="28"/>
          <w:lang w:val="ru-RU"/>
        </w:rPr>
        <w:fldChar w:fldCharType="begin"/>
      </w:r>
      <w:r w:rsidR="008611DC">
        <w:rPr>
          <w:sz w:val="28"/>
          <w:szCs w:val="28"/>
          <w:lang w:val="ru-RU"/>
        </w:rPr>
        <w:instrText xml:space="preserve"> ADDIN ZOTERO_ITEM CSL_CITATION {"citationID":"a26vdg6tt0e","properties":{"formattedCitation":"[326]","plainCitation":"[326]","noteIndex":0},"citationItems":[{"id":1629,"uris":["http://zotero.org/users/9078202/items/8776ZRZV"],"itemData":{"id":1629,"type":"article-journal","abstract":"Multicellular organisms must have means of preserving their genomic integrity or face catastrophic consequences such as uncontrolled cell proliferation or massive cell death. One response is a modification of nuclear proteins by the addition and removal of polymers of ADP-ribose that modulate the properties of DNA-binding proteins involved in DNA repair and metabolism. These ADP-ribose units are added by poly(ADP-ribose) polymerase (PARP) and removed by poly(ADP-ribose) glycohydrolase. Although budding yeast Saccharomyces cerevisiae does not possess proteins with significant sequence similarity to the human PARP family of proteins, we identified novel small molecule inhibitors against two family members, PARP1 and PARP2, using a cell-based assay in yeast. The assay was based on the reversal of growth inhibition caused by the heterologous expression of either PARP1 or PARP2. Validation of the assay was achieved by showing that the growth inhibition was relieved by a mutation in a single residue in the catalytic site of PARP1 or PARP2 or exposure of yeast to a known PARP1 inhibitor, 6(5H)-phenanthridinone. In separate experiments, when a putative protein regulator of PARP activity, human poly(ADP-ribose) glycohydrolase, was coexpressed with PARP1 or PARP2, yeast growth was restored. Finally, the inhibitors identified by screening the yeast assay are active in a mammalian PARP biochemical assay and inhibit PARP1 and PARP2 activity in yeast cell extracts. Thus, our data reflect the strength of using yeast to identify small molecule inhibitors of therapeutically relevant gene families, including those that are not found in yeast, such as PARP. The resultant inhibitors have two critical uses (a) as leads for drug development and (b) as tools to dissect cellular function.","container-title":"Cancer Research","ISSN":"0008-5472","issue":"10","journalAbbreviation":"Cancer Res","language":"eng","note":"PMID: 11358842","page":"4175-4183","source":"PubMed","title":"Novel inhibitors of poly(ADP-ribose) polymerase/PARP1 and PARP2 identified using a cell-based screen in yeast","volume":"61","author":[{"family":"Perkins","given":"E."},{"family":"Sun","given":"D."},{"family":"Nguyen","given":"A."},{"family":"Tulac","given":"S."},{"family":"Francesco","given":"M."},{"family":"Tavana","given":"H."},{"family":"Nguyen","given":"H."},{"family":"Tugendreich","given":"S."},{"family":"Barthmaier","given":"P."},{"family":"Couto","given":"J."},{"family":"Yeh","given":"E."},{"family":"Thode","given":"S."},{"family":"Jarnagin","given":"K."},{"family":"Jain","given":"A."},{"family":"Morgans","given":"D."},{"family":"Melese","given":"T."}],"issued":{"date-parts":[["2001",5,15]]}}}],"schema":"https://github.com/citation-style-language/schema/raw/master/csl-citation.json"} </w:instrText>
      </w:r>
      <w:r w:rsidRPr="00107040">
        <w:rPr>
          <w:sz w:val="28"/>
          <w:szCs w:val="28"/>
          <w:lang w:val="ru-RU"/>
        </w:rPr>
        <w:fldChar w:fldCharType="separate"/>
      </w:r>
      <w:r w:rsidR="008611DC" w:rsidRPr="008611DC">
        <w:rPr>
          <w:sz w:val="28"/>
          <w:lang w:val="ru-RU"/>
        </w:rPr>
        <w:t>[326]</w:t>
      </w:r>
      <w:r w:rsidRPr="00107040">
        <w:rPr>
          <w:sz w:val="28"/>
          <w:szCs w:val="28"/>
          <w:lang w:val="ru-RU"/>
        </w:rPr>
        <w:fldChar w:fldCharType="end"/>
      </w:r>
      <w:r w:rsidRPr="00107040">
        <w:rPr>
          <w:sz w:val="28"/>
          <w:szCs w:val="28"/>
          <w:lang w:val="ru-RU"/>
        </w:rPr>
        <w:t xml:space="preserve">. Дифференциальное ингибирование роста дрожжей указывало на то, что </w:t>
      </w:r>
      <w:r w:rsidRPr="00107040">
        <w:rPr>
          <w:sz w:val="28"/>
          <w:szCs w:val="28"/>
        </w:rPr>
        <w:t>PARP</w:t>
      </w:r>
      <w:r w:rsidRPr="00107040">
        <w:rPr>
          <w:sz w:val="28"/>
          <w:szCs w:val="28"/>
          <w:lang w:val="ru-RU"/>
        </w:rPr>
        <w:t xml:space="preserve"> арабидопсиса и человека имеют общие структурные или функциональные особенности, но также указывало на специфические для растений функции </w:t>
      </w:r>
      <w:r w:rsidRPr="00107040">
        <w:rPr>
          <w:sz w:val="28"/>
          <w:szCs w:val="28"/>
        </w:rPr>
        <w:t>AtPARP</w:t>
      </w:r>
      <w:r w:rsidRPr="00107040">
        <w:rPr>
          <w:sz w:val="28"/>
          <w:szCs w:val="28"/>
          <w:lang w:val="ru-RU"/>
        </w:rPr>
        <w:t xml:space="preserve">2 и </w:t>
      </w:r>
      <w:r w:rsidRPr="00107040">
        <w:rPr>
          <w:sz w:val="28"/>
          <w:szCs w:val="28"/>
        </w:rPr>
        <w:t>AtPARP</w:t>
      </w:r>
      <w:r w:rsidRPr="00107040">
        <w:rPr>
          <w:sz w:val="28"/>
          <w:szCs w:val="28"/>
          <w:lang w:val="ru-RU"/>
        </w:rPr>
        <w:t xml:space="preserve">3. </w:t>
      </w:r>
    </w:p>
    <w:p w14:paraId="5044AEFC"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p>
    <w:p w14:paraId="75F9D88E"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kk-KZ"/>
        </w:rPr>
      </w:pPr>
      <w:r w:rsidRPr="00107040">
        <w:rPr>
          <w:noProof/>
          <w:sz w:val="28"/>
          <w:szCs w:val="28"/>
          <w:lang w:val="ru-RU" w:eastAsia="ru-RU"/>
        </w:rPr>
        <w:drawing>
          <wp:inline distT="0" distB="0" distL="0" distR="0" wp14:anchorId="5253644A" wp14:editId="643B55CE">
            <wp:extent cx="5715000" cy="370451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167" cy="3708509"/>
                    </a:xfrm>
                    <a:prstGeom prst="rect">
                      <a:avLst/>
                    </a:prstGeom>
                    <a:noFill/>
                    <a:ln>
                      <a:noFill/>
                    </a:ln>
                  </pic:spPr>
                </pic:pic>
              </a:graphicData>
            </a:graphic>
          </wp:inline>
        </w:drawing>
      </w:r>
    </w:p>
    <w:p w14:paraId="0CF5A5B7" w14:textId="77777777" w:rsidR="00107040" w:rsidRPr="00107040" w:rsidRDefault="00107040" w:rsidP="00107040">
      <w:pPr>
        <w:pStyle w:val="p"/>
        <w:shd w:val="clear" w:color="auto" w:fill="FFFFFF"/>
        <w:spacing w:before="0" w:beforeAutospacing="0" w:after="0" w:afterAutospacing="0"/>
        <w:jc w:val="both"/>
        <w:rPr>
          <w:sz w:val="28"/>
          <w:szCs w:val="28"/>
          <w:lang w:val="ru-RU"/>
        </w:rPr>
      </w:pPr>
      <w:bookmarkStart w:id="44" w:name="_Hlk113268457"/>
    </w:p>
    <w:p w14:paraId="46E32723" w14:textId="490D1B3C" w:rsidR="00107040" w:rsidRDefault="00107040" w:rsidP="00107040">
      <w:pPr>
        <w:pStyle w:val="p"/>
        <w:shd w:val="clear" w:color="auto" w:fill="FFFFFF"/>
        <w:spacing w:before="0" w:beforeAutospacing="0" w:after="0" w:afterAutospacing="0"/>
        <w:jc w:val="center"/>
        <w:rPr>
          <w:sz w:val="28"/>
          <w:szCs w:val="28"/>
          <w:lang w:val="ru-RU"/>
        </w:rPr>
      </w:pPr>
      <w:r w:rsidRPr="00107040">
        <w:rPr>
          <w:sz w:val="28"/>
          <w:szCs w:val="28"/>
          <w:lang w:val="kk-KZ"/>
        </w:rPr>
        <w:t xml:space="preserve">Рисунок 8 – </w:t>
      </w:r>
      <w:r w:rsidRPr="00107040">
        <w:rPr>
          <w:sz w:val="28"/>
          <w:szCs w:val="28"/>
          <w:lang w:val="ru-RU"/>
        </w:rPr>
        <w:t xml:space="preserve">Схематическое изображение доменов в белках </w:t>
      </w:r>
      <w:r w:rsidRPr="00107040">
        <w:rPr>
          <w:sz w:val="28"/>
          <w:szCs w:val="28"/>
        </w:rPr>
        <w:t>PARP</w:t>
      </w:r>
      <w:r w:rsidRPr="00107040">
        <w:rPr>
          <w:sz w:val="28"/>
          <w:szCs w:val="28"/>
          <w:lang w:val="ru-RU"/>
        </w:rPr>
        <w:t xml:space="preserve"> человека и </w:t>
      </w:r>
      <w:r w:rsidRPr="00107040">
        <w:rPr>
          <w:i/>
          <w:sz w:val="28"/>
          <w:szCs w:val="28"/>
        </w:rPr>
        <w:t>Arabidopsis</w:t>
      </w:r>
      <w:r w:rsidRPr="00107040">
        <w:rPr>
          <w:i/>
          <w:sz w:val="28"/>
          <w:szCs w:val="28"/>
          <w:lang w:val="ru-RU"/>
        </w:rPr>
        <w:t xml:space="preserve"> </w:t>
      </w:r>
      <w:r w:rsidRPr="00107040">
        <w:rPr>
          <w:i/>
          <w:sz w:val="28"/>
          <w:szCs w:val="28"/>
        </w:rPr>
        <w:t>thaliana</w:t>
      </w:r>
      <w:r w:rsidRPr="00107040">
        <w:rPr>
          <w:sz w:val="28"/>
          <w:szCs w:val="28"/>
          <w:lang w:val="ru-RU"/>
        </w:rPr>
        <w:t xml:space="preserve">. </w:t>
      </w:r>
    </w:p>
    <w:p w14:paraId="16DAAD88" w14:textId="77777777" w:rsidR="00E11A5F" w:rsidRPr="00107040" w:rsidRDefault="00E11A5F" w:rsidP="00107040">
      <w:pPr>
        <w:pStyle w:val="p"/>
        <w:shd w:val="clear" w:color="auto" w:fill="FFFFFF"/>
        <w:spacing w:before="0" w:beforeAutospacing="0" w:after="0" w:afterAutospacing="0"/>
        <w:jc w:val="center"/>
        <w:rPr>
          <w:sz w:val="28"/>
          <w:szCs w:val="28"/>
          <w:lang w:val="ru-RU"/>
        </w:rPr>
      </w:pPr>
    </w:p>
    <w:p w14:paraId="13613266" w14:textId="5172047B"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Примечание – </w:t>
      </w:r>
      <w:r w:rsidRPr="00107040">
        <w:rPr>
          <w:rFonts w:eastAsia="Arial Unicode MS"/>
          <w:bCs/>
          <w:sz w:val="28"/>
          <w:szCs w:val="28"/>
          <w:lang w:val="ru-RU" w:bidi="en-US"/>
        </w:rPr>
        <w:t>Составлено автором на основе источника</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{"citationID":"a730elshot","properties":{"formattedCitation":"[327]","plainCitation":"[327]","noteIndex":0},"citationItems":[{"id":1631,"uris":["http://zotero.org/users/9078202/items/YIIMG6YR"],"itemData":{"id":1631,"type":"article-journal","abstract":"Abiotic and biotic stress can have a detrimental impact on plant growth and productivity. Hence, there is a substantial demand for key factors of stress responses to improve yield stability of crops. Members of the poly(ADP-ribose)polymerase (PARP) protein family, which post-translationally modify (PARylate) nuclear proteins, have been suggested as such universal determinants of plant stress responses. A role under abiotic stress has been inferred from studies in which a genetic or, more commonly, pharmacological inhibition of PARP activity improved the performance of stressed plants. To further elucidate the role of PARP proteins under stress, T-DNA knockout mutants for the three Arabidopsis thaliana PARP genes were subjected to drought, osmotic, salt, and oxidative stress. To exclude a functional redundancy, which was indicated by a transcriptional upregulation of the remaining parp genes, a parp triple mutant was generated. Surprisingly, parp mutant plants did not differ from wild type plants in any of these stress experiments, independent from the number of PARP genes mutated. The parp triple mutant was also analyzed for callose formation in response to the pathogenassociated molecular pattern flg22. Unexpectedly, callose formation was unaltered in the mutant, albeit pharmacological PARP inhibition robustly blocked this immune response, confirming previous reports. Evidently, pharmacological inhibition appears to be more robust than the abolition of all PARP genes, indicating the presence of so-far undescribed proteins with PARP activity. This was supported by the finding that protein PARylation was not absent, but even increased in the parp triple mutant. Candidates for novel PARP-inhibitor targets may be found in the SRO protein family. These proteins harbor a catalytic PARP-like domain and are centrally involved in stress responses. Molecular modeling analyses, employing animal PARPs as templates, indeed indicated a capability of the SRO proteins RCD1 and SRO1 to bind nicotinamide-derived inhibitors. Collectively, the results of our study suggest that the stress-related phenotypes of parp mutants are highly conditional, and they call for a reconsideration of PARP inhibitor studies. In the context of this study, we also propose a unifying nomenclature of PARP genes and parp mutants, which is currently highly inconsistent and redundant.","container-title":"Frontiers in Plant Science","DOI":"10.3389/fpls.2017.00059","ISSN":"1664-462X","journalAbbreviation":"Front Plant Sci","language":"eng","note":"PMID: 28220129\nPMCID: PMC5292411","page":"59","source":"PubMed","title":"No Silver Bullet - Canonical Poly(ADP-Ribose) Polymerases (PARPs) Are No Universal Factors of Abiotic and Biotic Stress Resistance of Arabidopsis thaliana","volume":"8","author":[{"family":"Rissel","given":"Dagmar"},{"family":"Heym","given":"Peter P."},{"family":"Thor","given":"Kathrin"},{"family":"Brandt","given":"Wolfgang"},{"family":"Wessjohann","given":"Ludger A."},{"family":"Peiter","given":"Edgar"}],"issued":{"date-parts":[["2017"]]}}}],"schema":"https://github.com/citation-style-language/schema/raw/master/csl-citation.json"} </w:instrText>
      </w:r>
      <w:r w:rsidRPr="00107040">
        <w:rPr>
          <w:sz w:val="28"/>
          <w:szCs w:val="28"/>
          <w:lang w:val="ru-RU"/>
        </w:rPr>
        <w:fldChar w:fldCharType="separate"/>
      </w:r>
      <w:r w:rsidR="008611DC" w:rsidRPr="008611DC">
        <w:rPr>
          <w:sz w:val="28"/>
          <w:lang w:val="ru-RU"/>
        </w:rPr>
        <w:t>[327]</w:t>
      </w:r>
      <w:r w:rsidRPr="00107040">
        <w:rPr>
          <w:sz w:val="28"/>
          <w:szCs w:val="28"/>
          <w:lang w:val="ru-RU"/>
        </w:rPr>
        <w:fldChar w:fldCharType="end"/>
      </w:r>
      <w:r w:rsidRPr="00107040">
        <w:rPr>
          <w:sz w:val="28"/>
          <w:szCs w:val="28"/>
          <w:lang w:val="ru-RU"/>
        </w:rPr>
        <w:t>.</w:t>
      </w:r>
    </w:p>
    <w:p w14:paraId="12D72DE0"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kk-KZ"/>
        </w:rPr>
      </w:pPr>
    </w:p>
    <w:p w14:paraId="6407B467" w14:textId="77777777" w:rsidR="00107040" w:rsidRPr="00107040" w:rsidRDefault="00107040" w:rsidP="00107040">
      <w:pPr>
        <w:pStyle w:val="p"/>
        <w:shd w:val="clear" w:color="auto" w:fill="FFFFFF"/>
        <w:spacing w:before="0" w:beforeAutospacing="0" w:after="0" w:afterAutospacing="0"/>
        <w:ind w:firstLine="567"/>
        <w:jc w:val="both"/>
        <w:rPr>
          <w:b/>
          <w:sz w:val="28"/>
          <w:szCs w:val="28"/>
          <w:lang w:val="ru-RU"/>
        </w:rPr>
      </w:pPr>
      <w:r w:rsidRPr="00107040">
        <w:rPr>
          <w:b/>
          <w:sz w:val="28"/>
          <w:szCs w:val="28"/>
          <w:lang w:val="kk-KZ"/>
        </w:rPr>
        <w:t>1.8 Р</w:t>
      </w:r>
      <w:r w:rsidRPr="00107040">
        <w:rPr>
          <w:b/>
          <w:sz w:val="28"/>
          <w:szCs w:val="28"/>
          <w:lang w:val="ru-RU"/>
        </w:rPr>
        <w:t>аст</w:t>
      </w:r>
      <w:r w:rsidRPr="00107040">
        <w:rPr>
          <w:b/>
          <w:sz w:val="28"/>
          <w:szCs w:val="28"/>
          <w:lang w:val="kk-KZ"/>
        </w:rPr>
        <w:t>ительные</w:t>
      </w:r>
      <w:r w:rsidRPr="00107040">
        <w:rPr>
          <w:b/>
          <w:sz w:val="28"/>
          <w:szCs w:val="28"/>
          <w:lang w:val="ru-RU"/>
        </w:rPr>
        <w:t xml:space="preserve"> поли(АДФ-рибозы) гликогидролазы (</w:t>
      </w:r>
      <w:r w:rsidRPr="00107040">
        <w:rPr>
          <w:b/>
          <w:sz w:val="28"/>
          <w:szCs w:val="28"/>
        </w:rPr>
        <w:t>PARG</w:t>
      </w:r>
      <w:r w:rsidRPr="00107040">
        <w:rPr>
          <w:b/>
          <w:sz w:val="28"/>
          <w:szCs w:val="28"/>
          <w:lang w:val="ru-RU"/>
        </w:rPr>
        <w:t>)</w:t>
      </w:r>
      <w:r w:rsidRPr="00107040">
        <w:rPr>
          <w:b/>
          <w:sz w:val="28"/>
          <w:szCs w:val="28"/>
          <w:lang w:val="kk-KZ"/>
        </w:rPr>
        <w:t xml:space="preserve"> </w:t>
      </w:r>
      <w:bookmarkEnd w:id="44"/>
    </w:p>
    <w:p w14:paraId="16A0BEF1" w14:textId="2E810E09" w:rsidR="00107040" w:rsidRPr="00107040" w:rsidRDefault="00107040" w:rsidP="00107040">
      <w:pPr>
        <w:pStyle w:val="p"/>
        <w:shd w:val="clear" w:color="auto" w:fill="FFFFFF"/>
        <w:spacing w:before="0" w:beforeAutospacing="0" w:after="0" w:afterAutospacing="0"/>
        <w:ind w:firstLine="567"/>
        <w:jc w:val="both"/>
        <w:rPr>
          <w:sz w:val="28"/>
          <w:szCs w:val="28"/>
          <w:lang w:val="kk-KZ"/>
        </w:rPr>
      </w:pPr>
      <w:r w:rsidRPr="00107040">
        <w:rPr>
          <w:sz w:val="28"/>
          <w:szCs w:val="28"/>
          <w:lang w:val="ru-RU"/>
        </w:rPr>
        <w:t xml:space="preserve">Всего у </w:t>
      </w:r>
      <w:r w:rsidRPr="00107040">
        <w:rPr>
          <w:i/>
          <w:sz w:val="28"/>
          <w:szCs w:val="28"/>
        </w:rPr>
        <w:t>Arabidopsis</w:t>
      </w:r>
      <w:r w:rsidRPr="00107040">
        <w:rPr>
          <w:i/>
          <w:sz w:val="28"/>
          <w:szCs w:val="28"/>
          <w:lang w:val="ru-RU"/>
        </w:rPr>
        <w:t xml:space="preserve"> </w:t>
      </w:r>
      <w:r w:rsidRPr="00107040">
        <w:rPr>
          <w:i/>
          <w:sz w:val="28"/>
          <w:szCs w:val="28"/>
        </w:rPr>
        <w:t>thaliana</w:t>
      </w:r>
      <w:r w:rsidRPr="00107040">
        <w:rPr>
          <w:sz w:val="28"/>
          <w:szCs w:val="28"/>
          <w:lang w:val="ru-RU"/>
        </w:rPr>
        <w:t xml:space="preserve"> идентифицировано три гена, гомологичных человеческому </w:t>
      </w:r>
      <w:r w:rsidRPr="00107040">
        <w:rPr>
          <w:sz w:val="28"/>
          <w:szCs w:val="28"/>
        </w:rPr>
        <w:t>PARG</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{"citationID":"arn1pqj96n","properties":{"formattedCitation":"[323]","plainCitation":"[323]","noteIndex":0},"citationItems":[{"id":1618,"uris":["http://zotero.org/users/9078202/items/EPK4I4YY"],"itemData":{"id":1618,"type":"article-journal","abstract":"The pyridine nucleotides, NAD+, NADH, NADP+, and NADPH have long-established and well-characterised roles as redox factors in processes such as oxidative phosphorylation, the TCA cycle, and as electron acceptors in photosynthesis. Recent years have seen an increase in the number of signalling and gene regulatory processes where NAD+ or NADP+ are metabolised. Cyclic ADP-ribose (cADPR) and nicotinic acid adenine dinucleotide phosphate (NAADP) are metabolites of NAD+ and NADP+, respectively, and now have widely accepted roles as potent intracellular calcium releasing agents in animals, but are less well characterised in plants. NAD kinases catalyse the transfer of a phosphate group from ATP to NAD to form NADP and are well characterised in plants in their requirement for the calcium binding protein calmodulin, thereby putatively linking their regulation to stress-induced intracellular calcium release. A second group of proteins unrelated to those above, the sirtuins (Sir2) and poly ADP-ribose polymerases (PARPs), cleave NAD and transfer the ADP-ribose group to acetyl groups and proteins, respectively. These have roles in transcriptional control and DNA repair in eukaryotes. Contents Summary I. Introduction 32 II. NAD synthesis and breakdown 32 III. cADPR in plants 34 IV. NAADP in plants 35 V. NAD kinases 35 VI. NAD and gene regulation 37 VII. Sir2 is an NAD dependant histone deacetylase 37 VIII. Nicotinamidases 38 IX. Poly ADP-ribosylation 39 X. Poly(ADP-ribose) glycohydrolase (PARG) 40 XI. Subcellular compartmentation of NAD and NADP in plants 41 XII. Conclusions 41 Acknowledgements 41 References 41","container-title":"New Phytologist","DOI":"10.1111/j.1469-8137.2004.01087.x","ISSN":"1469-8137","issue":"1","language":"en","note":"_eprint: https://onlinelibrary.wiley.com/doi/pdf/10.1111/j.1469-8137.2004.01087.x","page":"31-44","source":"Wiley Online Library","title":"NAD – new roles in signalling and gene regulation in plants","URL":"https://onlinelibrary.wiley.com/doi/abs/10.1111/j.1469-8137.2004.01087.x","volume":"163","author":[{"family":"Hunt","given":"Lee"},{"family":"Lerner","given":"Felicitas"},{"family":"Ziegler","given":"Mathias"}],"accessed":{"date-parts":[["2022",9,6]]},"issued":{"date-parts":[["2004"]]}}}],"schema":"https://github.com/citation-style-language/schema/raw/master/csl-citation.json"} </w:instrText>
      </w:r>
      <w:r w:rsidRPr="00107040">
        <w:rPr>
          <w:sz w:val="28"/>
          <w:szCs w:val="28"/>
          <w:lang w:val="ru-RU"/>
        </w:rPr>
        <w:fldChar w:fldCharType="separate"/>
      </w:r>
      <w:r w:rsidR="008611DC" w:rsidRPr="008611DC">
        <w:rPr>
          <w:sz w:val="28"/>
          <w:lang w:val="ru-RU"/>
        </w:rPr>
        <w:t>[323]</w:t>
      </w:r>
      <w:r w:rsidRPr="00107040">
        <w:rPr>
          <w:sz w:val="28"/>
          <w:szCs w:val="28"/>
          <w:lang w:val="ru-RU"/>
        </w:rPr>
        <w:fldChar w:fldCharType="end"/>
      </w:r>
      <w:r w:rsidRPr="00107040">
        <w:rPr>
          <w:sz w:val="28"/>
          <w:szCs w:val="28"/>
          <w:lang w:val="ru-RU"/>
        </w:rPr>
        <w:t>. Для одного из них до сих пор не были обнаружены экспрессированные метки последовательностей (</w:t>
      </w:r>
      <w:r w:rsidRPr="00107040">
        <w:rPr>
          <w:sz w:val="28"/>
          <w:szCs w:val="28"/>
        </w:rPr>
        <w:t>EST</w:t>
      </w:r>
      <w:r w:rsidRPr="00107040">
        <w:rPr>
          <w:sz w:val="28"/>
          <w:szCs w:val="28"/>
          <w:lang w:val="ru-RU"/>
        </w:rPr>
        <w:t xml:space="preserve">) или кДНК. Поэтому этот ген классифицируется как псевдоген. Два других гена, </w:t>
      </w:r>
      <w:r w:rsidRPr="00107040">
        <w:rPr>
          <w:sz w:val="28"/>
          <w:szCs w:val="28"/>
        </w:rPr>
        <w:t>AtPARG</w:t>
      </w:r>
      <w:r w:rsidRPr="00107040">
        <w:rPr>
          <w:sz w:val="28"/>
          <w:szCs w:val="28"/>
          <w:lang w:val="ru-RU"/>
        </w:rPr>
        <w:t>1 (</w:t>
      </w:r>
      <w:r w:rsidRPr="00107040">
        <w:rPr>
          <w:sz w:val="28"/>
          <w:szCs w:val="28"/>
        </w:rPr>
        <w:t>At</w:t>
      </w:r>
      <w:r w:rsidRPr="00107040">
        <w:rPr>
          <w:sz w:val="28"/>
          <w:szCs w:val="28"/>
          <w:lang w:val="ru-RU"/>
        </w:rPr>
        <w:t>2</w:t>
      </w:r>
      <w:r w:rsidRPr="00107040">
        <w:rPr>
          <w:sz w:val="28"/>
          <w:szCs w:val="28"/>
        </w:rPr>
        <w:t>g</w:t>
      </w:r>
      <w:r w:rsidRPr="00107040">
        <w:rPr>
          <w:sz w:val="28"/>
          <w:szCs w:val="28"/>
          <w:lang w:val="ru-RU"/>
        </w:rPr>
        <w:t xml:space="preserve">31870) и </w:t>
      </w:r>
      <w:r w:rsidRPr="00107040">
        <w:rPr>
          <w:sz w:val="28"/>
          <w:szCs w:val="28"/>
        </w:rPr>
        <w:t>AtPARG</w:t>
      </w:r>
      <w:r w:rsidRPr="00107040">
        <w:rPr>
          <w:sz w:val="28"/>
          <w:szCs w:val="28"/>
          <w:lang w:val="ru-RU"/>
        </w:rPr>
        <w:t>2 (</w:t>
      </w:r>
      <w:r w:rsidRPr="00107040">
        <w:rPr>
          <w:sz w:val="28"/>
          <w:szCs w:val="28"/>
        </w:rPr>
        <w:t>At</w:t>
      </w:r>
      <w:r w:rsidRPr="00107040">
        <w:rPr>
          <w:sz w:val="28"/>
          <w:szCs w:val="28"/>
          <w:lang w:val="ru-RU"/>
        </w:rPr>
        <w:t>2</w:t>
      </w:r>
      <w:r w:rsidRPr="00107040">
        <w:rPr>
          <w:sz w:val="28"/>
          <w:szCs w:val="28"/>
        </w:rPr>
        <w:t>g</w:t>
      </w:r>
      <w:r w:rsidRPr="00107040">
        <w:rPr>
          <w:sz w:val="28"/>
          <w:szCs w:val="28"/>
          <w:lang w:val="ru-RU"/>
        </w:rPr>
        <w:t>31865), локализованы в тандеме на хромосоме 2.</w:t>
      </w:r>
      <w:r w:rsidRPr="00107040">
        <w:rPr>
          <w:sz w:val="28"/>
          <w:szCs w:val="28"/>
          <w:lang w:val="kk-KZ"/>
        </w:rPr>
        <w:t xml:space="preserve"> </w:t>
      </w:r>
    </w:p>
    <w:p w14:paraId="2FC9F021" w14:textId="3587540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lastRenderedPageBreak/>
        <w:t xml:space="preserve">У арабидопсиса оба белка </w:t>
      </w:r>
      <w:r w:rsidRPr="00107040">
        <w:rPr>
          <w:sz w:val="28"/>
          <w:szCs w:val="28"/>
        </w:rPr>
        <w:t>PARG</w:t>
      </w:r>
      <w:r w:rsidRPr="00107040">
        <w:rPr>
          <w:sz w:val="28"/>
          <w:szCs w:val="28"/>
          <w:lang w:val="ru-RU"/>
        </w:rPr>
        <w:t xml:space="preserve"> локализованы в ядре, цитоплазме и плазматической мембране </w:t>
      </w:r>
      <w:r w:rsidRPr="00107040">
        <w:rPr>
          <w:sz w:val="28"/>
          <w:szCs w:val="28"/>
          <w:lang w:val="ru-RU"/>
        </w:rPr>
        <w:fldChar w:fldCharType="begin"/>
      </w:r>
      <w:r w:rsidR="00FB5E68">
        <w:rPr>
          <w:sz w:val="28"/>
          <w:szCs w:val="28"/>
          <w:lang w:val="ru-RU"/>
        </w:rPr>
        <w:instrText xml:space="preserve"> ADDIN ZOTERO_ITEM CSL_CITATION {"citationID":"a1eav1g7ceo","properties":{"formattedCitation":"[322,328]","plainCitation":"[322,328]","noteIndex":0},"citationItems":[{"id":"MPjqK5ng/v6qLSWfx","uris":["http://zotero.org/users/9078202/items/PX5WSTDM"],"itemData":{"id":251,"type":"article-journal","abstract":"Perception of microbe-associated molecular patterns (MAMPs) elicits transcriptional reprogramming in hosts and activates defense to pathogen attacks. The molecular mechanisms underlying plant pattern-triggered immunity remain elusive. A genetic screen identified Arabidopsis poly(ADP-ribose) glycohydrolase 1 (atparg1) mutant with elevated immune gene expression upon multiple MAMP and pathogen treatments. Poly(ADP-ribose) glycohydrolase (PARG) is predicted to remove poly(ADP-ribose) polymers on acceptor proteins modified by poly(ADP-ribose) polymerases (PARPs) with three PARPs and two PARGs in Arabidopsis genome. AtPARP1 and AtPARP2 possess poly(ADP-ribose) polymerase activity, and the activity of AtPARP2 was enhanced by MAMP treatment. AtPARG1, but not AtPARG2, carries glycohydrolase activity in vivo and in vitro. Importantly, mutation (G450R) in atparg1 blocks its activity and the corresponding residue is highly conserved and essential for human HsPARG activity. Consistently, mutant atparp1atparp2 plants exhibited compromised immune gene activation and enhanced susceptibility to pathogen infections. Our study indicates that protein poly(ADP-ribosyl)ation plays critical roles in plant immune gene expression and defense to pathogen attacks.","container-title":"PLOS Genetics","DOI":"10.1371/journal.pgen.1004936","ISSN":"1553-7404","issue":"1","journalAbbreviation":"PLOS Genetics","language":"en","note":"publisher: Public Library of Science","page":"e1004936","source":"PLoS Journals","title":"Protein Poly(ADP-ribosyl)ation Regulates Arabidopsis Immune Gene Expression and Defense Responses","URL":"https://journals.plos.org/plosgenetics/article?id=10.1371/journal.pgen.1004936","volume":"11","author":[{"family":"Feng","given":"Baomin"},{"family":"Liu","given":"Chenglong"},{"family":"Oliveira","given":"Marcos V. V.","dropping-particle":"de"},{"family":"Intorne","given":"Aline C."},{"family":"Li","given":"Bo"},{"family":"Babilonia","given":"Kevin"},{"family":"Filho","given":"Gonçalo A. de Souza"},{"family":"Shan","given":"Libo"},{"family":"He","given":"Ping"}],"accessed":{"date-parts":[["2022",4,11]]},"issued":{"date-parts":[["2015",1,8]]}}},{"id":1637,"uris":["http://zotero.org/users/9078202/items/Y6YU77KL"],"itemData":{"id":1637,"type":"article-journal","abstract":"Poly(ADP-ribosyl)ation is a reversible post-translational modification of proteins, characterized by the addition of poly(ADP-ribose) (PAR) to proteins by poly(ADP-ribose) polymerase (PARP), and removal of PAR by poly(ADP-ribose) glycohydrolase (PARG). Three PARPs and two PARGs have been found in Arabidopsis, but their respective roles are not fully understood. In this study, the functions of each PARP and PARG in DNA repair were analyzed based on their mutant phenotypes under genotoxic stresses. Double or triple mutant analysis revealed that PARP1 and PARP2, but not PARP3, play a similar but not critical role in DNA repair in Arabidopsis seedlings. PARG1 and PARG2 play an essential and a minor role, respectively under the same conditions. Mutation of PARG1 results in increased DNA damage level and enhanced cell death in plants after bleomycin treatment. PARG1 expression is induced primarily in root and shoot meristems by bleomycin and induction of PARG1 is dependent on ATM and ATR kinases. PARG1 also antagonistically modulates the DNA repair process by preventing the over-induction of DNA repair genes. Our study determined the contribution of each PARP and PARG member in DNA repair and indicated that PARG1 plays a critical role in this process.","container-title":"Scientific Reports","DOI":"10.1038/srep15892","ISSN":"2045-2322","journalAbbreviation":"Sci Rep","language":"eng","note":"PMID: 26516022\nPMCID: PMC4626836","page":"15892","source":"PubMed","title":"Arabidopsis PARG1 is the key factor promoting cell survival among the enzymes regulating post-translational poly(ADP-ribosyl)ation","volume":"5","author":[{"family":"Zhang","given":"Hailei"},{"family":"Gu","given":"Zongying"},{"family":"Wu","given":"Qiao"},{"family":"Yang","given":"Lifeng"},{"family":"Liu","given":"Caifeng"},{"family":"Ma","given":"Hong"},{"family":"Xia","given":"Yiji"},{"family":"Ge","given":"Xiaochun"}],"issued":{"date-parts":[["2015",10,30]]}}}],"schema":"https://github.com/citation-style-language/schema/raw/master/csl-citation.json"} </w:instrText>
      </w:r>
      <w:r w:rsidRPr="00107040">
        <w:rPr>
          <w:sz w:val="28"/>
          <w:szCs w:val="28"/>
          <w:lang w:val="ru-RU"/>
        </w:rPr>
        <w:fldChar w:fldCharType="separate"/>
      </w:r>
      <w:r w:rsidR="008611DC" w:rsidRPr="008611DC">
        <w:rPr>
          <w:sz w:val="28"/>
          <w:lang w:val="ru-RU"/>
        </w:rPr>
        <w:t>[322,328]</w:t>
      </w:r>
      <w:r w:rsidRPr="00107040">
        <w:rPr>
          <w:sz w:val="28"/>
          <w:szCs w:val="28"/>
          <w:lang w:val="ru-RU"/>
        </w:rPr>
        <w:fldChar w:fldCharType="end"/>
      </w:r>
      <w:r w:rsidRPr="00107040">
        <w:rPr>
          <w:sz w:val="28"/>
          <w:szCs w:val="28"/>
          <w:lang w:val="ru-RU"/>
        </w:rPr>
        <w:t xml:space="preserve">. </w:t>
      </w:r>
      <w:r w:rsidRPr="00107040">
        <w:rPr>
          <w:sz w:val="28"/>
          <w:szCs w:val="28"/>
        </w:rPr>
        <w:t>AtPARG</w:t>
      </w:r>
      <w:r w:rsidRPr="00107040">
        <w:rPr>
          <w:sz w:val="28"/>
          <w:szCs w:val="28"/>
          <w:lang w:val="ru-RU"/>
        </w:rPr>
        <w:t xml:space="preserve">1 (также известный как </w:t>
      </w:r>
      <w:r w:rsidRPr="00107040">
        <w:rPr>
          <w:sz w:val="28"/>
          <w:szCs w:val="28"/>
        </w:rPr>
        <w:t>TEJ</w:t>
      </w:r>
      <w:r w:rsidRPr="00107040">
        <w:rPr>
          <w:sz w:val="28"/>
          <w:szCs w:val="28"/>
          <w:lang w:val="ru-RU"/>
        </w:rPr>
        <w:t xml:space="preserve">) был впервые идентифицирован при генетическом скрининге измененной длины циркадного периода у </w:t>
      </w:r>
      <w:r w:rsidRPr="00107040">
        <w:rPr>
          <w:i/>
          <w:sz w:val="28"/>
          <w:szCs w:val="28"/>
        </w:rPr>
        <w:t>Arabidopsis</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{"citationID":"a1lo3gin0v0","properties":{"formattedCitation":"[329]","plainCitation":"[329]","noteIndex":0},"citationItems":[{"id":1104,"uris":["http://zotero.org/users/9078202/items/CPUFFNTF"],"itemData":{"id":1104,"type":"article-journal","abstract":"In a genetic screen for altered circadian period length in Arabidopsis, we isolated a mutant with a long free-running period. The tej mutation acts independently of light quality and quantity. It affects clock-controlled transcription of genes in Arabidopsis and alters the timing of the photoperiod-dependent transition from vegetative growth to flowering. Map-based cloning of TEJ identified a poly(ADP-ribose) glycohydrolase (PARG). An inhibitor of poly(ADP-ribosyl)ation rescued the period phenotype of tej mutant and shortened the period length of wild-type plants. Posttranslational poly(ADP-ribosyl)ation of an oscillator component may contribute to setting the period length of the Arabidopsis central oscillator.","container-title":"Developmental Cell","DOI":"10.1016/s1534-5807(02)00200-9","ISSN":"1534-5807","issue":"1","journalAbbreviation":"Dev Cell","language":"eng","note":"PMID: 12110167","page":"51-61","source":"PubMed","title":"tej defines a role for poly(ADP-ribosyl)ation in establishing period length of the arabidopsis circadian oscillator","volume":"3","author":[{"family":"Panda","given":"Satchidananda"},{"family":"Poirier","given":"Guy G."},{"family":"Kay","given":"Steve A."}],"issued":{"date-parts":[["2002",7]]}}}],"schema":"https://github.com/citation-style-language/schema/raw/master/csl-citation.json"} </w:instrText>
      </w:r>
      <w:r w:rsidRPr="00107040">
        <w:rPr>
          <w:sz w:val="28"/>
          <w:szCs w:val="28"/>
          <w:lang w:val="ru-RU"/>
        </w:rPr>
        <w:fldChar w:fldCharType="separate"/>
      </w:r>
      <w:r w:rsidR="008611DC" w:rsidRPr="008611DC">
        <w:rPr>
          <w:sz w:val="28"/>
          <w:lang w:val="ru-RU"/>
        </w:rPr>
        <w:t>[329]</w:t>
      </w:r>
      <w:r w:rsidRPr="00107040">
        <w:rPr>
          <w:sz w:val="28"/>
          <w:szCs w:val="28"/>
          <w:lang w:val="ru-RU"/>
        </w:rPr>
        <w:fldChar w:fldCharType="end"/>
      </w:r>
      <w:r w:rsidRPr="00107040">
        <w:rPr>
          <w:sz w:val="28"/>
          <w:szCs w:val="28"/>
          <w:lang w:val="ru-RU"/>
        </w:rPr>
        <w:t xml:space="preserve">. Мутантные растения, несущие замену </w:t>
      </w:r>
      <w:r w:rsidRPr="00107040">
        <w:rPr>
          <w:sz w:val="28"/>
          <w:szCs w:val="28"/>
        </w:rPr>
        <w:t>G</w:t>
      </w:r>
      <w:r w:rsidRPr="00107040">
        <w:rPr>
          <w:sz w:val="28"/>
          <w:szCs w:val="28"/>
          <w:lang w:val="ru-RU"/>
        </w:rPr>
        <w:t>262</w:t>
      </w:r>
      <w:r w:rsidRPr="00107040">
        <w:rPr>
          <w:sz w:val="28"/>
          <w:szCs w:val="28"/>
        </w:rPr>
        <w:t>E</w:t>
      </w:r>
      <w:r w:rsidRPr="00107040">
        <w:rPr>
          <w:sz w:val="28"/>
          <w:szCs w:val="28"/>
          <w:lang w:val="ru-RU"/>
        </w:rPr>
        <w:t xml:space="preserve"> в белке </w:t>
      </w:r>
      <w:r w:rsidRPr="00107040">
        <w:rPr>
          <w:sz w:val="28"/>
          <w:szCs w:val="28"/>
        </w:rPr>
        <w:t>AtPARG</w:t>
      </w:r>
      <w:r w:rsidRPr="00107040">
        <w:rPr>
          <w:sz w:val="28"/>
          <w:szCs w:val="28"/>
          <w:lang w:val="ru-RU"/>
        </w:rPr>
        <w:t xml:space="preserve">1, демонстрировали длительный период автономной работы в отношении экспрессии генов, контролируемых </w:t>
      </w:r>
      <w:r w:rsidRPr="00107040">
        <w:rPr>
          <w:sz w:val="28"/>
          <w:szCs w:val="28"/>
          <w:lang w:val="kk-KZ"/>
        </w:rPr>
        <w:t>циркадными часами</w:t>
      </w:r>
      <w:r w:rsidRPr="00107040">
        <w:rPr>
          <w:sz w:val="28"/>
          <w:szCs w:val="28"/>
          <w:lang w:val="ru-RU"/>
        </w:rPr>
        <w:t>, и движения</w:t>
      </w:r>
      <w:r w:rsidRPr="00107040">
        <w:rPr>
          <w:sz w:val="28"/>
          <w:szCs w:val="28"/>
          <w:lang w:val="kk-KZ"/>
        </w:rPr>
        <w:t>ми</w:t>
      </w:r>
      <w:r w:rsidRPr="00107040">
        <w:rPr>
          <w:sz w:val="28"/>
          <w:szCs w:val="28"/>
          <w:lang w:val="ru-RU"/>
        </w:rPr>
        <w:t xml:space="preserve"> листьев. Эти мутанты </w:t>
      </w:r>
      <w:r w:rsidRPr="00107040">
        <w:rPr>
          <w:i/>
          <w:sz w:val="28"/>
          <w:szCs w:val="28"/>
        </w:rPr>
        <w:t>tej</w:t>
      </w:r>
      <w:r w:rsidRPr="00107040">
        <w:rPr>
          <w:sz w:val="28"/>
          <w:szCs w:val="28"/>
          <w:lang w:val="ru-RU"/>
        </w:rPr>
        <w:t xml:space="preserve"> также зацвели раньше. Эти фенотипы указывают на общий дефект часов, что делает </w:t>
      </w:r>
      <w:r w:rsidRPr="00107040">
        <w:rPr>
          <w:sz w:val="28"/>
          <w:szCs w:val="28"/>
        </w:rPr>
        <w:t>AtPARG</w:t>
      </w:r>
      <w:r w:rsidRPr="00107040">
        <w:rPr>
          <w:sz w:val="28"/>
          <w:szCs w:val="28"/>
          <w:lang w:val="ru-RU"/>
        </w:rPr>
        <w:t xml:space="preserve">1 компонентом функции часов у растений. Уровни </w:t>
      </w:r>
      <w:r w:rsidRPr="00107040">
        <w:rPr>
          <w:sz w:val="28"/>
          <w:szCs w:val="28"/>
          <w:lang w:val="kk-KZ"/>
        </w:rPr>
        <w:t xml:space="preserve">полимера </w:t>
      </w:r>
      <w:r w:rsidRPr="00107040">
        <w:rPr>
          <w:sz w:val="28"/>
          <w:szCs w:val="28"/>
          <w:lang w:val="ru-RU"/>
        </w:rPr>
        <w:t>поли(АДФ-рибоз</w:t>
      </w:r>
      <w:r w:rsidRPr="00107040">
        <w:rPr>
          <w:sz w:val="28"/>
          <w:szCs w:val="28"/>
          <w:lang w:val="kk-KZ"/>
        </w:rPr>
        <w:t>ы</w:t>
      </w:r>
      <w:r w:rsidRPr="00107040">
        <w:rPr>
          <w:sz w:val="28"/>
          <w:szCs w:val="28"/>
          <w:lang w:val="ru-RU"/>
        </w:rPr>
        <w:t xml:space="preserve">) были повышены у мутантов </w:t>
      </w:r>
      <w:r w:rsidRPr="00107040">
        <w:rPr>
          <w:i/>
          <w:sz w:val="28"/>
          <w:szCs w:val="28"/>
        </w:rPr>
        <w:t>tej</w:t>
      </w:r>
      <w:r w:rsidRPr="00107040">
        <w:rPr>
          <w:sz w:val="28"/>
          <w:szCs w:val="28"/>
          <w:lang w:val="ru-RU"/>
        </w:rPr>
        <w:t xml:space="preserve">, указывая на то, что </w:t>
      </w:r>
      <w:r w:rsidRPr="00107040">
        <w:rPr>
          <w:sz w:val="28"/>
          <w:szCs w:val="28"/>
        </w:rPr>
        <w:t>AtPARG</w:t>
      </w:r>
      <w:r w:rsidRPr="00107040">
        <w:rPr>
          <w:sz w:val="28"/>
          <w:szCs w:val="28"/>
          <w:lang w:val="ru-RU"/>
        </w:rPr>
        <w:t xml:space="preserve">1 является </w:t>
      </w:r>
      <w:r w:rsidRPr="00107040">
        <w:rPr>
          <w:sz w:val="28"/>
          <w:szCs w:val="28"/>
          <w:lang w:val="kk-KZ"/>
        </w:rPr>
        <w:t>настоящим</w:t>
      </w:r>
      <w:r w:rsidRPr="00107040">
        <w:rPr>
          <w:sz w:val="28"/>
          <w:szCs w:val="28"/>
          <w:lang w:val="ru-RU"/>
        </w:rPr>
        <w:t xml:space="preserve"> </w:t>
      </w:r>
      <w:r w:rsidRPr="00107040">
        <w:rPr>
          <w:sz w:val="28"/>
          <w:szCs w:val="28"/>
        </w:rPr>
        <w:t>PARG</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{"citationID":"am5pgb58k2","properties":{"formattedCitation":"[329]","plainCitation":"[329]","noteIndex":0},"citationItems":[{"id":1104,"uris":["http://zotero.org/users/9078202/items/CPUFFNTF"],"itemData":{"id":1104,"type":"article-journal","abstract":"In a genetic screen for altered circadian period length in Arabidopsis, we isolated a mutant with a long free-running period. The tej mutation acts independently of light quality and quantity. It affects clock-controlled transcription of genes in Arabidopsis and alters the timing of the photoperiod-dependent transition from vegetative growth to flowering. Map-based cloning of TEJ identified a poly(ADP-ribose) glycohydrolase (PARG). An inhibitor of poly(ADP-ribosyl)ation rescued the period phenotype of tej mutant and shortened the period length of wild-type plants. Posttranslational poly(ADP-ribosyl)ation of an oscillator component may contribute to setting the period length of the Arabidopsis central oscillator.","container-title":"Developmental Cell","DOI":"10.1016/s1534-5807(02)00200-9","ISSN":"1534-5807","issue":"1","journalAbbreviation":"Dev Cell","language":"eng","note":"PMID: 12110167","page":"51-61","source":"PubMed","title":"tej defines a role for poly(ADP-ribosyl)ation in establishing period length of the arabidopsis circadian oscillator","volume":"3","author":[{"family":"Panda","given":"Satchidananda"},{"family":"Poirier","given":"Guy G."},{"family":"Kay","given":"Steve A."}],"issued":{"date-parts":[["2002",7]]}}}],"schema":"https://github.com/citation-style-language/schema/raw/master/csl-citation.json"} </w:instrText>
      </w:r>
      <w:r w:rsidRPr="00107040">
        <w:rPr>
          <w:sz w:val="28"/>
          <w:szCs w:val="28"/>
          <w:lang w:val="ru-RU"/>
        </w:rPr>
        <w:fldChar w:fldCharType="separate"/>
      </w:r>
      <w:r w:rsidR="008611DC" w:rsidRPr="008611DC">
        <w:rPr>
          <w:sz w:val="28"/>
          <w:lang w:val="ru-RU"/>
        </w:rPr>
        <w:t>[329]</w:t>
      </w:r>
      <w:r w:rsidRPr="00107040">
        <w:rPr>
          <w:sz w:val="28"/>
          <w:szCs w:val="28"/>
          <w:lang w:val="ru-RU"/>
        </w:rPr>
        <w:fldChar w:fldCharType="end"/>
      </w:r>
      <w:r w:rsidRPr="00107040">
        <w:rPr>
          <w:sz w:val="28"/>
          <w:szCs w:val="28"/>
          <w:lang w:val="ru-RU"/>
        </w:rPr>
        <w:t xml:space="preserve">. Поли(АДФ-рибозо)гликогидролазная активность </w:t>
      </w:r>
      <w:r w:rsidRPr="00107040">
        <w:rPr>
          <w:sz w:val="28"/>
          <w:szCs w:val="28"/>
        </w:rPr>
        <w:t>AtPARG</w:t>
      </w:r>
      <w:r w:rsidRPr="00107040">
        <w:rPr>
          <w:sz w:val="28"/>
          <w:szCs w:val="28"/>
          <w:lang w:val="ru-RU"/>
        </w:rPr>
        <w:t xml:space="preserve">1 подтверждена </w:t>
      </w:r>
      <w:r w:rsidRPr="00107040">
        <w:rPr>
          <w:i/>
          <w:sz w:val="28"/>
          <w:szCs w:val="28"/>
        </w:rPr>
        <w:t>in</w:t>
      </w:r>
      <w:r w:rsidRPr="00107040">
        <w:rPr>
          <w:i/>
          <w:sz w:val="28"/>
          <w:szCs w:val="28"/>
          <w:lang w:val="ru-RU"/>
        </w:rPr>
        <w:t xml:space="preserve"> </w:t>
      </w:r>
      <w:r w:rsidRPr="00107040">
        <w:rPr>
          <w:i/>
          <w:sz w:val="28"/>
          <w:szCs w:val="28"/>
        </w:rPr>
        <w:t>vitro</w:t>
      </w:r>
      <w:r w:rsidRPr="00107040">
        <w:rPr>
          <w:sz w:val="28"/>
          <w:szCs w:val="28"/>
          <w:lang w:val="ru-RU"/>
        </w:rPr>
        <w:t xml:space="preserve"> и </w:t>
      </w:r>
      <w:r w:rsidRPr="00107040">
        <w:rPr>
          <w:i/>
          <w:sz w:val="28"/>
          <w:szCs w:val="28"/>
        </w:rPr>
        <w:t>in</w:t>
      </w:r>
      <w:r w:rsidRPr="00107040">
        <w:rPr>
          <w:i/>
          <w:sz w:val="28"/>
          <w:szCs w:val="28"/>
          <w:lang w:val="ru-RU"/>
        </w:rPr>
        <w:t xml:space="preserve"> </w:t>
      </w:r>
      <w:r w:rsidRPr="00107040">
        <w:rPr>
          <w:i/>
          <w:sz w:val="28"/>
          <w:szCs w:val="28"/>
        </w:rPr>
        <w:t>vivo</w:t>
      </w:r>
      <w:r w:rsidR="005061B1">
        <w:rPr>
          <w:sz w:val="28"/>
          <w:szCs w:val="28"/>
          <w:lang w:val="ru-RU"/>
        </w:rPr>
        <w:t xml:space="preserve"> </w:t>
      </w:r>
      <w:r w:rsidR="005061B1">
        <w:rPr>
          <w:sz w:val="28"/>
          <w:szCs w:val="28"/>
          <w:lang w:val="ru-RU"/>
        </w:rPr>
        <w:fldChar w:fldCharType="begin"/>
      </w:r>
      <w:r w:rsidR="00FB5E68">
        <w:rPr>
          <w:sz w:val="28"/>
          <w:szCs w:val="28"/>
          <w:lang w:val="ru-RU"/>
        </w:rPr>
        <w:instrText xml:space="preserve"> ADDIN ZOTERO_ITEM CSL_CITATION {"citationID":"zWZ5nqxl","properties":{"formattedCitation":"[322]","plainCitation":"[322]","noteIndex":0},"citationItems":[{"id":"MPjqK5ng/v6qLSWfx","uris":["http://zotero.org/users/9078202/items/PX5WSTDM"],"itemData":{"id":"JfiSvmjk/Cm0WcrSV","type":"article-journal","abstract":"Perception of microbe-associated molecular patterns (MAMPs) elicits transcriptional reprogramming in hosts and activates defense to pathogen attacks. The molecular mechanisms underlying plant pattern-triggered immunity remain elusive. A genetic screen identified Arabidopsis poly(ADP-ribose) glycohydrolase 1 (atparg1) mutant with elevated immune gene expression upon multiple MAMP and pathogen treatments. Poly(ADP-ribose) glycohydrolase (PARG) is predicted to remove poly(ADP-ribose) polymers on acceptor proteins modified by poly(ADP-ribose) polymerases (PARPs) with three PARPs and two PARGs in Arabidopsis genome. AtPARP1 and AtPARP2 possess poly(ADP-ribose) polymerase activity, and the activity of AtPARP2 was enhanced by MAMP treatment. AtPARG1, but not AtPARG2, carries glycohydrolase activity in vivo and in vitro. Importantly, mutation (G450R) in atparg1 blocks its activity and the corresponding residue is highly conserved and essential for human HsPARG activity. Consistently, mutant atparp1atparp2 plants exhibited compromised immune gene activation and enhanced susceptibility to pathogen infections. Our study indicates that protein poly(ADP-ribosyl)ation plays critical roles in plant immune gene expression and defense to pathogen attacks.","container-title":"PLOS Genetics","DOI":"10.1371/journal.pgen.1004936","ISSN":"1553-7404","issue":"1","journalAbbreviation":"PLOS Genetics","language":"en","note":"publisher: Public Library of Science","page":"e1004936","source":"PLoS Journals","title":"Protein Poly(ADP-ribosyl)ation Regulates Arabidopsis Immune Gene Expression and Defense Responses","URL":"https://journals.plos.org/plosgenetics/article?id=10.1371/journal.pgen.1004936","volume":"11","author":[{"family":"Feng","given":"Baomin"},{"family":"Liu","given":"Chenglong"},{"family":"Oliveira","given":"Marcos V. V.","dropping-particle":"de"},{"family":"Intorne","given":"Aline C."},{"family":"Li","given":"Bo"},{"family":"Babilonia","given":"Kevin"},{"family":"Filho","given":"Gonçalo A. de Souza"},{"family":"Shan","given":"Libo"},{"family":"He","given":"Ping"}],"accessed":{"date-parts":[["2022",4,11]]},"issued":{"date-parts":[["2015",1,8]]}}}],"schema":"https://github.com/citation-style-language/schema/raw/master/csl-citation.json"} </w:instrText>
      </w:r>
      <w:r w:rsidR="005061B1">
        <w:rPr>
          <w:sz w:val="28"/>
          <w:szCs w:val="28"/>
          <w:lang w:val="ru-RU"/>
        </w:rPr>
        <w:fldChar w:fldCharType="separate"/>
      </w:r>
      <w:r w:rsidR="008611DC" w:rsidRPr="008611DC">
        <w:rPr>
          <w:sz w:val="28"/>
          <w:lang w:val="ru-RU"/>
        </w:rPr>
        <w:t>[322]</w:t>
      </w:r>
      <w:r w:rsidR="005061B1">
        <w:rPr>
          <w:sz w:val="28"/>
          <w:szCs w:val="28"/>
          <w:lang w:val="ru-RU"/>
        </w:rPr>
        <w:fldChar w:fldCharType="end"/>
      </w:r>
      <w:r w:rsidRPr="00107040">
        <w:rPr>
          <w:sz w:val="28"/>
          <w:szCs w:val="28"/>
          <w:lang w:val="ru-RU"/>
        </w:rPr>
        <w:t>.</w:t>
      </w:r>
      <w:r w:rsidRPr="00107040">
        <w:rPr>
          <w:sz w:val="28"/>
          <w:szCs w:val="28"/>
          <w:lang w:val="kk-KZ"/>
        </w:rPr>
        <w:t xml:space="preserve"> Вестерн-блоттинг и авторадиография </w:t>
      </w:r>
      <w:r w:rsidRPr="00107040">
        <w:rPr>
          <w:sz w:val="28"/>
          <w:szCs w:val="28"/>
          <w:vertAlign w:val="superscript"/>
          <w:lang w:val="kk-KZ"/>
        </w:rPr>
        <w:t>32</w:t>
      </w:r>
      <w:r w:rsidRPr="00107040">
        <w:rPr>
          <w:sz w:val="28"/>
          <w:szCs w:val="28"/>
          <w:lang w:val="kk-KZ"/>
        </w:rPr>
        <w:t>P-НАД</w:t>
      </w:r>
      <w:r w:rsidRPr="00107040">
        <w:rPr>
          <w:sz w:val="28"/>
          <w:szCs w:val="28"/>
          <w:vertAlign w:val="superscript"/>
          <w:lang w:val="kk-KZ"/>
        </w:rPr>
        <w:t>+</w:t>
      </w:r>
      <w:r w:rsidRPr="00107040">
        <w:rPr>
          <w:sz w:val="28"/>
          <w:szCs w:val="28"/>
          <w:lang w:val="kk-KZ"/>
        </w:rPr>
        <w:t xml:space="preserve"> показали, что рекомбинантный AtPARG1 способен удалять поли(АДФ-рибозу) из аутомодифицированного AtPARP2. Сходным образом совместная экспрессия AtPARP2 и AtPARG1 в протопластах </w:t>
      </w:r>
      <w:r w:rsidRPr="00107040">
        <w:rPr>
          <w:i/>
          <w:sz w:val="28"/>
          <w:szCs w:val="28"/>
          <w:lang w:val="kk-KZ"/>
        </w:rPr>
        <w:t>Arabidopsis</w:t>
      </w:r>
      <w:r w:rsidRPr="00107040">
        <w:rPr>
          <w:sz w:val="28"/>
          <w:szCs w:val="28"/>
          <w:lang w:val="kk-KZ"/>
        </w:rPr>
        <w:t xml:space="preserve"> приводила к значительному удалению поли(АДФ-рибозы) из аутомодифицированного AtPARP2. В отличие от этого, поли(АДФ-рибоза)гликогидролазная активность в отношении аутомодифицированных AtPARP2 или AtPARP1 не была обнаружена для AtPARG2 </w:t>
      </w:r>
      <w:r w:rsidRPr="00107040">
        <w:rPr>
          <w:i/>
          <w:sz w:val="28"/>
          <w:szCs w:val="28"/>
          <w:lang w:val="kk-KZ"/>
        </w:rPr>
        <w:t>in vitro</w:t>
      </w:r>
      <w:r w:rsidRPr="00107040">
        <w:rPr>
          <w:sz w:val="28"/>
          <w:szCs w:val="28"/>
          <w:lang w:val="kk-KZ"/>
        </w:rPr>
        <w:t xml:space="preserve"> и </w:t>
      </w:r>
      <w:r w:rsidRPr="00107040">
        <w:rPr>
          <w:i/>
          <w:sz w:val="28"/>
          <w:szCs w:val="28"/>
          <w:lang w:val="kk-KZ"/>
        </w:rPr>
        <w:t>in vivo</w:t>
      </w:r>
      <w:r w:rsidRPr="00107040">
        <w:rPr>
          <w:sz w:val="28"/>
          <w:szCs w:val="28"/>
          <w:lang w:val="kk-KZ"/>
        </w:rPr>
        <w:t>. Это отсутствие активности нельзя объяснить исключительно наличием полиморфизма в консервативном сигнатурном мотиве PARG в PARG2, поскольку рекомбинантный белок PARG2, несущий консервативный мотив PARG, также не проявлял какой-либо обнаруживаемой активности поли(АДФ-рибоза) гликогидролазы. Поэтому считается, что дополнительные отклонения в последовательности белков AtPARG1 и AtPARG2 объясняют различия в активности ферментов</w:t>
      </w:r>
      <w:r w:rsidR="00074EEA">
        <w:rPr>
          <w:sz w:val="28"/>
          <w:szCs w:val="28"/>
          <w:lang w:val="kk-KZ"/>
        </w:rPr>
        <w:t xml:space="preserve"> </w:t>
      </w:r>
      <w:r w:rsidR="005061B1">
        <w:rPr>
          <w:sz w:val="28"/>
          <w:szCs w:val="28"/>
          <w:lang w:val="kk-KZ"/>
        </w:rPr>
        <w:fldChar w:fldCharType="begin"/>
      </w:r>
      <w:r w:rsidR="00FB5E68">
        <w:rPr>
          <w:sz w:val="28"/>
          <w:szCs w:val="28"/>
          <w:lang w:val="kk-KZ"/>
        </w:rPr>
        <w:instrText xml:space="preserve"> ADDIN ZOTERO_ITEM CSL_CITATION {"citationID":"NWu4QMW6","properties":{"formattedCitation":"[322]","plainCitation":"[322]","noteIndex":0},"citationItems":[{"id":"MPjqK5ng/v6qLSWfx","uris":["http://zotero.org/users/9078202/items/PX5WSTDM"],"itemData":{"id":"JfiSvmjk/Cm0WcrSV","type":"article-journal","abstract":"Perception of microbe-associated molecular patterns (MAMPs) elicits transcriptional reprogramming in hosts and activates defense to pathogen attacks. The molecular mechanisms underlying plant pattern-triggered immunity remain elusive. A genetic screen identified Arabidopsis poly(ADP-ribose) glycohydrolase 1 (atparg1) mutant with elevated immune gene expression upon multiple MAMP and pathogen treatments. Poly(ADP-ribose) glycohydrolase (PARG) is predicted to remove poly(ADP-ribose) polymers on acceptor proteins modified by poly(ADP-ribose) polymerases (PARPs) with three PARPs and two PARGs in Arabidopsis genome. AtPARP1 and AtPARP2 possess poly(ADP-ribose) polymerase activity, and the activity of AtPARP2 was enhanced by MAMP treatment. AtPARG1, but not AtPARG2, carries glycohydrolase activity in vivo and in vitro. Importantly, mutation (G450R) in atparg1 blocks its activity and the corresponding residue is highly conserved and essential for human HsPARG activity. Consistently, mutant atparp1atparp2 plants exhibited compromised immune gene activation and enhanced susceptibility to pathogen infections. Our study indicates that protein poly(ADP-ribosyl)ation plays critical roles in plant immune gene expression and defense to pathogen attacks.","container-title":"PLOS Genetics","DOI":"10.1371/journal.pgen.1004936","ISSN":"1553-7404","issue":"1","journalAbbreviation":"PLOS Genetics","language":"en","note":"publisher: Public Library of Science","page":"e1004936","source":"PLoS Journals","title":"Protein Poly(ADP-ribosyl)ation Regulates Arabidopsis Immune Gene Expression and Defense Responses","URL":"https://journals.plos.org/plosgenetics/article?id=10.1371/journal.pgen.1004936","volume":"11","author":[{"family":"Feng","given":"Baomin"},{"family":"Liu","given":"Chenglong"},{"family":"Oliveira","given":"Marcos V. V.","dropping-particle":"de"},{"family":"Intorne","given":"Aline C."},{"family":"Li","given":"Bo"},{"family":"Babilonia","given":"Kevin"},{"family":"Filho","given":"Gonçalo A. de Souza"},{"family":"Shan","given":"Libo"},{"family":"He","given":"Ping"}],"accessed":{"date-parts":[["2022",4,11]]},"issued":{"date-parts":[["2015",1,8]]}}}],"schema":"https://github.com/citation-style-language/schema/raw/master/csl-citation.json"} </w:instrText>
      </w:r>
      <w:r w:rsidR="005061B1">
        <w:rPr>
          <w:sz w:val="28"/>
          <w:szCs w:val="28"/>
          <w:lang w:val="kk-KZ"/>
        </w:rPr>
        <w:fldChar w:fldCharType="separate"/>
      </w:r>
      <w:r w:rsidR="008611DC" w:rsidRPr="008611DC">
        <w:rPr>
          <w:sz w:val="28"/>
          <w:lang w:val="ru-RU"/>
        </w:rPr>
        <w:t>[322]</w:t>
      </w:r>
      <w:r w:rsidR="005061B1">
        <w:rPr>
          <w:sz w:val="28"/>
          <w:szCs w:val="28"/>
          <w:lang w:val="kk-KZ"/>
        </w:rPr>
        <w:fldChar w:fldCharType="end"/>
      </w:r>
      <w:r w:rsidRPr="00107040">
        <w:rPr>
          <w:sz w:val="28"/>
          <w:szCs w:val="28"/>
          <w:lang w:val="kk-KZ"/>
        </w:rPr>
        <w:t xml:space="preserve">. </w:t>
      </w:r>
    </w:p>
    <w:p w14:paraId="710DEDE3"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kk-KZ"/>
        </w:rPr>
      </w:pPr>
      <w:r w:rsidRPr="00107040">
        <w:rPr>
          <w:sz w:val="28"/>
          <w:szCs w:val="28"/>
          <w:lang w:val="ru-RU"/>
        </w:rPr>
        <w:t xml:space="preserve">Белки, обладающие способностью гидролизовать сложноэфирную связь между рибозой и акцепторной аминокислотой у арабидопсиса, пока не определены. Однако белки, кодируемые локусами </w:t>
      </w:r>
      <w:r w:rsidRPr="00107040">
        <w:rPr>
          <w:sz w:val="28"/>
          <w:szCs w:val="28"/>
        </w:rPr>
        <w:t>At</w:t>
      </w:r>
      <w:r w:rsidRPr="00107040">
        <w:rPr>
          <w:sz w:val="28"/>
          <w:szCs w:val="28"/>
          <w:lang w:val="ru-RU"/>
        </w:rPr>
        <w:t>1</w:t>
      </w:r>
      <w:r w:rsidRPr="00107040">
        <w:rPr>
          <w:sz w:val="28"/>
          <w:szCs w:val="28"/>
        </w:rPr>
        <w:t>g</w:t>
      </w:r>
      <w:r w:rsidRPr="00107040">
        <w:rPr>
          <w:sz w:val="28"/>
          <w:szCs w:val="28"/>
          <w:lang w:val="ru-RU"/>
        </w:rPr>
        <w:t xml:space="preserve">63410, </w:t>
      </w:r>
      <w:r w:rsidRPr="00107040">
        <w:rPr>
          <w:sz w:val="28"/>
          <w:szCs w:val="28"/>
        </w:rPr>
        <w:t>At</w:t>
      </w:r>
      <w:r w:rsidRPr="00107040">
        <w:rPr>
          <w:sz w:val="28"/>
          <w:szCs w:val="28"/>
          <w:lang w:val="ru-RU"/>
        </w:rPr>
        <w:t>1</w:t>
      </w:r>
      <w:r w:rsidRPr="00107040">
        <w:rPr>
          <w:sz w:val="28"/>
          <w:szCs w:val="28"/>
        </w:rPr>
        <w:t>g</w:t>
      </w:r>
      <w:r w:rsidRPr="00107040">
        <w:rPr>
          <w:sz w:val="28"/>
          <w:szCs w:val="28"/>
          <w:lang w:val="ru-RU"/>
        </w:rPr>
        <w:t xml:space="preserve">69340 и </w:t>
      </w:r>
      <w:r w:rsidRPr="00107040">
        <w:rPr>
          <w:sz w:val="28"/>
          <w:szCs w:val="28"/>
        </w:rPr>
        <w:t>At</w:t>
      </w:r>
      <w:r w:rsidRPr="00107040">
        <w:rPr>
          <w:sz w:val="28"/>
          <w:szCs w:val="28"/>
          <w:lang w:val="ru-RU"/>
        </w:rPr>
        <w:t>2</w:t>
      </w:r>
      <w:r w:rsidRPr="00107040">
        <w:rPr>
          <w:sz w:val="28"/>
          <w:szCs w:val="28"/>
        </w:rPr>
        <w:t>g</w:t>
      </w:r>
      <w:r w:rsidRPr="00107040">
        <w:rPr>
          <w:sz w:val="28"/>
          <w:szCs w:val="28"/>
          <w:lang w:val="ru-RU"/>
        </w:rPr>
        <w:t xml:space="preserve">37710, обнаруживают значительную гомологию с описанными выше белками </w:t>
      </w:r>
      <w:r w:rsidRPr="00107040">
        <w:rPr>
          <w:sz w:val="28"/>
          <w:szCs w:val="28"/>
        </w:rPr>
        <w:t>MacroD</w:t>
      </w:r>
      <w:r w:rsidRPr="00107040">
        <w:rPr>
          <w:sz w:val="28"/>
          <w:szCs w:val="28"/>
          <w:lang w:val="ru-RU"/>
        </w:rPr>
        <w:t xml:space="preserve">1 и </w:t>
      </w:r>
      <w:r w:rsidRPr="00107040">
        <w:rPr>
          <w:sz w:val="28"/>
          <w:szCs w:val="28"/>
        </w:rPr>
        <w:t>MacroD</w:t>
      </w:r>
      <w:r w:rsidRPr="00107040">
        <w:rPr>
          <w:sz w:val="28"/>
          <w:szCs w:val="28"/>
          <w:lang w:val="ru-RU"/>
        </w:rPr>
        <w:t xml:space="preserve">2 человека и, таким образом, являются кандидатами на эту функцию. По-видимому, не существует белков </w:t>
      </w:r>
      <w:r w:rsidRPr="00107040">
        <w:rPr>
          <w:i/>
          <w:sz w:val="28"/>
          <w:szCs w:val="28"/>
        </w:rPr>
        <w:t>Arabidopsis</w:t>
      </w:r>
      <w:r w:rsidRPr="00107040">
        <w:rPr>
          <w:sz w:val="28"/>
          <w:szCs w:val="28"/>
          <w:lang w:val="ru-RU"/>
        </w:rPr>
        <w:t xml:space="preserve">, гомологичных человеческим </w:t>
      </w:r>
      <w:r w:rsidRPr="00107040">
        <w:rPr>
          <w:sz w:val="28"/>
          <w:szCs w:val="28"/>
        </w:rPr>
        <w:t>ARH</w:t>
      </w:r>
      <w:r w:rsidRPr="00107040">
        <w:rPr>
          <w:sz w:val="28"/>
          <w:szCs w:val="28"/>
          <w:lang w:val="ru-RU"/>
        </w:rPr>
        <w:t xml:space="preserve">3 и </w:t>
      </w:r>
      <w:r w:rsidRPr="00107040">
        <w:rPr>
          <w:sz w:val="28"/>
          <w:szCs w:val="28"/>
        </w:rPr>
        <w:t>TARG</w:t>
      </w:r>
      <w:r w:rsidRPr="00107040">
        <w:rPr>
          <w:sz w:val="28"/>
          <w:szCs w:val="28"/>
          <w:lang w:val="ru-RU"/>
        </w:rPr>
        <w:t>1.</w:t>
      </w:r>
      <w:r w:rsidRPr="00107040">
        <w:rPr>
          <w:sz w:val="28"/>
          <w:szCs w:val="28"/>
          <w:lang w:val="kk-KZ"/>
        </w:rPr>
        <w:t xml:space="preserve"> </w:t>
      </w:r>
    </w:p>
    <w:p w14:paraId="3E6C1DBE"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kk-KZ"/>
        </w:rPr>
      </w:pPr>
    </w:p>
    <w:p w14:paraId="54BDDAAA" w14:textId="5239CCE7" w:rsidR="00107040" w:rsidRPr="00107040" w:rsidRDefault="00107040" w:rsidP="00107040">
      <w:pPr>
        <w:pStyle w:val="p"/>
        <w:shd w:val="clear" w:color="auto" w:fill="FFFFFF"/>
        <w:spacing w:before="0" w:beforeAutospacing="0" w:after="0" w:afterAutospacing="0"/>
        <w:ind w:firstLine="567"/>
        <w:jc w:val="both"/>
        <w:rPr>
          <w:b/>
          <w:sz w:val="28"/>
          <w:szCs w:val="28"/>
          <w:lang w:val="kk-KZ"/>
        </w:rPr>
      </w:pPr>
      <w:bookmarkStart w:id="45" w:name="_Hlk113268476"/>
      <w:r w:rsidRPr="00107040">
        <w:rPr>
          <w:b/>
          <w:sz w:val="28"/>
          <w:szCs w:val="28"/>
          <w:lang w:val="kk-KZ"/>
        </w:rPr>
        <w:t xml:space="preserve">1.9 </w:t>
      </w:r>
      <w:r w:rsidR="008C6134">
        <w:rPr>
          <w:b/>
          <w:sz w:val="28"/>
          <w:szCs w:val="28"/>
          <w:lang w:val="kk-KZ"/>
        </w:rPr>
        <w:t>Роль р</w:t>
      </w:r>
      <w:r w:rsidRPr="00107040">
        <w:rPr>
          <w:b/>
          <w:sz w:val="28"/>
          <w:szCs w:val="28"/>
          <w:lang w:val="kk-KZ"/>
        </w:rPr>
        <w:t>астительны</w:t>
      </w:r>
      <w:r w:rsidR="008C6134">
        <w:rPr>
          <w:b/>
          <w:sz w:val="28"/>
          <w:szCs w:val="28"/>
          <w:lang w:val="kk-KZ"/>
        </w:rPr>
        <w:t>х</w:t>
      </w:r>
      <w:r w:rsidRPr="00107040">
        <w:rPr>
          <w:b/>
          <w:sz w:val="28"/>
          <w:szCs w:val="28"/>
          <w:lang w:val="kk-KZ"/>
        </w:rPr>
        <w:t xml:space="preserve"> PARP в реакци</w:t>
      </w:r>
      <w:r w:rsidR="008C6134">
        <w:rPr>
          <w:b/>
          <w:sz w:val="28"/>
          <w:szCs w:val="28"/>
          <w:lang w:val="kk-KZ"/>
        </w:rPr>
        <w:t>ях</w:t>
      </w:r>
      <w:r w:rsidRPr="00107040">
        <w:rPr>
          <w:b/>
          <w:sz w:val="28"/>
          <w:szCs w:val="28"/>
          <w:lang w:val="kk-KZ"/>
        </w:rPr>
        <w:t xml:space="preserve"> на повреждение ДНК и целостности генома</w:t>
      </w:r>
    </w:p>
    <w:bookmarkEnd w:id="45"/>
    <w:p w14:paraId="127A8108" w14:textId="3DA9567B"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kk-KZ"/>
        </w:rPr>
        <w:t>В течение примерно 40 лет работы над поли(АДФ-рибози</w:t>
      </w:r>
      <w:r w:rsidR="0067118F" w:rsidRPr="0067118F">
        <w:rPr>
          <w:sz w:val="28"/>
          <w:szCs w:val="28"/>
          <w:lang w:val="ru-RU"/>
        </w:rPr>
        <w:t>)</w:t>
      </w:r>
      <w:r w:rsidRPr="00107040">
        <w:rPr>
          <w:sz w:val="28"/>
          <w:szCs w:val="28"/>
          <w:lang w:val="kk-KZ"/>
        </w:rPr>
        <w:t xml:space="preserve">лированием у растений различные исследования показали, что растительные белки PARP являются компонентами ответов на повреждение ДНК, сходными с их аналогами у млекопитающих. Экспрессия AtPARP1 и AtPARP2, но не AtPARP3, индуцируется обработкой агентами, повреждающими ДНК, такими как ионизирующее излучение, зеоцин (радиомиметрический препарат, индуцирующий DSB) или цисплатин (ингибитор репликации ДНК путем перекрестного связывания соседних гуаниновых оснований) у арабидопсиса </w:t>
      </w:r>
      <w:r w:rsidRPr="00107040">
        <w:rPr>
          <w:sz w:val="28"/>
          <w:szCs w:val="28"/>
          <w:lang w:val="kk-KZ"/>
        </w:rPr>
        <w:fldChar w:fldCharType="begin"/>
      </w:r>
      <w:r w:rsidR="008611DC">
        <w:rPr>
          <w:sz w:val="28"/>
          <w:szCs w:val="28"/>
          <w:lang w:val="kk-KZ"/>
        </w:rPr>
        <w:instrText xml:space="preserve"> ADDIN ZOTERO_ITEM CSL_CITATION {"citationID":"a2bbes9ngrr","properties":{"formattedCitation":"[320,330,331]","plainCitation":"[320,330,331]","noteIndex":0},"citationItems":[{"id":249,"uris":["http://zotero.org/users/9078202/items/9SNUKG3E"],"itemData":{"id":249,"type":"article-journal","abstract":"By screening for Arabidopsis genes activated by ionising radiation (IR)-induced DNA damage, we have isolated a cDNA hybridising with a 3.2-kb mRNA that accumulates rapidly and strongly in irradiated cell suspensions or whole plants. The cDNA codes for a 110-kDa protein that is highly homologous to the 116-kDa vertebrate poly(ADP-ribose) polymerase (PARP-1). It is recognised by a human anti-PARP-1 antibody, binds efficiently to DNA strand interruptions in vitro, and catalyses DNA damage-dependent (ADP-ribose) polymer synthesis. We have named this protein AtPARP-1. We have also extended our observations to the Arabidopsis app (AtPARP-2) gene, demonstrating for the first time that IR-induced DNA strand interruptions induce rapid and massive accumulation of AtPARP-1 and AtPARP-2 transcripts, whereas dehydration and cadmium preferentially induce the accumulation of AtPARP-2 transcripts. The IR-induced PARP gene expression seen in Arabidopsis is in striking contrast to the post-translational activation of the PARP-1 protein that is associated with genotoxic stress in animal cells. AtPARP-1 transcripts accumulate in all plant organs after exposure to ionising radiation, but this is followed by an increase in AtPARP-1 protein levels only in tissues that contain large amounts of actively dividing cells. This cell-type specific accumulation of AtPARP-1 protein in response to DNA damage is compatible with a role for the AtPARP-1 protein in the maintenance of DNA integrity during replication, similar to the role of \"guardian of the genome\" attributed to its animal counterpart.","container-title":"Molecular genetics and genomics: MGG","DOI":"10.1007/s004380100506","ISSN":"1617-4615","issue":"6","journalAbbreviation":"Mol Genet Genomics","language":"eng","note":"PMID: 11523787","page":"954-963","source":"PubMed","title":"Ionising radiation induces the expression of PARP-1 and PARP-2 genes in Arabidopsis","volume":"265","author":[{"family":"Doucet-Chabeaud","given":"G."},{"family":"Godon","given":"C."},{"family":"Brutesco","given":"C."},{"family":"Murcia","given":"G.","non-dropping-particle":"de"},{"family":"Kazmaier","given":"M."}],"issued":{"date-parts":[["2001",8]]}}},{"id":247,"uris":["http://zotero.org/users/9078202/items/BMAABXKV"],"itemData":{"id":247,"type":"article-journal","abstract":"Maintaining the length of the telomere tract at chromosome ends is a complex process vital to normal cell division. Telomere length is controlled through the action of telomerase as well as a cadre of telomere-associated proteins that facilitate replication of the chromosome end and protect it from eliciting a DNA damage response. In vertebrates, multiple poly(ADP-ribose) polymerases (PARPs) have been implicated in the regulation of telomere length, telomerase activity and chromosome end protection. Here we investigate the role of PARPs in plant telomere biology. We analyzed Arabidopsis thaliana mutants null for PARP1 and PARP2 as well as plants treated with the PARP competitive inhibitor 3-AB. Plants deficient in PARP were hypersensitive to genotoxic stress, and expression of PARP1 and PARP2 mRNA was elevated in response to MMS or zeocin treatment or by the loss of telomerase. Additionally, PARP1 mRNA was induced in parp2 mutants, and conversely, PARP2 mRNA was induced in parp1 mutants. PARP3 mRNA, by contrast, was elevated in both parp1 and parp2 mutants, but not in seedlings treated with 3-AB or zeocin. PARP mutants and 3-AB treated plants displayed robust telomerase activity, no significant changes in telomere length, and no end-to-end chromosome fusions. Although there remains a possibility that PARPs play a role in Arabidopsis telomere biology, these findings argue that the contribution is a minor one.","container-title":"PLOS ONE","DOI":"10.1371/journal.pone.0088872","ISSN":"1932-6203","issue":"2","journalAbbreviation":"PLOS ONE","language":"en","note":"publisher: Public Library of Science","page":"e88872","source":"PLoS Journals","title":"Analysis of Poly(ADP-Ribose) Polymerases in Arabidopsis Telomere Biology","URL":"https://journals.plos.org/plosone/article?id=10.1371/journal.pone.0088872","volume":"9","author":[{"family":"Boltz","given":"Kara A."},{"family":"Jasti","given":"Madhu"},{"family":"Townley","given":"Jennifer M."},{"family":"Shippen","given":"Dorothy E."}],"accessed":{"date-parts":[["2022",4,11]]},"issued":{"date-parts":[["2014",2,13]]}}},{"id":1643,"uris":["http://zotero.org/users/9078202/items/QNNJY72Y"],"itemData":{"id":1643,"type":"article-journal","abstract":"DNA damage is a significant problem in living organisms and DNA repair pathways have been evolved in different species to maintain genomic stability. Here we demonstrated the molecular function of AtMMS21, a component of SMC5/6 complex, in plant DNA damage response. Compared with wild type, the AtMMS21 mutant plants show hypersensitivity in the DNA damaging treatments by MMS, cisplatin and gamma radiation. However, mms21-1 is not sensitive to replication blocking agents hydroxyurea and aphidicolin. The expression of a DNA damage response gene PARP2 is upregulated in mms21-1 under normal condition, suggesting that this signaling pathway is constitutively activated in the mutant. Depletion of ATAXIA-TELANGIECTASIA MUTATED (ATM) in mms21-1 enhances its root growth defect phenotype, indicating that ATM and AtMMS21 may play additive roles in DNA damage pathway. The analysis of homologous recombination frequency showed that the number of recombination events is reduced in mms21-1 mutant. Conclusively, we provided evidence that AtMMS21 plays an important role in homologous recombination for DNA damage repair.","container-title":"DNA repair","DOI":"10.1016/j.dnarep.2014.04.006","ISSN":"1568-7856","journalAbbreviation":"DNA Repair (Amst)","language":"eng","note":"PMID: 24795278","page":"140-147","source":"PubMed","title":"AtMMS21 regulates DNA damage response and homologous recombination repair in Arabidopsis","volume":"21","author":[{"family":"Yuan","given":"Dongke"},{"family":"Lai","given":"Jianbin"},{"family":"Xu","given":"Panglian"},{"family":"Zhang","given":"Shengchun"},{"family":"Zhang","given":"Juanjuan"},{"family":"Li","given":"Chunxin"},{"family":"Wang","given":"Yaqin"},{"family":"Du","given":"Jinju"},{"family":"Liu","given":"Yiyang"},{"family":"Yang","given":"Chengwei"}],"issued":{"date-parts":[["2014",9]]}}}],"schema":"https://github.com/citation-style-language/schema/raw/master/csl-citation.json"} </w:instrText>
      </w:r>
      <w:r w:rsidRPr="00107040">
        <w:rPr>
          <w:sz w:val="28"/>
          <w:szCs w:val="28"/>
          <w:lang w:val="kk-KZ"/>
        </w:rPr>
        <w:fldChar w:fldCharType="separate"/>
      </w:r>
      <w:r w:rsidR="008611DC" w:rsidRPr="008611DC">
        <w:rPr>
          <w:sz w:val="28"/>
          <w:lang w:val="ru-RU"/>
        </w:rPr>
        <w:t>[320,330,331]</w:t>
      </w:r>
      <w:r w:rsidRPr="00107040">
        <w:rPr>
          <w:sz w:val="28"/>
          <w:szCs w:val="28"/>
          <w:lang w:val="kk-KZ"/>
        </w:rPr>
        <w:fldChar w:fldCharType="end"/>
      </w:r>
      <w:r w:rsidRPr="00107040">
        <w:rPr>
          <w:sz w:val="28"/>
          <w:szCs w:val="28"/>
          <w:lang w:val="kk-KZ"/>
        </w:rPr>
        <w:t xml:space="preserve">. Экспрессия AtPARP3 индуцировалась только в отсутствие AtPARP1 или AtPARP2 </w:t>
      </w:r>
      <w:r w:rsidRPr="00107040">
        <w:rPr>
          <w:sz w:val="28"/>
          <w:szCs w:val="28"/>
          <w:lang w:val="kk-KZ"/>
        </w:rPr>
        <w:fldChar w:fldCharType="begin"/>
      </w:r>
      <w:r w:rsidR="008611DC">
        <w:rPr>
          <w:sz w:val="28"/>
          <w:szCs w:val="28"/>
          <w:lang w:val="kk-KZ"/>
        </w:rPr>
        <w:instrText xml:space="preserve"> ADDIN ZOTERO_ITEM CSL_CITATION {"citationID":"a1arpckd6sr","properties":{"formattedCitation":"[331]","plainCitation":"[331]","noteIndex":0},"citationItems":[{"id":1643,"uris":["http://zotero.org/users/9078202/items/QNNJY72Y"],"itemData":{"id":1643,"type":"article-journal","abstract":"DNA damage is a significant problem in living organisms and DNA repair pathways have been evolved in different species to maintain genomic stability. Here we demonstrated the molecular function of AtMMS21, a component of SMC5/6 complex, in plant DNA damage response. Compared with wild type, the AtMMS21 mutant plants show hypersensitivity in the DNA damaging treatments by MMS, cisplatin and gamma radiation. However, mms21-1 is not sensitive to replication blocking agents hydroxyurea and aphidicolin. The expression of a DNA damage response gene PARP2 is upregulated in mms21-1 under normal condition, suggesting that this signaling pathway is constitutively activated in the mutant. Depletion of ATAXIA-TELANGIECTASIA MUTATED (ATM) in mms21-1 enhances its root growth defect phenotype, indicating that ATM and AtMMS21 may play additive roles in DNA damage pathway. The analysis of homologous recombination frequency showed that the number of recombination events is reduced in mms21-1 mutant. Conclusively, we provided evidence that AtMMS21 plays an important role in homologous recombination for DNA damage repair.","container-title":"DNA repair","DOI":"10.1016/j.dnarep.2014.04.006","ISSN":"1568-7856","journalAbbreviation":"DNA Repair (Amst)","language":"eng","note":"PMID: 24795278","page":"140-147","source":"PubMed","title":"AtMMS21 regulates DNA damage response and homologous recombination repair in Arabidopsis","volume":"21","author":[{"family":"Yuan","given":"Dongke"},{"family":"Lai","given":"Jianbin"},{"family":"Xu","given":"Panglian"},{"family":"Zhang","given":"Shengchun"},{"family":"Zhang","given":"Juanjuan"},{"family":"Li","given":"Chunxin"},{"family":"Wang","given":"Yaqin"},{"family":"Du","given":"Jinju"},{"family":"Liu","given":"Yiyang"},{"family":"Yang","given":"Chengwei"}],"issued":{"date-parts":[["2014",9]]}}}],"schema":"https://github.com/citation-style-language/schema/raw/master/csl-citation.json"} </w:instrText>
      </w:r>
      <w:r w:rsidRPr="00107040">
        <w:rPr>
          <w:sz w:val="28"/>
          <w:szCs w:val="28"/>
          <w:lang w:val="kk-KZ"/>
        </w:rPr>
        <w:fldChar w:fldCharType="separate"/>
      </w:r>
      <w:r w:rsidR="008611DC" w:rsidRPr="008611DC">
        <w:rPr>
          <w:sz w:val="28"/>
          <w:lang w:val="ru-RU"/>
        </w:rPr>
        <w:t>[331]</w:t>
      </w:r>
      <w:r w:rsidRPr="00107040">
        <w:rPr>
          <w:sz w:val="28"/>
          <w:szCs w:val="28"/>
          <w:lang w:val="kk-KZ"/>
        </w:rPr>
        <w:fldChar w:fldCharType="end"/>
      </w:r>
      <w:r w:rsidRPr="00107040">
        <w:rPr>
          <w:sz w:val="28"/>
          <w:szCs w:val="28"/>
          <w:lang w:val="kk-KZ"/>
        </w:rPr>
        <w:t xml:space="preserve">. Напротив, экспрессия HvPARP3 индуцировалась </w:t>
      </w:r>
      <w:r w:rsidRPr="00107040">
        <w:rPr>
          <w:sz w:val="28"/>
          <w:szCs w:val="28"/>
          <w:lang w:val="kk-KZ"/>
        </w:rPr>
        <w:lastRenderedPageBreak/>
        <w:t xml:space="preserve">в корнях ячменя в ответ на блеомицин (гликопептид, который в основном индуцирует DSB) </w:t>
      </w:r>
      <w:r w:rsidRPr="00107040">
        <w:rPr>
          <w:sz w:val="28"/>
          <w:szCs w:val="28"/>
          <w:lang w:val="kk-KZ"/>
        </w:rPr>
        <w:fldChar w:fldCharType="begin"/>
      </w:r>
      <w:r w:rsidR="008611DC">
        <w:rPr>
          <w:sz w:val="28"/>
          <w:szCs w:val="28"/>
          <w:lang w:val="kk-KZ"/>
        </w:rPr>
        <w:instrText xml:space="preserve"> ADDIN ZOTERO_ITEM CSL_CITATION {"citationID":"hAH9nqYk","properties":{"formattedCitation":"[332]","plainCitation":"[332]","noteIndex":0},"citationItems":[{"id":1645,"uris":["http://zotero.org/users/9078202/items/2VEELFJ4"],"itemData":{"id":1645,"type":"article-journal","abstract":"Genome integrity is constantly challenged by endo- and exogenous DNA-damaging factors. The influence of genotoxic agents causes an accumulation of DNA lesions, which if not repaired, become mutations that can cause various abnormalities in a cell metabolism. The main pathway of DSB repair, which is based on non-homologous recombination, is canonical non-homologous end joining (C-NHEJ). It has been shown that this mechanism is highly conserved in both Pro- and Eukaryotes. The mechanisms that underlie DSB repair through C-NHEJ have mainly been investigated in mammalian systems, and therefore our knowledge about this process is much more limited as far as plants, and crop plants in particular, are concerned. Recent studies have demonstrated that PARP3 is an important response factor to the presence of DSB in a genome. The aims of this study were to identify the sequence of the barley PARP3 gene, to perform a mutational analysis of the sequence that was identified using the TILLING (Targeting Induced Local Lesions IN Genomes) method and to phenotype the mutants that were identified through their exposure to mutagenic treatment with the DSB-inducing chemical--bleomycin. A functional analysis led to the identification of a series of parp3 alleles. The mutants were characterized using several different approaches, including quantifying the DSB and γH2AX foci, which validated the function of the HvPARP3 gene in DSB repair in barley. The potential involvement of the HvPARP3 gene in the regulation of telomere length in barley was also analyzed.","container-title":"DNA repair","DOI":"10.1016/j.dnarep.2015.02.018","ISSN":"1568-7856","journalAbbreviation":"DNA Repair (Amst)","language":"eng","note":"PMID: 25753810","page":"116-130","source":"PubMed","title":"Alleles of newly identified barley gene HvPARP3 exhibit changes in efficiency of DNA repair","volume":"28","author":[{"family":"Stolarek","given":"Magdalena"},{"family":"Gruszka","given":"Damian"},{"family":"Braszewska-Zalewska","given":"Agnieszka"},{"family":"Maluszynski","given":"Miroslaw"}],"issued":{"date-parts":[["2015",4]]}}}],"schema":"https://github.com/citation-style-language/schema/raw/master/csl-citation.json"} </w:instrText>
      </w:r>
      <w:r w:rsidRPr="00107040">
        <w:rPr>
          <w:sz w:val="28"/>
          <w:szCs w:val="28"/>
          <w:lang w:val="kk-KZ"/>
        </w:rPr>
        <w:fldChar w:fldCharType="separate"/>
      </w:r>
      <w:r w:rsidR="008611DC" w:rsidRPr="008611DC">
        <w:rPr>
          <w:sz w:val="28"/>
          <w:lang w:val="ru-RU"/>
        </w:rPr>
        <w:t>[332]</w:t>
      </w:r>
      <w:r w:rsidRPr="00107040">
        <w:rPr>
          <w:sz w:val="28"/>
          <w:szCs w:val="28"/>
          <w:lang w:val="kk-KZ"/>
        </w:rPr>
        <w:fldChar w:fldCharType="end"/>
      </w:r>
      <w:r w:rsidRPr="00107040">
        <w:rPr>
          <w:sz w:val="28"/>
          <w:szCs w:val="28"/>
          <w:lang w:val="kk-KZ"/>
        </w:rPr>
        <w:t xml:space="preserve">. Подобно экспрессии PARP, активность AtPARP индуцировалась агентами, повреждающими ДНК, такими как зеоцин и рентгеновское облучение </w:t>
      </w:r>
      <w:r w:rsidRPr="00107040">
        <w:rPr>
          <w:sz w:val="28"/>
          <w:szCs w:val="28"/>
          <w:lang w:val="kk-KZ"/>
        </w:rPr>
        <w:fldChar w:fldCharType="begin"/>
      </w:r>
      <w:r w:rsidR="008611DC">
        <w:rPr>
          <w:sz w:val="28"/>
          <w:szCs w:val="28"/>
          <w:lang w:val="kk-KZ"/>
        </w:rPr>
        <w:instrText xml:space="preserve"> ADDIN ZOTERO_ITEM CSL_CITATION {"citationID":"B9XovzZu","properties":{"formattedCitation":"[333,334]","plainCitation":"[333,334]","noteIndex":0},"citationItems":[{"id":1651,"uris":["http://zotero.org/users/9078202/items/M462RQEV"],"itemData":{"id":1651,"type":"article-journal","abstract":"Root organogenesis involves cell division, differentiation and expansion. The molecular mechanisms regulating root development are not fully understood. In this study, we identified poly(adenosine diphosphate (ADP)-ribose) polymerases (PARPs) as new players in root development. PARP catalyzes poly(ADP-ribosyl)ation of proteins by repeatedly adding ADP-ribose units onto proteins using nicotinamide adenine dinucleotide (NAD+) as the donor. We found that inhibition of PARP activities by 3-aminobenzomide (3-AB) increased the growth rates of both primary and lateral roots, leading to a more developed root system. The double mutant of Arabidopsis PARPs, parp1parp2, showed more rapid primary and lateral root growth. Cyclin genes regulating G1-to-S and G2-to-M transition were up-regulated upon treatment by 3-AB. The proportion of 2C cells increased while cells with higher DNA ploidy declined in the roots of treated plants, resulting in an enlarged root meristematic zone. The expression level of PARP2 was very low in the meristematic zone but high in the maturation zone, consistent with a role of PARP in inhibiting mitosis and promoting cell differentiation. Our results suggest that PARPs play an important role in root development by negatively regulating root cell division.","container-title":"Journal of Integrative Plant Biology","DOI":"10.1111/jipb.12530","ISSN":"1744-7909","issue":"7","language":"en","note":"_eprint: https://onlinelibrary.wiley.com/doi/pdf/10.1111/jipb.12530","page":"459-474","source":"Wiley Online Library","title":"Poly(ADP-ribose) polymerases regulate cell division and development in Arabidopsis roots","URL":"https://onlinelibrary.wiley.com/doi/abs/10.1111/jipb.12530","volume":"59","author":[{"family":"Liu","given":"Caifeng"},{"family":"Wu","given":"Qiao"},{"family":"Liu","given":"Weiwei"},{"family":"Gu","given":"Zongyin"},{"family":"Wang","given":"Wenjing"},{"family":"Xu","given":"Ping"},{"family":"Ma","given":"Hong"},{"family":"Ge","given":"Xiaochun"}],"accessed":{"date-parts":[["2022",9,6]]},"issued":{"date-parts":[["2017"]]}}},{"id":1934,"uris":["http://zotero.org/users/9078202/items/7IXEHWXC"],"itemData":{"id":1934,"type":"article-journal","abstract":"Ionising radiation may have different effects on plant metabolism, growth and reproduction, depending on radiation dose, plant species, developmental stage and physiological traits. In this study, exposure of dwarf bean plants to different doses of X-rays (0.3, 10, 50, 100 Gy) was investigated with a multidisciplinary approach consisting of morphological, ecophysiological and biochemical analysis. Both mature and young leaves still growing during the X-rays exposure were compared with non-irradiated control leaves. In particular, leaf expansion, leaf anatomy and functional traits, as well as photosynthetic pigment content and Rubisco expression were analysed. Moreover, the activity of poly(ADP-ribose) polymerase (PARP) was also measured as an indicator of radiation-induced DNA damage. Our data showed that leaf growth is affected by high levels of radiation and demonstrate that mature leaves are more radio-resistant than young leaves, which experience severe dose-dependent changes in leaf functional traits. In particular, young leaves exhibited a reduction of area and an increase in specific mass and dry matter content, as well as a decline in Rubisco activity. Moreover, they showed elevated PARP activity and an increase in phenolic compounds in wall cells if compared with mature leaves. Both of these strategies have been interpreted as a way to help developing leaves withstand irradiation.","container-title":"Plant Biology (Stuttgart, Germany)","DOI":"10.1111/plb.12076","ISSN":"1438-8677","journalAbbreviation":"Plant Biol (Stuttg)","language":"eng","note":"PMID: 24373016","page":"194-202","source":"PubMed","title":"Growth alteration and leaf biochemical responses in Phaseolus vulgaris exposed to different doses of ionising radiation","volume":"16 Suppl 1","author":[{"family":"Arena","given":"C."},{"family":"De Micco","given":"V."},{"family":"De Maio","given":"A."}],"issued":{"date-parts":[["2014",1]]}}}],"schema":"https://github.com/citation-style-language/schema/raw/master/csl-citation.json"} </w:instrText>
      </w:r>
      <w:r w:rsidRPr="00107040">
        <w:rPr>
          <w:sz w:val="28"/>
          <w:szCs w:val="28"/>
          <w:lang w:val="kk-KZ"/>
        </w:rPr>
        <w:fldChar w:fldCharType="separate"/>
      </w:r>
      <w:r w:rsidR="008611DC" w:rsidRPr="008611DC">
        <w:rPr>
          <w:sz w:val="28"/>
          <w:lang w:val="ru-RU"/>
        </w:rPr>
        <w:t>[333,334]</w:t>
      </w:r>
      <w:r w:rsidRPr="00107040">
        <w:rPr>
          <w:sz w:val="28"/>
          <w:szCs w:val="28"/>
          <w:lang w:val="kk-KZ"/>
        </w:rPr>
        <w:fldChar w:fldCharType="end"/>
      </w:r>
      <w:r w:rsidRPr="00107040">
        <w:rPr>
          <w:sz w:val="28"/>
          <w:szCs w:val="28"/>
          <w:lang w:val="kk-KZ"/>
        </w:rPr>
        <w:t xml:space="preserve">. Рекомбинантные AtPARP1 и AtPARP2 активируются при ДНК с разрывом, как показано автомодификацией рекомбинантных белков AtPARP </w:t>
      </w:r>
      <w:r w:rsidRPr="00107040">
        <w:rPr>
          <w:sz w:val="28"/>
          <w:szCs w:val="28"/>
          <w:lang w:val="kk-KZ"/>
        </w:rPr>
        <w:fldChar w:fldCharType="begin"/>
      </w:r>
      <w:r w:rsidR="00FB5E68">
        <w:rPr>
          <w:sz w:val="28"/>
          <w:szCs w:val="28"/>
          <w:lang w:val="kk-KZ"/>
        </w:rPr>
        <w:instrText xml:space="preserve"> ADDIN ZOTERO_ITEM CSL_CITATION {"citationID":"a2ifg19rleg","properties":{"formattedCitation":"[316,320,322,333]","plainCitation":"[316,320,322,333]","noteIndex":0},"citationItems":[{"id":253,"uris":["http://zotero.org/users/9078202/items/XCDNFQWX"],"itemData":{"id":253,"type":"article-journal","abstract":"One of the immediate reactions of the mammalian cell to many environmental stresses is a massive synthesis of poly(ADP-ribose), catalyzed by poly(ADP-ribose) polymerase (PARP). Most of the biological functions attributed to PARP are inferred from experimentation with mammalian cells. In plants, the biology of PARP may be more complicated and diverse than was previously thought. Two poly(ADP-ribose) polymerase homologues were found in plants, the classical Zn-finger-containing polymerase (ZAP) and the structurally non-classical PARP proteins (APP and NAP), which lack the characteristic N-terminal Zn-finger domain. By enzymatic and cytological experiments the recombinant APP protein was shown to be located in the nucleus and to possess DNA-dependent poly(ADP-ribose) polymerase activity in yeast. The nuclear localization was further confirmed by the analysis of transgenic tobacco plants that expressed a translational gene fusion between APP and the bacterial beta-glucuronidase. The app promoter was transcriptionally up-regulated in cells pre-determined to die because of deficiency in a DNA ligase I.","container-title":"The Plant Journal: For Cell and Molecular Biology","DOI":"10.1046/j.1365-313x.1998.00240.x","ISSN":"0960-7412","issue":"5","journalAbbreviation":"Plant J","language":"eng","note":"PMID: 9778846","page":"635-645","source":"PubMed","title":"Higher plants possess two structurally different poly(ADP-ribose) polymerases","volume":"15","author":[{"family":"Babiychuk","given":"E."},{"family":"Cottrill","given":"P. B."},{"family":"Storozhenko","given":"S."},{"family":"Fuangthong","given":"M."},{"family":"Chen","given":"Y."},{"family":"O'Farrell","given":"M. K."},{"family":"Van Montagu","given":"M."},{"family":"Inzé","given":"D."},{"family":"Kushnir","given":"S."}],"issued":{"date-parts":[["1998",9]]}}},{"id":249,"uris":["http://zotero.org/users/9078202/items/9SNUKG3E"],"itemData":{"id":249,"type":"article-journal","abstract":"By screening for Arabidopsis genes activated by ionising radiation (IR)-induced DNA damage, we have isolated a cDNA hybridising with a 3.2-kb mRNA that accumulates rapidly and strongly in irradiated cell suspensions or whole plants. The cDNA codes for a 110-kDa protein that is highly homologous to the 116-kDa vertebrate poly(ADP-ribose) polymerase (PARP-1). It is recognised by a human anti-PARP-1 antibody, binds efficiently to DNA strand interruptions in vitro, and catalyses DNA damage-dependent (ADP-ribose) polymer synthesis. We have named this protein AtPARP-1. We have also extended our observations to the Arabidopsis app (AtPARP-2) gene, demonstrating for the first time that IR-induced DNA strand interruptions induce rapid and massive accumulation of AtPARP-1 and AtPARP-2 transcripts, whereas dehydration and cadmium preferentially induce the accumulation of AtPARP-2 transcripts. The IR-induced PARP gene expression seen in Arabidopsis is in striking contrast to the post-translational activation of the PARP-1 protein that is associated with genotoxic stress in animal cells. AtPARP-1 transcripts accumulate in all plant organs after exposure to ionising radiation, but this is followed by an increase in AtPARP-1 protein levels only in tissues that contain large amounts of actively dividing cells. This cell-type specific accumulation of AtPARP-1 protein in response to DNA damage is compatible with a role for the AtPARP-1 protein in the maintenance of DNA integrity during replication, similar to the role of \"guardian of the genome\" attributed to its animal counterpart.","container-title":"Molecular genetics and genomics: MGG","DOI":"10.1007/s004380100506","ISSN":"1617-4615","issue":"6","journalAbbreviation":"Mol Genet Genomics","language":"eng","note":"PMID: 11523787","page":"954-963","source":"PubMed","title":"Ionising radiation induces the expression of PARP-1 and PARP-2 genes in Arabidopsis","volume":"265","author":[{"family":"Doucet-Chabeaud","given":"G."},{"family":"Godon","given":"C."},{"family":"Brutesco","given":"C."},{"family":"Murcia","given":"G.","non-dropping-particle":"de"},{"family":"Kazmaier","given":"M."}],"issued":{"date-parts":[["2001",8]]}}},{"id":"MPjqK5ng/v6qLSWfx","uris":["http://zotero.org/users/9078202/items/PX5WSTDM"],"itemData":{"id":251,"type":"article-journal","abstract":"Perception of microbe-associated molecular patterns (MAMPs) elicits transcriptional reprogramming in hosts and activates defense to pathogen attacks. The molecular mechanisms underlying plant pattern-triggered immunity remain elusive. A genetic screen identified Arabidopsis poly(ADP-ribose) glycohydrolase 1 (atparg1) mutant with elevated immune gene expression upon multiple MAMP and pathogen treatments. Poly(ADP-ribose) glycohydrolase (PARG) is predicted to remove poly(ADP-ribose) polymers on acceptor proteins modified by poly(ADP-ribose) polymerases (PARPs) with three PARPs and two PARGs in Arabidopsis genome. AtPARP1 and AtPARP2 possess poly(ADP-ribose) polymerase activity, and the activity of AtPARP2 was enhanced by MAMP treatment. AtPARG1, but not AtPARG2, carries glycohydrolase activity in vivo and in vitro. Importantly, mutation (G450R) in atparg1 blocks its activity and the corresponding residue is highly conserved and essential for human HsPARG activity. Consistently, mutant atparp1atparp2 plants exhibited compromised immune gene activation and enhanced susceptibility to pathogen infections. Our study indicates that protein poly(ADP-ribosyl)ation plays critical roles in plant immune gene expression and defense to pathogen attacks.","container-title":"PLOS Genetics","DOI":"10.1371/journal.pgen.1004936","ISSN":"1553-7404","issue":"1","journalAbbreviation":"PLOS Genetics","language":"en","note":"publisher: Public Library of Science","page":"e1004936","source":"PLoS Journals","title":"Protein Poly(ADP-ribosyl)ation Regulates Arabidopsis Immune Gene Expression and Defense Responses","URL":"https://journals.plos.org/plosgenetics/article?id=10.1371/journal.pgen.1004936","volume":"11","author":[{"family":"Feng","given":"Baomin"},{"family":"Liu","given":"Chenglong"},{"family":"Oliveira","given":"Marcos V. V.","dropping-particle":"de"},{"family":"Intorne","given":"Aline C."},{"family":"Li","given":"Bo"},{"family":"Babilonia","given":"Kevin"},{"family":"Filho","given":"Gonçalo A. de Souza"},{"family":"Shan","given":"Libo"},{"family":"He","given":"Ping"}],"accessed":{"date-parts":[["2022",4,11]]},"issued":{"date-parts":[["2015",1,8]]}}},{"id":1651,"uris":["http://zotero.org/users/9078202/items/M462RQEV"],"itemData":{"id":1651,"type":"article-journal","abstract":"Root organogenesis involves cell division, differentiation and expansion. The molecular mechanisms regulating root development are not fully understood. In this study, we identified poly(adenosine diphosphate (ADP)-ribose) polymerases (PARPs) as new players in root development. PARP catalyzes poly(ADP-ribosyl)ation of proteins by repeatedly adding ADP-ribose units onto proteins using nicotinamide adenine dinucleotide (NAD+) as the donor. We found that inhibition of PARP activities by 3-aminobenzomide (3-AB) increased the growth rates of both primary and lateral roots, leading to a more developed root system. The double mutant of Arabidopsis PARPs, parp1parp2, showed more rapid primary and lateral root growth. Cyclin genes regulating G1-to-S and G2-to-M transition were up-regulated upon treatment by 3-AB. The proportion of 2C cells increased while cells with higher DNA ploidy declined in the roots of treated plants, resulting in an enlarged root meristematic zone. The expression level of PARP2 was very low in the meristematic zone but high in the maturation zone, consistent with a role of PARP in inhibiting mitosis and promoting cell differentiation. Our results suggest that PARPs play an important role in root development by negatively regulating root cell division.","container-title":"Journal of Integrative Plant Biology","DOI":"10.1111/jipb.12530","ISSN":"1744-7909","issue":"7","language":"en","note":"_eprint: https://onlinelibrary.wiley.com/doi/pdf/10.1111/jipb.12530","page":"459-474","source":"Wiley Online Library","title":"Poly(ADP-ribose) polymerases regulate cell division and development in Arabidopsis roots","URL":"https://onlinelibrary.wiley.com/doi/abs/10.1111/jipb.12530","volume":"59","author":[{"family":"Liu","given":"Caifeng"},{"family":"Wu","given":"Qiao"},{"family":"Liu","given":"Weiwei"},{"family":"Gu","given":"Zongyin"},{"family":"Wang","given":"Wenjing"},{"family":"Xu","given":"Ping"},{"family":"Ma","given":"Hong"},{"family":"Ge","given":"Xiaochun"}],"accessed":{"date-parts":[["2022",9,6]]},"issued":{"date-parts":[["2017"]]}}}],"schema":"https://github.com/citation-style-language/schema/raw/master/csl-citation.json"} </w:instrText>
      </w:r>
      <w:r w:rsidRPr="00107040">
        <w:rPr>
          <w:sz w:val="28"/>
          <w:szCs w:val="28"/>
          <w:lang w:val="kk-KZ"/>
        </w:rPr>
        <w:fldChar w:fldCharType="separate"/>
      </w:r>
      <w:r w:rsidR="008611DC" w:rsidRPr="008611DC">
        <w:rPr>
          <w:sz w:val="28"/>
          <w:lang w:val="ru-RU"/>
        </w:rPr>
        <w:t>[316,320,322,333]</w:t>
      </w:r>
      <w:r w:rsidRPr="00107040">
        <w:rPr>
          <w:sz w:val="28"/>
          <w:szCs w:val="28"/>
          <w:lang w:val="kk-KZ"/>
        </w:rPr>
        <w:fldChar w:fldCharType="end"/>
      </w:r>
      <w:r w:rsidRPr="00107040">
        <w:rPr>
          <w:sz w:val="28"/>
          <w:szCs w:val="28"/>
          <w:lang w:val="kk-KZ"/>
        </w:rPr>
        <w:t xml:space="preserve">. Для AtPARP2 также была показана автомодификация </w:t>
      </w:r>
      <w:r w:rsidRPr="00107040">
        <w:rPr>
          <w:i/>
          <w:sz w:val="28"/>
          <w:szCs w:val="28"/>
          <w:lang w:val="kk-KZ"/>
        </w:rPr>
        <w:t>in vivo</w:t>
      </w:r>
      <w:r w:rsidR="005061B1">
        <w:rPr>
          <w:sz w:val="28"/>
          <w:szCs w:val="28"/>
          <w:lang w:val="kk-KZ"/>
        </w:rPr>
        <w:t xml:space="preserve"> </w:t>
      </w:r>
      <w:r w:rsidR="005061B1">
        <w:rPr>
          <w:sz w:val="28"/>
          <w:szCs w:val="28"/>
          <w:lang w:val="kk-KZ"/>
        </w:rPr>
        <w:fldChar w:fldCharType="begin"/>
      </w:r>
      <w:r w:rsidR="00FB5E68">
        <w:rPr>
          <w:sz w:val="28"/>
          <w:szCs w:val="28"/>
          <w:lang w:val="kk-KZ"/>
        </w:rPr>
        <w:instrText xml:space="preserve"> ADDIN ZOTERO_ITEM CSL_CITATION {"citationID":"BpZq77uS","properties":{"formattedCitation":"[322]","plainCitation":"[322]","noteIndex":0},"citationItems":[{"id":"MPjqK5ng/v6qLSWfx","uris":["http://zotero.org/users/9078202/items/PX5WSTDM"],"itemData":{"id":"JfiSvmjk/Cm0WcrSV","type":"article-journal","abstract":"Perception of microbe-associated molecular patterns (MAMPs) elicits transcriptional reprogramming in hosts and activates defense to pathogen attacks. The molecular mechanisms underlying plant pattern-triggered immunity remain elusive. A genetic screen identified Arabidopsis poly(ADP-ribose) glycohydrolase 1 (atparg1) mutant with elevated immune gene expression upon multiple MAMP and pathogen treatments. Poly(ADP-ribose) glycohydrolase (PARG) is predicted to remove poly(ADP-ribose) polymers on acceptor proteins modified by poly(ADP-ribose) polymerases (PARPs) with three PARPs and two PARGs in Arabidopsis genome. AtPARP1 and AtPARP2 possess poly(ADP-ribose) polymerase activity, and the activity of AtPARP2 was enhanced by MAMP treatment. AtPARG1, but not AtPARG2, carries glycohydrolase activity in vivo and in vitro. Importantly, mutation (G450R) in atparg1 blocks its activity and the corresponding residue is highly conserved and essential for human HsPARG activity. Consistently, mutant atparp1atparp2 plants exhibited compromised immune gene activation and enhanced susceptibility to pathogen infections. Our study indicates that protein poly(ADP-ribosyl)ation plays critical roles in plant immune gene expression and defense to pathogen attacks.","container-title":"PLOS Genetics","DOI":"10.1371/journal.pgen.1004936","ISSN":"1553-7404","issue":"1","journalAbbreviation":"PLOS Genetics","language":"en","note":"publisher: Public Library of Science","page":"e1004936","source":"PLoS Journals","title":"Protein Poly(ADP-ribosyl)ation Regulates Arabidopsis Immune Gene Expression and Defense Responses","URL":"https://journals.plos.org/plosgenetics/article?id=10.1371/journal.pgen.1004936","volume":"11","author":[{"family":"Feng","given":"Baomin"},{"family":"Liu","given":"Chenglong"},{"family":"Oliveira","given":"Marcos V. V.","dropping-particle":"de"},{"family":"Intorne","given":"Aline C."},{"family":"Li","given":"Bo"},{"family":"Babilonia","given":"Kevin"},{"family":"Filho","given":"Gonçalo A. de Souza"},{"family":"Shan","given":"Libo"},{"family":"He","given":"Ping"}],"accessed":{"date-parts":[["2022",4,11]]},"issued":{"date-parts":[["2015",1,8]]}}}],"schema":"https://github.com/citation-style-language/schema/raw/master/csl-citation.json"} </w:instrText>
      </w:r>
      <w:r w:rsidR="005061B1">
        <w:rPr>
          <w:sz w:val="28"/>
          <w:szCs w:val="28"/>
          <w:lang w:val="kk-KZ"/>
        </w:rPr>
        <w:fldChar w:fldCharType="separate"/>
      </w:r>
      <w:r w:rsidR="008611DC" w:rsidRPr="008611DC">
        <w:rPr>
          <w:sz w:val="28"/>
          <w:lang w:val="ru-RU"/>
        </w:rPr>
        <w:t>[322]</w:t>
      </w:r>
      <w:r w:rsidR="005061B1">
        <w:rPr>
          <w:sz w:val="28"/>
          <w:szCs w:val="28"/>
          <w:lang w:val="kk-KZ"/>
        </w:rPr>
        <w:fldChar w:fldCharType="end"/>
      </w:r>
      <w:r w:rsidRPr="00107040">
        <w:rPr>
          <w:sz w:val="28"/>
          <w:szCs w:val="28"/>
          <w:lang w:val="kk-KZ"/>
        </w:rPr>
        <w:t xml:space="preserve">. Автомодификация белков </w:t>
      </w:r>
      <w:r w:rsidRPr="00107040">
        <w:rPr>
          <w:i/>
          <w:sz w:val="28"/>
          <w:szCs w:val="28"/>
          <w:lang w:val="kk-KZ"/>
        </w:rPr>
        <w:t>in vitro</w:t>
      </w:r>
      <w:r w:rsidRPr="00107040">
        <w:rPr>
          <w:sz w:val="28"/>
          <w:szCs w:val="28"/>
          <w:lang w:val="kk-KZ"/>
        </w:rPr>
        <w:t xml:space="preserve"> и </w:t>
      </w:r>
      <w:r w:rsidRPr="00107040">
        <w:rPr>
          <w:i/>
          <w:sz w:val="28"/>
          <w:szCs w:val="28"/>
          <w:lang w:val="kk-KZ"/>
        </w:rPr>
        <w:t>in vivo</w:t>
      </w:r>
      <w:r w:rsidRPr="00107040">
        <w:rPr>
          <w:sz w:val="28"/>
          <w:szCs w:val="28"/>
          <w:lang w:val="kk-KZ"/>
        </w:rPr>
        <w:t xml:space="preserve"> блокировалась добавлением фармакологического ингибитора PARP 3AB </w:t>
      </w:r>
      <w:r w:rsidRPr="00107040">
        <w:rPr>
          <w:sz w:val="28"/>
          <w:szCs w:val="28"/>
          <w:lang w:val="kk-KZ"/>
        </w:rPr>
        <w:fldChar w:fldCharType="begin"/>
      </w:r>
      <w:r w:rsidR="008611DC">
        <w:rPr>
          <w:sz w:val="28"/>
          <w:szCs w:val="28"/>
          <w:lang w:val="kk-KZ"/>
        </w:rPr>
        <w:instrText xml:space="preserve"> ADDIN ZOTERO_ITEM CSL_CITATION {"citationID":"a1kl8m7m5ef","properties":{"formattedCitation":"[316,333]","plainCitation":"[316,333]","noteIndex":0},"citationItems":[{"id":253,"uris":["http://zotero.org/users/9078202/items/XCDNFQWX"],"itemData":{"id":253,"type":"article-journal","abstract":"One of the immediate reactions of the mammalian cell to many environmental stresses is a massive synthesis of poly(ADP-ribose), catalyzed by poly(ADP-ribose) polymerase (PARP). Most of the biological functions attributed to PARP are inferred from experimentation with mammalian cells. In plants, the biology of PARP may be more complicated and diverse than was previously thought. Two poly(ADP-ribose) polymerase homologues were found in plants, the classical Zn-finger-containing polymerase (ZAP) and the structurally non-classical PARP proteins (APP and NAP), which lack the characteristic N-terminal Zn-finger domain. By enzymatic and cytological experiments the recombinant APP protein was shown to be located in the nucleus and to possess DNA-dependent poly(ADP-ribose) polymerase activity in yeast. The nuclear localization was further confirmed by the analysis of transgenic tobacco plants that expressed a translational gene fusion between APP and the bacterial beta-glucuronidase. The app promoter was transcriptionally up-regulated in cells pre-determined to die because of deficiency in a DNA ligase I.","container-title":"The Plant Journal: For Cell and Molecular Biology","DOI":"10.1046/j.1365-313x.1998.00240.x","ISSN":"0960-7412","issue":"5","journalAbbreviation":"Plant J","language":"eng","note":"PMID: 9778846","page":"635-645","source":"PubMed","title":"Higher plants possess two structurally different poly(ADP-ribose) polymerases","volume":"15","author":[{"family":"Babiychuk","given":"E."},{"family":"Cottrill","given":"P. B."},{"family":"Storozhenko","given":"S."},{"family":"Fuangthong","given":"M."},{"family":"Chen","given":"Y."},{"family":"O'Farrell","given":"M. K."},{"family":"Van Montagu","given":"M."},{"family":"Inzé","given":"D."},{"family":"Kushnir","given":"S."}],"issued":{"date-parts":[["1998",9]]}}},{"id":1651,"uris":["http://zotero.org/users/9078202/items/M462RQEV"],"itemData":{"id":1651,"type":"article-journal","abstract":"Root organogenesis involves cell division, differentiation and expansion. The molecular mechanisms regulating root development are not fully understood. In this study, we identified poly(adenosine diphosphate (ADP)-ribose) polymerases (PARPs) as new players in root development. PARP catalyzes poly(ADP-ribosyl)ation of proteins by repeatedly adding ADP-ribose units onto proteins using nicotinamide adenine dinucleotide (NAD+) as the donor. We found that inhibition of PARP activities by 3-aminobenzomide (3-AB) increased the growth rates of both primary and lateral roots, leading to a more developed root system. The double mutant of Arabidopsis PARPs, parp1parp2, showed more rapid primary and lateral root growth. Cyclin genes regulating G1-to-S and G2-to-M transition were up-regulated upon treatment by 3-AB. The proportion of 2C cells increased while cells with higher DNA ploidy declined in the roots of treated plants, resulting in an enlarged root meristematic zone. The expression level of PARP2 was very low in the meristematic zone but high in the maturation zone, consistent with a role of PARP in inhibiting mitosis and promoting cell differentiation. Our results suggest that PARPs play an important role in root development by negatively regulating root cell division.","container-title":"Journal of Integrative Plant Biology","DOI":"10.1111/jipb.12530","ISSN":"1744-7909","issue":"7","language":"en","note":"_eprint: https://onlinelibrary.wiley.com/doi/pdf/10.1111/jipb.12530","page":"459-474","source":"Wiley Online Library","title":"Poly(ADP-ribose) polymerases regulate cell division and development in Arabidopsis roots","URL":"https://onlinelibrary.wiley.com/doi/abs/10.1111/jipb.12530","volume":"59","author":[{"family":"Liu","given":"Caifeng"},{"family":"Wu","given":"Qiao"},{"family":"Liu","given":"Weiwei"},{"family":"Gu","given":"Zongyin"},{"family":"Wang","given":"Wenjing"},{"family":"Xu","given":"Ping"},{"family":"Ma","given":"Hong"},{"family":"Ge","given":"Xiaochun"}],"accessed":{"date-parts":[["2022",9,6]]},"issued":{"date-parts":[["2017"]]}}}],"schema":"https://github.com/citation-style-language/schema/raw/master/csl-citation.json"} </w:instrText>
      </w:r>
      <w:r w:rsidRPr="00107040">
        <w:rPr>
          <w:sz w:val="28"/>
          <w:szCs w:val="28"/>
          <w:lang w:val="kk-KZ"/>
        </w:rPr>
        <w:fldChar w:fldCharType="separate"/>
      </w:r>
      <w:r w:rsidR="008611DC" w:rsidRPr="008611DC">
        <w:rPr>
          <w:sz w:val="28"/>
          <w:lang w:val="ru-RU"/>
        </w:rPr>
        <w:t>[316,333]</w:t>
      </w:r>
      <w:r w:rsidRPr="00107040">
        <w:rPr>
          <w:sz w:val="28"/>
          <w:szCs w:val="28"/>
          <w:lang w:val="kk-KZ"/>
        </w:rPr>
        <w:fldChar w:fldCharType="end"/>
      </w:r>
      <w:r w:rsidRPr="00107040">
        <w:rPr>
          <w:sz w:val="28"/>
          <w:szCs w:val="28"/>
          <w:lang w:val="kk-KZ"/>
        </w:rPr>
        <w:t xml:space="preserve">.  </w:t>
      </w:r>
    </w:p>
    <w:p w14:paraId="00B4B826" w14:textId="442A42A2"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t xml:space="preserve">В соответствии с повышенной экспрессией и активностью генов генетическое ингибирование </w:t>
      </w:r>
      <w:r w:rsidRPr="00107040">
        <w:rPr>
          <w:sz w:val="28"/>
          <w:szCs w:val="28"/>
        </w:rPr>
        <w:t>AtPARP</w:t>
      </w:r>
      <w:r w:rsidRPr="00107040">
        <w:rPr>
          <w:sz w:val="28"/>
          <w:szCs w:val="28"/>
          <w:lang w:val="ru-RU"/>
        </w:rPr>
        <w:t xml:space="preserve"> в мутантных растениях </w:t>
      </w:r>
      <w:r w:rsidRPr="00107040">
        <w:rPr>
          <w:i/>
          <w:sz w:val="28"/>
          <w:szCs w:val="28"/>
        </w:rPr>
        <w:t>parp</w:t>
      </w:r>
      <w:r w:rsidRPr="00107040">
        <w:rPr>
          <w:i/>
          <w:sz w:val="28"/>
          <w:szCs w:val="28"/>
          <w:lang w:val="ru-RU"/>
        </w:rPr>
        <w:t>1</w:t>
      </w:r>
      <w:r w:rsidRPr="00107040">
        <w:rPr>
          <w:sz w:val="28"/>
          <w:szCs w:val="28"/>
          <w:lang w:val="ru-RU"/>
        </w:rPr>
        <w:t xml:space="preserve"> и </w:t>
      </w:r>
      <w:r w:rsidRPr="00107040">
        <w:rPr>
          <w:i/>
          <w:sz w:val="28"/>
          <w:szCs w:val="28"/>
        </w:rPr>
        <w:t>parp</w:t>
      </w:r>
      <w:r w:rsidRPr="00107040">
        <w:rPr>
          <w:i/>
          <w:sz w:val="28"/>
          <w:szCs w:val="28"/>
          <w:lang w:val="ru-RU"/>
        </w:rPr>
        <w:t xml:space="preserve">2 </w:t>
      </w:r>
      <w:r w:rsidRPr="00107040">
        <w:rPr>
          <w:sz w:val="28"/>
          <w:szCs w:val="28"/>
          <w:lang w:val="ru-RU"/>
        </w:rPr>
        <w:t>повышало чувствительность роста растений к метилметансульфонату (</w:t>
      </w:r>
      <w:r w:rsidRPr="00107040">
        <w:rPr>
          <w:sz w:val="28"/>
          <w:szCs w:val="28"/>
        </w:rPr>
        <w:t>MMS</w:t>
      </w:r>
      <w:r w:rsidRPr="00107040">
        <w:rPr>
          <w:sz w:val="28"/>
          <w:szCs w:val="28"/>
          <w:lang w:val="ru-RU"/>
        </w:rPr>
        <w:t xml:space="preserve">, агенту алкилирования ДНК, который вызывает повреждения </w:t>
      </w:r>
      <w:r w:rsidRPr="00107040">
        <w:rPr>
          <w:sz w:val="28"/>
          <w:szCs w:val="28"/>
        </w:rPr>
        <w:t>N</w:t>
      </w:r>
      <w:r w:rsidRPr="00107040">
        <w:rPr>
          <w:sz w:val="28"/>
          <w:szCs w:val="28"/>
          <w:lang w:val="ru-RU"/>
        </w:rPr>
        <w:t>-алкила и одноцепочечные разрывы (</w:t>
      </w:r>
      <w:r w:rsidRPr="00107040">
        <w:rPr>
          <w:sz w:val="28"/>
          <w:szCs w:val="28"/>
        </w:rPr>
        <w:t>SSB</w:t>
      </w:r>
      <w:r w:rsidRPr="00107040">
        <w:rPr>
          <w:sz w:val="28"/>
          <w:szCs w:val="28"/>
          <w:lang w:val="ru-RU"/>
        </w:rPr>
        <w:t xml:space="preserve">)) и блеомицину </w:t>
      </w:r>
      <w:r w:rsidRPr="00107040">
        <w:rPr>
          <w:sz w:val="28"/>
          <w:szCs w:val="28"/>
          <w:lang w:val="ru-RU"/>
        </w:rPr>
        <w:fldChar w:fldCharType="begin"/>
      </w:r>
      <w:r w:rsidR="008611DC">
        <w:rPr>
          <w:sz w:val="28"/>
          <w:szCs w:val="28"/>
          <w:lang w:val="ru-RU"/>
        </w:rPr>
        <w:instrText xml:space="preserve"> ADDIN ZOTERO_ITEM CSL_CITATION {"citationID":"ao399lolc7","properties":{"formattedCitation":"[328,330,335,336]","plainCitation":"[328,330,335,336]","noteIndex":0},"citationItems":[{"id":247,"uris":["http://zotero.org/users/9078202/items/BMAABXKV"],"itemData":{"id":247,"type":"article-journal","abstract":"Maintaining the length of the telomere tract at chromosome ends is a complex process vital to normal cell division. Telomere length is controlled through the action of telomerase as well as a cadre of telomere-associated proteins that facilitate replication of the chromosome end and protect it from eliciting a DNA damage response. In vertebrates, multiple poly(ADP-ribose) polymerases (PARPs) have been implicated in the regulation of telomere length, telomerase activity and chromosome end protection. Here we investigate the role of PARPs in plant telomere biology. We analyzed Arabidopsis thaliana mutants null for PARP1 and PARP2 as well as plants treated with the PARP competitive inhibitor 3-AB. Plants deficient in PARP were hypersensitive to genotoxic stress, and expression of PARP1 and PARP2 mRNA was elevated in response to MMS or zeocin treatment or by the loss of telomerase. Additionally, PARP1 mRNA was induced in parp2 mutants, and conversely, PARP2 mRNA was induced in parp1 mutants. PARP3 mRNA, by contrast, was elevated in both parp1 and parp2 mutants, but not in seedlings treated with 3-AB or zeocin. PARP mutants and 3-AB treated plants displayed robust telomerase activity, no significant changes in telomere length, and no end-to-end chromosome fusions. Although there remains a possibility that PARPs play a role in Arabidopsis telomere biology, these findings argue that the contribution is a minor one.","container-title":"PLOS ONE","DOI":"10.1371/journal.pone.0088872","ISSN":"1932-6203","issue":"2","journalAbbreviation":"PLOS ONE","language":"en","note":"publisher: Public Library of Science","page":"e88872","source":"PLoS Journals","title":"Analysis of Poly(ADP-Ribose) Polymerases in Arabidopsis Telomere Biology","URL":"https://journals.plos.org/plosone/article?id=10.1371/journal.pone.0088872","volume":"9","author":[{"family":"Boltz","given":"Kara A."},{"family":"Jasti","given":"Madhu"},{"family":"Townley","given":"Jennifer M."},{"family":"Shippen","given":"Dorothy E."}],"accessed":{"date-parts":[["2022",4,11]]},"issued":{"date-parts":[["2014",2,13]]}}},{"id":248,"uris":["http://zotero.org/users/9078202/items/X99BXXW4"],"itemData":{"id":248,"type":"article-journal","abstract":"Besides the KU-dependent classical non-homologous end-joining (C-NHEJ) pathway, an alternative NHEJ pathway first identified in mammalian systems, which is often called the back-up NHEJ (B-NHEJ) pathway, was also found in plants. In mammalian systems PARP was found to be one of the essential components in B-NHEJ. Here we investigated whether PARP1 and PARP2 were also involved in B-NHEJ in Arabidopsis. To this end Arabidopsis parp1, parp2 and parp1parp2 (p1p2) mutants were isolated and functionally characterized. The p1p2 double mutant was crossed with the C-NHEJ ku80 mutant resulting in the parp1parp2ku80 (p1p2k80) triple mutant. As expected, because of their role in single strand break repair (SSBR) and base excision repair (BER), the p1p2 and p1p2k80 mutants were shown to be sensitive to treatment with the DNA damaging agent MMS. End-joining assays in cell-free leaf protein extracts of the different mutants using linear DNA substrates with different ends reflecting a variety of double strand breaks were performed. The results showed that compatible 5'-overhangs were accurately joined in all mutants, that KU80 protected the ends preventing the formation of large deletions and that PARP proteins were involved in microhomology mediated end joining (MMEJ), one of the characteristics of B-NHEJ.","container-title":"Plant Molecular Biology","DOI":"10.1007/s11103-013-0065-9","ISSN":"1573-5028","issue":"4-5","journalAbbreviation":"Plant Mol Biol","language":"eng","note":"PMID: 23625359","page":"339-351","source":"PubMed","title":"Poly(ADP-ribose)polymerases are involved in microhomology mediated back-up non-homologous end joining in Arabidopsis thaliana","volume":"82","author":[{"family":"Jia","given":"Qi"},{"family":"Dulk-Ras","given":"Amke","non-dropping-particle":"den"},{"family":"Shen","given":"Hexi"},{"family":"Hooykaas","given":"Paul J. J."},{"family":"Pater","given":"Sylvia","non-dropping-particle":"de"}],"issued":{"date-parts":[["2013",7]]}}},{"id":1637,"uris":["http://zotero.org/users/9078202/items/Y6YU77KL"],"itemData":{"id":1637,"type":"article-journal","abstract":"Poly(ADP-ribosyl)ation is a reversible post-translational modification of proteins, characterized by the addition of poly(ADP-ribose) (PAR) to proteins by poly(ADP-ribose) polymerase (PARP), and removal of PAR by poly(ADP-ribose) glycohydrolase (PARG). Three PARPs and two PARGs have been found in Arabidopsis, but their respective roles are not fully understood. In this study, the functions of each PARP and PARG in DNA repair were analyzed based on their mutant phenotypes under genotoxic stresses. Double or triple mutant analysis revealed that PARP1 and PARP2, but not PARP3, play a similar but not critical role in DNA repair in Arabidopsis seedlings. PARG1 and PARG2 play an essential and a minor role, respectively under the same conditions. Mutation of PARG1 results in increased DNA damage level and enhanced cell death in plants after bleomycin treatment. PARG1 expression is induced primarily in root and shoot meristems by bleomycin and induction of PARG1 is dependent on ATM and ATR kinases. PARG1 also antagonistically modulates the DNA repair process by preventing the over-induction of DNA repair genes. Our study determined the contribution of each PARP and PARG member in DNA repair and indicated that PARG1 plays a critical role in this process.","container-title":"Scientific Reports","DOI":"10.1038/srep15892","ISSN":"2045-2322","journalAbbreviation":"Sci Rep","language":"eng","note":"PMID: 26516022\nPMCID: PMC4626836","page":"15892","source":"PubMed","title":"Arabidopsis PARG1 is the key factor promoting cell survival among the enzymes regulating post-translational poly(ADP-ribosyl)ation","volume":"5","author":[{"family":"Zhang","given":"Hailei"},{"family":"Gu","given":"Zongying"},{"family":"Wu","given":"Qiao"},{"family":"Yang","given":"Lifeng"},{"family":"Liu","given":"Caifeng"},{"family":"Ma","given":"Hong"},{"family":"Xia","given":"Yiji"},{"family":"Ge","given":"Xiaochun"}],"issued":{"date-parts":[["2015",10,30]]}}},{"id":1653,"uris":["http://zotero.org/users/9078202/items/3WFDUJI6"],"itemData":{"id":1653,"type":"article-journal","abstract":"Multiple pathways exist to repair DNA damage induced by methylating and crosslinking agents in Arabidopsis thaliana. The SWI2/SNF2 translocase RAD5A, the functional homolog of budding yeast Rad5 that is required for the error-free branch of post-replicative repair, plays a surprisingly prominent role in the repair of both kinds of lesions in Arabidopsis. Here we show that both the ATPase domain and the ubiquitination function of the RING domain of the Arabidopsis protein are essential for the cellular response to different forms of DNA damage. To define the exact role of RAD5A within the complex network of DNA repair pathways, we crossed the rad5a mutant line with mutants of different known repair factors of Arabidopsis. We had previously shown that RAD5A acts independently of two main pathways of replication-associated DNA repair defined by the helicase RECQ4A and the endonuclease MUS81. The enhanced sensitivity of all double mutants tested in this study indicates that the repair of damaged DNA by RAD5A also occurs independently of nucleotide excision repair (AtRAD1), single-strand break repair (AtPARP1), as well as microhomology-mediated double-strand break repair (AtTEB). Moreover, RAD5A can partially complement for a deficient AtATM-mediated DNA damage response in plants, as the double mutant shows phenotypic growth defects.","container-title":"The Plant Journal","DOI":"10.1111/tpj.13602","ISSN":"1365-313X","issue":"4","language":"en","note":"_eprint: https://onlinelibrary.wiley.com/doi/pdf/10.1111/tpj.13602","page":"725-740","source":"Wiley Online Library","title":"The DNA translocase RAD5A acts independently of the other main DNA repair pathways, and requires both its ATPase and RING domain for activity in Arabidopsis thaliana","URL":"https://onlinelibrary.wiley.com/doi/abs/10.1111/tpj.13602","volume":"91","author":[{"family":"Klemm","given":"Tobias"},{"family":"Mannuß","given":"Anja"},{"family":"Kobbe","given":"Daniela"},{"family":"Knoll","given":"Alexander"},{"family":"Trapp","given":"Oliver"},{"family":"Dorn","given":"Annika"},{"family":"Puchta","given":"Holger"}],"accessed":{"date-parts":[["2022",9,6]]},"issued":{"date-parts":[["2017"]]}}}],"schema":"https://github.com/citation-style-language/schema/raw/master/csl-citation.json"} </w:instrText>
      </w:r>
      <w:r w:rsidRPr="00107040">
        <w:rPr>
          <w:sz w:val="28"/>
          <w:szCs w:val="28"/>
          <w:lang w:val="ru-RU"/>
        </w:rPr>
        <w:fldChar w:fldCharType="separate"/>
      </w:r>
      <w:r w:rsidR="008611DC" w:rsidRPr="008611DC">
        <w:rPr>
          <w:sz w:val="28"/>
          <w:lang w:val="ru-RU"/>
        </w:rPr>
        <w:t>[328,330,335,336]</w:t>
      </w:r>
      <w:r w:rsidRPr="00107040">
        <w:rPr>
          <w:sz w:val="28"/>
          <w:szCs w:val="28"/>
          <w:lang w:val="ru-RU"/>
        </w:rPr>
        <w:fldChar w:fldCharType="end"/>
      </w:r>
      <w:r w:rsidRPr="00107040">
        <w:rPr>
          <w:sz w:val="28"/>
          <w:szCs w:val="28"/>
          <w:lang w:val="ru-RU"/>
        </w:rPr>
        <w:t xml:space="preserve">. Точно так же образование настоящих листьев было снижено у проростков </w:t>
      </w:r>
      <w:r w:rsidRPr="00107040">
        <w:rPr>
          <w:i/>
          <w:sz w:val="28"/>
          <w:szCs w:val="28"/>
        </w:rPr>
        <w:t>parp</w:t>
      </w:r>
      <w:r w:rsidRPr="00107040">
        <w:rPr>
          <w:i/>
          <w:sz w:val="28"/>
          <w:szCs w:val="28"/>
          <w:lang w:val="ru-RU"/>
        </w:rPr>
        <w:t>2</w:t>
      </w:r>
      <w:r w:rsidRPr="00107040">
        <w:rPr>
          <w:sz w:val="28"/>
          <w:szCs w:val="28"/>
          <w:lang w:val="ru-RU"/>
        </w:rPr>
        <w:t xml:space="preserve">, выращенных на блеомицине и митомицине С (агент, сшивающий ДНК) </w:t>
      </w:r>
      <w:r w:rsidRPr="00107040">
        <w:rPr>
          <w:sz w:val="28"/>
          <w:szCs w:val="28"/>
          <w:lang w:val="ru-RU"/>
        </w:rPr>
        <w:fldChar w:fldCharType="begin"/>
      </w:r>
      <w:r w:rsidR="008611DC">
        <w:rPr>
          <w:sz w:val="28"/>
          <w:szCs w:val="28"/>
          <w:lang w:val="ru-RU"/>
        </w:rPr>
        <w:instrText xml:space="preserve"> ADDIN ZOTERO_ITEM CSL_CITATION {"citationID":"aejqa34beb","properties":{"formattedCitation":"[317]","plainCitation":"[317]","noteIndex":0},"citationItems":[{"id":1603,"uris":["http://zotero.org/users/9078202/items/7ULQ9USS"],"itemData":{"id":1603,"type":"article-journal","abstract":"Poly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F."}],"accessed":{"date-parts":[["2022",9,5]]},"issued":{"date-parts":[["2015",5,7]]}}}],"schema":"https://github.com/citation-style-language/schema/raw/master/csl-citation.json"} </w:instrText>
      </w:r>
      <w:r w:rsidRPr="00107040">
        <w:rPr>
          <w:sz w:val="28"/>
          <w:szCs w:val="28"/>
          <w:lang w:val="ru-RU"/>
        </w:rPr>
        <w:fldChar w:fldCharType="separate"/>
      </w:r>
      <w:r w:rsidR="008611DC" w:rsidRPr="008611DC">
        <w:rPr>
          <w:sz w:val="28"/>
          <w:lang w:val="ru-RU"/>
        </w:rPr>
        <w:t>[317]</w:t>
      </w:r>
      <w:r w:rsidRPr="00107040">
        <w:rPr>
          <w:sz w:val="28"/>
          <w:szCs w:val="28"/>
          <w:lang w:val="ru-RU"/>
        </w:rPr>
        <w:fldChar w:fldCharType="end"/>
      </w:r>
      <w:r w:rsidRPr="00107040">
        <w:rPr>
          <w:sz w:val="28"/>
          <w:szCs w:val="28"/>
          <w:lang w:val="ru-RU"/>
        </w:rPr>
        <w:t xml:space="preserve">. Некоторые авторы сообщают, что мутанты </w:t>
      </w:r>
      <w:r w:rsidRPr="00107040">
        <w:rPr>
          <w:i/>
          <w:sz w:val="28"/>
          <w:szCs w:val="28"/>
        </w:rPr>
        <w:t>parp</w:t>
      </w:r>
      <w:r w:rsidRPr="00107040">
        <w:rPr>
          <w:i/>
          <w:sz w:val="28"/>
          <w:szCs w:val="28"/>
          <w:lang w:val="ru-RU"/>
        </w:rPr>
        <w:t>2</w:t>
      </w:r>
      <w:r w:rsidRPr="00107040">
        <w:rPr>
          <w:sz w:val="28"/>
          <w:szCs w:val="28"/>
          <w:lang w:val="ru-RU"/>
        </w:rPr>
        <w:t xml:space="preserve"> более чувствительны к агентам, повреждающим ДНК, чем мутанты </w:t>
      </w:r>
      <w:r w:rsidRPr="00107040">
        <w:rPr>
          <w:i/>
          <w:sz w:val="28"/>
          <w:szCs w:val="28"/>
        </w:rPr>
        <w:t>parp</w:t>
      </w:r>
      <w:r w:rsidRPr="00107040">
        <w:rPr>
          <w:i/>
          <w:sz w:val="28"/>
          <w:szCs w:val="28"/>
          <w:lang w:val="ru-RU"/>
        </w:rPr>
        <w:t>1</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{"citationID":"a23tc6oragc","properties":{"formattedCitation":"[317,330]","plainCitation":"[317,330]","noteIndex":0},"citationItems":[{"id":1603,"uris":["http://zotero.org/users/9078202/items/7ULQ9USS"],"itemData":{"id":1603,"type":"article-journal","abstract":"Poly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F."}],"accessed":{"date-parts":[["2022",9,5]]},"issued":{"date-parts":[["2015",5,7]]}}},{"id":247,"uris":["http://zotero.org/users/9078202/items/BMAABXKV"],"itemData":{"id":247,"type":"article-journal","abstract":"Maintaining the length of the telomere tract at chromosome ends is a complex process vital to normal cell division. Telomere length is controlled through the action of telomerase as well as a cadre of telomere-associated proteins that facilitate replication of the chromosome end and protect it from eliciting a DNA damage response. In vertebrates, multiple poly(ADP-ribose) polymerases (PARPs) have been implicated in the regulation of telomere length, telomerase activity and chromosome end protection. Here we investigate the role of PARPs in plant telomere biology. We analyzed Arabidopsis thaliana mutants null for PARP1 and PARP2 as well as plants treated with the PARP competitive inhibitor 3-AB. Plants deficient in PARP were hypersensitive to genotoxic stress, and expression of PARP1 and PARP2 mRNA was elevated in response to MMS or zeocin treatment or by the loss of telomerase. Additionally, PARP1 mRNA was induced in parp2 mutants, and conversely, PARP2 mRNA was induced in parp1 mutants. PARP3 mRNA, by contrast, was elevated in both parp1 and parp2 mutants, but not in seedlings treated with 3-AB or zeocin. PARP mutants and 3-AB treated plants displayed robust telomerase activity, no significant changes in telomere length, and no end-to-end chromosome fusions. Although there remains a possibility that PARPs play a role in Arabidopsis telomere biology, these findings argue that the contribution is a minor one.","container-title":"PLOS ONE","DOI":"10.1371/journal.pone.0088872","ISSN":"1932-6203","issue":"2","journalAbbreviation":"PLOS ONE","language":"en","note":"publisher: Public Library of Science","page":"e88872","source":"PLoS Journals","title":"Analysis of Poly(ADP-Ribose) Polymerases in Arabidopsis Telomere Biology","URL":"https://journals.plos.org/plosone/article?id=10.1371/journal.pone.0088872","volume":"9","author":[{"family":"Boltz","given":"Kara A."},{"family":"Jasti","given":"Madhu"},{"family":"Townley","given":"Jennifer M."},{"family":"Shippen","given":"Dorothy E."}],"accessed":{"date-parts":[["2022",4,11]]},"issued":{"date-parts":[["2014",2,13]]}}}],"schema":"https://github.com/citation-style-language/schema/raw/master/csl-citation.json"} </w:instrText>
      </w:r>
      <w:r w:rsidRPr="00107040">
        <w:rPr>
          <w:sz w:val="28"/>
          <w:szCs w:val="28"/>
          <w:lang w:val="ru-RU"/>
        </w:rPr>
        <w:fldChar w:fldCharType="separate"/>
      </w:r>
      <w:r w:rsidR="008611DC" w:rsidRPr="008611DC">
        <w:rPr>
          <w:sz w:val="28"/>
          <w:lang w:val="ru-RU"/>
        </w:rPr>
        <w:t>[317,330]</w:t>
      </w:r>
      <w:r w:rsidRPr="00107040">
        <w:rPr>
          <w:sz w:val="28"/>
          <w:szCs w:val="28"/>
          <w:lang w:val="ru-RU"/>
        </w:rPr>
        <w:fldChar w:fldCharType="end"/>
      </w:r>
      <w:r w:rsidRPr="00107040">
        <w:rPr>
          <w:sz w:val="28"/>
          <w:szCs w:val="28"/>
          <w:lang w:val="ru-RU"/>
        </w:rPr>
        <w:t xml:space="preserve">. В соответствии с этим поли(АДФ-рибозил)ирование было сильно снижено у мутантов </w:t>
      </w:r>
      <w:r w:rsidRPr="00107040">
        <w:rPr>
          <w:i/>
          <w:sz w:val="28"/>
          <w:szCs w:val="28"/>
        </w:rPr>
        <w:t>parp</w:t>
      </w:r>
      <w:r w:rsidRPr="00107040">
        <w:rPr>
          <w:i/>
          <w:sz w:val="28"/>
          <w:szCs w:val="28"/>
          <w:lang w:val="ru-RU"/>
        </w:rPr>
        <w:t>2</w:t>
      </w:r>
      <w:r w:rsidRPr="00107040">
        <w:rPr>
          <w:sz w:val="28"/>
          <w:szCs w:val="28"/>
          <w:lang w:val="ru-RU"/>
        </w:rPr>
        <w:t xml:space="preserve">, но не у мутантов </w:t>
      </w:r>
      <w:r w:rsidRPr="00107040">
        <w:rPr>
          <w:i/>
          <w:sz w:val="28"/>
          <w:szCs w:val="28"/>
        </w:rPr>
        <w:t>parp</w:t>
      </w:r>
      <w:r w:rsidRPr="00107040">
        <w:rPr>
          <w:i/>
          <w:sz w:val="28"/>
          <w:szCs w:val="28"/>
          <w:lang w:val="ru-RU"/>
        </w:rPr>
        <w:t>1</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{"citationID":"a2f212oajka","properties":{"formattedCitation":"[317]","plainCitation":"[317]","noteIndex":0},"citationItems":[{"id":1603,"uris":["http://zotero.org/users/9078202/items/7ULQ9USS"],"itemData":{"id":1603,"type":"article-journal","abstract":"Poly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F."}],"accessed":{"date-parts":[["2022",9,5]]},"issued":{"date-parts":[["2015",5,7]]}}}],"schema":"https://github.com/citation-style-language/schema/raw/master/csl-citation.json"} </w:instrText>
      </w:r>
      <w:r w:rsidRPr="00107040">
        <w:rPr>
          <w:sz w:val="28"/>
          <w:szCs w:val="28"/>
          <w:lang w:val="ru-RU"/>
        </w:rPr>
        <w:fldChar w:fldCharType="separate"/>
      </w:r>
      <w:r w:rsidR="008611DC" w:rsidRPr="008611DC">
        <w:rPr>
          <w:sz w:val="28"/>
          <w:lang w:val="ru-RU"/>
        </w:rPr>
        <w:t>[317]</w:t>
      </w:r>
      <w:r w:rsidRPr="00107040">
        <w:rPr>
          <w:sz w:val="28"/>
          <w:szCs w:val="28"/>
          <w:lang w:val="ru-RU"/>
        </w:rPr>
        <w:fldChar w:fldCharType="end"/>
      </w:r>
      <w:r w:rsidRPr="00107040">
        <w:rPr>
          <w:sz w:val="28"/>
          <w:szCs w:val="28"/>
          <w:lang w:val="ru-RU"/>
        </w:rPr>
        <w:t>.</w:t>
      </w:r>
      <w:r w:rsidRPr="00107040">
        <w:rPr>
          <w:sz w:val="28"/>
          <w:szCs w:val="28"/>
          <w:lang w:val="kk-KZ"/>
        </w:rPr>
        <w:t xml:space="preserve"> Повышенное повреждение растений наблюдалось у двойных мутантов </w:t>
      </w:r>
      <w:r w:rsidRPr="00107040">
        <w:rPr>
          <w:i/>
          <w:sz w:val="28"/>
          <w:szCs w:val="28"/>
          <w:lang w:val="kk-KZ"/>
        </w:rPr>
        <w:t xml:space="preserve">parp1 </w:t>
      </w:r>
      <w:r w:rsidRPr="00107040">
        <w:rPr>
          <w:sz w:val="28"/>
          <w:szCs w:val="28"/>
          <w:lang w:val="kk-KZ"/>
        </w:rPr>
        <w:t xml:space="preserve">и </w:t>
      </w:r>
      <w:r w:rsidRPr="00107040">
        <w:rPr>
          <w:i/>
          <w:sz w:val="28"/>
          <w:szCs w:val="28"/>
          <w:lang w:val="kk-KZ"/>
        </w:rPr>
        <w:t>parp2</w:t>
      </w:r>
      <w:r w:rsidRPr="00107040">
        <w:rPr>
          <w:sz w:val="28"/>
          <w:szCs w:val="28"/>
          <w:lang w:val="kk-KZ"/>
        </w:rPr>
        <w:t xml:space="preserve"> по сравнению с соответствующими одиночными мутантами, что указывает на то, что оба гена AtPARP участвуют в реакциях на агенты, повреждающие ДНК </w:t>
      </w:r>
      <w:r w:rsidRPr="00107040">
        <w:rPr>
          <w:sz w:val="28"/>
          <w:szCs w:val="28"/>
          <w:lang w:val="kk-KZ"/>
        </w:rPr>
        <w:fldChar w:fldCharType="begin"/>
      </w:r>
      <w:r w:rsidR="008611DC">
        <w:rPr>
          <w:sz w:val="28"/>
          <w:szCs w:val="28"/>
          <w:lang w:val="kk-KZ"/>
        </w:rPr>
        <w:instrText xml:space="preserve"> ADDIN ZOTERO_ITEM CSL_CITATION {"citationID":"a11hfkkgpiv","properties":{"formattedCitation":"[317,328,330,335]","plainCitation":"[317,328,330,335]","noteIndex":0},"citationItems":[{"id":247,"uris":["http://zotero.org/users/9078202/items/BMAABXKV"],"itemData":{"id":247,"type":"article-journal","abstract":"Maintaining the length of the telomere tract at chromosome ends is a complex process vital to normal cell division. Telomere length is controlled through the action of telomerase as well as a cadre of telomere-associated proteins that facilitate replication of the chromosome end and protect it from eliciting a DNA damage response. In vertebrates, multiple poly(ADP-ribose) polymerases (PARPs) have been implicated in the regulation of telomere length, telomerase activity and chromosome end protection. Here we investigate the role of PARPs in plant telomere biology. We analyzed Arabidopsis thaliana mutants null for PARP1 and PARP2 as well as plants treated with the PARP competitive inhibitor 3-AB. Plants deficient in PARP were hypersensitive to genotoxic stress, and expression of PARP1 and PARP2 mRNA was elevated in response to MMS or zeocin treatment or by the loss of telomerase. Additionally, PARP1 mRNA was induced in parp2 mutants, and conversely, PARP2 mRNA was induced in parp1 mutants. PARP3 mRNA, by contrast, was elevated in both parp1 and parp2 mutants, but not in seedlings treated with 3-AB or zeocin. PARP mutants and 3-AB treated plants displayed robust telomerase activity, no significant changes in telomere length, and no end-to-end chromosome fusions. Although there remains a possibility that PARPs play a role in Arabidopsis telomere biology, these findings argue that the contribution is a minor one.","container-title":"PLOS ONE","DOI":"10.1371/journal.pone.0088872","ISSN":"1932-6203","issue":"2","journalAbbreviation":"PLOS ONE","language":"en","note":"publisher: Public Library of Science","page":"e88872","source":"PLoS Journals","title":"Analysis of Poly(ADP-Ribose) Polymerases in Arabidopsis Telomere Biology","URL":"https://journals.plos.org/plosone/article?id=10.1371/journal.pone.0088872","volume":"9","author":[{"family":"Boltz","given":"Kara A."},{"family":"Jasti","given":"Madhu"},{"family":"Townley","given":"Jennifer M."},{"family":"Shippen","given":"Dorothy E."}],"accessed":{"date-parts":[["2022",4,11]]},"issued":{"date-parts":[["2014",2,13]]}}},{"id":1603,"uris":["http://zotero.org/users/9078202/items/7ULQ9USS"],"itemData":{"id":1603,"type":"article-journal","abstract":"Poly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F."}],"accessed":{"date-parts":[["2022",9,5]]},"issued":{"date-parts":[["2015",5,7]]}}},{"id":248,"uris":["http://zotero.org/users/9078202/items/X99BXXW4"],"itemData":{"id":248,"type":"article-journal","abstract":"Besides the KU-dependent classical non-homologous end-joining (C-NHEJ) pathway, an alternative NHEJ pathway first identified in mammalian systems, which is often called the back-up NHEJ (B-NHEJ) pathway, was also found in plants. In mammalian systems PARP was found to be one of the essential components in B-NHEJ. Here we investigated whether PARP1 and PARP2 were also involved in B-NHEJ in Arabidopsis. To this end Arabidopsis parp1, parp2 and parp1parp2 (p1p2) mutants were isolated and functionally characterized. The p1p2 double mutant was crossed with the C-NHEJ ku80 mutant resulting in the parp1parp2ku80 (p1p2k80) triple mutant. As expected, because of their role in single strand break repair (SSBR) and base excision repair (BER), the p1p2 and p1p2k80 mutants were shown to be sensitive to treatment with the DNA damaging agent MMS. End-joining assays in cell-free leaf protein extracts of the different mutants using linear DNA substrates with different ends reflecting a variety of double strand breaks were performed. The results showed that compatible 5'-overhangs were accurately joined in all mutants, that KU80 protected the ends preventing the formation of large deletions and that PARP proteins were involved in microhomology mediated end joining (MMEJ), one of the characteristics of B-NHEJ.","container-title":"Plant Molecular Biology","DOI":"10.1007/s11103-013-0065-9","ISSN":"1573-5028","issue":"4-5","journalAbbreviation":"Plant Mol Biol","language":"eng","note":"PMID: 23625359","page":"339-351","source":"PubMed","title":"Poly(ADP-ribose)polymerases are involved in microhomology mediated back-up non-homologous end joining in Arabidopsis thaliana","volume":"82","author":[{"family":"Jia","given":"Qi"},{"family":"Dulk-Ras","given":"Amke","non-dropping-particle":"den"},{"family":"Shen","given":"Hexi"},{"family":"Hooykaas","given":"Paul J. J."},{"family":"Pater","given":"Sylvia","non-dropping-particle":"de"}],"issued":{"date-parts":[["2013",7]]}}},{"id":1637,"uris":["http://zotero.org/users/9078202/items/Y6YU77KL"],"itemData":{"id":1637,"type":"article-journal","abstract":"Poly(ADP-ribosyl)ation is a reversible post-translational modification of proteins, characterized by the addition of poly(ADP-ribose) (PAR) to proteins by poly(ADP-ribose) polymerase (PARP), and removal of PAR by poly(ADP-ribose) glycohydrolase (PARG). Three PARPs and two PARGs have been found in Arabidopsis, but their respective roles are not fully understood. In this study, the functions of each PARP and PARG in DNA repair were analyzed based on their mutant phenotypes under genotoxic stresses. Double or triple mutant analysis revealed that PARP1 and PARP2, but not PARP3, play a similar but not critical role in DNA repair in Arabidopsis seedlings. PARG1 and PARG2 play an essential and a minor role, respectively under the same conditions. Mutation of PARG1 results in increased DNA damage level and enhanced cell death in plants after bleomycin treatment. PARG1 expression is induced primarily in root and shoot meristems by bleomycin and induction of PARG1 is dependent on ATM and ATR kinases. PARG1 also antagonistically modulates the DNA repair process by preventing the over-induction of DNA repair genes. Our study determined the contribution of each PARP and PARG member in DNA repair and indicated that PARG1 plays a critical role in this process.","container-title":"Scientific Reports","DOI":"10.1038/srep15892","ISSN":"2045-2322","journalAbbreviation":"Sci Rep","language":"eng","note":"PMID: 26516022\nPMCID: PMC4626836","page":"15892","source":"PubMed","title":"Arabidopsis PARG1 is the key factor promoting cell survival among the enzymes regulating post-translational poly(ADP-ribosyl)ation","volume":"5","author":[{"family":"Zhang","given":"Hailei"},{"family":"Gu","given":"Zongying"},{"family":"Wu","given":"Qiao"},{"family":"Yang","given":"Lifeng"},{"family":"Liu","given":"Caifeng"},{"family":"Ma","given":"Hong"},{"family":"Xia","given":"Yiji"},{"family":"Ge","given":"Xiaochun"}],"issued":{"date-parts":[["2015",10,30]]}}}],"schema":"https://github.com/citation-style-language/schema/raw/master/csl-citation.json"} </w:instrText>
      </w:r>
      <w:r w:rsidRPr="00107040">
        <w:rPr>
          <w:sz w:val="28"/>
          <w:szCs w:val="28"/>
          <w:lang w:val="kk-KZ"/>
        </w:rPr>
        <w:fldChar w:fldCharType="separate"/>
      </w:r>
      <w:r w:rsidR="008611DC" w:rsidRPr="008611DC">
        <w:rPr>
          <w:sz w:val="28"/>
          <w:lang w:val="ru-RU"/>
        </w:rPr>
        <w:t>[317,328,330,335]</w:t>
      </w:r>
      <w:r w:rsidRPr="00107040">
        <w:rPr>
          <w:sz w:val="28"/>
          <w:szCs w:val="28"/>
          <w:lang w:val="kk-KZ"/>
        </w:rPr>
        <w:fldChar w:fldCharType="end"/>
      </w:r>
      <w:r w:rsidRPr="00107040">
        <w:rPr>
          <w:sz w:val="28"/>
          <w:szCs w:val="28"/>
          <w:lang w:val="kk-KZ"/>
        </w:rPr>
        <w:t xml:space="preserve">. Это представление дополнительно подтверждается усиленной экспрессией AtPARP1 у мутантов </w:t>
      </w:r>
      <w:r w:rsidRPr="00107040">
        <w:rPr>
          <w:i/>
          <w:sz w:val="28"/>
          <w:szCs w:val="28"/>
          <w:lang w:val="kk-KZ"/>
        </w:rPr>
        <w:t>parp2</w:t>
      </w:r>
      <w:r w:rsidRPr="00107040">
        <w:rPr>
          <w:sz w:val="28"/>
          <w:szCs w:val="28"/>
          <w:lang w:val="kk-KZ"/>
        </w:rPr>
        <w:t xml:space="preserve"> и наоборот </w:t>
      </w:r>
      <w:r w:rsidRPr="00107040">
        <w:rPr>
          <w:sz w:val="28"/>
          <w:szCs w:val="28"/>
          <w:lang w:val="kk-KZ"/>
        </w:rPr>
        <w:fldChar w:fldCharType="begin"/>
      </w:r>
      <w:r w:rsidR="008611DC">
        <w:rPr>
          <w:sz w:val="28"/>
          <w:szCs w:val="28"/>
          <w:lang w:val="kk-KZ"/>
        </w:rPr>
        <w:instrText xml:space="preserve"> ADDIN ZOTERO_ITEM CSL_CITATION {"citationID":"a1di8v43aqk","properties":{"formattedCitation":"[317,327,330]","plainCitation":"[317,327,330]","noteIndex":0},"citationItems":[{"id":1631,"uris":["http://zotero.org/users/9078202/items/YIIMG6YR"],"itemData":{"id":1631,"type":"article-journal","abstract":"Abiotic and biotic stress can have a detrimental impact on plant growth and productivity. Hence, there is a substantial demand for key factors of stress responses to improve yield stability of crops. Members of the poly(ADP-ribose)polymerase (PARP) protein family, which post-translationally modify (PARylate) nuclear proteins, have been suggested as such universal determinants of plant stress responses. A role under abiotic stress has been inferred from studies in which a genetic or, more commonly, pharmacological inhibition of PARP activity improved the performance of stressed plants. To further elucidate the role of PARP proteins under stress, T-DNA knockout mutants for the three Arabidopsis thaliana PARP genes were subjected to drought, osmotic, salt, and oxidative stress. To exclude a functional redundancy, which was indicated by a transcriptional upregulation of the remaining parp genes, a parp triple mutant was generated. Surprisingly, parp mutant plants did not differ from wild type plants in any of these stress experiments, independent from the number of PARP genes mutated. The parp triple mutant was also analyzed for callose formation in response to the pathogenassociated molecular pattern flg22. Unexpectedly, callose formation was unaltered in the mutant, albeit pharmacological PARP inhibition robustly blocked this immune response, confirming previous reports. Evidently, pharmacological inhibition appears to be more robust than the abolition of all PARP genes, indicating the presence of so-far undescribed proteins with PARP activity. This was supported by the finding that protein PARylation was not absent, but even increased in the parp triple mutant. Candidates for novel PARP-inhibitor targets may be found in the SRO protein family. These proteins harbor a catalytic PARP-like domain and are centrally involved in stress responses. Molecular modeling analyses, employing animal PARPs as templates, indeed indicated a capability of the SRO proteins RCD1 and SRO1 to bind nicotinamide-derived inhibitors. Collectively, the results of our study suggest that the stress-related phenotypes of parp mutants are highly conditional, and they call for a reconsideration of PARP inhibitor studies. In the context of this study, we also propose a unifying nomenclature of PARP genes and parp mutants, which is currently highly inconsistent and redundant.","container-title":"Frontiers in Plant Science","DOI":"10.3389/fpls.2017.00059","ISSN":"1664-462X","journalAbbreviation":"Front Plant Sci","language":"eng","note":"PMID: 28220129\nPMCID: PMC5292411","page":"59","source":"PubMed","title":"No Silver Bullet - Canonical Poly(ADP-Ribose) Polymerases (PARPs) Are No Universal Factors of Abiotic and Biotic Stress Resistance of Arabidopsis thaliana","volume":"8","author":[{"family":"Rissel","given":"Dagmar"},{"family":"Heym","given":"Peter P."},{"family":"Thor","given":"Kathrin"},{"family":"Brandt","given":"Wolfgang"},{"family":"Wessjohann","given":"Ludger A."},{"family":"Peiter","given":"Edgar"}],"issued":{"date-parts":[["2017"]]}}},{"id":1603,"uris":["http://zotero.org/users/9078202/items/7ULQ9USS"],"itemData":{"id":1603,"type":"article-journal","abstract":"Poly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F."}],"accessed":{"date-parts":[["2022",9,5]]},"issued":{"date-parts":[["2015",5,7]]}}},{"id":247,"uris":["http://zotero.org/users/9078202/items/BMAABXKV"],"itemData":{"id":247,"type":"article-journal","abstract":"Maintaining the length of the telomere tract at chromosome ends is a complex process vital to normal cell division. Telomere length is controlled through the action of telomerase as well as a cadre of telomere-associated proteins that facilitate replication of the chromosome end and protect it from eliciting a DNA damage response. In vertebrates, multiple poly(ADP-ribose) polymerases (PARPs) have been implicated in the regulation of telomere length, telomerase activity and chromosome end protection. Here we investigate the role of PARPs in plant telomere biology. We analyzed Arabidopsis thaliana mutants null for PARP1 and PARP2 as well as plants treated with the PARP competitive inhibitor 3-AB. Plants deficient in PARP were hypersensitive to genotoxic stress, and expression of PARP1 and PARP2 mRNA was elevated in response to MMS or zeocin treatment or by the loss of telomerase. Additionally, PARP1 mRNA was induced in parp2 mutants, and conversely, PARP2 mRNA was induced in parp1 mutants. PARP3 mRNA, by contrast, was elevated in both parp1 and parp2 mutants, but not in seedlings treated with 3-AB or zeocin. PARP mutants and 3-AB treated plants displayed robust telomerase activity, no significant changes in telomere length, and no end-to-end chromosome fusions. Although there remains a possibility that PARPs play a role in Arabidopsis telomere biology, these findings argue that the contribution is a minor one.","container-title":"PLOS ONE","DOI":"10.1371/journal.pone.0088872","ISSN":"1932-6203","issue":"2","journalAbbreviation":"PLOS ONE","language":"en","note":"publisher: Public Library of Science","page":"e88872","source":"PLoS Journals","title":"Analysis of Poly(ADP-Ribose) Polymerases in Arabidopsis Telomere Biology","URL":"https://journals.plos.org/plosone/article?id=10.1371/journal.pone.0088872","volume":"9","author":[{"family":"Boltz","given":"Kara A."},{"family":"Jasti","given":"Madhu"},{"family":"Townley","given":"Jennifer M."},{"family":"Shippen","given":"Dorothy E."}],"accessed":{"date-parts":[["2022",4,11]]},"issued":{"date-parts":[["2014",2,13]]}}}],"schema":"https://github.com/citation-style-language/schema/raw/master/csl-citation.json"} </w:instrText>
      </w:r>
      <w:r w:rsidRPr="00107040">
        <w:rPr>
          <w:sz w:val="28"/>
          <w:szCs w:val="28"/>
          <w:lang w:val="kk-KZ"/>
        </w:rPr>
        <w:fldChar w:fldCharType="separate"/>
      </w:r>
      <w:r w:rsidR="008611DC" w:rsidRPr="008611DC">
        <w:rPr>
          <w:sz w:val="28"/>
          <w:lang w:val="ru-RU"/>
        </w:rPr>
        <w:t>[317,327,330]</w:t>
      </w:r>
      <w:r w:rsidRPr="00107040">
        <w:rPr>
          <w:sz w:val="28"/>
          <w:szCs w:val="28"/>
          <w:lang w:val="kk-KZ"/>
        </w:rPr>
        <w:fldChar w:fldCharType="end"/>
      </w:r>
      <w:r w:rsidRPr="00107040">
        <w:rPr>
          <w:sz w:val="28"/>
          <w:szCs w:val="28"/>
          <w:lang w:val="kk-KZ"/>
        </w:rPr>
        <w:t xml:space="preserve">. Кроме того, было показано, что AtPARP1 и AtPARP2 физически взаимодействуют друг с другом </w:t>
      </w:r>
      <w:r w:rsidRPr="00107040">
        <w:rPr>
          <w:sz w:val="28"/>
          <w:szCs w:val="28"/>
          <w:lang w:val="kk-KZ"/>
        </w:rPr>
        <w:fldChar w:fldCharType="begin"/>
      </w:r>
      <w:r w:rsidR="008611DC">
        <w:rPr>
          <w:sz w:val="28"/>
          <w:szCs w:val="28"/>
          <w:lang w:val="kk-KZ"/>
        </w:rPr>
        <w:instrText xml:space="preserve"> ADDIN ZOTERO_ITEM CSL_CITATION {"citationID":"a1a7gbkt69m","properties":{"formattedCitation":"[317,333]","plainCitation":"[317,333]","noteIndex":0},"citationItems":[{"id":1603,"uris":["http://zotero.org/users/9078202/items/7ULQ9USS"],"itemData":{"id":1603,"type":"article-journal","abstract":"Poly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F."}],"accessed":{"date-parts":[["2022",9,5]]},"issued":{"date-parts":[["2015",5,7]]}}},{"id":1651,"uris":["http://zotero.org/users/9078202/items/M462RQEV"],"itemData":{"id":1651,"type":"article-journal","abstract":"Root organogenesis involves cell division, differentiation and expansion. The molecular mechanisms regulating root development are not fully understood. In this study, we identified poly(adenosine diphosphate (ADP)-ribose) polymerases (PARPs) as new players in root development. PARP catalyzes poly(ADP-ribosyl)ation of proteins by repeatedly adding ADP-ribose units onto proteins using nicotinamide adenine dinucleotide (NAD+) as the donor. We found that inhibition of PARP activities by 3-aminobenzomide (3-AB) increased the growth rates of both primary and lateral roots, leading to a more developed root system. The double mutant of Arabidopsis PARPs, parp1parp2, showed more rapid primary and lateral root growth. Cyclin genes regulating G1-to-S and G2-to-M transition were up-regulated upon treatment by 3-AB. The proportion of 2C cells increased while cells with higher DNA ploidy declined in the roots of treated plants, resulting in an enlarged root meristematic zone. The expression level of PARP2 was very low in the meristematic zone but high in the maturation zone, consistent with a role of PARP in inhibiting mitosis and promoting cell differentiation. Our results suggest that PARPs play an important role in root development by negatively regulating root cell division.","container-title":"Journal of Integrative Plant Biology","DOI":"10.1111/jipb.12530","ISSN":"1744-7909","issue":"7","language":"en","note":"_eprint: https://onlinelibrary.wiley.com/doi/pdf/10.1111/jipb.12530","page":"459-474","source":"Wiley Online Library","title":"Poly(ADP-ribose) polymerases regulate cell division and development in Arabidopsis roots","URL":"https://onlinelibrary.wiley.com/doi/abs/10.1111/jipb.12530","volume":"59","author":[{"family":"Liu","given":"Caifeng"},{"family":"Wu","given":"Qiao"},{"family":"Liu","given":"Weiwei"},{"family":"Gu","given":"Zongyin"},{"family":"Wang","given":"Wenjing"},{"family":"Xu","given":"Ping"},{"family":"Ma","given":"Hong"},{"family":"Ge","given":"Xiaochun"}],"accessed":{"date-parts":[["2022",9,6]]},"issued":{"date-parts":[["2017"]]}}}],"schema":"https://github.com/citation-style-language/schema/raw/master/csl-citation.json"} </w:instrText>
      </w:r>
      <w:r w:rsidRPr="00107040">
        <w:rPr>
          <w:sz w:val="28"/>
          <w:szCs w:val="28"/>
          <w:lang w:val="kk-KZ"/>
        </w:rPr>
        <w:fldChar w:fldCharType="separate"/>
      </w:r>
      <w:r w:rsidR="008611DC" w:rsidRPr="008611DC">
        <w:rPr>
          <w:sz w:val="28"/>
          <w:lang w:val="ru-RU"/>
        </w:rPr>
        <w:t>[317,333]</w:t>
      </w:r>
      <w:r w:rsidRPr="00107040">
        <w:rPr>
          <w:sz w:val="28"/>
          <w:szCs w:val="28"/>
          <w:lang w:val="kk-KZ"/>
        </w:rPr>
        <w:fldChar w:fldCharType="end"/>
      </w:r>
      <w:r w:rsidRPr="00107040">
        <w:rPr>
          <w:sz w:val="28"/>
          <w:szCs w:val="28"/>
          <w:lang w:val="kk-KZ"/>
        </w:rPr>
        <w:t xml:space="preserve">. У тройных мутантов </w:t>
      </w:r>
      <w:r w:rsidRPr="00107040">
        <w:rPr>
          <w:i/>
          <w:sz w:val="28"/>
          <w:szCs w:val="28"/>
          <w:lang w:val="kk-KZ"/>
        </w:rPr>
        <w:t>parp1 parp2 parp3</w:t>
      </w:r>
      <w:r w:rsidRPr="00107040">
        <w:rPr>
          <w:sz w:val="28"/>
          <w:szCs w:val="28"/>
          <w:lang w:val="kk-KZ"/>
        </w:rPr>
        <w:t xml:space="preserve"> обострения тяжести повреждения растений не наблюдалось, что указывает на то, что AtPARP3 не активен в ответе на повреждение ДНК у проростков </w:t>
      </w:r>
      <w:r w:rsidRPr="00107040">
        <w:rPr>
          <w:sz w:val="28"/>
          <w:szCs w:val="28"/>
          <w:lang w:val="kk-KZ"/>
        </w:rPr>
        <w:fldChar w:fldCharType="begin"/>
      </w:r>
      <w:r w:rsidR="008611DC">
        <w:rPr>
          <w:sz w:val="28"/>
          <w:szCs w:val="28"/>
          <w:lang w:val="kk-KZ"/>
        </w:rPr>
        <w:instrText xml:space="preserve"> ADDIN ZOTERO_ITEM CSL_CITATION {"citationID":"a2atf9hn3os","properties":{"formattedCitation":"[328]","plainCitation":"[328]","noteIndex":0},"citationItems":[{"id":1637,"uris":["http://zotero.org/users/9078202/items/Y6YU77KL"],"itemData":{"id":1637,"type":"article-journal","abstract":"Poly(ADP-ribosyl)ation is a reversible post-translational modification of proteins, characterized by the addition of poly(ADP-ribose) (PAR) to proteins by poly(ADP-ribose) polymerase (PARP), and removal of PAR by poly(ADP-ribose) glycohydrolase (PARG). Three PARPs and two PARGs have been found in Arabidopsis, but their respective roles are not fully understood. In this study, the functions of each PARP and PARG in DNA repair were analyzed based on their mutant phenotypes under genotoxic stresses. Double or triple mutant analysis revealed that PARP1 and PARP2, but not PARP3, play a similar but not critical role in DNA repair in Arabidopsis seedlings. PARG1 and PARG2 play an essential and a minor role, respectively under the same conditions. Mutation of PARG1 results in increased DNA damage level and enhanced cell death in plants after bleomycin treatment. PARG1 expression is induced primarily in root and shoot meristems by bleomycin and induction of PARG1 is dependent on ATM and ATR kinases. PARG1 also antagonistically modulates the DNA repair process by preventing the over-induction of DNA repair genes. Our study determined the contribution of each PARP and PARG member in DNA repair and indicated that PARG1 plays a critical role in this process.","container-title":"Scientific Reports","DOI":"10.1038/srep15892","ISSN":"2045-2322","journalAbbreviation":"Sci Rep","language":"eng","note":"PMID: 26516022\nPMCID: PMC4626836","page":"15892","source":"PubMed","title":"Arabidopsis PARG1 is the key factor promoting cell survival among the enzymes regulating post-translational poly(ADP-ribosyl)ation","volume":"5","author":[{"family":"Zhang","given":"Hailei"},{"family":"Gu","given":"Zongying"},{"family":"Wu","given":"Qiao"},{"family":"Yang","given":"Lifeng"},{"family":"Liu","given":"Caifeng"},{"family":"Ma","given":"Hong"},{"family":"Xia","given":"Yiji"},{"family":"Ge","given":"Xiaochun"}],"issued":{"date-parts":[["2015",10,30]]}}}],"schema":"https://github.com/citation-style-language/schema/raw/master/csl-citation.json"} </w:instrText>
      </w:r>
      <w:r w:rsidRPr="00107040">
        <w:rPr>
          <w:sz w:val="28"/>
          <w:szCs w:val="28"/>
          <w:lang w:val="kk-KZ"/>
        </w:rPr>
        <w:fldChar w:fldCharType="separate"/>
      </w:r>
      <w:r w:rsidR="008611DC" w:rsidRPr="008611DC">
        <w:rPr>
          <w:sz w:val="28"/>
          <w:lang w:val="ru-RU"/>
        </w:rPr>
        <w:t>[328]</w:t>
      </w:r>
      <w:r w:rsidRPr="00107040">
        <w:rPr>
          <w:sz w:val="28"/>
          <w:szCs w:val="28"/>
          <w:lang w:val="kk-KZ"/>
        </w:rPr>
        <w:fldChar w:fldCharType="end"/>
      </w:r>
      <w:r w:rsidRPr="00107040">
        <w:rPr>
          <w:sz w:val="28"/>
          <w:szCs w:val="28"/>
          <w:lang w:val="kk-KZ"/>
        </w:rPr>
        <w:t xml:space="preserve">. Однако у ячменя мутация HvPARP3 приводила к изменению реакции роста корней на блеомицин </w:t>
      </w:r>
      <w:r w:rsidRPr="00107040">
        <w:rPr>
          <w:sz w:val="28"/>
          <w:szCs w:val="28"/>
          <w:lang w:val="kk-KZ"/>
        </w:rPr>
        <w:fldChar w:fldCharType="begin"/>
      </w:r>
      <w:r w:rsidR="008611DC">
        <w:rPr>
          <w:sz w:val="28"/>
          <w:szCs w:val="28"/>
          <w:lang w:val="kk-KZ"/>
        </w:rPr>
        <w:instrText xml:space="preserve"> ADDIN ZOTERO_ITEM CSL_CITATION {"citationID":"a28k5vejvgu","properties":{"formattedCitation":"[332]","plainCitation":"[332]","noteIndex":0},"citationItems":[{"id":1645,"uris":["http://zotero.org/users/9078202/items/2VEELFJ4"],"itemData":{"id":1645,"type":"article-journal","abstract":"Genome integrity is constantly challenged by endo- and exogenous DNA-damaging factors. The influence of genotoxic agents causes an accumulation of DNA lesions, which if not repaired, become mutations that can cause various abnormalities in a cell metabolism. The main pathway of DSB repair, which is based on non-homologous recombination, is canonical non-homologous end joining (C-NHEJ). It has been shown that this mechanism is highly conserved in both Pro- and Eukaryotes. The mechanisms that underlie DSB repair through C-NHEJ have mainly been investigated in mammalian systems, and therefore our knowledge about this process is much more limited as far as plants, and crop plants in particular, are concerned. Recent studies have demonstrated that PARP3 is an important response factor to the presence of DSB in a genome. The aims of this study were to identify the sequence of the barley PARP3 gene, to perform a mutational analysis of the sequence that was identified using the TILLING (Targeting Induced Local Lesions IN Genomes) method and to phenotype the mutants that were identified through their exposure to mutagenic treatment with the DSB-inducing chemical--bleomycin. A functional analysis led to the identification of a series of parp3 alleles. The mutants were characterized using several different approaches, including quantifying the DSB and γH2AX foci, which validated the function of the HvPARP3 gene in DSB repair in barley. The potential involvement of the HvPARP3 gene in the regulation of telomere length in barley was also analyzed.","container-title":"DNA repair","DOI":"10.1016/j.dnarep.2015.02.018","ISSN":"1568-7856","journalAbbreviation":"DNA Repair (Amst)","language":"eng","note":"PMID: 25753810","page":"116-130","source":"PubMed","title":"Alleles of newly identified barley gene HvPARP3 exhibit changes in efficiency of DNA repair","volume":"28","author":[{"family":"Stolarek","given":"Magdalena"},{"family":"Gruszka","given":"Damian"},{"family":"Braszewska-Zalewska","given":"Agnieszka"},{"family":"Maluszynski","given":"Miroslaw"}],"issued":{"date-parts":[["2015",4]]}}}],"schema":"https://github.com/citation-style-language/schema/raw/master/csl-citation.json"} </w:instrText>
      </w:r>
      <w:r w:rsidRPr="00107040">
        <w:rPr>
          <w:sz w:val="28"/>
          <w:szCs w:val="28"/>
          <w:lang w:val="kk-KZ"/>
        </w:rPr>
        <w:fldChar w:fldCharType="separate"/>
      </w:r>
      <w:r w:rsidR="008611DC" w:rsidRPr="008611DC">
        <w:rPr>
          <w:sz w:val="28"/>
          <w:lang w:val="ru-RU"/>
        </w:rPr>
        <w:t>[332]</w:t>
      </w:r>
      <w:r w:rsidRPr="00107040">
        <w:rPr>
          <w:sz w:val="28"/>
          <w:szCs w:val="28"/>
          <w:lang w:val="kk-KZ"/>
        </w:rPr>
        <w:fldChar w:fldCharType="end"/>
      </w:r>
      <w:r w:rsidRPr="00107040">
        <w:rPr>
          <w:sz w:val="28"/>
          <w:szCs w:val="28"/>
          <w:lang w:val="kk-KZ"/>
        </w:rPr>
        <w:t xml:space="preserve">. Таким образом, повреждение растений и снижение роста мутантов </w:t>
      </w:r>
      <w:r w:rsidRPr="00107040">
        <w:rPr>
          <w:rStyle w:val="a7"/>
          <w:sz w:val="28"/>
          <w:szCs w:val="28"/>
        </w:rPr>
        <w:t>parp</w:t>
      </w:r>
      <w:r w:rsidRPr="00107040">
        <w:rPr>
          <w:sz w:val="28"/>
          <w:szCs w:val="28"/>
          <w:lang w:val="kk-KZ"/>
        </w:rPr>
        <w:t xml:space="preserve"> в условиях генотоксического стресса можно объяснить усугублением повреждения ДНК. </w:t>
      </w:r>
    </w:p>
    <w:p w14:paraId="30092BAC" w14:textId="118D615A"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Помимо агентов, повреждающих ДНК, заражение растений бактерией </w:t>
      </w:r>
      <w:r w:rsidRPr="00107040">
        <w:rPr>
          <w:i/>
          <w:sz w:val="28"/>
          <w:szCs w:val="28"/>
        </w:rPr>
        <w:t>Pseudomonas</w:t>
      </w:r>
      <w:r w:rsidRPr="00107040">
        <w:rPr>
          <w:i/>
          <w:sz w:val="28"/>
          <w:szCs w:val="28"/>
          <w:lang w:val="ru-RU"/>
        </w:rPr>
        <w:t xml:space="preserve"> </w:t>
      </w:r>
      <w:r w:rsidRPr="00107040">
        <w:rPr>
          <w:i/>
          <w:sz w:val="28"/>
          <w:szCs w:val="28"/>
        </w:rPr>
        <w:t>syringae</w:t>
      </w:r>
      <w:r w:rsidRPr="00107040">
        <w:rPr>
          <w:sz w:val="28"/>
          <w:szCs w:val="28"/>
          <w:lang w:val="ru-RU"/>
        </w:rPr>
        <w:t xml:space="preserve"> (</w:t>
      </w:r>
      <w:r w:rsidRPr="00107040">
        <w:rPr>
          <w:i/>
          <w:sz w:val="28"/>
          <w:szCs w:val="28"/>
        </w:rPr>
        <w:t>Pst</w:t>
      </w:r>
      <w:r w:rsidRPr="00107040">
        <w:rPr>
          <w:sz w:val="28"/>
          <w:szCs w:val="28"/>
          <w:lang w:val="ru-RU"/>
        </w:rPr>
        <w:t xml:space="preserve">) вызывает повреждение ДНК </w:t>
      </w:r>
      <w:r w:rsidRPr="00107040">
        <w:rPr>
          <w:sz w:val="28"/>
          <w:szCs w:val="28"/>
          <w:lang w:val="ru-RU"/>
        </w:rPr>
        <w:fldChar w:fldCharType="begin"/>
      </w:r>
      <w:r w:rsidR="008611DC">
        <w:rPr>
          <w:sz w:val="28"/>
          <w:szCs w:val="28"/>
          <w:lang w:val="ru-RU"/>
        </w:rPr>
        <w:instrText xml:space="preserve"> ADDIN ZOTERO_ITEM CSL_CITATION {"citationID":"aqsks62dsu","properties":{"formattedCitation":"[337]","plainCitation":"[337]","noteIndex":0},"citationItems":[{"id":1656,"uris":["http://zotero.org/users/9078202/items/KXLWVQE8"],"itemData":{"id":1656,"type":"article-journal","abstract":"Immune responses and DNA damage repair are two fundamental processes that have been characterized extensively, but the links between them remain largely unknown. We report that multiple bacterial, fungal and oomycete plant pathogen species induce double-strand breaks (DSBs) in host plant DNA. DNA damage detected by histone γ-H2AX abundance or DNA comet assays arose hours before the disease-associated necrosis caused by virulent Pseudomonas syringae pv. tomato. Necrosis-inducing paraquat did not cause detectable DSBs at similar stages after application. Non-pathogenic E. coli and Pseudomonas fluorescens bacteria also did not induce DSBs. Elevation of reactive oxygen species (ROS) is common during plant immune responses, ROS are known DNA damaging agents, and the infection-induced host ROS burst has been implicated as a cause of host DNA damage in animal studies. However, we found that DSB formation in Arabidopsis in response to P. syringae infection still occurs in the absence of the infection-associated oxidative burst mediated by AtrbohD and AtrbohF. Plant MAMP receptor stimulation or application of defense-activating salicylic acid or jasmonic acid failed to induce a detectable level of DSBs in the absence of introduced pathogens, further suggesting that pathogen activities beyond host defense activation cause infection-induced DNA damage. The abundance of infection-induced DSBs was reduced by salicylic acid and NPR1-mediated defenses, and by certain R gene-mediated defenses. Infection-induced formation of γ-H2AX still occurred in Arabidopsis atr/atm double mutants, suggesting the presence of an alternative mediator of pathogen-induced H2AX phosphorylation. In summary, pathogenic microorganisms can induce plant DNA damage. Plant defense mechanisms help to suppress rather than promote this damage, thereby contributing to the maintenance of genome integrity in somatic tissues.","container-title":"PLOS Pathogens","DOI":"10.1371/journal.ppat.1004030","ISSN":"1553-7374","issue":"4","journalAbbreviation":"PLOS Pathogens","language":"en","note":"publisher: Public Library of Science","page":"e1004030","source":"PLoS Journals","title":"Microbial Pathogens Trigger Host DNA Double-Strand Breaks Whose Abundance Is Reduced by Plant Defense Responses","URL":"https://journals.plos.org/plospathogens/article?id=10.1371/journal.ppat.1004030","volume":"10","author":[{"family":"Song","given":"Junqi"},{"family":"Bent","given":"Andrew F."}],"accessed":{"date-parts":[["2022",9,6]]},"issued":{"date-parts":[["2014",4,3]]}}}],"schema":"https://github.com/citation-style-language/schema/raw/master/csl-citation.json"} </w:instrText>
      </w:r>
      <w:r w:rsidRPr="00107040">
        <w:rPr>
          <w:sz w:val="28"/>
          <w:szCs w:val="28"/>
          <w:lang w:val="ru-RU"/>
        </w:rPr>
        <w:fldChar w:fldCharType="separate"/>
      </w:r>
      <w:r w:rsidR="008611DC" w:rsidRPr="008611DC">
        <w:rPr>
          <w:sz w:val="28"/>
          <w:lang w:val="ru-RU"/>
        </w:rPr>
        <w:t>[337]</w:t>
      </w:r>
      <w:r w:rsidRPr="00107040">
        <w:rPr>
          <w:sz w:val="28"/>
          <w:szCs w:val="28"/>
          <w:lang w:val="ru-RU"/>
        </w:rPr>
        <w:fldChar w:fldCharType="end"/>
      </w:r>
      <w:r w:rsidRPr="00107040">
        <w:rPr>
          <w:sz w:val="28"/>
          <w:szCs w:val="28"/>
          <w:lang w:val="ru-RU"/>
        </w:rPr>
        <w:t xml:space="preserve">. В соответствии с этим повреждение ДНК усиливалось у мутантов </w:t>
      </w:r>
      <w:r w:rsidRPr="00107040">
        <w:rPr>
          <w:i/>
          <w:sz w:val="28"/>
          <w:szCs w:val="28"/>
        </w:rPr>
        <w:t>parp</w:t>
      </w:r>
      <w:r w:rsidRPr="00107040">
        <w:rPr>
          <w:i/>
          <w:sz w:val="28"/>
          <w:szCs w:val="28"/>
          <w:lang w:val="ru-RU"/>
        </w:rPr>
        <w:t>2</w:t>
      </w:r>
      <w:r w:rsidRPr="00107040">
        <w:rPr>
          <w:sz w:val="28"/>
          <w:szCs w:val="28"/>
          <w:lang w:val="ru-RU"/>
        </w:rPr>
        <w:t xml:space="preserve"> и </w:t>
      </w:r>
      <w:r w:rsidRPr="00107040">
        <w:rPr>
          <w:i/>
          <w:sz w:val="28"/>
          <w:szCs w:val="28"/>
        </w:rPr>
        <w:t>parp</w:t>
      </w:r>
      <w:r w:rsidRPr="00107040">
        <w:rPr>
          <w:i/>
          <w:sz w:val="28"/>
          <w:szCs w:val="28"/>
          <w:lang w:val="ru-RU"/>
        </w:rPr>
        <w:t xml:space="preserve">1 </w:t>
      </w:r>
      <w:r w:rsidRPr="00107040">
        <w:rPr>
          <w:i/>
          <w:sz w:val="28"/>
          <w:szCs w:val="28"/>
        </w:rPr>
        <w:t>parp</w:t>
      </w:r>
      <w:r w:rsidRPr="00107040">
        <w:rPr>
          <w:i/>
          <w:sz w:val="28"/>
          <w:szCs w:val="28"/>
          <w:lang w:val="ru-RU"/>
        </w:rPr>
        <w:t>2</w:t>
      </w:r>
      <w:r w:rsidRPr="00107040">
        <w:rPr>
          <w:sz w:val="28"/>
          <w:szCs w:val="28"/>
          <w:lang w:val="ru-RU"/>
        </w:rPr>
        <w:t xml:space="preserve"> в ответ на обработку </w:t>
      </w:r>
      <w:r w:rsidRPr="00107040">
        <w:rPr>
          <w:i/>
          <w:sz w:val="28"/>
          <w:szCs w:val="28"/>
        </w:rPr>
        <w:t>Pst</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{"citationID":"a15al4n32br","properties":{"formattedCitation":"[317]","plainCitation":"[317]","noteIndex":0},"citationItems":[{"id":1603,"uris":["http://zotero.org/users/9078202/items/7ULQ9USS"],"itemData":{"id":1603,"type":"article-journal","abstract":"Poly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F."}],"accessed":{"date-parts":[["2022",9,5]]},"issued":{"date-parts":[["2015",5,7]]}}}],"schema":"https://github.com/citation-style-language/schema/raw/master/csl-citation.json"} </w:instrText>
      </w:r>
      <w:r w:rsidRPr="00107040">
        <w:rPr>
          <w:sz w:val="28"/>
          <w:szCs w:val="28"/>
          <w:lang w:val="ru-RU"/>
        </w:rPr>
        <w:fldChar w:fldCharType="separate"/>
      </w:r>
      <w:r w:rsidR="008611DC" w:rsidRPr="008611DC">
        <w:rPr>
          <w:sz w:val="28"/>
          <w:lang w:val="ru-RU"/>
        </w:rPr>
        <w:t>[317]</w:t>
      </w:r>
      <w:r w:rsidRPr="00107040">
        <w:rPr>
          <w:sz w:val="28"/>
          <w:szCs w:val="28"/>
          <w:lang w:val="ru-RU"/>
        </w:rPr>
        <w:fldChar w:fldCharType="end"/>
      </w:r>
      <w:r w:rsidRPr="00107040">
        <w:rPr>
          <w:sz w:val="28"/>
          <w:szCs w:val="28"/>
          <w:lang w:val="ru-RU"/>
        </w:rPr>
        <w:t>.</w:t>
      </w:r>
      <w:r w:rsidRPr="00107040">
        <w:rPr>
          <w:sz w:val="28"/>
          <w:szCs w:val="28"/>
          <w:lang w:val="kk-KZ"/>
        </w:rPr>
        <w:t xml:space="preserve"> </w:t>
      </w:r>
    </w:p>
    <w:p w14:paraId="6ADD4338"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p>
    <w:p w14:paraId="4568A99A" w14:textId="35EC9CDF" w:rsidR="00107040" w:rsidRPr="00107040" w:rsidRDefault="00107040" w:rsidP="00107040">
      <w:pPr>
        <w:pStyle w:val="p"/>
        <w:shd w:val="clear" w:color="auto" w:fill="FFFFFF"/>
        <w:spacing w:before="0" w:beforeAutospacing="0" w:after="0" w:afterAutospacing="0"/>
        <w:ind w:firstLine="567"/>
        <w:jc w:val="both"/>
        <w:rPr>
          <w:sz w:val="28"/>
          <w:szCs w:val="28"/>
          <w:lang w:val="ru-RU"/>
        </w:rPr>
      </w:pPr>
      <w:bookmarkStart w:id="46" w:name="_Hlk113268497"/>
      <w:r w:rsidRPr="00107040">
        <w:rPr>
          <w:sz w:val="28"/>
          <w:szCs w:val="28"/>
          <w:lang w:val="ru-RU"/>
        </w:rPr>
        <w:t xml:space="preserve">1.9.1 </w:t>
      </w:r>
      <w:r w:rsidR="008C6134">
        <w:rPr>
          <w:sz w:val="28"/>
          <w:szCs w:val="28"/>
          <w:lang w:val="ru-RU"/>
        </w:rPr>
        <w:t xml:space="preserve">Участие </w:t>
      </w:r>
      <w:r w:rsidRPr="00107040">
        <w:rPr>
          <w:sz w:val="28"/>
          <w:szCs w:val="28"/>
        </w:rPr>
        <w:t>PARP</w:t>
      </w:r>
      <w:r w:rsidRPr="00107040">
        <w:rPr>
          <w:sz w:val="28"/>
          <w:szCs w:val="28"/>
          <w:lang w:val="ru-RU"/>
        </w:rPr>
        <w:t xml:space="preserve">1 и </w:t>
      </w:r>
      <w:r w:rsidRPr="00107040">
        <w:rPr>
          <w:sz w:val="28"/>
          <w:szCs w:val="28"/>
        </w:rPr>
        <w:t>PARP</w:t>
      </w:r>
      <w:r w:rsidRPr="00107040">
        <w:rPr>
          <w:sz w:val="28"/>
          <w:szCs w:val="28"/>
          <w:lang w:val="ru-RU"/>
        </w:rPr>
        <w:t xml:space="preserve">2 в различных путях реакции на повреждение ДНК у растений </w:t>
      </w:r>
    </w:p>
    <w:bookmarkEnd w:id="46"/>
    <w:p w14:paraId="5B3F4A8A" w14:textId="41F340EC"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Обостренная чувствительность </w:t>
      </w:r>
      <w:r w:rsidRPr="00107040">
        <w:rPr>
          <w:i/>
          <w:sz w:val="28"/>
          <w:szCs w:val="28"/>
        </w:rPr>
        <w:t>parp</w:t>
      </w:r>
      <w:r w:rsidRPr="00107040">
        <w:rPr>
          <w:sz w:val="28"/>
          <w:szCs w:val="28"/>
          <w:lang w:val="ru-RU"/>
        </w:rPr>
        <w:t xml:space="preserve"> мутантов </w:t>
      </w:r>
      <w:r w:rsidRPr="00107040">
        <w:rPr>
          <w:i/>
          <w:sz w:val="28"/>
          <w:szCs w:val="28"/>
        </w:rPr>
        <w:t>Arabidopsis</w:t>
      </w:r>
      <w:r w:rsidRPr="00107040">
        <w:rPr>
          <w:i/>
          <w:sz w:val="28"/>
          <w:szCs w:val="28"/>
          <w:lang w:val="ru-RU"/>
        </w:rPr>
        <w:t xml:space="preserve"> </w:t>
      </w:r>
      <w:r w:rsidRPr="00107040">
        <w:rPr>
          <w:sz w:val="28"/>
          <w:szCs w:val="28"/>
          <w:lang w:val="ru-RU"/>
        </w:rPr>
        <w:t xml:space="preserve">к различным агентам, повреждающим ДНК, показала, что </w:t>
      </w:r>
      <w:r w:rsidRPr="00107040">
        <w:rPr>
          <w:sz w:val="28"/>
          <w:szCs w:val="28"/>
        </w:rPr>
        <w:t>PARP</w:t>
      </w:r>
      <w:r w:rsidRPr="00107040">
        <w:rPr>
          <w:sz w:val="28"/>
          <w:szCs w:val="28"/>
          <w:lang w:val="ru-RU"/>
        </w:rPr>
        <w:t xml:space="preserve"> растений играют важную роль в реакциях на повреждение ДНК, как и их аналоги у человека. В соответствии с этим было обнаружено, что опосредованная ионизирующим излучением индукция </w:t>
      </w:r>
      <w:r w:rsidRPr="00107040">
        <w:rPr>
          <w:sz w:val="28"/>
          <w:szCs w:val="28"/>
        </w:rPr>
        <w:t>AtPARP</w:t>
      </w:r>
      <w:r w:rsidRPr="00107040">
        <w:rPr>
          <w:sz w:val="28"/>
          <w:szCs w:val="28"/>
          <w:lang w:val="ru-RU"/>
        </w:rPr>
        <w:t xml:space="preserve">2 зависит от присутствия АТМ, так как у мутантных растений </w:t>
      </w:r>
      <w:r w:rsidRPr="00107040">
        <w:rPr>
          <w:i/>
          <w:sz w:val="28"/>
          <w:szCs w:val="28"/>
        </w:rPr>
        <w:t>atm</w:t>
      </w:r>
      <w:r w:rsidRPr="00107040">
        <w:rPr>
          <w:sz w:val="28"/>
          <w:szCs w:val="28"/>
          <w:lang w:val="ru-RU"/>
        </w:rPr>
        <w:t xml:space="preserve"> индукция отсутствовала </w:t>
      </w:r>
      <w:r w:rsidRPr="00107040">
        <w:rPr>
          <w:sz w:val="28"/>
          <w:szCs w:val="28"/>
          <w:lang w:val="ru-RU"/>
        </w:rPr>
        <w:fldChar w:fldCharType="begin"/>
      </w:r>
      <w:r w:rsidR="00FB5E68">
        <w:rPr>
          <w:sz w:val="28"/>
          <w:szCs w:val="28"/>
          <w:lang w:val="ru-RU"/>
        </w:rPr>
        <w:instrText xml:space="preserve"> ADDIN ZOTERO_ITEM CSL_CITATION {"citationID":"a1j7tns9fb0","properties":{"formattedCitation":"[338]","plainCitation":"[338]","noteIndex":0},"citationItems":[{"id":"MPjqK5ng/PjXK4r6E","uris":["http://zotero.org/users/9078202/items/P9MSHSCL"],"itemData":{"id":1661,"type":"article-journal","abstract":"Upon the incidence of DNA stress, the ataxia telangiectasia–mutated (ATM) and Rad3-related (ATR) signaling kinases activate a transient cell cycle arrest that allows cells to repair DNA before proceeding into mitosis. Although the ATM-ATR pathway is highly conserved over species, the mechanisms by which plant cells stop their cell cycle in response to the loss of genome integrity are unclear. We demonstrate that the cell cycle regulatory WEE1 kinase gene of Arabidopsis thaliana is transcriptionally activated upon the cessation of DNA replication or DNA damage in an ATR- or ATM-dependent manner, respectively. In accordance with a role for WEE1 in DNA stress signaling, WEE1-deficient plants showed no obvious cell division or endoreduplication phenotype when grown under nonstress conditions but were hypersensitive to agents that impair DNA replication. Induced WEE1 expression inhibited plant growth by arresting dividing cells in the G2-phase of the cell cycle. We conclude that the plant WEE1 gene is not rate-limiting for cycle progression under normal growth conditions but is a critical target of the ATR-ATM signaling cascades that inhibit the cell cycle upon activation of the DNA integrity checkpoints, coupling mitosis to DNA repair in cells that suffer DNA damage.","container-title":"The Plant Cell","DOI":"10.1105/tpc.106.045047","ISSN":"1040-4651","issue":"1","journalAbbreviation":"The Plant Cell","page":"211-225","source":"Silverchair","title":"Arabidopsis WEE1 Kinase Controls Cell Cycle Arrest in Response to Activation of the DNA Integrity Checkpoint","URL":"https://doi.org/10.1105/tpc.106.045047","volume":"19","author":[{"family":"De Schutter","given":"Kristof"},{"family":"Joubès","given":"Jérôme"},{"family":"Cools","given":"Toon"},{"family":"Verkest","given":"Aurine"},{"family":"Corellou","given":"Florence"},{"family":"Babiychuk","given":"Elena"},{"family":"Van Der Schueren","given":"Els"},{"family":"Beeckman","given":"Tom"},{"family":"Kushnir","given":"Sergeï"},{"family":"Inzé","given":"Dirk"},{"family":"De Veylder","given":"Lieven"}],"accessed":{"date-parts":[["2022",9,7]]},"issued":{"date-parts":[["2007",1,1]]}}}],"schema":"https://github.com/citation-style-language/schema/raw/master/csl-citation.json"} </w:instrText>
      </w:r>
      <w:r w:rsidRPr="00107040">
        <w:rPr>
          <w:sz w:val="28"/>
          <w:szCs w:val="28"/>
          <w:lang w:val="ru-RU"/>
        </w:rPr>
        <w:fldChar w:fldCharType="separate"/>
      </w:r>
      <w:r w:rsidR="008611DC" w:rsidRPr="008611DC">
        <w:rPr>
          <w:sz w:val="28"/>
          <w:lang w:val="ru-RU"/>
        </w:rPr>
        <w:t>[338]</w:t>
      </w:r>
      <w:r w:rsidRPr="00107040">
        <w:rPr>
          <w:sz w:val="28"/>
          <w:szCs w:val="28"/>
          <w:lang w:val="ru-RU"/>
        </w:rPr>
        <w:fldChar w:fldCharType="end"/>
      </w:r>
      <w:r w:rsidRPr="00107040">
        <w:rPr>
          <w:sz w:val="28"/>
          <w:szCs w:val="28"/>
          <w:lang w:val="ru-RU"/>
        </w:rPr>
        <w:t xml:space="preserve">. АТМ является </w:t>
      </w:r>
      <w:r w:rsidRPr="00107040">
        <w:rPr>
          <w:sz w:val="28"/>
          <w:szCs w:val="28"/>
          <w:lang w:val="ru-RU"/>
        </w:rPr>
        <w:lastRenderedPageBreak/>
        <w:t xml:space="preserve">инициатором различных путей репарации повреждений ДНК </w:t>
      </w:r>
      <w:r w:rsidRPr="00107040">
        <w:rPr>
          <w:sz w:val="28"/>
          <w:szCs w:val="28"/>
          <w:lang w:val="ru-RU"/>
        </w:rPr>
        <w:fldChar w:fldCharType="begin"/>
      </w:r>
      <w:r w:rsidR="008611DC">
        <w:rPr>
          <w:sz w:val="28"/>
          <w:szCs w:val="28"/>
          <w:lang w:val="ru-RU"/>
        </w:rPr>
        <w:instrText xml:space="preserve"> ADDIN ZOTERO_ITEM CSL_CITATION {"citationID":"a1h9jp6pq19","properties":{"formattedCitation":"[339]","plainCitation":"[339]","noteIndex":0},"citationItems":[{"id":1666,"uris":["http://zotero.org/users/9078202/items/WRJF6UBE"],"itemData":{"id":1666,"type":"article-journal","abstract":"Plant cells are constantly exposed to environmental agents and endogenous processes that inflict damage to DNA and cause genotoxic stress, which can reduce plant genome stability, growth and productivity. Plants are most affected by solar UV-B radiation, which damage the DNA by inducing the formation of two main UV photoproducts such as cyclobutane pyrimidine dimers (CPDs) and pyrimidine (6-4) pyrimidone photoproducts (6-4PPs). Reactive oxygen species (ROS) are also generated extra- or intra-cellularly, which constitute yet another source of genotoxic stress. As a result of this stress, the cellular DNA-damage responses (DDR) are activated, which transiently arrest the cell cycle and allow cells to repair DNA before proceeding into mitosis. DDR requires the activation of Ataxia telangiectasia-mutated (ATM) and Rad3-related (ATR) genes, which regulate the cell cycle and transmit the damage signals to downstream effectors of cell-cycle progression. Since genomic protection and stability are fundamental to ensure and sustain plant diversity and productivity, therefore, repair of DNA damages is essential. In plants the bulky DNA lesions, CPDs and 6-4PPs, are repaired by a simple and error-free mechanism: photoreactivation, which is a light-dependent mechanism and requires CPD or 6-4PP specific photolyases. In addition to this direct repair process, the plants also have sophisticated light-independent general repair mechanisms, such as the nucleotide excision repair (NER) and base excision repair (BER). The completed plant genome sequences reveal that most of the genes involved in NER and BER are present in higher plants, which suggests that the network of in-built DNA-damage repair mechanisms is conserved. This article describes the insight underlying the DNA damage and repair pathways in plants. The comet assay to measure the DNA damage and the role of DNA repair helicases such as XPD and XPB are also covered.","container-title":"Mutation Research","DOI":"10.1016/j.mrrev.2008.06.004","ISSN":"0027-5107","issue":"2-3","journalAbbreviation":"Mutat Res","language":"eng","note":"PMID: 18652913","page":"134-149","source":"PubMed","title":"Genotoxic stress in plants: shedding light on DNA damage, repair and DNA repair helicases","title-short":"Genotoxic stress in plants","volume":"681","author":[{"family":"Tuteja","given":"Narendra"},{"family":"Ahmad","given":"Parvaiz"},{"family":"Panda","given":"Brahma B."},{"family":"Tuteja","given":"Renu"}],"issued":{"date-parts":[["2009",6]]}}}],"schema":"https://github.com/citation-style-language/schema/raw/master/csl-citation.json"} </w:instrText>
      </w:r>
      <w:r w:rsidRPr="00107040">
        <w:rPr>
          <w:sz w:val="28"/>
          <w:szCs w:val="28"/>
          <w:lang w:val="ru-RU"/>
        </w:rPr>
        <w:fldChar w:fldCharType="separate"/>
      </w:r>
      <w:r w:rsidR="008611DC" w:rsidRPr="008611DC">
        <w:rPr>
          <w:sz w:val="28"/>
          <w:lang w:val="ru-RU"/>
        </w:rPr>
        <w:t>[339]</w:t>
      </w:r>
      <w:r w:rsidRPr="00107040">
        <w:rPr>
          <w:sz w:val="28"/>
          <w:szCs w:val="28"/>
          <w:lang w:val="ru-RU"/>
        </w:rPr>
        <w:fldChar w:fldCharType="end"/>
      </w:r>
      <w:r w:rsidRPr="00107040">
        <w:rPr>
          <w:sz w:val="28"/>
          <w:szCs w:val="28"/>
          <w:lang w:val="ru-RU"/>
        </w:rPr>
        <w:t xml:space="preserve">. Тем не менее, участие растительных белков </w:t>
      </w:r>
      <w:r w:rsidRPr="00107040">
        <w:rPr>
          <w:sz w:val="28"/>
          <w:szCs w:val="28"/>
        </w:rPr>
        <w:t>PARP</w:t>
      </w:r>
      <w:r w:rsidRPr="00107040">
        <w:rPr>
          <w:sz w:val="28"/>
          <w:szCs w:val="28"/>
          <w:lang w:val="ru-RU"/>
        </w:rPr>
        <w:t xml:space="preserve"> в специфических путях репарации ДНК еще предстоит выяснить. Например, ингибитор </w:t>
      </w:r>
      <w:r w:rsidRPr="00107040">
        <w:rPr>
          <w:sz w:val="28"/>
          <w:szCs w:val="28"/>
        </w:rPr>
        <w:t>PARP</w:t>
      </w:r>
      <w:r w:rsidRPr="00107040">
        <w:rPr>
          <w:sz w:val="28"/>
          <w:szCs w:val="28"/>
          <w:lang w:val="ru-RU"/>
        </w:rPr>
        <w:t xml:space="preserve"> 3-метоксибензамид (3</w:t>
      </w:r>
      <w:r w:rsidRPr="00107040">
        <w:rPr>
          <w:sz w:val="28"/>
          <w:szCs w:val="28"/>
        </w:rPr>
        <w:t>MB</w:t>
      </w:r>
      <w:r w:rsidRPr="00107040">
        <w:rPr>
          <w:sz w:val="28"/>
          <w:szCs w:val="28"/>
          <w:lang w:val="ru-RU"/>
        </w:rPr>
        <w:t xml:space="preserve">) увеличивал количество рекомбинационных событий у арабидопсиса и табака </w:t>
      </w:r>
      <w:r w:rsidRPr="00107040">
        <w:rPr>
          <w:sz w:val="28"/>
          <w:szCs w:val="28"/>
          <w:lang w:val="ru-RU"/>
        </w:rPr>
        <w:fldChar w:fldCharType="begin"/>
      </w:r>
      <w:r w:rsidR="008611DC">
        <w:rPr>
          <w:sz w:val="28"/>
          <w:szCs w:val="28"/>
          <w:lang w:val="ru-RU"/>
        </w:rPr>
        <w:instrText xml:space="preserve"> ADDIN ZOTERO_ITEM CSL_CITATION {"citationID":"a23632ttimr","properties":{"formattedCitation":"[340]","plainCitation":"[340]","noteIndex":0},"citationItems":[{"id":1668,"uris":["http://zotero.org/users/9078202/items/7QJEB98S"],"itemData":{"id":1668,"type":"article-journal","abstract":"A system to assay intrachromosomal homologous recombination during the complete life-cycle of a whole higher eukaryote was set up. Arabidopsis thaliana plants were transformed with a recombination substrate carrying a non-selectable and quantitatively detectable marker gene. The recombination substrates contain two overlapping, non-functional deletion mutants of a chimeric beta-glucuronidase (uidA) gene. Upon recombination, as proven by Southern blot analysis, a functional gene is restored and its product can be detected by histochemical staining. Therefore, cells in which recombination events occurred, and their progeny, can be precisely localized in the whole plant. Recombination was observed in all plant organs examined, from the seed stage until the flowering stage of somatic plant development. Meristematic recombination events revealed cell lineage patterns. Overall recombination frequencies typically were in the range 10(-6)-10(-7) events/genome. Recombination frequencies were found to differ in different organs of particular transgenic lines.","container-title":"The EMBO journal","DOI":"10.1002/j.1460-2075.1994.tb06283.x","ISSN":"0261-4189","issue":"2","journalAbbreviation":"EMBO J","language":"eng","note":"PMID: 8313893\nPMCID: PMC394832","page":"484-489","source":"PubMed","title":"Intrachromosomal homologous recombination in whole plants","volume":"13","author":[{"family":"Swoboda","given":"P."},{"family":"Gal","given":"S."},{"family":"Hohn","given":"B."},{"family":"Puchta","given":"H."}],"issued":{"date-parts":[["1994",1,15]]}}}],"schema":"https://github.com/citation-style-language/schema/raw/master/csl-citation.json"} </w:instrText>
      </w:r>
      <w:r w:rsidRPr="00107040">
        <w:rPr>
          <w:sz w:val="28"/>
          <w:szCs w:val="28"/>
          <w:lang w:val="ru-RU"/>
        </w:rPr>
        <w:fldChar w:fldCharType="separate"/>
      </w:r>
      <w:r w:rsidR="008611DC" w:rsidRPr="008611DC">
        <w:rPr>
          <w:sz w:val="28"/>
          <w:lang w:val="ru-RU"/>
        </w:rPr>
        <w:t>[340]</w:t>
      </w:r>
      <w:r w:rsidRPr="00107040">
        <w:rPr>
          <w:sz w:val="28"/>
          <w:szCs w:val="28"/>
          <w:lang w:val="ru-RU"/>
        </w:rPr>
        <w:fldChar w:fldCharType="end"/>
      </w:r>
      <w:r w:rsidRPr="00107040">
        <w:rPr>
          <w:sz w:val="28"/>
          <w:szCs w:val="28"/>
          <w:lang w:val="ru-RU"/>
        </w:rPr>
        <w:t xml:space="preserve">. Это указывает на то, что </w:t>
      </w:r>
      <w:r w:rsidRPr="00107040">
        <w:rPr>
          <w:sz w:val="28"/>
          <w:szCs w:val="28"/>
        </w:rPr>
        <w:t>PARP</w:t>
      </w:r>
      <w:r w:rsidRPr="00107040">
        <w:rPr>
          <w:sz w:val="28"/>
          <w:szCs w:val="28"/>
          <w:lang w:val="ru-RU"/>
        </w:rPr>
        <w:t xml:space="preserve"> негативно регулируют репарацию ДНК с помощью </w:t>
      </w:r>
      <w:r w:rsidRPr="00107040">
        <w:rPr>
          <w:sz w:val="28"/>
          <w:szCs w:val="28"/>
        </w:rPr>
        <w:t>HR</w:t>
      </w:r>
      <w:r w:rsidRPr="00107040">
        <w:rPr>
          <w:sz w:val="28"/>
          <w:szCs w:val="28"/>
          <w:lang w:val="ru-RU"/>
        </w:rPr>
        <w:t xml:space="preserve">. В соответствии с этим экспрессия компонентов </w:t>
      </w:r>
      <w:r w:rsidRPr="00107040">
        <w:rPr>
          <w:sz w:val="28"/>
          <w:szCs w:val="28"/>
        </w:rPr>
        <w:t>HR</w:t>
      </w:r>
      <w:r w:rsidRPr="00107040">
        <w:rPr>
          <w:sz w:val="28"/>
          <w:szCs w:val="28"/>
          <w:lang w:val="ru-RU"/>
        </w:rPr>
        <w:t xml:space="preserve"> </w:t>
      </w:r>
      <w:r w:rsidRPr="00107040">
        <w:rPr>
          <w:i/>
          <w:sz w:val="28"/>
          <w:szCs w:val="28"/>
        </w:rPr>
        <w:t>AtRAD</w:t>
      </w:r>
      <w:r w:rsidRPr="00107040">
        <w:rPr>
          <w:i/>
          <w:sz w:val="28"/>
          <w:szCs w:val="28"/>
          <w:lang w:val="ru-RU"/>
        </w:rPr>
        <w:t>51</w:t>
      </w:r>
      <w:r w:rsidRPr="00107040">
        <w:rPr>
          <w:sz w:val="28"/>
          <w:szCs w:val="28"/>
          <w:lang w:val="ru-RU"/>
        </w:rPr>
        <w:t xml:space="preserve"> и </w:t>
      </w:r>
      <w:r w:rsidRPr="00107040">
        <w:rPr>
          <w:i/>
          <w:sz w:val="28"/>
          <w:szCs w:val="28"/>
        </w:rPr>
        <w:t>AtXRCC</w:t>
      </w:r>
      <w:r w:rsidRPr="00107040">
        <w:rPr>
          <w:i/>
          <w:sz w:val="28"/>
          <w:szCs w:val="28"/>
          <w:lang w:val="ru-RU"/>
        </w:rPr>
        <w:t>3</w:t>
      </w:r>
      <w:r w:rsidRPr="00107040">
        <w:rPr>
          <w:sz w:val="28"/>
          <w:szCs w:val="28"/>
          <w:lang w:val="ru-RU"/>
        </w:rPr>
        <w:t xml:space="preserve"> усиливалась при обработке 3</w:t>
      </w:r>
      <w:r w:rsidRPr="00107040">
        <w:rPr>
          <w:sz w:val="28"/>
          <w:szCs w:val="28"/>
        </w:rPr>
        <w:t>AB</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{"citationID":"a1ilp4fi385","properties":{"formattedCitation":"[341]","plainCitation":"[341]","noteIndex":0},"citationItems":[{"id":1671,"uris":["http://zotero.org/users/9078202/items/MIAT9GXH"],"itemData":{"id":1671,"type":"article-journal","abstract":"Here, we assessed modulation of the poly(ADP-ribosyl)ation (PAR) reaction by an Arabidopsis (Arabidopsis thaliana) ADP-ribose (Rib)/NADH pyrophosphohydrolase, AtNUDX7 (for Arabidopsis Nudix hydrolase 7), in AtNUDX7-overexpressed (Pro(35S):AtNUDX7) or AtNUDX7-disrupted (KO-nudx7) plants under normal conditions and oxidative stress caused by paraquat treatment. Levels of NADH and ADP-Rib were decreased in the Pro(35S):AtNUDX7 plants but increased in the KO-nudx7 plants under normal conditions and oxidative stress compared with the control plants, indicating that AtNUDX7 hydrolyzes both ADP-Rib and NADH as physiological substrates. The Pro(35S):AtNUDX7 and KO-nudx7 plants showed increased and decreased tolerance, respectively, to oxidative stress compared with the control plants. Levels of poly(ADP-Rib) in the Pro(35S):AtNUDX7 and KO-nudx7 plants were markedly higher and lower, respectively, than those in the control plants. Depletion of NAD(+) and ATP resulting from the activation of the PAR reaction under oxidative stress was completely suppressed in the Pro(35S):AtNUDX7 plants. Accumulation of NAD(+) and ATP was observed in the KO-nudx7- and 3-aminobenzamide-treated plants, in which the PAR reaction was suppressed. The expression levels of DNA repair factors, AtXRCC1 and AtXRCC2 (for x-ray repair cross-complementing factors 1 and 2), paralleled that of AtNUDX7 under both normal conditions and oxidative stress, although an inverse correlation was observed between the levels of AtXRCC3, AtRAD51 (for Escherichia coli RecA homolog), AtDMC1 (for disrupted meiotic cDNA), and AtMND1 (for meiotic nuclear divisions) and AtNUDX7. These findings suggest that AtNUDX7 controls the balance between NADH and NAD(+) by NADH turnover under normal conditions. Under oxidative stress, AtNUDX7 serves to maintain NAD(+) levels by supplying ATP via nucleotide recycling from free ADP-Rib molecules and thus regulates the defense mechanisms against oxidative DNA damage via modulation of the PAR reaction.","container-title":"Plant Physiology","DOI":"10.1104/pp.109.140442","ISSN":"0032-0889","issue":"2","journalAbbreviation":"Plant Physiol","language":"eng","note":"PMID: 19656905\nPMCID: PMC2754630","page":"741-754","source":"PubMed","title":"Modulation of the poly(ADP-ribosyl)ation reaction via the Arabidopsis ADP-ribose/NADH pyrophosphohydrolase, AtNUDX7, is involved in the response to oxidative stress","volume":"151","author":[{"family":"Ishikawa","given":"Kazuya"},{"family":"Ogawa","given":"Takahisa"},{"family":"Hirosue","given":"Eisuke"},{"family":"Nakayama","given":"Yasumune"},{"family":"Harada","given":"Kazuo"},{"family":"Fukusaki","given":"Eiichiro"},{"family":"Yoshimura","given":"Kazuya"},{"family":"Shigeoka","given":"Shigeru"}],"issued":{"date-parts":[["2009",10]]}}}],"schema":"https://github.com/citation-style-language/schema/raw/master/csl-citation.json"} </w:instrText>
      </w:r>
      <w:r w:rsidRPr="00107040">
        <w:rPr>
          <w:sz w:val="28"/>
          <w:szCs w:val="28"/>
          <w:lang w:val="ru-RU"/>
        </w:rPr>
        <w:fldChar w:fldCharType="separate"/>
      </w:r>
      <w:r w:rsidR="008611DC" w:rsidRPr="008611DC">
        <w:rPr>
          <w:sz w:val="28"/>
          <w:lang w:val="ru-RU"/>
        </w:rPr>
        <w:t>[341]</w:t>
      </w:r>
      <w:r w:rsidRPr="00107040">
        <w:rPr>
          <w:sz w:val="28"/>
          <w:szCs w:val="28"/>
          <w:lang w:val="ru-RU"/>
        </w:rPr>
        <w:fldChar w:fldCharType="end"/>
      </w:r>
      <w:r w:rsidRPr="00107040">
        <w:rPr>
          <w:sz w:val="28"/>
          <w:szCs w:val="28"/>
          <w:lang w:val="ru-RU"/>
        </w:rPr>
        <w:t xml:space="preserve">. Более того, экспрессия </w:t>
      </w:r>
      <w:r w:rsidRPr="00107040">
        <w:rPr>
          <w:sz w:val="28"/>
          <w:szCs w:val="28"/>
        </w:rPr>
        <w:t>AtPARP</w:t>
      </w:r>
      <w:r w:rsidRPr="00107040">
        <w:rPr>
          <w:sz w:val="28"/>
          <w:szCs w:val="28"/>
          <w:lang w:val="ru-RU"/>
        </w:rPr>
        <w:t xml:space="preserve">2 индуцировалась у мутантных растений </w:t>
      </w:r>
      <w:r w:rsidRPr="00107040">
        <w:rPr>
          <w:i/>
          <w:sz w:val="28"/>
          <w:szCs w:val="28"/>
        </w:rPr>
        <w:t>mms</w:t>
      </w:r>
      <w:r w:rsidRPr="00107040">
        <w:rPr>
          <w:i/>
          <w:sz w:val="28"/>
          <w:szCs w:val="28"/>
          <w:lang w:val="ru-RU"/>
        </w:rPr>
        <w:t>21-1</w:t>
      </w:r>
      <w:r w:rsidRPr="00107040">
        <w:rPr>
          <w:sz w:val="28"/>
          <w:szCs w:val="28"/>
          <w:lang w:val="ru-RU"/>
        </w:rPr>
        <w:t xml:space="preserve">, в то время как случаи гомологичной рекомбинации у этого мутанта были снижены </w:t>
      </w:r>
      <w:r w:rsidRPr="00107040">
        <w:rPr>
          <w:sz w:val="28"/>
          <w:szCs w:val="28"/>
          <w:lang w:val="ru-RU"/>
        </w:rPr>
        <w:fldChar w:fldCharType="begin"/>
      </w:r>
      <w:r w:rsidR="008611DC">
        <w:rPr>
          <w:sz w:val="28"/>
          <w:szCs w:val="28"/>
          <w:lang w:val="ru-RU"/>
        </w:rPr>
        <w:instrText xml:space="preserve"> ADDIN ZOTERO_ITEM CSL_CITATION {"citationID":"a24653bgaq4","properties":{"formattedCitation":"[331]","plainCitation":"[331]","noteIndex":0},"citationItems":[{"id":1643,"uris":["http://zotero.org/users/9078202/items/QNNJY72Y"],"itemData":{"id":1643,"type":"article-journal","abstract":"DNA damage is a significant problem in living organisms and DNA repair pathways have been evolved in different species to maintain genomic stability. Here we demonstrated the molecular function of AtMMS21, a component of SMC5/6 complex, in plant DNA damage response. Compared with wild type, the AtMMS21 mutant plants show hypersensitivity in the DNA damaging treatments by MMS, cisplatin and gamma radiation. However, mms21-1 is not sensitive to replication blocking agents hydroxyurea and aphidicolin. The expression of a DNA damage response gene PARP2 is upregulated in mms21-1 under normal condition, suggesting that this signaling pathway is constitutively activated in the mutant. Depletion of ATAXIA-TELANGIECTASIA MUTATED (ATM) in mms21-1 enhances its root growth defect phenotype, indicating that ATM and AtMMS21 may play additive roles in DNA damage pathway. The analysis of homologous recombination frequency showed that the number of recombination events is reduced in mms21-1 mutant. Conclusively, we provided evidence that AtMMS21 plays an important role in homologous recombination for DNA damage repair.","container-title":"DNA repair","DOI":"10.1016/j.dnarep.2014.04.006","ISSN":"1568-7856","journalAbbreviation":"DNA Repair (Amst)","language":"eng","note":"PMID: 24795278","page":"140-147","source":"PubMed","title":"AtMMS21 regulates DNA damage response and homologous recombination repair in Arabidopsis","volume":"21","author":[{"family":"Yuan","given":"Dongke"},{"family":"Lai","given":"Jianbin"},{"family":"Xu","given":"Panglian"},{"family":"Zhang","given":"Shengchun"},{"family":"Zhang","given":"Juanjuan"},{"family":"Li","given":"Chunxin"},{"family":"Wang","given":"Yaqin"},{"family":"Du","given":"Jinju"},{"family":"Liu","given":"Yiyang"},{"family":"Yang","given":"Chengwei"}],"issued":{"date-parts":[["2014",9]]}}}],"schema":"https://github.com/citation-style-language/schema/raw/master/csl-citation.json"} </w:instrText>
      </w:r>
      <w:r w:rsidRPr="00107040">
        <w:rPr>
          <w:sz w:val="28"/>
          <w:szCs w:val="28"/>
          <w:lang w:val="ru-RU"/>
        </w:rPr>
        <w:fldChar w:fldCharType="separate"/>
      </w:r>
      <w:r w:rsidR="008611DC" w:rsidRPr="008611DC">
        <w:rPr>
          <w:sz w:val="28"/>
          <w:lang w:val="ru-RU"/>
        </w:rPr>
        <w:t>[331]</w:t>
      </w:r>
      <w:r w:rsidRPr="00107040">
        <w:rPr>
          <w:sz w:val="28"/>
          <w:szCs w:val="28"/>
          <w:lang w:val="ru-RU"/>
        </w:rPr>
        <w:fldChar w:fldCharType="end"/>
      </w:r>
      <w:r w:rsidRPr="00107040">
        <w:rPr>
          <w:sz w:val="28"/>
          <w:szCs w:val="28"/>
          <w:lang w:val="ru-RU"/>
        </w:rPr>
        <w:t xml:space="preserve">. </w:t>
      </w:r>
      <w:r w:rsidRPr="00107040">
        <w:rPr>
          <w:i/>
          <w:sz w:val="28"/>
          <w:szCs w:val="28"/>
        </w:rPr>
        <w:t>AtMMS</w:t>
      </w:r>
      <w:r w:rsidRPr="00107040">
        <w:rPr>
          <w:i/>
          <w:sz w:val="28"/>
          <w:szCs w:val="28"/>
          <w:lang w:val="ru-RU"/>
        </w:rPr>
        <w:t>21</w:t>
      </w:r>
      <w:r w:rsidRPr="00107040">
        <w:rPr>
          <w:sz w:val="28"/>
          <w:szCs w:val="28"/>
          <w:lang w:val="ru-RU"/>
        </w:rPr>
        <w:t xml:space="preserve"> кодирует лигазу </w:t>
      </w:r>
      <w:r w:rsidRPr="00107040">
        <w:rPr>
          <w:sz w:val="28"/>
          <w:szCs w:val="28"/>
        </w:rPr>
        <w:t>SUMO</w:t>
      </w:r>
      <w:r w:rsidRPr="00107040">
        <w:rPr>
          <w:sz w:val="28"/>
          <w:szCs w:val="28"/>
          <w:lang w:val="ru-RU"/>
        </w:rPr>
        <w:t xml:space="preserve"> </w:t>
      </w:r>
      <w:r w:rsidRPr="00107040">
        <w:rPr>
          <w:sz w:val="28"/>
          <w:szCs w:val="28"/>
        </w:rPr>
        <w:t>E</w:t>
      </w:r>
      <w:r w:rsidRPr="00107040">
        <w:rPr>
          <w:sz w:val="28"/>
          <w:szCs w:val="28"/>
          <w:lang w:val="ru-RU"/>
        </w:rPr>
        <w:t xml:space="preserve">3, критический компонент комплекса </w:t>
      </w:r>
      <w:r w:rsidRPr="00107040">
        <w:rPr>
          <w:sz w:val="28"/>
          <w:szCs w:val="28"/>
        </w:rPr>
        <w:t>SMC</w:t>
      </w:r>
      <w:r w:rsidRPr="00107040">
        <w:rPr>
          <w:sz w:val="28"/>
          <w:szCs w:val="28"/>
          <w:lang w:val="ru-RU"/>
        </w:rPr>
        <w:t xml:space="preserve">5/6, который играет центральную роль в поддержании стабильности генома </w:t>
      </w:r>
      <w:r w:rsidRPr="00107040">
        <w:rPr>
          <w:sz w:val="28"/>
          <w:szCs w:val="28"/>
          <w:lang w:val="ru-RU"/>
        </w:rPr>
        <w:fldChar w:fldCharType="begin"/>
      </w:r>
      <w:r w:rsidR="008611DC">
        <w:rPr>
          <w:sz w:val="28"/>
          <w:szCs w:val="28"/>
          <w:lang w:val="ru-RU"/>
        </w:rPr>
        <w:instrText xml:space="preserve"> ADDIN ZOTERO_ITEM CSL_CITATION {"citationID":"a2aeqc3pc10","properties":{"formattedCitation":"[331]","plainCitation":"[331]","noteIndex":0},"citationItems":[{"id":1643,"uris":["http://zotero.org/users/9078202/items/QNNJY72Y"],"itemData":{"id":1643,"type":"article-journal","abstract":"DNA damage is a significant problem in living organisms and DNA repair pathways have been evolved in different species to maintain genomic stability. Here we demonstrated the molecular function of AtMMS21, a component of SMC5/6 complex, in plant DNA damage response. Compared with wild type, the AtMMS21 mutant plants show hypersensitivity in the DNA damaging treatments by MMS, cisplatin and gamma radiation. However, mms21-1 is not sensitive to replication blocking agents hydroxyurea and aphidicolin. The expression of a DNA damage response gene PARP2 is upregulated in mms21-1 under normal condition, suggesting that this signaling pathway is constitutively activated in the mutant. Depletion of ATAXIA-TELANGIECTASIA MUTATED (ATM) in mms21-1 enhances its root growth defect phenotype, indicating that ATM and AtMMS21 may play additive roles in DNA damage pathway. The analysis of homologous recombination frequency showed that the number of recombination events is reduced in mms21-1 mutant. Conclusively, we provided evidence that AtMMS21 plays an important role in homologous recombination for DNA damage repair.","container-title":"DNA repair","DOI":"10.1016/j.dnarep.2014.04.006","ISSN":"1568-7856","journalAbbreviation":"DNA Repair (Amst)","language":"eng","note":"PMID: 24795278","page":"140-147","source":"PubMed","title":"AtMMS21 regulates DNA damage response and homologous recombination repair in Arabidopsis","volume":"21","author":[{"family":"Yuan","given":"Dongke"},{"family":"Lai","given":"Jianbin"},{"family":"Xu","given":"Panglian"},{"family":"Zhang","given":"Shengchun"},{"family":"Zhang","given":"Juanjuan"},{"family":"Li","given":"Chunxin"},{"family":"Wang","given":"Yaqin"},{"family":"Du","given":"Jinju"},{"family":"Liu","given":"Yiyang"},{"family":"Yang","given":"Chengwei"}],"issued":{"date-parts":[["2014",9]]}}}],"schema":"https://github.com/citation-style-language/schema/raw/master/csl-citation.json"} </w:instrText>
      </w:r>
      <w:r w:rsidRPr="00107040">
        <w:rPr>
          <w:sz w:val="28"/>
          <w:szCs w:val="28"/>
          <w:lang w:val="ru-RU"/>
        </w:rPr>
        <w:fldChar w:fldCharType="separate"/>
      </w:r>
      <w:r w:rsidR="008611DC" w:rsidRPr="008611DC">
        <w:rPr>
          <w:sz w:val="28"/>
          <w:lang w:val="ru-RU"/>
        </w:rPr>
        <w:t>[331]</w:t>
      </w:r>
      <w:r w:rsidRPr="00107040">
        <w:rPr>
          <w:sz w:val="28"/>
          <w:szCs w:val="28"/>
          <w:lang w:val="ru-RU"/>
        </w:rPr>
        <w:fldChar w:fldCharType="end"/>
      </w:r>
      <w:r w:rsidRPr="00107040">
        <w:rPr>
          <w:sz w:val="28"/>
          <w:szCs w:val="28"/>
          <w:lang w:val="ru-RU"/>
        </w:rPr>
        <w:t xml:space="preserve">. Напротив, было обнаружено, что экспрессия </w:t>
      </w:r>
      <w:r w:rsidRPr="00107040">
        <w:rPr>
          <w:i/>
          <w:sz w:val="28"/>
          <w:szCs w:val="28"/>
        </w:rPr>
        <w:t>AtXRCC</w:t>
      </w:r>
      <w:r w:rsidRPr="00107040">
        <w:rPr>
          <w:i/>
          <w:sz w:val="28"/>
          <w:szCs w:val="28"/>
          <w:lang w:val="ru-RU"/>
        </w:rPr>
        <w:t>2</w:t>
      </w:r>
      <w:r w:rsidRPr="00107040">
        <w:rPr>
          <w:sz w:val="28"/>
          <w:szCs w:val="28"/>
          <w:lang w:val="ru-RU"/>
        </w:rPr>
        <w:t xml:space="preserve">, другого компонента </w:t>
      </w:r>
      <w:r w:rsidRPr="00107040">
        <w:rPr>
          <w:sz w:val="28"/>
          <w:szCs w:val="28"/>
        </w:rPr>
        <w:t>HR</w:t>
      </w:r>
      <w:r w:rsidRPr="00107040">
        <w:rPr>
          <w:sz w:val="28"/>
          <w:szCs w:val="28"/>
          <w:lang w:val="ru-RU"/>
        </w:rPr>
        <w:t>, снижается при обработке 3</w:t>
      </w:r>
      <w:r w:rsidRPr="00107040">
        <w:rPr>
          <w:sz w:val="28"/>
          <w:szCs w:val="28"/>
        </w:rPr>
        <w:t>AB</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{"citationID":"a6diikuhvg","properties":{"formattedCitation":"[330,341]","plainCitation":"[330,341]","noteIndex":0},"citationItems":[{"id":247,"uris":["http://zotero.org/users/9078202/items/BMAABXKV"],"itemData":{"id":247,"type":"article-journal","abstract":"Maintaining the length of the telomere tract at chromosome ends is a complex process vital to normal cell division. Telomere length is controlled through the action of telomerase as well as a cadre of telomere-associated proteins that facilitate replication of the chromosome end and protect it from eliciting a DNA damage response. In vertebrates, multiple poly(ADP-ribose) polymerases (PARPs) have been implicated in the regulation of telomere length, telomerase activity and chromosome end protection. Here we investigate the role of PARPs in plant telomere biology. We analyzed Arabidopsis thaliana mutants null for PARP1 and PARP2 as well as plants treated with the PARP competitive inhibitor 3-AB. Plants deficient in PARP were hypersensitive to genotoxic stress, and expression of PARP1 and PARP2 mRNA was elevated in response to MMS or zeocin treatment or by the loss of telomerase. Additionally, PARP1 mRNA was induced in parp2 mutants, and conversely, PARP2 mRNA was induced in parp1 mutants. PARP3 mRNA, by contrast, was elevated in both parp1 and parp2 mutants, but not in seedlings treated with 3-AB or zeocin. PARP mutants and 3-AB treated plants displayed robust telomerase activity, no significant changes in telomere length, and no end-to-end chromosome fusions. Although there remains a possibility that PARPs play a role in Arabidopsis telomere biology, these findings argue that the contribution is a minor one.","container-title":"PLOS ONE","DOI":"10.1371/journal.pone.0088872","ISSN":"1932-6203","issue":"2","journalAbbreviation":"PLOS ONE","language":"en","note":"publisher: Public Library of Science","page":"e88872","source":"PLoS Journals","title":"Analysis of Poly(ADP-Ribose) Polymerases in Arabidopsis Telomere Biology","URL":"https://journals.plos.org/plosone/article?id=10.1371/journal.pone.0088872","volume":"9","author":[{"family":"Boltz","given":"Kara A."},{"family":"Jasti","given":"Madhu"},{"family":"Townley","given":"Jennifer M."},{"family":"Shippen","given":"Dorothy E."}],"accessed":{"date-parts":[["2022",4,11]]},"issued":{"date-parts":[["2014",2,13]]}}},{"id":1671,"uris":["http://zotero.org/users/9078202/items/MIAT9GXH"],"itemData":{"id":1671,"type":"article-journal","abstract":"Here, we assessed modulation of the poly(ADP-ribosyl)ation (PAR) reaction by an Arabidopsis (Arabidopsis thaliana) ADP-ribose (Rib)/NADH pyrophosphohydrolase, AtNUDX7 (for Arabidopsis Nudix hydrolase 7), in AtNUDX7-overexpressed (Pro(35S):AtNUDX7) or AtNUDX7-disrupted (KO-nudx7) plants under normal conditions and oxidative stress caused by paraquat treatment. Levels of NADH and ADP-Rib were decreased in the Pro(35S):AtNUDX7 plants but increased in the KO-nudx7 plants under normal conditions and oxidative stress compared with the control plants, indicating that AtNUDX7 hydrolyzes both ADP-Rib and NADH as physiological substrates. The Pro(35S):AtNUDX7 and KO-nudx7 plants showed increased and decreased tolerance, respectively, to oxidative stress compared with the control plants. Levels of poly(ADP-Rib) in the Pro(35S):AtNUDX7 and KO-nudx7 plants were markedly higher and lower, respectively, than those in the control plants. Depletion of NAD(+) and ATP resulting from the activation of the PAR reaction under oxidative stress was completely suppressed in the Pro(35S):AtNUDX7 plants. Accumulation of NAD(+) and ATP was observed in the KO-nudx7- and 3-aminobenzamide-treated plants, in which the PAR reaction was suppressed. The expression levels of DNA repair factors, AtXRCC1 and AtXRCC2 (for x-ray repair cross-complementing factors 1 and 2), paralleled that of AtNUDX7 under both normal conditions and oxidative stress, although an inverse correlation was observed between the levels of AtXRCC3, AtRAD51 (for Escherichia coli RecA homolog), AtDMC1 (for disrupted meiotic cDNA), and AtMND1 (for meiotic nuclear divisions) and AtNUDX7. These findings suggest that AtNUDX7 controls the balance between NADH and NAD(+) by NADH turnover under normal conditions. Under oxidative stress, AtNUDX7 serves to maintain NAD(+) levels by supplying ATP via nucleotide recycling from free ADP-Rib molecules and thus regulates the defense mechanisms against oxidative DNA damage via modulation of the PAR reaction.","container-title":"Plant Physiology","DOI":"10.1104/pp.109.140442","ISSN":"0032-0889","issue":"2","journalAbbreviation":"Plant Physiol","language":"eng","note":"PMID: 19656905\nPMCID: PMC2754630","page":"741-754","source":"PubMed","title":"Modulation of the poly(ADP-ribosyl)ation reaction via the Arabidopsis ADP-ribose/NADH pyrophosphohydrolase, AtNUDX7, is involved in the response to oxidative stress","volume":"151","author":[{"family":"Ishikawa","given":"Kazuya"},{"family":"Ogawa","given":"Takahisa"},{"family":"Hirosue","given":"Eisuke"},{"family":"Nakayama","given":"Yasumune"},{"family":"Harada","given":"Kazuo"},{"family":"Fukusaki","given":"Eiichiro"},{"family":"Yoshimura","given":"Kazuya"},{"family":"Shigeoka","given":"Shigeru"}],"issued":{"date-parts":[["2009",10]]}}}],"schema":"https://github.com/citation-style-language/schema/raw/master/csl-citation.json"} </w:instrText>
      </w:r>
      <w:r w:rsidRPr="00107040">
        <w:rPr>
          <w:sz w:val="28"/>
          <w:szCs w:val="28"/>
          <w:lang w:val="ru-RU"/>
        </w:rPr>
        <w:fldChar w:fldCharType="separate"/>
      </w:r>
      <w:r w:rsidR="008611DC" w:rsidRPr="008611DC">
        <w:rPr>
          <w:sz w:val="28"/>
          <w:lang w:val="ru-RU"/>
        </w:rPr>
        <w:t>[330,341]</w:t>
      </w:r>
      <w:r w:rsidRPr="00107040">
        <w:rPr>
          <w:sz w:val="28"/>
          <w:szCs w:val="28"/>
          <w:lang w:val="ru-RU"/>
        </w:rPr>
        <w:fldChar w:fldCharType="end"/>
      </w:r>
      <w:r w:rsidRPr="00107040">
        <w:rPr>
          <w:sz w:val="28"/>
          <w:szCs w:val="28"/>
          <w:lang w:val="ru-RU"/>
        </w:rPr>
        <w:t xml:space="preserve">. Эти явно противоречащие друг другу выводы еще предстоит выяснить. </w:t>
      </w:r>
    </w:p>
    <w:p w14:paraId="261B88EB" w14:textId="6C7C08AB"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t xml:space="preserve">Другое исследование показало, что </w:t>
      </w:r>
      <w:r w:rsidRPr="00107040">
        <w:rPr>
          <w:sz w:val="28"/>
          <w:szCs w:val="28"/>
        </w:rPr>
        <w:t>PARP</w:t>
      </w:r>
      <w:r w:rsidRPr="00107040">
        <w:rPr>
          <w:sz w:val="28"/>
          <w:szCs w:val="28"/>
          <w:lang w:val="ru-RU"/>
        </w:rPr>
        <w:t xml:space="preserve"> вовлечены в склонный к ошибкам альтернативный путь </w:t>
      </w:r>
      <w:r w:rsidRPr="00107040">
        <w:rPr>
          <w:sz w:val="28"/>
          <w:szCs w:val="28"/>
        </w:rPr>
        <w:t>NHEJ</w:t>
      </w:r>
      <w:r w:rsidRPr="00107040">
        <w:rPr>
          <w:sz w:val="28"/>
          <w:szCs w:val="28"/>
          <w:lang w:val="ru-RU"/>
        </w:rPr>
        <w:t xml:space="preserve">, как и их аналоги у млекопитающих </w:t>
      </w:r>
      <w:r w:rsidRPr="00107040">
        <w:rPr>
          <w:sz w:val="28"/>
          <w:szCs w:val="28"/>
          <w:lang w:val="ru-RU"/>
        </w:rPr>
        <w:fldChar w:fldCharType="begin"/>
      </w:r>
      <w:r w:rsidR="008611DC">
        <w:rPr>
          <w:sz w:val="28"/>
          <w:szCs w:val="28"/>
          <w:lang w:val="ru-RU"/>
        </w:rPr>
        <w:instrText xml:space="preserve"> ADDIN ZOTERO_ITEM CSL_CITATION {"citationID":"agns12rsp","properties":{"formattedCitation":"[335]","plainCitation":"[335]","noteIndex":0},"citationItems":[{"id":248,"uris":["http://zotero.org/users/9078202/items/X99BXXW4"],"itemData":{"id":248,"type":"article-journal","abstract":"Besides the KU-dependent classical non-homologous end-joining (C-NHEJ) pathway, an alternative NHEJ pathway first identified in mammalian systems, which is often called the back-up NHEJ (B-NHEJ) pathway, was also found in plants. In mammalian systems PARP was found to be one of the essential components in B-NHEJ. Here we investigated whether PARP1 and PARP2 were also involved in B-NHEJ in Arabidopsis. To this end Arabidopsis parp1, parp2 and parp1parp2 (p1p2) mutants were isolated and functionally characterized. The p1p2 double mutant was crossed with the C-NHEJ ku80 mutant resulting in the parp1parp2ku80 (p1p2k80) triple mutant. As expected, because of their role in single strand break repair (SSBR) and base excision repair (BER), the p1p2 and p1p2k80 mutants were shown to be sensitive to treatment with the DNA damaging agent MMS. End-joining assays in cell-free leaf protein extracts of the different mutants using linear DNA substrates with different ends reflecting a variety of double strand breaks were performed. The results showed that compatible 5'-overhangs were accurately joined in all mutants, that KU80 protected the ends preventing the formation of large deletions and that PARP proteins were involved in microhomology mediated end joining (MMEJ), one of the characteristics of B-NHEJ.","container-title":"Plant Molecular Biology","DOI":"10.1007/s11103-013-0065-9","ISSN":"1573-5028","issue":"4-5","journalAbbreviation":"Plant Mol Biol","language":"eng","note":"PMID: 23625359","page":"339-351","source":"PubMed","title":"Poly(ADP-ribose)polymerases are involved in microhomology mediated back-up non-homologous end joining in Arabidopsis thaliana","volume":"82","author":[{"family":"Jia","given":"Qi"},{"family":"Dulk-Ras","given":"Amke","non-dropping-particle":"den"},{"family":"Shen","given":"Hexi"},{"family":"Hooykaas","given":"Paul J. J."},{"family":"Pater","given":"Sylvia","non-dropping-particle":"de"}],"issued":{"date-parts":[["2013",7]]}}}],"schema":"https://github.com/citation-style-language/schema/raw/master/csl-citation.json"} </w:instrText>
      </w:r>
      <w:r w:rsidRPr="00107040">
        <w:rPr>
          <w:sz w:val="28"/>
          <w:szCs w:val="28"/>
          <w:lang w:val="ru-RU"/>
        </w:rPr>
        <w:fldChar w:fldCharType="separate"/>
      </w:r>
      <w:r w:rsidR="008611DC" w:rsidRPr="008611DC">
        <w:rPr>
          <w:sz w:val="28"/>
          <w:lang w:val="ru-RU"/>
        </w:rPr>
        <w:t>[335]</w:t>
      </w:r>
      <w:r w:rsidRPr="00107040">
        <w:rPr>
          <w:sz w:val="28"/>
          <w:szCs w:val="28"/>
          <w:lang w:val="ru-RU"/>
        </w:rPr>
        <w:fldChar w:fldCharType="end"/>
      </w:r>
      <w:r w:rsidRPr="00107040">
        <w:rPr>
          <w:sz w:val="28"/>
          <w:szCs w:val="28"/>
          <w:lang w:val="ru-RU"/>
        </w:rPr>
        <w:t xml:space="preserve">. Тройные мутантные растения, лишенные </w:t>
      </w:r>
      <w:r w:rsidRPr="00107040">
        <w:rPr>
          <w:sz w:val="28"/>
          <w:szCs w:val="28"/>
        </w:rPr>
        <w:t>AtPARP</w:t>
      </w:r>
      <w:r w:rsidRPr="00107040">
        <w:rPr>
          <w:sz w:val="28"/>
          <w:szCs w:val="28"/>
          <w:lang w:val="ru-RU"/>
        </w:rPr>
        <w:t xml:space="preserve">1, </w:t>
      </w:r>
      <w:r w:rsidRPr="00107040">
        <w:rPr>
          <w:sz w:val="28"/>
          <w:szCs w:val="28"/>
        </w:rPr>
        <w:t>AtPARP</w:t>
      </w:r>
      <w:r w:rsidRPr="00107040">
        <w:rPr>
          <w:sz w:val="28"/>
          <w:szCs w:val="28"/>
          <w:lang w:val="ru-RU"/>
        </w:rPr>
        <w:t xml:space="preserve">2 и </w:t>
      </w:r>
      <w:r w:rsidRPr="00107040">
        <w:rPr>
          <w:sz w:val="28"/>
          <w:szCs w:val="28"/>
        </w:rPr>
        <w:t>AtKu</w:t>
      </w:r>
      <w:r w:rsidRPr="00107040">
        <w:rPr>
          <w:sz w:val="28"/>
          <w:szCs w:val="28"/>
          <w:lang w:val="ru-RU"/>
        </w:rPr>
        <w:t xml:space="preserve">80, компонента классического </w:t>
      </w:r>
      <w:r w:rsidRPr="00107040">
        <w:rPr>
          <w:sz w:val="28"/>
          <w:szCs w:val="28"/>
        </w:rPr>
        <w:t>NHEJ</w:t>
      </w:r>
      <w:r w:rsidRPr="00107040">
        <w:rPr>
          <w:sz w:val="28"/>
          <w:szCs w:val="28"/>
          <w:lang w:val="ru-RU"/>
        </w:rPr>
        <w:t xml:space="preserve">, были более чувствительны к </w:t>
      </w:r>
      <w:r w:rsidRPr="00107040">
        <w:rPr>
          <w:sz w:val="28"/>
          <w:szCs w:val="28"/>
        </w:rPr>
        <w:t>MMS</w:t>
      </w:r>
      <w:r w:rsidRPr="00107040">
        <w:rPr>
          <w:sz w:val="28"/>
          <w:szCs w:val="28"/>
          <w:lang w:val="ru-RU"/>
        </w:rPr>
        <w:t xml:space="preserve">, чем мутанты </w:t>
      </w:r>
      <w:r w:rsidRPr="00107040">
        <w:rPr>
          <w:i/>
          <w:sz w:val="28"/>
          <w:szCs w:val="28"/>
        </w:rPr>
        <w:t>parp</w:t>
      </w:r>
      <w:r w:rsidRPr="00107040">
        <w:rPr>
          <w:i/>
          <w:sz w:val="28"/>
          <w:szCs w:val="28"/>
          <w:lang w:val="ru-RU"/>
        </w:rPr>
        <w:t>1</w:t>
      </w:r>
      <w:r w:rsidRPr="00107040">
        <w:rPr>
          <w:sz w:val="28"/>
          <w:szCs w:val="28"/>
          <w:lang w:val="ru-RU"/>
        </w:rPr>
        <w:t xml:space="preserve">, </w:t>
      </w:r>
      <w:r w:rsidRPr="00107040">
        <w:rPr>
          <w:i/>
          <w:sz w:val="28"/>
          <w:szCs w:val="28"/>
        </w:rPr>
        <w:t>parp</w:t>
      </w:r>
      <w:r w:rsidRPr="00107040">
        <w:rPr>
          <w:i/>
          <w:sz w:val="28"/>
          <w:szCs w:val="28"/>
          <w:lang w:val="ru-RU"/>
        </w:rPr>
        <w:t>2</w:t>
      </w:r>
      <w:r w:rsidRPr="00107040">
        <w:rPr>
          <w:sz w:val="28"/>
          <w:szCs w:val="28"/>
          <w:lang w:val="ru-RU"/>
        </w:rPr>
        <w:t xml:space="preserve"> и </w:t>
      </w:r>
      <w:r w:rsidRPr="00107040">
        <w:rPr>
          <w:i/>
          <w:sz w:val="28"/>
          <w:szCs w:val="28"/>
        </w:rPr>
        <w:t>ku</w:t>
      </w:r>
      <w:r w:rsidRPr="00107040">
        <w:rPr>
          <w:i/>
          <w:sz w:val="28"/>
          <w:szCs w:val="28"/>
          <w:lang w:val="ru-RU"/>
        </w:rPr>
        <w:t>80</w:t>
      </w:r>
      <w:r w:rsidRPr="00107040">
        <w:rPr>
          <w:sz w:val="28"/>
          <w:szCs w:val="28"/>
          <w:lang w:val="ru-RU"/>
        </w:rPr>
        <w:t xml:space="preserve">, что указывает на то, что у мутантов нарушены различные пути ответа на повреждение ДНК </w:t>
      </w:r>
      <w:r w:rsidRPr="00107040">
        <w:rPr>
          <w:sz w:val="28"/>
          <w:szCs w:val="28"/>
          <w:lang w:val="ru-RU"/>
        </w:rPr>
        <w:fldChar w:fldCharType="begin"/>
      </w:r>
      <w:r w:rsidR="008611DC">
        <w:rPr>
          <w:sz w:val="28"/>
          <w:szCs w:val="28"/>
          <w:lang w:val="ru-RU"/>
        </w:rPr>
        <w:instrText xml:space="preserve"> ADDIN ZOTERO_ITEM CSL_CITATION {"citationID":"ald225g526","properties":{"formattedCitation":"[335]","plainCitation":"[335]","noteIndex":0},"citationItems":[{"id":248,"uris":["http://zotero.org/users/9078202/items/X99BXXW4"],"itemData":{"id":248,"type":"article-journal","abstract":"Besides the KU-dependent classical non-homologous end-joining (C-NHEJ) pathway, an alternative NHEJ pathway first identified in mammalian systems, which is often called the back-up NHEJ (B-NHEJ) pathway, was also found in plants. In mammalian systems PARP was found to be one of the essential components in B-NHEJ. Here we investigated whether PARP1 and PARP2 were also involved in B-NHEJ in Arabidopsis. To this end Arabidopsis parp1, parp2 and parp1parp2 (p1p2) mutants were isolated and functionally characterized. The p1p2 double mutant was crossed with the C-NHEJ ku80 mutant resulting in the parp1parp2ku80 (p1p2k80) triple mutant. As expected, because of their role in single strand break repair (SSBR) and base excision repair (BER), the p1p2 and p1p2k80 mutants were shown to be sensitive to treatment with the DNA damaging agent MMS. End-joining assays in cell-free leaf protein extracts of the different mutants using linear DNA substrates with different ends reflecting a variety of double strand breaks were performed. The results showed that compatible 5'-overhangs were accurately joined in all mutants, that KU80 protected the ends preventing the formation of large deletions and that PARP proteins were involved in microhomology mediated end joining (MMEJ), one of the characteristics of B-NHEJ.","container-title":"Plant Molecular Biology","DOI":"10.1007/s11103-013-0065-9","ISSN":"1573-5028","issue":"4-5","journalAbbreviation":"Plant Mol Biol","language":"eng","note":"PMID: 23625359","page":"339-351","source":"PubMed","title":"Poly(ADP-ribose)polymerases are involved in microhomology mediated back-up non-homologous end joining in Arabidopsis thaliana","volume":"82","author":[{"family":"Jia","given":"Qi"},{"family":"Dulk-Ras","given":"Amke","non-dropping-particle":"den"},{"family":"Shen","given":"Hexi"},{"family":"Hooykaas","given":"Paul J. J."},{"family":"Pater","given":"Sylvia","non-dropping-particle":"de"}],"issued":{"date-parts":[["2013",7]]}}}],"schema":"https://github.com/citation-style-language/schema/raw/master/csl-citation.json"} </w:instrText>
      </w:r>
      <w:r w:rsidRPr="00107040">
        <w:rPr>
          <w:sz w:val="28"/>
          <w:szCs w:val="28"/>
          <w:lang w:val="ru-RU"/>
        </w:rPr>
        <w:fldChar w:fldCharType="separate"/>
      </w:r>
      <w:r w:rsidR="008611DC" w:rsidRPr="008611DC">
        <w:rPr>
          <w:sz w:val="28"/>
          <w:lang w:val="ru-RU"/>
        </w:rPr>
        <w:t>[335]</w:t>
      </w:r>
      <w:r w:rsidRPr="00107040">
        <w:rPr>
          <w:sz w:val="28"/>
          <w:szCs w:val="28"/>
          <w:lang w:val="ru-RU"/>
        </w:rPr>
        <w:fldChar w:fldCharType="end"/>
      </w:r>
      <w:r w:rsidRPr="00107040">
        <w:rPr>
          <w:sz w:val="28"/>
          <w:szCs w:val="28"/>
          <w:lang w:val="ru-RU"/>
        </w:rPr>
        <w:t xml:space="preserve">. Кроме того, степень повреждения ДНК была выше у мутантных растений </w:t>
      </w:r>
      <w:r w:rsidRPr="00107040">
        <w:rPr>
          <w:i/>
          <w:sz w:val="28"/>
          <w:szCs w:val="28"/>
        </w:rPr>
        <w:t>parp</w:t>
      </w:r>
      <w:r w:rsidRPr="00107040">
        <w:rPr>
          <w:i/>
          <w:sz w:val="28"/>
          <w:szCs w:val="28"/>
          <w:lang w:val="ru-RU"/>
        </w:rPr>
        <w:t xml:space="preserve">1 </w:t>
      </w:r>
      <w:r w:rsidRPr="00107040">
        <w:rPr>
          <w:i/>
          <w:sz w:val="28"/>
          <w:szCs w:val="28"/>
        </w:rPr>
        <w:t>parp</w:t>
      </w:r>
      <w:r w:rsidRPr="00107040">
        <w:rPr>
          <w:i/>
          <w:sz w:val="28"/>
          <w:szCs w:val="28"/>
          <w:lang w:val="ru-RU"/>
        </w:rPr>
        <w:t xml:space="preserve">2 </w:t>
      </w:r>
      <w:r w:rsidRPr="00107040">
        <w:rPr>
          <w:i/>
          <w:sz w:val="28"/>
          <w:szCs w:val="28"/>
        </w:rPr>
        <w:t>ku</w:t>
      </w:r>
      <w:r w:rsidRPr="00107040">
        <w:rPr>
          <w:i/>
          <w:sz w:val="28"/>
          <w:szCs w:val="28"/>
          <w:lang w:val="ru-RU"/>
        </w:rPr>
        <w:t>80</w:t>
      </w:r>
      <w:r w:rsidRPr="00107040">
        <w:rPr>
          <w:sz w:val="28"/>
          <w:szCs w:val="28"/>
          <w:lang w:val="ru-RU"/>
        </w:rPr>
        <w:t xml:space="preserve">. Бесклеточный анализ соединения концов выявил большее количество крупных делеций (&gt;10 п.н.) на концах разорванных цепей ДНК у </w:t>
      </w:r>
      <w:r w:rsidRPr="00107040">
        <w:rPr>
          <w:i/>
          <w:sz w:val="28"/>
          <w:szCs w:val="28"/>
        </w:rPr>
        <w:t>ku</w:t>
      </w:r>
      <w:r w:rsidRPr="00107040">
        <w:rPr>
          <w:i/>
          <w:sz w:val="28"/>
          <w:szCs w:val="28"/>
          <w:lang w:val="ru-RU"/>
        </w:rPr>
        <w:t>80</w:t>
      </w:r>
      <w:r w:rsidRPr="00107040">
        <w:rPr>
          <w:sz w:val="28"/>
          <w:szCs w:val="28"/>
          <w:lang w:val="ru-RU"/>
        </w:rPr>
        <w:t xml:space="preserve"> и </w:t>
      </w:r>
      <w:r w:rsidRPr="00107040">
        <w:rPr>
          <w:i/>
          <w:sz w:val="28"/>
          <w:szCs w:val="28"/>
        </w:rPr>
        <w:t>parp</w:t>
      </w:r>
      <w:r w:rsidRPr="00107040">
        <w:rPr>
          <w:i/>
          <w:sz w:val="28"/>
          <w:szCs w:val="28"/>
          <w:lang w:val="ru-RU"/>
        </w:rPr>
        <w:t xml:space="preserve">1 </w:t>
      </w:r>
      <w:r w:rsidRPr="00107040">
        <w:rPr>
          <w:i/>
          <w:sz w:val="28"/>
          <w:szCs w:val="28"/>
        </w:rPr>
        <w:t>parp</w:t>
      </w:r>
      <w:r w:rsidRPr="00107040">
        <w:rPr>
          <w:i/>
          <w:sz w:val="28"/>
          <w:szCs w:val="28"/>
          <w:lang w:val="ru-RU"/>
        </w:rPr>
        <w:t xml:space="preserve">2 </w:t>
      </w:r>
      <w:r w:rsidRPr="00107040">
        <w:rPr>
          <w:i/>
          <w:sz w:val="28"/>
          <w:szCs w:val="28"/>
        </w:rPr>
        <w:t>ku</w:t>
      </w:r>
      <w:r w:rsidRPr="00107040">
        <w:rPr>
          <w:i/>
          <w:sz w:val="28"/>
          <w:szCs w:val="28"/>
          <w:lang w:val="ru-RU"/>
        </w:rPr>
        <w:t>80</w:t>
      </w:r>
      <w:r w:rsidRPr="00107040">
        <w:rPr>
          <w:sz w:val="28"/>
          <w:szCs w:val="28"/>
          <w:lang w:val="ru-RU"/>
        </w:rPr>
        <w:t xml:space="preserve">, чем у мутантов </w:t>
      </w:r>
      <w:r w:rsidRPr="00107040">
        <w:rPr>
          <w:i/>
          <w:sz w:val="28"/>
          <w:szCs w:val="28"/>
        </w:rPr>
        <w:t>parp</w:t>
      </w:r>
      <w:r w:rsidRPr="00107040">
        <w:rPr>
          <w:i/>
          <w:sz w:val="28"/>
          <w:szCs w:val="28"/>
          <w:lang w:val="ru-RU"/>
        </w:rPr>
        <w:t xml:space="preserve">1 </w:t>
      </w:r>
      <w:r w:rsidRPr="00107040">
        <w:rPr>
          <w:i/>
          <w:sz w:val="28"/>
          <w:szCs w:val="28"/>
        </w:rPr>
        <w:t>parp</w:t>
      </w:r>
      <w:r w:rsidRPr="00107040">
        <w:rPr>
          <w:i/>
          <w:sz w:val="28"/>
          <w:szCs w:val="28"/>
          <w:lang w:val="ru-RU"/>
        </w:rPr>
        <w:t>2</w:t>
      </w:r>
      <w:r w:rsidRPr="00107040">
        <w:rPr>
          <w:sz w:val="28"/>
          <w:szCs w:val="28"/>
          <w:lang w:val="ru-RU"/>
        </w:rPr>
        <w:t xml:space="preserve">. Так, резекция нуклеотидов с концов ДНК происходила в основном у мутантов </w:t>
      </w:r>
      <w:r w:rsidRPr="00107040">
        <w:rPr>
          <w:i/>
          <w:sz w:val="28"/>
          <w:szCs w:val="28"/>
        </w:rPr>
        <w:t>ku</w:t>
      </w:r>
      <w:r w:rsidRPr="00107040">
        <w:rPr>
          <w:i/>
          <w:sz w:val="28"/>
          <w:szCs w:val="28"/>
          <w:lang w:val="ru-RU"/>
        </w:rPr>
        <w:t>80</w:t>
      </w:r>
      <w:r w:rsidRPr="00107040">
        <w:rPr>
          <w:sz w:val="28"/>
          <w:szCs w:val="28"/>
          <w:lang w:val="ru-RU"/>
        </w:rPr>
        <w:t xml:space="preserve"> и </w:t>
      </w:r>
      <w:r w:rsidRPr="00107040">
        <w:rPr>
          <w:i/>
          <w:sz w:val="28"/>
          <w:szCs w:val="28"/>
        </w:rPr>
        <w:t>parp</w:t>
      </w:r>
      <w:r w:rsidRPr="00107040">
        <w:rPr>
          <w:i/>
          <w:sz w:val="28"/>
          <w:szCs w:val="28"/>
          <w:lang w:val="ru-RU"/>
        </w:rPr>
        <w:t xml:space="preserve">1 </w:t>
      </w:r>
      <w:r w:rsidRPr="00107040">
        <w:rPr>
          <w:i/>
          <w:sz w:val="28"/>
          <w:szCs w:val="28"/>
        </w:rPr>
        <w:t>parp</w:t>
      </w:r>
      <w:r w:rsidRPr="00107040">
        <w:rPr>
          <w:i/>
          <w:sz w:val="28"/>
          <w:szCs w:val="28"/>
          <w:lang w:val="ru-RU"/>
        </w:rPr>
        <w:t xml:space="preserve">2 </w:t>
      </w:r>
      <w:r w:rsidRPr="00107040">
        <w:rPr>
          <w:i/>
          <w:sz w:val="28"/>
          <w:szCs w:val="28"/>
        </w:rPr>
        <w:t>ku</w:t>
      </w:r>
      <w:r w:rsidRPr="00107040">
        <w:rPr>
          <w:i/>
          <w:sz w:val="28"/>
          <w:szCs w:val="28"/>
          <w:lang w:val="ru-RU"/>
        </w:rPr>
        <w:t>80</w:t>
      </w:r>
      <w:r w:rsidRPr="00107040">
        <w:rPr>
          <w:sz w:val="28"/>
          <w:szCs w:val="28"/>
          <w:lang w:val="ru-RU"/>
        </w:rPr>
        <w:t xml:space="preserve">. Альтернативным путем </w:t>
      </w:r>
      <w:r w:rsidRPr="00107040">
        <w:rPr>
          <w:sz w:val="28"/>
          <w:szCs w:val="28"/>
        </w:rPr>
        <w:t>NHEJ</w:t>
      </w:r>
      <w:r w:rsidRPr="00107040">
        <w:rPr>
          <w:sz w:val="28"/>
          <w:szCs w:val="28"/>
          <w:lang w:val="ru-RU"/>
        </w:rPr>
        <w:t xml:space="preserve"> у мутантов </w:t>
      </w:r>
      <w:r w:rsidRPr="00107040">
        <w:rPr>
          <w:i/>
          <w:sz w:val="28"/>
          <w:szCs w:val="28"/>
        </w:rPr>
        <w:t>ku</w:t>
      </w:r>
      <w:r w:rsidRPr="00107040">
        <w:rPr>
          <w:i/>
          <w:sz w:val="28"/>
          <w:szCs w:val="28"/>
          <w:lang w:val="ru-RU"/>
        </w:rPr>
        <w:t>80</w:t>
      </w:r>
      <w:r w:rsidRPr="00107040">
        <w:rPr>
          <w:sz w:val="28"/>
          <w:szCs w:val="28"/>
          <w:lang w:val="ru-RU"/>
        </w:rPr>
        <w:t xml:space="preserve"> является опосредованное микрогомологией соединение концов (</w:t>
      </w:r>
      <w:r w:rsidRPr="00107040">
        <w:rPr>
          <w:sz w:val="28"/>
          <w:szCs w:val="28"/>
        </w:rPr>
        <w:t>MMEJ</w:t>
      </w:r>
      <w:r w:rsidRPr="00107040">
        <w:rPr>
          <w:sz w:val="28"/>
          <w:szCs w:val="28"/>
          <w:lang w:val="ru-RU"/>
        </w:rPr>
        <w:t xml:space="preserve">). Более высокий уровень продуктов </w:t>
      </w:r>
      <w:r w:rsidRPr="00107040">
        <w:rPr>
          <w:sz w:val="28"/>
          <w:szCs w:val="28"/>
        </w:rPr>
        <w:t>MMEJ</w:t>
      </w:r>
      <w:r w:rsidRPr="00107040">
        <w:rPr>
          <w:sz w:val="28"/>
          <w:szCs w:val="28"/>
          <w:lang w:val="ru-RU"/>
        </w:rPr>
        <w:t xml:space="preserve"> был обнаружен у </w:t>
      </w:r>
      <w:r w:rsidRPr="00107040">
        <w:rPr>
          <w:i/>
          <w:sz w:val="28"/>
          <w:szCs w:val="28"/>
        </w:rPr>
        <w:t>ku</w:t>
      </w:r>
      <w:r w:rsidRPr="00107040">
        <w:rPr>
          <w:sz w:val="28"/>
          <w:szCs w:val="28"/>
          <w:lang w:val="ru-RU"/>
        </w:rPr>
        <w:t xml:space="preserve">-мутантов по сравнению с мутантами </w:t>
      </w:r>
      <w:r w:rsidRPr="00107040">
        <w:rPr>
          <w:i/>
          <w:sz w:val="28"/>
          <w:szCs w:val="28"/>
        </w:rPr>
        <w:t>parp</w:t>
      </w:r>
      <w:r w:rsidRPr="00107040">
        <w:rPr>
          <w:i/>
          <w:sz w:val="28"/>
          <w:szCs w:val="28"/>
          <w:lang w:val="ru-RU"/>
        </w:rPr>
        <w:t>1</w:t>
      </w:r>
      <w:r w:rsidRPr="00107040">
        <w:rPr>
          <w:sz w:val="28"/>
          <w:szCs w:val="28"/>
          <w:lang w:val="ru-RU"/>
        </w:rPr>
        <w:t xml:space="preserve">, </w:t>
      </w:r>
      <w:r w:rsidRPr="00107040">
        <w:rPr>
          <w:i/>
          <w:sz w:val="28"/>
          <w:szCs w:val="28"/>
        </w:rPr>
        <w:t>parp</w:t>
      </w:r>
      <w:r w:rsidRPr="00107040">
        <w:rPr>
          <w:i/>
          <w:sz w:val="28"/>
          <w:szCs w:val="28"/>
          <w:lang w:val="ru-RU"/>
        </w:rPr>
        <w:t>2</w:t>
      </w:r>
      <w:r w:rsidRPr="00107040">
        <w:rPr>
          <w:sz w:val="28"/>
          <w:szCs w:val="28"/>
          <w:lang w:val="ru-RU"/>
        </w:rPr>
        <w:t xml:space="preserve"> или </w:t>
      </w:r>
      <w:r w:rsidRPr="00107040">
        <w:rPr>
          <w:i/>
          <w:sz w:val="28"/>
          <w:szCs w:val="28"/>
        </w:rPr>
        <w:t>parp</w:t>
      </w:r>
      <w:r w:rsidRPr="00107040">
        <w:rPr>
          <w:i/>
          <w:sz w:val="28"/>
          <w:szCs w:val="28"/>
          <w:lang w:val="ru-RU"/>
        </w:rPr>
        <w:t>1</w:t>
      </w:r>
      <w:r w:rsidRPr="00107040">
        <w:rPr>
          <w:sz w:val="28"/>
          <w:szCs w:val="28"/>
          <w:lang w:val="ru-RU"/>
        </w:rPr>
        <w:t xml:space="preserve">, </w:t>
      </w:r>
      <w:r w:rsidRPr="00107040">
        <w:rPr>
          <w:i/>
          <w:sz w:val="28"/>
          <w:szCs w:val="28"/>
        </w:rPr>
        <w:t>parp</w:t>
      </w:r>
      <w:r w:rsidRPr="00107040">
        <w:rPr>
          <w:i/>
          <w:sz w:val="28"/>
          <w:szCs w:val="28"/>
          <w:lang w:val="ru-RU"/>
        </w:rPr>
        <w:t xml:space="preserve">2 </w:t>
      </w:r>
      <w:r w:rsidRPr="00107040">
        <w:rPr>
          <w:i/>
          <w:sz w:val="28"/>
          <w:szCs w:val="28"/>
        </w:rPr>
        <w:t>ku</w:t>
      </w:r>
      <w:r w:rsidRPr="00107040">
        <w:rPr>
          <w:i/>
          <w:sz w:val="28"/>
          <w:szCs w:val="28"/>
          <w:lang w:val="ru-RU"/>
        </w:rPr>
        <w:t>80</w:t>
      </w:r>
      <w:r w:rsidRPr="00107040">
        <w:rPr>
          <w:sz w:val="28"/>
          <w:szCs w:val="28"/>
          <w:lang w:val="ru-RU"/>
        </w:rPr>
        <w:t xml:space="preserve">, что указывает на участие </w:t>
      </w:r>
      <w:r w:rsidRPr="00107040">
        <w:rPr>
          <w:sz w:val="28"/>
          <w:szCs w:val="28"/>
        </w:rPr>
        <w:t>PARP</w:t>
      </w:r>
      <w:r w:rsidRPr="00107040">
        <w:rPr>
          <w:sz w:val="28"/>
          <w:szCs w:val="28"/>
          <w:lang w:val="ru-RU"/>
        </w:rPr>
        <w:t xml:space="preserve"> в </w:t>
      </w:r>
      <w:r w:rsidRPr="00107040">
        <w:rPr>
          <w:sz w:val="28"/>
          <w:szCs w:val="28"/>
        </w:rPr>
        <w:t>MMEJ</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{"citationID":"ac0s1iapmr","properties":{"formattedCitation":"[335]","plainCitation":"[335]","noteIndex":0},"citationItems":[{"id":248,"uris":["http://zotero.org/users/9078202/items/X99BXXW4"],"itemData":{"id":248,"type":"article-journal","abstract":"Besides the KU-dependent classical non-homologous end-joining (C-NHEJ) pathway, an alternative NHEJ pathway first identified in mammalian systems, which is often called the back-up NHEJ (B-NHEJ) pathway, was also found in plants. In mammalian systems PARP was found to be one of the essential components in B-NHEJ. Here we investigated whether PARP1 and PARP2 were also involved in B-NHEJ in Arabidopsis. To this end Arabidopsis parp1, parp2 and parp1parp2 (p1p2) mutants were isolated and functionally characterized. The p1p2 double mutant was crossed with the C-NHEJ ku80 mutant resulting in the parp1parp2ku80 (p1p2k80) triple mutant. As expected, because of their role in single strand break repair (SSBR) and base excision repair (BER), the p1p2 and p1p2k80 mutants were shown to be sensitive to treatment with the DNA damaging agent MMS. End-joining assays in cell-free leaf protein extracts of the different mutants using linear DNA substrates with different ends reflecting a variety of double strand breaks were performed. The results showed that compatible 5'-overhangs were accurately joined in all mutants, that KU80 protected the ends preventing the formation of large deletions and that PARP proteins were involved in microhomology mediated end joining (MMEJ), one of the characteristics of B-NHEJ.","container-title":"Plant Molecular Biology","DOI":"10.1007/s11103-013-0065-9","ISSN":"1573-5028","issue":"4-5","journalAbbreviation":"Plant Mol Biol","language":"eng","note":"PMID: 23625359","page":"339-351","source":"PubMed","title":"Poly(ADP-ribose)polymerases are involved in microhomology mediated back-up non-homologous end joining in Arabidopsis thaliana","volume":"82","author":[{"family":"Jia","given":"Qi"},{"family":"Dulk-Ras","given":"Amke","non-dropping-particle":"den"},{"family":"Shen","given":"Hexi"},{"family":"Hooykaas","given":"Paul J. J."},{"family":"Pater","given":"Sylvia","non-dropping-particle":"de"}],"issued":{"date-parts":[["2013",7]]}}}],"schema":"https://github.com/citation-style-language/schema/raw/master/csl-citation.json"} </w:instrText>
      </w:r>
      <w:r w:rsidRPr="00107040">
        <w:rPr>
          <w:sz w:val="28"/>
          <w:szCs w:val="28"/>
          <w:lang w:val="ru-RU"/>
        </w:rPr>
        <w:fldChar w:fldCharType="separate"/>
      </w:r>
      <w:r w:rsidR="008611DC" w:rsidRPr="008611DC">
        <w:rPr>
          <w:sz w:val="28"/>
          <w:lang w:val="ru-RU"/>
        </w:rPr>
        <w:t>[335]</w:t>
      </w:r>
      <w:r w:rsidRPr="00107040">
        <w:rPr>
          <w:sz w:val="28"/>
          <w:szCs w:val="28"/>
          <w:lang w:val="ru-RU"/>
        </w:rPr>
        <w:fldChar w:fldCharType="end"/>
      </w:r>
      <w:r w:rsidRPr="00107040">
        <w:rPr>
          <w:sz w:val="28"/>
          <w:szCs w:val="28"/>
          <w:lang w:val="ru-RU"/>
        </w:rPr>
        <w:t xml:space="preserve">. Напротив, </w:t>
      </w:r>
      <w:r w:rsidRPr="00107040">
        <w:rPr>
          <w:sz w:val="28"/>
          <w:szCs w:val="28"/>
        </w:rPr>
        <w:t>Shen</w:t>
      </w:r>
      <w:r w:rsidRPr="00107040">
        <w:rPr>
          <w:sz w:val="28"/>
          <w:szCs w:val="28"/>
          <w:lang w:val="ru-RU"/>
        </w:rPr>
        <w:t xml:space="preserve"> и коллеги предположили, что </w:t>
      </w:r>
      <w:r w:rsidRPr="00107040">
        <w:rPr>
          <w:sz w:val="28"/>
          <w:szCs w:val="28"/>
        </w:rPr>
        <w:t>PARP</w:t>
      </w:r>
      <w:r w:rsidRPr="00107040">
        <w:rPr>
          <w:sz w:val="28"/>
          <w:szCs w:val="28"/>
          <w:lang w:val="ru-RU"/>
        </w:rPr>
        <w:t xml:space="preserve"> действуют в альтернативном </w:t>
      </w:r>
      <w:r w:rsidRPr="00107040">
        <w:rPr>
          <w:sz w:val="28"/>
          <w:szCs w:val="28"/>
        </w:rPr>
        <w:t>NHEJ</w:t>
      </w:r>
      <w:r w:rsidRPr="00107040">
        <w:rPr>
          <w:sz w:val="28"/>
          <w:szCs w:val="28"/>
          <w:lang w:val="ru-RU"/>
        </w:rPr>
        <w:t xml:space="preserve">, независимом от микрогомологии </w:t>
      </w:r>
      <w:r w:rsidRPr="00107040">
        <w:rPr>
          <w:sz w:val="28"/>
          <w:szCs w:val="28"/>
          <w:lang w:val="ru-RU"/>
        </w:rPr>
        <w:fldChar w:fldCharType="begin"/>
      </w:r>
      <w:r w:rsidR="008611DC">
        <w:rPr>
          <w:sz w:val="28"/>
          <w:szCs w:val="28"/>
          <w:lang w:val="ru-RU"/>
        </w:rPr>
        <w:instrText xml:space="preserve"> ADDIN ZOTERO_ITEM CSL_CITATION {"citationID":"a1671klrrqr","properties":{"formattedCitation":"[342]","plainCitation":"[342]","noteIndex":0},"citationItems":[{"id":1674,"uris":["http://zotero.org/users/9078202/items/NEKSU8QX"],"itemData":{"id":1674,"type":"article-journal","abstract":"Double-strand breaks (DSBs) are one of the most harmful DNA lesions. Cells utilize two main pathways for DSB repair: homologous recombination (HR) and nonhomologous end-joining (NHEJ). NHEJ can be subdivided into the KU-dependent classical NHEJ (c-NHEJ) and the more error-prone KU-independent backup-NHEJ (b-NHEJ) pathways, involving the poly (ADP-ribose) polymerases (PARPs). However, in the absence of these factors, cells still seem able to adequately maintain genome integrity, suggesting the presence of other b-NHEJ repair factors or pathways independent from KU and PARPs. The outcome of DSB repair by NHEJ pathways can be investigated by using artificial sequence-specific nucleases such as CRISPR/Cas9 to induce DSBs at a target of interest. Here, we used CRISPR/Cas9 for DSB induction at the Arabidopsis cruciferin 3 (CRU3) and protoporphyrinogen oxidase (PPO) genes. DSB repair outcomes via NHEJ were analyzed using footprint analysis in wild-type plants and plants deficient in key factors of c-NHEJ (ku80), b-NHEJ (parp1 parp2), or both (ku80 parp1 parp2). We found that larger deletions of &amp;gt;20 bp predominated after DSB repair in ku80 and ku80 parp1 parp2 mutants, corroborating with a role of KU in preventing DSB end resection. Deletion lengths did not significantly differ between ku80 and ku80 parp1 parp2 mutants, suggesting that a KU- and PARP-independent b-NHEJ mechanism becomes active in these mutants. Furthermore, microhomologies and templated insertions were observed at the repair junctions in the wild type and all mutants. Since these characteristics are hallmarks of polymerase θ-mediated DSB repair, we suggest a possible role for this recently discovered polymerase in DSB repair in plants.","container-title":"G3 Genes|Genomes|Genetics","DOI":"10.1534/g3.116.035204","ISSN":"2160-1836","issue":"1","journalAbbreviation":"G3 Genes|Genomes|Genetics","page":"193-202","source":"Silverchair","title":"CRISPR/Cas9-Induced Double-Strand Break Repair in Arabidopsis Nonhomologous End-Joining Mutants","URL":"https://doi.org/10.1534/g3.116.035204","volume":"7","author":[{"family":"Shen","given":"Hexi"},{"family":"Strunks","given":"Gary D"},{"family":"Klemann","given":"Bart J P M"},{"family":"Hooykaas","given":"Paul J J"},{"family":"Pater","given":"Sylvia","non-dropping-particle":"de"}],"accessed":{"date-parts":[["2022",9,7]]},"issued":{"date-parts":[["2017",1,1]]}}}],"schema":"https://github.com/citation-style-language/schema/raw/master/csl-citation.json"} </w:instrText>
      </w:r>
      <w:r w:rsidRPr="00107040">
        <w:rPr>
          <w:sz w:val="28"/>
          <w:szCs w:val="28"/>
          <w:lang w:val="ru-RU"/>
        </w:rPr>
        <w:fldChar w:fldCharType="separate"/>
      </w:r>
      <w:r w:rsidR="008611DC" w:rsidRPr="008611DC">
        <w:rPr>
          <w:sz w:val="28"/>
          <w:lang w:val="ru-RU"/>
        </w:rPr>
        <w:t>[342]</w:t>
      </w:r>
      <w:r w:rsidRPr="00107040">
        <w:rPr>
          <w:sz w:val="28"/>
          <w:szCs w:val="28"/>
          <w:lang w:val="ru-RU"/>
        </w:rPr>
        <w:fldChar w:fldCharType="end"/>
      </w:r>
      <w:r w:rsidRPr="00107040">
        <w:rPr>
          <w:sz w:val="28"/>
          <w:szCs w:val="28"/>
          <w:lang w:val="ru-RU"/>
        </w:rPr>
        <w:t xml:space="preserve">. </w:t>
      </w:r>
    </w:p>
    <w:p w14:paraId="096071B9" w14:textId="506A4EFE"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Недавно была дополнительно выяснена одна функция </w:t>
      </w:r>
      <w:r w:rsidRPr="00107040">
        <w:rPr>
          <w:sz w:val="28"/>
          <w:szCs w:val="28"/>
        </w:rPr>
        <w:t>AtPARP</w:t>
      </w:r>
      <w:r w:rsidRPr="00107040">
        <w:rPr>
          <w:sz w:val="28"/>
          <w:szCs w:val="28"/>
          <w:lang w:val="ru-RU"/>
        </w:rPr>
        <w:t xml:space="preserve">1 в реакциях на повреждение ДНК. Двойной мутант </w:t>
      </w:r>
      <w:r w:rsidRPr="00107040">
        <w:rPr>
          <w:i/>
          <w:sz w:val="28"/>
          <w:szCs w:val="28"/>
        </w:rPr>
        <w:t>parp</w:t>
      </w:r>
      <w:r w:rsidRPr="00107040">
        <w:rPr>
          <w:i/>
          <w:sz w:val="28"/>
          <w:szCs w:val="28"/>
          <w:lang w:val="ru-RU"/>
        </w:rPr>
        <w:t xml:space="preserve">1 </w:t>
      </w:r>
      <w:r w:rsidRPr="00107040">
        <w:rPr>
          <w:i/>
          <w:sz w:val="28"/>
          <w:szCs w:val="28"/>
        </w:rPr>
        <w:t>rad</w:t>
      </w:r>
      <w:r w:rsidRPr="00107040">
        <w:rPr>
          <w:i/>
          <w:sz w:val="28"/>
          <w:szCs w:val="28"/>
          <w:lang w:val="ru-RU"/>
        </w:rPr>
        <w:t>5</w:t>
      </w:r>
      <w:r w:rsidRPr="00107040">
        <w:rPr>
          <w:i/>
          <w:sz w:val="28"/>
          <w:szCs w:val="28"/>
        </w:rPr>
        <w:t>a</w:t>
      </w:r>
      <w:r w:rsidRPr="00107040">
        <w:rPr>
          <w:sz w:val="28"/>
          <w:szCs w:val="28"/>
          <w:lang w:val="ru-RU"/>
        </w:rPr>
        <w:t xml:space="preserve"> был более чувствителен к ДНК-алкилирующему агенту </w:t>
      </w:r>
      <w:r w:rsidRPr="00107040">
        <w:rPr>
          <w:sz w:val="28"/>
          <w:szCs w:val="28"/>
        </w:rPr>
        <w:t>MMS</w:t>
      </w:r>
      <w:r w:rsidRPr="00107040">
        <w:rPr>
          <w:sz w:val="28"/>
          <w:szCs w:val="28"/>
          <w:lang w:val="ru-RU"/>
        </w:rPr>
        <w:t xml:space="preserve">, чем соответствующие одиночные мутантные растения </w:t>
      </w:r>
      <w:r w:rsidRPr="00107040">
        <w:rPr>
          <w:sz w:val="28"/>
          <w:szCs w:val="28"/>
          <w:lang w:val="ru-RU"/>
        </w:rPr>
        <w:fldChar w:fldCharType="begin"/>
      </w:r>
      <w:r w:rsidR="008611DC">
        <w:rPr>
          <w:sz w:val="28"/>
          <w:szCs w:val="28"/>
          <w:lang w:val="ru-RU"/>
        </w:rPr>
        <w:instrText xml:space="preserve"> ADDIN ZOTERO_ITEM CSL_CITATION {"citationID":"a14cbiigads","properties":{"formattedCitation":"[336]","plainCitation":"[336]","noteIndex":0},"citationItems":[{"id":1653,"uris":["http://zotero.org/users/9078202/items/3WFDUJI6"],"itemData":{"id":1653,"type":"article-journal","abstract":"Multiple pathways exist to repair DNA damage induced by methylating and crosslinking agents in Arabidopsis thaliana. The SWI2/SNF2 translocase RAD5A, the functional homolog of budding yeast Rad5 that is required for the error-free branch of post-replicative repair, plays a surprisingly prominent role in the repair of both kinds of lesions in Arabidopsis. Here we show that both the ATPase domain and the ubiquitination function of the RING domain of the Arabidopsis protein are essential for the cellular response to different forms of DNA damage. To define the exact role of RAD5A within the complex network of DNA repair pathways, we crossed the rad5a mutant line with mutants of different known repair factors of Arabidopsis. We had previously shown that RAD5A acts independently of two main pathways of replication-associated DNA repair defined by the helicase RECQ4A and the endonuclease MUS81. The enhanced sensitivity of all double mutants tested in this study indicates that the repair of damaged DNA by RAD5A also occurs independently of nucleotide excision repair (AtRAD1), single-strand break repair (AtPARP1), as well as microhomology-mediated double-strand break repair (AtTEB). Moreover, RAD5A can partially complement for a deficient AtATM-mediated DNA damage response in plants, as the double mutant shows phenotypic growth defects.","container-title":"The Plant Journal","DOI":"10.1111/tpj.13602","ISSN":"1365-313X","issue":"4","language":"en","note":"_eprint: https://onlinelibrary.wiley.com/doi/pdf/10.1111/tpj.13602","page":"725-740","source":"Wiley Online Library","title":"The DNA translocase RAD5A acts independently of the other main DNA repair pathways, and requires both its ATPase and RING domain for activity in Arabidopsis thaliana","URL":"https://onlinelibrary.wiley.com/doi/abs/10.1111/tpj.13602","volume":"91","author":[{"family":"Klemm","given":"Tobias"},{"family":"Mannuß","given":"Anja"},{"family":"Kobbe","given":"Daniela"},{"family":"Knoll","given":"Alexander"},{"family":"Trapp","given":"Oliver"},{"family":"Dorn","given":"Annika"},{"family":"Puchta","given":"Holger"}],"accessed":{"date-parts":[["2022",9,6]]},"issued":{"date-parts":[["2017"]]}}}],"schema":"https://github.com/citation-style-language/schema/raw/master/csl-citation.json"} </w:instrText>
      </w:r>
      <w:r w:rsidRPr="00107040">
        <w:rPr>
          <w:sz w:val="28"/>
          <w:szCs w:val="28"/>
          <w:lang w:val="ru-RU"/>
        </w:rPr>
        <w:fldChar w:fldCharType="separate"/>
      </w:r>
      <w:r w:rsidR="008611DC" w:rsidRPr="008611DC">
        <w:rPr>
          <w:sz w:val="28"/>
          <w:lang w:val="ru-RU"/>
        </w:rPr>
        <w:t>[336]</w:t>
      </w:r>
      <w:r w:rsidRPr="00107040">
        <w:rPr>
          <w:sz w:val="28"/>
          <w:szCs w:val="28"/>
          <w:lang w:val="ru-RU"/>
        </w:rPr>
        <w:fldChar w:fldCharType="end"/>
      </w:r>
      <w:r w:rsidRPr="00107040">
        <w:rPr>
          <w:sz w:val="28"/>
          <w:szCs w:val="28"/>
          <w:lang w:val="ru-RU"/>
        </w:rPr>
        <w:t xml:space="preserve">. Напротив, </w:t>
      </w:r>
      <w:r w:rsidRPr="00107040">
        <w:rPr>
          <w:i/>
          <w:sz w:val="28"/>
          <w:szCs w:val="28"/>
        </w:rPr>
        <w:t>parp</w:t>
      </w:r>
      <w:r w:rsidRPr="00107040">
        <w:rPr>
          <w:i/>
          <w:sz w:val="28"/>
          <w:szCs w:val="28"/>
          <w:lang w:val="ru-RU"/>
        </w:rPr>
        <w:t xml:space="preserve">1 </w:t>
      </w:r>
      <w:r w:rsidRPr="00107040">
        <w:rPr>
          <w:i/>
          <w:sz w:val="28"/>
          <w:szCs w:val="28"/>
        </w:rPr>
        <w:t>rad</w:t>
      </w:r>
      <w:r w:rsidRPr="00107040">
        <w:rPr>
          <w:i/>
          <w:sz w:val="28"/>
          <w:szCs w:val="28"/>
          <w:lang w:val="ru-RU"/>
        </w:rPr>
        <w:t>5</w:t>
      </w:r>
      <w:r w:rsidRPr="00107040">
        <w:rPr>
          <w:i/>
          <w:sz w:val="28"/>
          <w:szCs w:val="28"/>
        </w:rPr>
        <w:t>a</w:t>
      </w:r>
      <w:r w:rsidRPr="00107040">
        <w:rPr>
          <w:sz w:val="28"/>
          <w:szCs w:val="28"/>
          <w:lang w:val="ru-RU"/>
        </w:rPr>
        <w:t xml:space="preserve"> не проявлял повышенной чувствительности к сшивающим агентам цисплатину и митомицину С по сравнению с мутантными растениями </w:t>
      </w:r>
      <w:r w:rsidRPr="00107040">
        <w:rPr>
          <w:i/>
          <w:sz w:val="28"/>
          <w:szCs w:val="28"/>
        </w:rPr>
        <w:t>rad</w:t>
      </w:r>
      <w:r w:rsidRPr="00107040">
        <w:rPr>
          <w:i/>
          <w:sz w:val="28"/>
          <w:szCs w:val="28"/>
          <w:lang w:val="ru-RU"/>
        </w:rPr>
        <w:t>5</w:t>
      </w:r>
      <w:r w:rsidRPr="00107040">
        <w:rPr>
          <w:i/>
          <w:sz w:val="28"/>
          <w:szCs w:val="28"/>
        </w:rPr>
        <w:t>a</w:t>
      </w:r>
      <w:r w:rsidRPr="00107040">
        <w:rPr>
          <w:sz w:val="28"/>
          <w:szCs w:val="28"/>
          <w:lang w:val="ru-RU"/>
        </w:rPr>
        <w:t xml:space="preserve">. У мутанта </w:t>
      </w:r>
      <w:r w:rsidRPr="00107040">
        <w:rPr>
          <w:i/>
          <w:sz w:val="28"/>
          <w:szCs w:val="28"/>
        </w:rPr>
        <w:t>parp</w:t>
      </w:r>
      <w:r w:rsidRPr="00107040">
        <w:rPr>
          <w:i/>
          <w:sz w:val="28"/>
          <w:szCs w:val="28"/>
          <w:lang w:val="ru-RU"/>
        </w:rPr>
        <w:t>1</w:t>
      </w:r>
      <w:r w:rsidRPr="00107040">
        <w:rPr>
          <w:sz w:val="28"/>
          <w:szCs w:val="28"/>
          <w:lang w:val="ru-RU"/>
        </w:rPr>
        <w:t xml:space="preserve"> не наблюдалось повышенной чувствительности к любому агенту по сравнению с растениями дикого типа. Эти находки позволяют предположить, что </w:t>
      </w:r>
      <w:r w:rsidRPr="00107040">
        <w:rPr>
          <w:sz w:val="28"/>
          <w:szCs w:val="28"/>
        </w:rPr>
        <w:t>AtPARP</w:t>
      </w:r>
      <w:r w:rsidRPr="00107040">
        <w:rPr>
          <w:sz w:val="28"/>
          <w:szCs w:val="28"/>
          <w:lang w:val="ru-RU"/>
        </w:rPr>
        <w:t xml:space="preserve">1 участвует в репарации алкилирований оснований по пути, параллельному пути с участием </w:t>
      </w:r>
      <w:r w:rsidRPr="00107040">
        <w:rPr>
          <w:sz w:val="28"/>
          <w:szCs w:val="28"/>
        </w:rPr>
        <w:t>RAD</w:t>
      </w:r>
      <w:r w:rsidRPr="00107040">
        <w:rPr>
          <w:sz w:val="28"/>
          <w:szCs w:val="28"/>
          <w:lang w:val="ru-RU"/>
        </w:rPr>
        <w:t>5</w:t>
      </w:r>
      <w:r w:rsidRPr="00107040">
        <w:rPr>
          <w:sz w:val="28"/>
          <w:szCs w:val="28"/>
        </w:rPr>
        <w:t>a</w:t>
      </w:r>
      <w:r w:rsidRPr="00107040">
        <w:rPr>
          <w:sz w:val="28"/>
          <w:szCs w:val="28"/>
          <w:lang w:val="ru-RU"/>
        </w:rPr>
        <w:t>, который, возможно, соответствует эксцизионной репарации оснований (</w:t>
      </w:r>
      <w:r w:rsidRPr="00107040">
        <w:rPr>
          <w:sz w:val="28"/>
          <w:szCs w:val="28"/>
        </w:rPr>
        <w:t>BER</w:t>
      </w:r>
      <w:r w:rsidRPr="00107040">
        <w:rPr>
          <w:sz w:val="28"/>
          <w:szCs w:val="28"/>
          <w:lang w:val="ru-RU"/>
        </w:rPr>
        <w:t xml:space="preserve">) и независимой от </w:t>
      </w:r>
      <w:r w:rsidRPr="00107040">
        <w:rPr>
          <w:sz w:val="28"/>
          <w:szCs w:val="28"/>
        </w:rPr>
        <w:t>HR</w:t>
      </w:r>
      <w:r w:rsidRPr="00107040">
        <w:rPr>
          <w:sz w:val="28"/>
          <w:szCs w:val="28"/>
          <w:lang w:val="ru-RU"/>
        </w:rPr>
        <w:t xml:space="preserve"> репарации одноцепочечных разрывов </w:t>
      </w:r>
      <w:r w:rsidRPr="00107040">
        <w:rPr>
          <w:sz w:val="28"/>
          <w:szCs w:val="28"/>
          <w:lang w:val="ru-RU"/>
        </w:rPr>
        <w:fldChar w:fldCharType="begin"/>
      </w:r>
      <w:r w:rsidR="008611DC">
        <w:rPr>
          <w:sz w:val="28"/>
          <w:szCs w:val="28"/>
          <w:lang w:val="ru-RU"/>
        </w:rPr>
        <w:instrText xml:space="preserve"> ADDIN ZOTERO_ITEM CSL_CITATION {"citationID":"a1hvu1386ch","properties":{"formattedCitation":"[336]","plainCitation":"[336]","noteIndex":0},"citationItems":[{"id":1653,"uris":["http://zotero.org/users/9078202/items/3WFDUJI6"],"itemData":{"id":1653,"type":"article-journal","abstract":"Multiple pathways exist to repair DNA damage induced by methylating and crosslinking agents in Arabidopsis thaliana. The SWI2/SNF2 translocase RAD5A, the functional homolog of budding yeast Rad5 that is required for the error-free branch of post-replicative repair, plays a surprisingly prominent role in the repair of both kinds of lesions in Arabidopsis. Here we show that both the ATPase domain and the ubiquitination function of the RING domain of the Arabidopsis protein are essential for the cellular response to different forms of DNA damage. To define the exact role of RAD5A within the complex network of DNA repair pathways, we crossed the rad5a mutant line with mutants of different known repair factors of Arabidopsis. We had previously shown that RAD5A acts independently of two main pathways of replication-associated DNA repair defined by the helicase RECQ4A and the endonuclease MUS81. The enhanced sensitivity of all double mutants tested in this study indicates that the repair of damaged DNA by RAD5A also occurs independently of nucleotide excision repair (AtRAD1), single-strand break repair (AtPARP1), as well as microhomology-mediated double-strand break repair (AtTEB). Moreover, RAD5A can partially complement for a deficient AtATM-mediated DNA damage response in plants, as the double mutant shows phenotypic growth defects.","container-title":"The Plant Journal","DOI":"10.1111/tpj.13602","ISSN":"1365-313X","issue":"4","language":"en","note":"_eprint: https://onlinelibrary.wiley.com/doi/pdf/10.1111/tpj.13602","page":"725-740","source":"Wiley Online Library","title":"The DNA translocase RAD5A acts independently of the other main DNA repair pathways, and requires both its ATPase and RING domain for activity in Arabidopsis thaliana","URL":"https://onlinelibrary.wiley.com/doi/abs/10.1111/tpj.13602","volume":"91","author":[{"family":"Klemm","given":"Tobias"},{"family":"Mannuß","given":"Anja"},{"family":"Kobbe","given":"Daniela"},{"family":"Knoll","given":"Alexander"},{"family":"Trapp","given":"Oliver"},{"family":"Dorn","given":"Annika"},{"family":"Puchta","given":"Holger"}],"accessed":{"date-parts":[["2022",9,6]]},"issued":{"date-parts":[["2017"]]}}}],"schema":"https://github.com/citation-style-language/schema/raw/master/csl-citation.json"} </w:instrText>
      </w:r>
      <w:r w:rsidRPr="00107040">
        <w:rPr>
          <w:sz w:val="28"/>
          <w:szCs w:val="28"/>
          <w:lang w:val="ru-RU"/>
        </w:rPr>
        <w:fldChar w:fldCharType="separate"/>
      </w:r>
      <w:r w:rsidR="008611DC" w:rsidRPr="008611DC">
        <w:rPr>
          <w:sz w:val="28"/>
          <w:lang w:val="ru-RU"/>
        </w:rPr>
        <w:t>[336]</w:t>
      </w:r>
      <w:r w:rsidRPr="00107040">
        <w:rPr>
          <w:sz w:val="28"/>
          <w:szCs w:val="28"/>
          <w:lang w:val="ru-RU"/>
        </w:rPr>
        <w:fldChar w:fldCharType="end"/>
      </w:r>
      <w:r w:rsidRPr="00107040">
        <w:rPr>
          <w:sz w:val="28"/>
          <w:szCs w:val="28"/>
          <w:lang w:val="ru-RU"/>
        </w:rPr>
        <w:t>. В соответствии с этим 3</w:t>
      </w:r>
      <w:r w:rsidRPr="00107040">
        <w:rPr>
          <w:sz w:val="28"/>
          <w:szCs w:val="28"/>
        </w:rPr>
        <w:t>AB</w:t>
      </w:r>
      <w:r w:rsidRPr="00107040">
        <w:rPr>
          <w:sz w:val="28"/>
          <w:szCs w:val="28"/>
          <w:lang w:val="ru-RU"/>
        </w:rPr>
        <w:t xml:space="preserve"> подавлял индуцированную паракватом экспрессию </w:t>
      </w:r>
      <w:r w:rsidRPr="00107040">
        <w:rPr>
          <w:sz w:val="28"/>
          <w:szCs w:val="28"/>
        </w:rPr>
        <w:t>XRCC</w:t>
      </w:r>
      <w:r w:rsidRPr="00107040">
        <w:rPr>
          <w:sz w:val="28"/>
          <w:szCs w:val="28"/>
          <w:lang w:val="ru-RU"/>
        </w:rPr>
        <w:t xml:space="preserve">1 </w:t>
      </w:r>
      <w:r w:rsidRPr="00107040">
        <w:rPr>
          <w:sz w:val="28"/>
          <w:szCs w:val="28"/>
          <w:lang w:val="ru-RU"/>
        </w:rPr>
        <w:fldChar w:fldCharType="begin"/>
      </w:r>
      <w:r w:rsidR="008611DC">
        <w:rPr>
          <w:sz w:val="28"/>
          <w:szCs w:val="28"/>
          <w:lang w:val="ru-RU"/>
        </w:rPr>
        <w:instrText xml:space="preserve"> ADDIN ZOTERO_ITEM CSL_CITATION {"citationID":"a1d7kjva3b","properties":{"formattedCitation":"[341]","plainCitation":"[341]","noteIndex":0},"citationItems":[{"id":1671,"uris":["http://zotero.org/users/9078202/items/MIAT9GXH"],"itemData":{"id":1671,"type":"article-journal","abstract":"Here, we assessed modulation of the poly(ADP-ribosyl)ation (PAR) reaction by an Arabidopsis (Arabidopsis thaliana) ADP-ribose (Rib)/NADH pyrophosphohydrolase, AtNUDX7 (for Arabidopsis Nudix hydrolase 7), in AtNUDX7-overexpressed (Pro(35S):AtNUDX7) or AtNUDX7-disrupted (KO-nudx7) plants under normal conditions and oxidative stress caused by paraquat treatment. Levels of NADH and ADP-Rib were decreased in the Pro(35S):AtNUDX7 plants but increased in the KO-nudx7 plants under normal conditions and oxidative stress compared with the control plants, indicating that AtNUDX7 hydrolyzes both ADP-Rib and NADH as physiological substrates. The Pro(35S):AtNUDX7 and KO-nudx7 plants showed increased and decreased tolerance, respectively, to oxidative stress compared with the control plants. Levels of poly(ADP-Rib) in the Pro(35S):AtNUDX7 and KO-nudx7 plants were markedly higher and lower, respectively, than those in the control plants. Depletion of NAD(+) and ATP resulting from the activation of the PAR reaction under oxidative stress was completely suppressed in the Pro(35S):AtNUDX7 plants. Accumulation of NAD(+) and ATP was observed in the KO-nudx7- and 3-aminobenzamide-treated plants, in which the PAR reaction was suppressed. The expression levels of DNA repair factors, AtXRCC1 and AtXRCC2 (for x-ray repair cross-complementing factors 1 and 2), paralleled that of AtNUDX7 under both normal conditions and oxidative stress, although an inverse correlation was observed between the levels of AtXRCC3, AtRAD51 (for Escherichia coli RecA homolog), AtDMC1 (for disrupted meiotic cDNA), and AtMND1 (for meiotic nuclear divisions) and AtNUDX7. These findings suggest that AtNUDX7 controls the balance between NADH and NAD(+) by NADH turnover under normal conditions. Under oxidative stress, AtNUDX7 serves to maintain NAD(+) levels by supplying ATP via nucleotide recycling from free ADP-Rib molecules and thus regulates the defense mechanisms against oxidative DNA damage via modulation of the PAR reaction.","container-title":"Plant Physiology","DOI":"10.1104/pp.109.140442","ISSN":"0032-0889","issue":"2","journalAbbreviation":"Plant Physiol","language":"eng","note":"PMID: 19656905\nPMCID: PMC2754630","page":"741-754","source":"PubMed","title":"Modulation of the poly(ADP-ribosyl)ation reaction via the Arabidopsis ADP-ribose/NADH pyrophosphohydrolase, AtNUDX7, is involved in the response to oxidative stress","volume":"151","author":[{"family":"Ishikawa","given":"Kazuya"},{"family":"Ogawa","given":"Takahisa"},{"family":"Hirosue","given":"Eisuke"},{"family":"Nakayama","given":"Yasumune"},{"family":"Harada","given":"Kazuo"},{"family":"Fukusaki","given":"Eiichiro"},{"family":"Yoshimura","given":"Kazuya"},{"family":"Shigeoka","given":"Shigeru"}],"issued":{"date-parts":[["2009",10]]}}}],"schema":"https://github.com/citation-style-language/schema/raw/master/csl-citation.json"} </w:instrText>
      </w:r>
      <w:r w:rsidRPr="00107040">
        <w:rPr>
          <w:sz w:val="28"/>
          <w:szCs w:val="28"/>
          <w:lang w:val="ru-RU"/>
        </w:rPr>
        <w:fldChar w:fldCharType="separate"/>
      </w:r>
      <w:r w:rsidR="008611DC" w:rsidRPr="008611DC">
        <w:rPr>
          <w:sz w:val="28"/>
          <w:lang w:val="ru-RU"/>
        </w:rPr>
        <w:t>[341]</w:t>
      </w:r>
      <w:r w:rsidRPr="00107040">
        <w:rPr>
          <w:sz w:val="28"/>
          <w:szCs w:val="28"/>
          <w:lang w:val="ru-RU"/>
        </w:rPr>
        <w:fldChar w:fldCharType="end"/>
      </w:r>
      <w:r w:rsidRPr="00107040">
        <w:rPr>
          <w:sz w:val="28"/>
          <w:szCs w:val="28"/>
          <w:lang w:val="ru-RU"/>
        </w:rPr>
        <w:t xml:space="preserve">. </w:t>
      </w:r>
      <w:r w:rsidRPr="00107040">
        <w:rPr>
          <w:sz w:val="28"/>
          <w:szCs w:val="28"/>
        </w:rPr>
        <w:t>XRCC</w:t>
      </w:r>
      <w:r w:rsidRPr="00107040">
        <w:rPr>
          <w:sz w:val="28"/>
          <w:szCs w:val="28"/>
          <w:lang w:val="ru-RU"/>
        </w:rPr>
        <w:t>1 является компонентом стадии заполнения про</w:t>
      </w:r>
      <w:r w:rsidRPr="00107040">
        <w:rPr>
          <w:sz w:val="28"/>
          <w:szCs w:val="28"/>
          <w:lang w:val="kk-KZ"/>
        </w:rPr>
        <w:t>бела</w:t>
      </w:r>
      <w:r w:rsidRPr="00107040">
        <w:rPr>
          <w:sz w:val="28"/>
          <w:szCs w:val="28"/>
          <w:lang w:val="ru-RU"/>
        </w:rPr>
        <w:t xml:space="preserve"> и запечатывания </w:t>
      </w:r>
      <w:r w:rsidRPr="00107040">
        <w:rPr>
          <w:sz w:val="28"/>
          <w:szCs w:val="28"/>
          <w:lang w:val="kk-KZ"/>
        </w:rPr>
        <w:t>разрыва</w:t>
      </w:r>
      <w:r w:rsidRPr="00107040">
        <w:rPr>
          <w:sz w:val="28"/>
          <w:szCs w:val="28"/>
          <w:lang w:val="ru-RU"/>
        </w:rPr>
        <w:t xml:space="preserve"> в </w:t>
      </w:r>
      <w:r w:rsidRPr="00107040">
        <w:rPr>
          <w:sz w:val="28"/>
          <w:szCs w:val="28"/>
        </w:rPr>
        <w:t>BER</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{"citationID":"a6bjeoqs9b","properties":{"formattedCitation":"[343]","plainCitation":"[343]","noteIndex":0},"citationItems":[{"id":1679,"uris":["http://zotero.org/users/9078202/items/ESIQV92P"],"itemData":{"id":1679,"type":"article-journal","abstract":"The genome integrity of all organisms is constantly threatened by replication errors and DNA damage arising from endogenous and exogenous sources. Such base pair anomalies must be accurately repaired to prevent mutagenesis and/or lethality. Thus, it is not surprising that cells have evolved multiple and partially overlapping DNA repair pathways to correct specific types of DNA errors and lesions. Great progress in unraveling these repair mechanisms at the molecular level has been made by several talented researchers, among them Tomas Lindahl, Aziz Sancar, and Paul Modrich, all three Nobel laureates in Chemistry for 2015. Much of this knowledge comes from studies performed in bacteria, yeast, and mammals and has impacted research in plant systems. Two plant features should be mentioned. Plants differ from higher eukaryotes in that they lack a reserve germline and cannot avoid environmental stresses. Therefore, plants have evolved different strategies to sustain genome fidelity through generations and continuous exposure to genotoxic stresses. These strategies include the presence of unique or multiple paralogous genes with partially overlapping DNA repair activities. Yet, in spite (or because) of these differences, plants, especially Arabidopsis thaliana, can be used as a model organism for functional studies. Some advantages of this model system are worth mentioning: short life cycle, availability of both homozygous and heterozygous lines for many genes, plant transformation techniques, tissue culture methods and reporter systems for gene expression and function studies. Here, I provide a current understanding of DNA repair genes in plants, with a special focus on A. thaliana. It is expected that this review will be a valuable resource for future functional studies in the DNA repair field, both in plants and animals.","container-title":"Cellular and Molecular Life Sciences","DOI":"10.1007/s00018-016-2436-2","ISSN":"1420-9071","issue":"9","journalAbbreviation":"Cell. Mol. Life Sci.","language":"en","page":"1693-1709","source":"Springer Link","title":"Protecting DNA from errors and damage: an overview of DNA repair mechanisms in plants compared to mammals","title-short":"Protecting DNA from errors and damage","URL":"https://doi.org/10.1007/s00018-016-2436-2","volume":"74","author":[{"family":"Spampinato","given":"Claudia P."}],"accessed":{"date-parts":[["2022",9,7]]},"issued":{"date-parts":[["2017",5,1]]}}}],"schema":"https://github.com/citation-style-language/schema/raw/master/csl-citation.json"} </w:instrText>
      </w:r>
      <w:r w:rsidRPr="00107040">
        <w:rPr>
          <w:sz w:val="28"/>
          <w:szCs w:val="28"/>
          <w:lang w:val="ru-RU"/>
        </w:rPr>
        <w:fldChar w:fldCharType="separate"/>
      </w:r>
      <w:r w:rsidR="008611DC" w:rsidRPr="008611DC">
        <w:rPr>
          <w:sz w:val="28"/>
          <w:lang w:val="ru-RU"/>
        </w:rPr>
        <w:t>[343]</w:t>
      </w:r>
      <w:r w:rsidRPr="00107040">
        <w:rPr>
          <w:sz w:val="28"/>
          <w:szCs w:val="28"/>
          <w:lang w:val="ru-RU"/>
        </w:rPr>
        <w:fldChar w:fldCharType="end"/>
      </w:r>
      <w:r w:rsidRPr="00107040">
        <w:rPr>
          <w:sz w:val="28"/>
          <w:szCs w:val="28"/>
          <w:lang w:val="ru-RU"/>
        </w:rPr>
        <w:t xml:space="preserve">. Экспрессия </w:t>
      </w:r>
      <w:r w:rsidRPr="00107040">
        <w:rPr>
          <w:sz w:val="28"/>
          <w:szCs w:val="28"/>
        </w:rPr>
        <w:t>AtPARP</w:t>
      </w:r>
      <w:r w:rsidRPr="00107040">
        <w:rPr>
          <w:sz w:val="28"/>
          <w:szCs w:val="28"/>
          <w:lang w:val="ru-RU"/>
        </w:rPr>
        <w:t xml:space="preserve">2 индуцируется в </w:t>
      </w:r>
      <w:r w:rsidRPr="00107040">
        <w:rPr>
          <w:sz w:val="28"/>
          <w:szCs w:val="28"/>
          <w:lang w:val="ru-RU"/>
        </w:rPr>
        <w:lastRenderedPageBreak/>
        <w:t xml:space="preserve">отсутствие </w:t>
      </w:r>
      <w:r w:rsidRPr="00107040">
        <w:rPr>
          <w:sz w:val="28"/>
          <w:szCs w:val="28"/>
        </w:rPr>
        <w:t>LIG</w:t>
      </w:r>
      <w:r w:rsidRPr="00107040">
        <w:rPr>
          <w:sz w:val="28"/>
          <w:szCs w:val="28"/>
          <w:lang w:val="ru-RU"/>
        </w:rPr>
        <w:t xml:space="preserve">1, другого компонента </w:t>
      </w:r>
      <w:r w:rsidRPr="00107040">
        <w:rPr>
          <w:sz w:val="28"/>
          <w:szCs w:val="28"/>
        </w:rPr>
        <w:t>BER</w:t>
      </w:r>
      <w:r w:rsidRPr="00107040">
        <w:rPr>
          <w:sz w:val="28"/>
          <w:szCs w:val="28"/>
          <w:lang w:val="ru-RU"/>
        </w:rPr>
        <w:t xml:space="preserve">, что указывает на то, что </w:t>
      </w:r>
      <w:r w:rsidRPr="00107040">
        <w:rPr>
          <w:sz w:val="28"/>
          <w:szCs w:val="28"/>
        </w:rPr>
        <w:t>AtPARP</w:t>
      </w:r>
      <w:r w:rsidRPr="00107040">
        <w:rPr>
          <w:sz w:val="28"/>
          <w:szCs w:val="28"/>
          <w:lang w:val="ru-RU"/>
        </w:rPr>
        <w:t xml:space="preserve">2 также взаимодействует с путем </w:t>
      </w:r>
      <w:r w:rsidRPr="00107040">
        <w:rPr>
          <w:sz w:val="28"/>
          <w:szCs w:val="28"/>
        </w:rPr>
        <w:t>BER</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{"citationID":"a2dt34c49rd","properties":{"formattedCitation":"[316]","plainCitation":"[316]","noteIndex":0},"citationItems":[{"id":253,"uris":["http://zotero.org/users/9078202/items/XCDNFQWX"],"itemData":{"id":253,"type":"article-journal","abstract":"One of the immediate reactions of the mammalian cell to many environmental stresses is a massive synthesis of poly(ADP-ribose), catalyzed by poly(ADP-ribose) polymerase (PARP). Most of the biological functions attributed to PARP are inferred from experimentation with mammalian cells. In plants, the biology of PARP may be more complicated and diverse than was previously thought. Two poly(ADP-ribose) polymerase homologues were found in plants, the classical Zn-finger-containing polymerase (ZAP) and the structurally non-classical PARP proteins (APP and NAP), which lack the characteristic N-terminal Zn-finger domain. By enzymatic and cytological experiments the recombinant APP protein was shown to be located in the nucleus and to possess DNA-dependent poly(ADP-ribose) polymerase activity in yeast. The nuclear localization was further confirmed by the analysis of transgenic tobacco plants that expressed a translational gene fusion between APP and the bacterial beta-glucuronidase. The app promoter was transcriptionally up-regulated in cells pre-determined to die because of deficiency in a DNA ligase I.","container-title":"The Plant Journal: For Cell and Molecular Biology","DOI":"10.1046/j.1365-313x.1998.00240.x","ISSN":"0960-7412","issue":"5","journalAbbreviation":"Plant J","language":"eng","note":"PMID: 9778846","page":"635-645","source":"PubMed","title":"Higher plants possess two structurally different poly(ADP-ribose) polymerases","volume":"15","author":[{"family":"Babiychuk","given":"E."},{"family":"Cottrill","given":"P. B."},{"family":"Storozhenko","given":"S."},{"family":"Fuangthong","given":"M."},{"family":"Chen","given":"Y."},{"family":"O'Farrell","given":"M. K."},{"family":"Van Montagu","given":"M."},{"family":"Inzé","given":"D."},{"family":"Kushnir","given":"S."}],"issued":{"date-parts":[["1998",9]]}}}],"schema":"https://github.com/citation-style-language/schema/raw/master/csl-citation.json"} </w:instrText>
      </w:r>
      <w:r w:rsidRPr="00107040">
        <w:rPr>
          <w:sz w:val="28"/>
          <w:szCs w:val="28"/>
          <w:lang w:val="ru-RU"/>
        </w:rPr>
        <w:fldChar w:fldCharType="separate"/>
      </w:r>
      <w:r w:rsidR="008611DC" w:rsidRPr="008611DC">
        <w:rPr>
          <w:sz w:val="28"/>
          <w:lang w:val="ru-RU"/>
        </w:rPr>
        <w:t>[316]</w:t>
      </w:r>
      <w:r w:rsidRPr="00107040">
        <w:rPr>
          <w:sz w:val="28"/>
          <w:szCs w:val="28"/>
          <w:lang w:val="ru-RU"/>
        </w:rPr>
        <w:fldChar w:fldCharType="end"/>
      </w:r>
      <w:r w:rsidRPr="00107040">
        <w:rPr>
          <w:sz w:val="28"/>
          <w:szCs w:val="28"/>
          <w:lang w:val="ru-RU"/>
        </w:rPr>
        <w:t xml:space="preserve">. </w:t>
      </w:r>
    </w:p>
    <w:p w14:paraId="53F76B39"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p>
    <w:p w14:paraId="55D93934"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bookmarkStart w:id="47" w:name="_Hlk113268516"/>
      <w:r w:rsidRPr="00107040">
        <w:rPr>
          <w:sz w:val="28"/>
          <w:szCs w:val="28"/>
          <w:lang w:val="kk-KZ"/>
        </w:rPr>
        <w:t xml:space="preserve">1.9.2 </w:t>
      </w:r>
      <w:r w:rsidRPr="00107040">
        <w:rPr>
          <w:sz w:val="28"/>
          <w:szCs w:val="28"/>
        </w:rPr>
        <w:t>PARP</w:t>
      </w:r>
      <w:r w:rsidRPr="00107040">
        <w:rPr>
          <w:sz w:val="28"/>
          <w:szCs w:val="28"/>
          <w:lang w:val="ru-RU"/>
        </w:rPr>
        <w:t>3 — ключевой компонент целостности генома семян</w:t>
      </w:r>
    </w:p>
    <w:bookmarkEnd w:id="47"/>
    <w:p w14:paraId="09747562" w14:textId="7E9F17BB"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Предполагается, что у взрослых растений арабидопсиса </w:t>
      </w:r>
      <w:r w:rsidRPr="00107040">
        <w:rPr>
          <w:sz w:val="28"/>
          <w:szCs w:val="28"/>
        </w:rPr>
        <w:t>AtPARP</w:t>
      </w:r>
      <w:r w:rsidRPr="00107040">
        <w:rPr>
          <w:sz w:val="28"/>
          <w:szCs w:val="28"/>
          <w:lang w:val="ru-RU"/>
        </w:rPr>
        <w:t xml:space="preserve">3 либо неактивен, либо не участвует в реакциях на повреждение ДНК </w:t>
      </w:r>
      <w:r w:rsidRPr="00107040">
        <w:rPr>
          <w:sz w:val="28"/>
          <w:szCs w:val="28"/>
          <w:lang w:val="ru-RU"/>
        </w:rPr>
        <w:fldChar w:fldCharType="begin"/>
      </w:r>
      <w:r w:rsidR="008611DC">
        <w:rPr>
          <w:sz w:val="28"/>
          <w:szCs w:val="28"/>
          <w:lang w:val="ru-RU"/>
        </w:rPr>
        <w:instrText xml:space="preserve"> ADDIN ZOTERO_ITEM CSL_CITATION {"citationID":"a2brpmeg7lu","properties":{"formattedCitation":"[328]","plainCitation":"[328]","noteIndex":0},"citationItems":[{"id":1637,"uris":["http://zotero.org/users/9078202/items/Y6YU77KL"],"itemData":{"id":1637,"type":"article-journal","abstract":"Poly(ADP-ribosyl)ation is a reversible post-translational modification of proteins, characterized by the addition of poly(ADP-ribose) (PAR) to proteins by poly(ADP-ribose) polymerase (PARP), and removal of PAR by poly(ADP-ribose) glycohydrolase (PARG). Three PARPs and two PARGs have been found in Arabidopsis, but their respective roles are not fully understood. In this study, the functions of each PARP and PARG in DNA repair were analyzed based on their mutant phenotypes under genotoxic stresses. Double or triple mutant analysis revealed that PARP1 and PARP2, but not PARP3, play a similar but not critical role in DNA repair in Arabidopsis seedlings. PARG1 and PARG2 play an essential and a minor role, respectively under the same conditions. Mutation of PARG1 results in increased DNA damage level and enhanced cell death in plants after bleomycin treatment. PARG1 expression is induced primarily in root and shoot meristems by bleomycin and induction of PARG1 is dependent on ATM and ATR kinases. PARG1 also antagonistically modulates the DNA repair process by preventing the over-induction of DNA repair genes. Our study determined the contribution of each PARP and PARG member in DNA repair and indicated that PARG1 plays a critical role in this process.","container-title":"Scientific Reports","DOI":"10.1038/srep15892","ISSN":"2045-2322","journalAbbreviation":"Sci Rep","language":"eng","note":"PMID: 26516022\nPMCID: PMC4626836","page":"15892","source":"PubMed","title":"Arabidopsis PARG1 is the key factor promoting cell survival among the enzymes regulating post-translational poly(ADP-ribosyl)ation","volume":"5","author":[{"family":"Zhang","given":"Hailei"},{"family":"Gu","given":"Zongying"},{"family":"Wu","given":"Qiao"},{"family":"Yang","given":"Lifeng"},{"family":"Liu","given":"Caifeng"},{"family":"Ma","given":"Hong"},{"family":"Xia","given":"Yiji"},{"family":"Ge","given":"Xiaochun"}],"issued":{"date-parts":[["2015",10,30]]}}}],"schema":"https://github.com/citation-style-language/schema/raw/master/csl-citation.json"} </w:instrText>
      </w:r>
      <w:r w:rsidRPr="00107040">
        <w:rPr>
          <w:sz w:val="28"/>
          <w:szCs w:val="28"/>
          <w:lang w:val="ru-RU"/>
        </w:rPr>
        <w:fldChar w:fldCharType="separate"/>
      </w:r>
      <w:r w:rsidR="008611DC" w:rsidRPr="008611DC">
        <w:rPr>
          <w:sz w:val="28"/>
          <w:lang w:val="ru-RU"/>
        </w:rPr>
        <w:t>[328]</w:t>
      </w:r>
      <w:r w:rsidRPr="00107040">
        <w:rPr>
          <w:sz w:val="28"/>
          <w:szCs w:val="28"/>
          <w:lang w:val="ru-RU"/>
        </w:rPr>
        <w:fldChar w:fldCharType="end"/>
      </w:r>
      <w:r w:rsidRPr="00107040">
        <w:rPr>
          <w:sz w:val="28"/>
          <w:szCs w:val="28"/>
          <w:lang w:val="ru-RU"/>
        </w:rPr>
        <w:t xml:space="preserve">. Напротив, сильная экспрессия была обнаружена в семенах </w:t>
      </w:r>
      <w:r w:rsidRPr="00107040">
        <w:rPr>
          <w:sz w:val="28"/>
          <w:szCs w:val="28"/>
          <w:lang w:val="ru-RU"/>
        </w:rPr>
        <w:fldChar w:fldCharType="begin"/>
      </w:r>
      <w:r w:rsidR="00FB5E68">
        <w:rPr>
          <w:sz w:val="28"/>
          <w:szCs w:val="28"/>
          <w:lang w:val="ru-RU"/>
        </w:rPr>
        <w:instrText xml:space="preserve"> ADDIN ZOTERO_ITEM CSL_CITATION {"citationID":"a2g906sm0ll","properties":{"formattedCitation":"[322,323]","plainCitation":"[322,323]","noteIndex":0},"citationItems":[{"id":"MPjqK5ng/v6qLSWfx","uris":["http://zotero.org/users/9078202/items/PX5WSTDM"],"itemData":{"id":251,"type":"article-journal","abstract":"Perception of microbe-associated molecular patterns (MAMPs) elicits transcriptional reprogramming in hosts and activates defense to pathogen attacks. The molecular mechanisms underlying plant pattern-triggered immunity remain elusive. A genetic screen identified Arabidopsis poly(ADP-ribose) glycohydrolase 1 (atparg1) mutant with elevated immune gene expression upon multiple MAMP and pathogen treatments. Poly(ADP-ribose) glycohydrolase (PARG) is predicted to remove poly(ADP-ribose) polymers on acceptor proteins modified by poly(ADP-ribose) polymerases (PARPs) with three PARPs and two PARGs in Arabidopsis genome. AtPARP1 and AtPARP2 possess poly(ADP-ribose) polymerase activity, and the activity of AtPARP2 was enhanced by MAMP treatment. AtPARG1, but not AtPARG2, carries glycohydrolase activity in vivo and in vitro. Importantly, mutation (G450R) in atparg1 blocks its activity and the corresponding residue is highly conserved and essential for human HsPARG activity. Consistently, mutant atparp1atparp2 plants exhibited compromised immune gene activation and enhanced susceptibility to pathogen infections. Our study indicates that protein poly(ADP-ribosyl)ation plays critical roles in plant immune gene expression and defense to pathogen attacks.","container-title":"PLOS Genetics","DOI":"10.1371/journal.pgen.1004936","ISSN":"1553-7404","issue":"1","journalAbbreviation":"PLOS Genetics","language":"en","note":"publisher: Public Library of Science","page":"e1004936","source":"PLoS Journals","title":"Protein Poly(ADP-ribosyl)ation Regulates Arabidopsis Immune Gene Expression and Defense Responses","URL":"https://journals.plos.org/plosgenetics/article?id=10.1371/journal.pgen.1004936","volume":"11","author":[{"family":"Feng","given":"Baomin"},{"family":"Liu","given":"Chenglong"},{"family":"Oliveira","given":"Marcos V. V.","dropping-particle":"de"},{"family":"Intorne","given":"Aline C."},{"family":"Li","given":"Bo"},{"family":"Babilonia","given":"Kevin"},{"family":"Filho","given":"Gonçalo A. de Souza"},{"family":"Shan","given":"Libo"},{"family":"He","given":"Ping"}],"accessed":{"date-parts":[["2022",4,11]]},"issued":{"date-parts":[["2015",1,8]]}}},{"id":1618,"uris":["http://zotero.org/users/9078202/items/EPK4I4YY"],"itemData":{"id":1618,"type":"article-journal","abstract":"The pyridine nucleotides, NAD+, NADH, NADP+, and NADPH have long-established and well-characterised roles as redox factors in processes such as oxidative phosphorylation, the TCA cycle, and as electron acceptors in photosynthesis. Recent years have seen an increase in the number of signalling and gene regulatory processes where NAD+ or NADP+ are metabolised. Cyclic ADP-ribose (cADPR) and nicotinic acid adenine dinucleotide phosphate (NAADP) are metabolites of NAD+ and NADP+, respectively, and now have widely accepted roles as potent intracellular calcium releasing agents in animals, but are less well characterised in plants. NAD kinases catalyse the transfer of a phosphate group from ATP to NAD to form NADP and are well characterised in plants in their requirement for the calcium binding protein calmodulin, thereby putatively linking their regulation to stress-induced intracellular calcium release. A second group of proteins unrelated to those above, the sirtuins (Sir2) and poly ADP-ribose polymerases (PARPs), cleave NAD and transfer the ADP-ribose group to acetyl groups and proteins, respectively. These have roles in transcriptional control and DNA repair in eukaryotes. Contents Summary I. Introduction 32 II. NAD synthesis and breakdown 32 III. cADPR in plants 34 IV. NAADP in plants 35 V. NAD kinases 35 VI. NAD and gene regulation 37 VII. Sir2 is an NAD dependant histone deacetylase 37 VIII. Nicotinamidases 38 IX. Poly ADP-ribosylation 39 X. Poly(ADP-ribose) glycohydrolase (PARG) 40 XI. Subcellular compartmentation of NAD and NADP in plants 41 XII. Conclusions 41 Acknowledgements 41 References 41","container-title":"New Phytologist","DOI":"10.1111/j.1469-8137.2004.01087.x","ISSN":"1469-8137","issue":"1","language":"en","note":"_eprint: https://onlinelibrary.wiley.com/doi/pdf/10.1111/j.1469-8137.2004.01087.x","page":"31-44","source":"Wiley Online Library","title":"NAD – new roles in signalling and gene regulation in plants","URL":"https://onlinelibrary.wiley.com/doi/abs/10.1111/j.1469-8137.2004.01087.x","volume":"163","author":[{"family":"Hunt","given":"Lee"},{"family":"Lerner","given":"Felicitas"},{"family":"Ziegler","given":"Mathias"}],"accessed":{"date-parts":[["2022",9,6]]},"issued":{"date-parts":[["2004"]]}}}],"schema":"https://github.com/citation-style-language/schema/raw/master/csl-citation.json"} </w:instrText>
      </w:r>
      <w:r w:rsidRPr="00107040">
        <w:rPr>
          <w:sz w:val="28"/>
          <w:szCs w:val="28"/>
          <w:lang w:val="ru-RU"/>
        </w:rPr>
        <w:fldChar w:fldCharType="separate"/>
      </w:r>
      <w:r w:rsidR="008611DC" w:rsidRPr="008611DC">
        <w:rPr>
          <w:sz w:val="28"/>
          <w:lang w:val="ru-RU"/>
        </w:rPr>
        <w:t>[322,323]</w:t>
      </w:r>
      <w:r w:rsidRPr="00107040">
        <w:rPr>
          <w:sz w:val="28"/>
          <w:szCs w:val="28"/>
          <w:lang w:val="ru-RU"/>
        </w:rPr>
        <w:fldChar w:fldCharType="end"/>
      </w:r>
      <w:r w:rsidRPr="00107040">
        <w:rPr>
          <w:sz w:val="28"/>
          <w:szCs w:val="28"/>
          <w:lang w:val="ru-RU"/>
        </w:rPr>
        <w:t xml:space="preserve">. Скрининг общедоступных наборов данных микрочипов и гистохимический анализ </w:t>
      </w:r>
      <w:r w:rsidRPr="00107040">
        <w:rPr>
          <w:sz w:val="28"/>
          <w:szCs w:val="28"/>
        </w:rPr>
        <w:t>GUS</w:t>
      </w:r>
      <w:r w:rsidRPr="00107040">
        <w:rPr>
          <w:sz w:val="28"/>
          <w:szCs w:val="28"/>
          <w:lang w:val="ru-RU"/>
        </w:rPr>
        <w:t xml:space="preserve"> подтвердили накопление транскриптов </w:t>
      </w:r>
      <w:r w:rsidRPr="00107040">
        <w:rPr>
          <w:sz w:val="28"/>
          <w:szCs w:val="28"/>
        </w:rPr>
        <w:t>AtPARP</w:t>
      </w:r>
      <w:r w:rsidRPr="00107040">
        <w:rPr>
          <w:sz w:val="28"/>
          <w:szCs w:val="28"/>
          <w:lang w:val="ru-RU"/>
        </w:rPr>
        <w:t xml:space="preserve">3 именно в зародыше и эндосперме сухих семян, во время набухания и во время прорастания семян </w:t>
      </w:r>
      <w:r w:rsidRPr="00107040">
        <w:rPr>
          <w:sz w:val="28"/>
          <w:szCs w:val="28"/>
          <w:lang w:val="ru-RU"/>
        </w:rPr>
        <w:fldChar w:fldCharType="begin"/>
      </w:r>
      <w:r w:rsidR="00FB5E68">
        <w:rPr>
          <w:sz w:val="28"/>
          <w:szCs w:val="28"/>
          <w:lang w:val="ru-RU"/>
        </w:rPr>
        <w:instrText xml:space="preserve"> ADDIN ZOTERO_ITEM CSL_CITATION {"citationID":"a2h45sdgipe","properties":{"formattedCitation":"[342, p. 3]","plainCitation":"[342, p. 3]","dontUpdate":true,"noteIndex":0},"citationItems":[{"id":"MPjqK5ng/9HXO2hDs","uris":["http://zotero.org/users/9078202/items/NYAP7I89"],"itemData":{"id":258,"type":"article-journal","abstract":"The deterioration of seeds during prolonged storage results in a reduction of viability and germination rate. DNA damage is one of the major cellular defects associated with seed deterioration. It is provoked by the formation of reactive oxygen species (ROS) even in the quiescent state of the desiccated seed. In contrast to other stages of seed life, DNA repair during storage is hindered through the low seed water content; thereby DNA lesions can accumulate. To allow subsequent seedling development, DNA repair has thus to be initiated immediately upon imbibition. Poly(ADP-ribose) polymerases (PARPs) are important components in the DNA damage response in humans. Arabidopsis thaliana contains three homologues to the human HsPARP1 protein. Of these three, only AtPARP3 was very highly expressed in seeds. Histochemical GUS staining of embryos and endosperm layers revealed strong promoter activity of AtPARP3 during all steps of germination. This coincided with high ROS activity and indicated a role of the nuclear-localised AtPARP3 in DNA repair during germination. Accordingly, stored parp3-1 mutant seeds lacking AtPARP3 expression displayed a delay in germination as compared to Col-0 wild-type seeds. A controlled deterioration test showed that the mutant seeds were hypersensitive to unfavourable storage conditions. The results demonstrate that AtPARP3 is an important component of seed storability and viability.","container-title":"Plant Biology (Stuttgart, Germany)","DOI":"10.1111/plb.12167","ISSN":"1438-8677","issue":"6","journalAbbreviation":"Plant Biol (Stuttg)","language":"eng","note":"PMID: 24533577","page":"1058-1064","source":"PubMed","title":"The nuclear protein Poly(ADP-ribose) polymerase 3 (AtPARP3) is required for seed storability in Arabidopsis thaliana","volume":"16","author":[{"family":"Rissel","given":"D."},{"family":"Losch","given":"J."},{"family":"Peiter","given":"E."}],"issued":{"date-parts":[["2014",11]]}},"locator":"3"}],"schema":"https://github.com/citation-style-language/schema/raw/master/csl-citation.json"} </w:instrText>
      </w:r>
      <w:r w:rsidRPr="00107040">
        <w:rPr>
          <w:sz w:val="28"/>
          <w:szCs w:val="28"/>
          <w:lang w:val="ru-RU"/>
        </w:rPr>
        <w:fldChar w:fldCharType="separate"/>
      </w:r>
      <w:r w:rsidRPr="00107040">
        <w:rPr>
          <w:sz w:val="28"/>
          <w:szCs w:val="28"/>
          <w:lang w:val="ru-RU"/>
        </w:rPr>
        <w:t>[342]</w:t>
      </w:r>
      <w:r w:rsidRPr="00107040">
        <w:rPr>
          <w:sz w:val="28"/>
          <w:szCs w:val="28"/>
          <w:lang w:val="ru-RU"/>
        </w:rPr>
        <w:fldChar w:fldCharType="end"/>
      </w:r>
      <w:r w:rsidRPr="00107040">
        <w:rPr>
          <w:sz w:val="28"/>
          <w:szCs w:val="28"/>
          <w:lang w:val="ru-RU"/>
        </w:rPr>
        <w:t xml:space="preserve">. Аналогичный паттерн экспрессии был также обнаружен для ортолога </w:t>
      </w:r>
      <w:r w:rsidRPr="00107040">
        <w:rPr>
          <w:sz w:val="28"/>
          <w:szCs w:val="28"/>
        </w:rPr>
        <w:t>PARP</w:t>
      </w:r>
      <w:r w:rsidRPr="00107040">
        <w:rPr>
          <w:sz w:val="28"/>
          <w:szCs w:val="28"/>
          <w:lang w:val="ru-RU"/>
        </w:rPr>
        <w:t xml:space="preserve">3 в рисе </w:t>
      </w:r>
      <w:r w:rsidRPr="00107040">
        <w:rPr>
          <w:sz w:val="28"/>
          <w:szCs w:val="28"/>
          <w:lang w:val="ru-RU"/>
        </w:rPr>
        <w:fldChar w:fldCharType="begin"/>
      </w:r>
      <w:r w:rsidR="008611DC">
        <w:rPr>
          <w:sz w:val="28"/>
          <w:szCs w:val="28"/>
          <w:lang w:val="ru-RU"/>
        </w:rPr>
        <w:instrText xml:space="preserve"> ADDIN ZOTERO_ITEM CSL_CITATION {"citationID":"aa7l297uan","properties":{"formattedCitation":"[344]","plainCitation":"[344]","noteIndex":0},"citationItems":[{"id":1682,"uris":["http://zotero.org/users/9078202/items/WGW2T6XX"],"itemData":{"id":1682,"type":"article-journal","abstract":"Transcriptome and metabolite profiling of rice (Oryza sativa) embryo tissue during a detailed time course formed a foundation for examining transcriptional and posttranscriptional processes during germination. One hour after imbibition (HAI), independent of changes in transcript levels, rapid changes in metabolism occurred, including increases in hexose phosphates, tricarboxylic acid cycle intermediates, and γ-aminobutyric acid. Later changes in the metabolome, including those involved in carbohydrate, amino acid, and cell wall metabolism, appeared to be driven by increases in transcript levels, given that the large group (over 6,000 transcripts) observed to increase from 12 HAI were enriched in metabolic functional categories. Analysis of transcripts encoding proteins located in the organelles of primary metabolism revealed that for the mitochondrial gene set, a greater proportion of transcripts peaked early, at 1 or 3 HAI, compared with the plastid set, and notably, many of these transcripts encoded proteins involved in transport functions. One group of over 2,000 transcripts displayed a unique expression pattern beginning with low levels in dry seeds, followed by a peak in expression levels at 1 or 3 HAI, before markedly declining at later time points. This group was enriched in transcription factors and signal transduction components. A subset of these transiently expressed transcription factors were further interrogated across publicly available rice array data, indicating that some were only expressed during the germination process. Analysis of the 1-kb upstream regions of transcripts displaying similar changes in abundance identified a variety of common sequence motifs, potential binding sites for transcription factors. Additionally, newly synthesized transcripts peaking at 3 HAI displayed a significant enrichment of sequence elements in the 3′ untranslated region that have been previously associated with RNA instability. Overall, these analyses reveal that during rice germination, an immediate change in some metabolite levels is followed by a two-step, large-scale rearrangement of the transcriptome that is mediated by RNA synthesis and degradation and is accompanied by later changes in metabolite levels.","container-title":"Plant Physiology","DOI":"10.1104/pp.108.129874","ISSN":"0032-0889","issue":"2","journalAbbreviation":"Plant Physiology","page":"961-980","source":"Silverchair","title":"Mapping Metabolic and Transcript Temporal Switches during Germination in Rice Highlights Specific Transcription Factors and the Role of RNA Instability in the Germination Process","URL":"https://doi.org/10.1104/pp.108.129874","volume":"149","author":[{"family":"Howell","given":"Katharine A."},{"family":"Narsai","given":"Reena"},{"family":"Carroll","given":"Adam"},{"family":"Ivanova","given":"Aneta"},{"family":"Lohse","given":"Marc"},{"family":"Usadel","given":"Björn"},{"family":"Millar","given":"A. Harvey"},{"family":"Whelan","given":"James"}],"accessed":{"date-parts":[["2022",9,7]]},"issued":{"date-parts":[["2009",2,1]]}}}],"schema":"https://github.com/citation-style-language/schema/raw/master/csl-citation.json"} </w:instrText>
      </w:r>
      <w:r w:rsidRPr="00107040">
        <w:rPr>
          <w:sz w:val="28"/>
          <w:szCs w:val="28"/>
          <w:lang w:val="ru-RU"/>
        </w:rPr>
        <w:fldChar w:fldCharType="separate"/>
      </w:r>
      <w:r w:rsidR="008611DC" w:rsidRPr="008611DC">
        <w:rPr>
          <w:sz w:val="28"/>
          <w:lang w:val="ru-RU"/>
        </w:rPr>
        <w:t>[344]</w:t>
      </w:r>
      <w:r w:rsidRPr="00107040">
        <w:rPr>
          <w:sz w:val="28"/>
          <w:szCs w:val="28"/>
          <w:lang w:val="ru-RU"/>
        </w:rPr>
        <w:fldChar w:fldCharType="end"/>
      </w:r>
      <w:r w:rsidRPr="00107040">
        <w:rPr>
          <w:sz w:val="28"/>
          <w:szCs w:val="28"/>
          <w:lang w:val="ru-RU"/>
        </w:rPr>
        <w:t xml:space="preserve">. Кроме того, уровни поли(АДФ-рибозы) коррелировали не с глубиной покоя семян у разных экотипов арабидопсиса, а с их чувствительностью к </w:t>
      </w:r>
      <w:r w:rsidRPr="00107040">
        <w:rPr>
          <w:sz w:val="28"/>
          <w:szCs w:val="28"/>
        </w:rPr>
        <w:t>MMS</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{"citationID":"ajlhk34b51","properties":{"formattedCitation":"[345,346]","plainCitation":"[345,346]","noteIndex":0},"citationItems":[{"id":1687,"uris":["http://zotero.org/users/9078202/items/7HF3MLUN"],"itemData":{"id":1687,"type":"article-journal","abstract":"It has been suggested that nicotinamide must be degraded during germination; however, the enzyme responsible and its physiological role have not been previously studied. We have identified an Arabidopsis gene, NIC2, that is expressed at relatively high levels in mature seed, and encodes a nicotinamidase enzyme with homology to yeast and bacterial nicotinamidases. Seed of a knockout mutant, nic2-1, had reduced nicotinamidase activity, retarded germination and impaired germination potential. nic2-1 germination was restored by after-ripening or moist chilling, but remained hypersensitive to application of nicotinamide or ABA. Nicotinamide is a known inhibitor of NAD-degrading poly(ADP-ribose) polymerases (PARP enzymes) that are implicated in DNA repair. We found reduced poly(ADP)ribosylation levels in nic2-1 seed, which were restored by moist chilling. Furthermore, nic2-1 seed had elevated levels of NAD, and germination was hypersensitive to methyl methanesulphonate (MMS), suggesting that PARP activity and DNA repair responses were impaired. We suggest that nicotinamide is normally metabolized by NIC2 during moist chilling or after-ripening, which relieves inhibition of PARP activity and allows DNA repair to occur prior to germination.","container-title":"The Plant Journal: For Cell and Molecular Biology","DOI":"10.1111/j.1365-313X.2007.03151.x","ISSN":"0960-7412","issue":"3","journalAbbreviation":"Plant J","language":"eng","note":"PMID: 17587307","page":"341-351","source":"PubMed","title":"Nicotinamidase activity is important for germination","volume":"51","author":[{"family":"Hunt","given":"Lee"},{"family":"Holdsworth","given":"Michael J."},{"family":"Gray","given":"Julie E."}],"issued":{"date-parts":[["2007",8]]}}},{"id":1689,"uris":["http://zotero.org/users/9078202/items/I4WMTEWC"],"itemData":{"id":1689,"type":"article-journal","abstract":"To investigate the proposed role for NAD metabolism in regulating seed dormancy, NAD metabolites and associated enzyme activities were analysed in seed of Arabidopsis thaliana ecotypes ranging from Col-0, which has low seed dormancy, to Cvi, which is highly dormant. Seed poly(ADP-ribosyl)ation levels did not correlate well with the depth of seed dormancy but did correlate with the sensitivity of germination to the DNA damaging agent MMS. Cvi seed had relatively high NAD and low NADP levels compared with the less dormant ecotypes and the NAD : NADP ratios correlated well with dormancy. The activity of NAD kinase was relatively low, and NADP phosphatase was relatively high in dormant Cvi seed, indicating that these enzymes may be involved in controlling the NAD : NADP ratio. Dormant fresh Cvi and nondormant after-ripened Cvi seeds were used to investigate further. Measurement of reduced and oxidised pyridine nucleotides indicated that breaking of dormancy was associated with a reduction in NAD levels but not with an increase in NADP levels. It is proposed that poly(ADP-ribose) polymerase is involved in protecting the seed from genotoxic stress, whereas the level of NAD affects the depth of dormancy, perhaps by enhancing abscisic acid (ABA) synthesis.","container-title":"The New Phytologist","DOI":"10.1111/j.1469-8137.2008.02641.x","ISSN":"1469-8137","issue":"1","journalAbbreviation":"New Phytol","language":"eng","note":"PMID: 18826484","page":"62-70","source":"PubMed","title":"The relationship between pyridine nucleotides and seed dormancy","volume":"181","author":[{"family":"Hunt","given":"Lee"},{"family":"Gray","given":"Julie E."}],"issued":{"date-parts":[["2009"]]}}}],"schema":"https://github.com/citation-style-language/schema/raw/master/csl-citation.json"} </w:instrText>
      </w:r>
      <w:r w:rsidRPr="00107040">
        <w:rPr>
          <w:sz w:val="28"/>
          <w:szCs w:val="28"/>
          <w:lang w:val="ru-RU"/>
        </w:rPr>
        <w:fldChar w:fldCharType="separate"/>
      </w:r>
      <w:r w:rsidR="008611DC" w:rsidRPr="008611DC">
        <w:rPr>
          <w:sz w:val="28"/>
          <w:lang w:val="ru-RU"/>
        </w:rPr>
        <w:t>[345,346]</w:t>
      </w:r>
      <w:r w:rsidRPr="00107040">
        <w:rPr>
          <w:sz w:val="28"/>
          <w:szCs w:val="28"/>
          <w:lang w:val="ru-RU"/>
        </w:rPr>
        <w:fldChar w:fldCharType="end"/>
      </w:r>
      <w:r w:rsidRPr="00107040">
        <w:rPr>
          <w:sz w:val="28"/>
          <w:szCs w:val="28"/>
          <w:lang w:val="ru-RU"/>
        </w:rPr>
        <w:t>.</w:t>
      </w:r>
      <w:r w:rsidRPr="00107040">
        <w:rPr>
          <w:sz w:val="28"/>
          <w:szCs w:val="28"/>
          <w:lang w:val="kk-KZ"/>
        </w:rPr>
        <w:t xml:space="preserve"> Следовательно, предполагалось, что AtPARP3 участвует в защите зародыша растения от повреждения ДНК в семени. Это мнение подтверждается данными о том, что активность промотора AtPARP3 совпадает с накоплением активных форм кислорода (АФК) в эмбрионе и что семена мутантов </w:t>
      </w:r>
      <w:r w:rsidRPr="00107040">
        <w:rPr>
          <w:i/>
          <w:sz w:val="28"/>
          <w:szCs w:val="28"/>
          <w:lang w:val="kk-KZ"/>
        </w:rPr>
        <w:t>parp3</w:t>
      </w:r>
      <w:r w:rsidRPr="00107040">
        <w:rPr>
          <w:sz w:val="28"/>
          <w:szCs w:val="28"/>
          <w:lang w:val="kk-KZ"/>
        </w:rPr>
        <w:t xml:space="preserve"> теряют жизнеспособность при длительном хранении или искусственном старении, что указывает на роль AtPARP3 в индуцированном АФК ответе на повреждении ДНК во время хранения семян и прорастания </w:t>
      </w:r>
      <w:r w:rsidRPr="00107040">
        <w:rPr>
          <w:sz w:val="28"/>
          <w:szCs w:val="28"/>
          <w:lang w:val="kk-KZ"/>
        </w:rPr>
        <w:fldChar w:fldCharType="begin"/>
      </w:r>
      <w:r w:rsidR="00FB5E68">
        <w:rPr>
          <w:sz w:val="28"/>
          <w:szCs w:val="28"/>
          <w:lang w:val="kk-KZ"/>
        </w:rPr>
        <w:instrText xml:space="preserve"> ADDIN ZOTERO_ITEM CSL_CITATION {"citationID":"eDnh5GM9","properties":{"formattedCitation":"[324,347]","plainCitation":"[324,347]","noteIndex":0},"citationItems":[{"id":"MPjqK5ng/9HXO2hDs","uris":["http://zotero.org/users/9078202/items/NYAP7I89"],"itemData":{"id":258,"type":"article-journal","abstract":"The deterioration of seeds during prolonged storage results in a reduction of viability and germination rate. DNA damage is one of the major cellular defects associated with seed deterioration. It is provoked by the formation of reactive oxygen species (ROS) even in the quiescent state of the desiccated seed. In contrast to other stages of seed life, DNA repair during storage is hindered through the low seed water content; thereby DNA lesions can accumulate. To allow subsequent seedling development, DNA repair has thus to be initiated immediately upon imbibition. Poly(ADP-ribose) polymerases (PARPs) are important components in the DNA damage response in humans. Arabidopsis thaliana contains three homologues to the human HsPARP1 protein. Of these three, only AtPARP3 was very highly expressed in seeds. Histochemical GUS staining of embryos and endosperm layers revealed strong promoter activity of AtPARP3 during all steps of germination. This coincided with high ROS activity and indicated a role of the nuclear-localised AtPARP3 in DNA repair during germination. Accordingly, stored parp3-1 mutant seeds lacking AtPARP3 expression displayed a delay in germination as compared to Col-0 wild-type seeds. A controlled deterioration test showed that the mutant seeds were hypersensitive to unfavourable storage conditions. The results demonstrate that AtPARP3 is an important component of seed storability and viability.","container-title":"Plant Biology (Stuttgart, Germany)","DOI":"10.1111/plb.12167","ISSN":"1438-8677","issue":"6","journalAbbreviation":"Plant Biol (Stuttg)","language":"eng","note":"PMID: 24533577","page":"1058-1064","source":"PubMed","title":"The nuclear protein Poly(ADP-ribose) polymerase 3 (AtPARP3) is required for seed storability in Arabidopsis thaliana","volume":"16","author":[{"family":"Rissel","given":"D."},{"family":"Losch","given":"J."},{"family":"Peiter","given":"E."}],"issued":{"date-parts":[["2014",11]]}}},{"id":1931,"uris":["http://zotero.org/users/9078202/items/HK2RZFBF"],"itemData":{"id":1931,"type":"article-journal","abstract":"Mature seeds are an ultimate physiological status that enables plants to endure extreme conditions such as high and low temperature, freezing and desiccation. Seed longevity, the period over which seed remains viable, is an important trait not only for plant adaptation to changing environments, but also, for example, for agriculture and conservation of biodiversity. Reduction of seed longevity is often associated with oxidation of cellular macromolecules such as nucleic acids, proteins and lipids. Seeds possess two main strategies to combat these stressful conditions: protection and repair. The protective mechanism includes the formation of glassy cytoplasm to reduce cellular metabolic activities and the production of antioxidants that prevent accumulation of oxidized macromolecules during seed storage. The repair system removes damage accumulated in DNA, RNA and proteins upon seed imbibition through enzymes such as DNA glycosylase and methionine sulfoxide reductase. In addition to longevity, dormancy is also an important adaptive trait that contributes to seed lifespan. Studies in Arabidopsis have shown that the seed-specific transcription factor ABSCISIC ACID-INSENSITIVE3 (ABI3) plays a central role in ABA-mediated seed dormancy and longevity. Seed longevity largely relies on the viability of embryos. Nevertheless, characterization of mutants with altered seed coat structure and constituents has demonstrated that although the maternally derived cell layers surrounding the embryos are dead, they have a significant impact on longevity.","container-title":"Plant &amp; Cell Physiology","DOI":"10.1093/pcp/pcv186","ISSN":"1471-9053","issue":"4","journalAbbreviation":"Plant Cell Physiol","language":"eng","note":"PMID: 26637538","page":"660-674","source":"PubMed","title":"Staying Alive: Molecular Aspects of Seed Longevity","title-short":"Staying Alive","volume":"57","author":[{"family":"Sano","given":"Naoto"},{"family":"Rajjou","given":"Loïc"},{"family":"North","given":"Helen M."},{"family":"Debeaujon","given":"Isabelle"},{"family":"Marion-Poll","given":"Annie"},{"family":"Seo","given":"Mitsunori"}],"issued":{"date-parts":[["2016",4]]}}}],"schema":"https://github.com/citation-style-language/schema/raw/master/csl-citation.json"} </w:instrText>
      </w:r>
      <w:r w:rsidRPr="00107040">
        <w:rPr>
          <w:sz w:val="28"/>
          <w:szCs w:val="28"/>
          <w:lang w:val="kk-KZ"/>
        </w:rPr>
        <w:fldChar w:fldCharType="separate"/>
      </w:r>
      <w:r w:rsidR="008611DC" w:rsidRPr="008611DC">
        <w:rPr>
          <w:sz w:val="28"/>
          <w:lang w:val="kk-KZ"/>
        </w:rPr>
        <w:t>[324,347]</w:t>
      </w:r>
      <w:r w:rsidRPr="00107040">
        <w:rPr>
          <w:sz w:val="28"/>
          <w:szCs w:val="28"/>
          <w:lang w:val="kk-KZ"/>
        </w:rPr>
        <w:fldChar w:fldCharType="end"/>
      </w:r>
      <w:r w:rsidRPr="00107040">
        <w:rPr>
          <w:sz w:val="28"/>
          <w:szCs w:val="28"/>
          <w:lang w:val="kk-KZ"/>
        </w:rPr>
        <w:t xml:space="preserve">. Поиски в базе данных показывают наличие последовательностей, гомологичных AtPARP3, у других видов растений, таких как </w:t>
      </w:r>
      <w:r w:rsidRPr="00107040">
        <w:rPr>
          <w:i/>
          <w:sz w:val="28"/>
          <w:szCs w:val="28"/>
          <w:lang w:val="kk-KZ"/>
        </w:rPr>
        <w:t>Populus trichocarpa</w:t>
      </w:r>
      <w:r w:rsidRPr="00107040">
        <w:rPr>
          <w:sz w:val="28"/>
          <w:szCs w:val="28"/>
          <w:lang w:val="kk-KZ"/>
        </w:rPr>
        <w:t xml:space="preserve">, </w:t>
      </w:r>
      <w:r w:rsidRPr="00107040">
        <w:rPr>
          <w:i/>
          <w:sz w:val="28"/>
          <w:szCs w:val="28"/>
          <w:lang w:val="kk-KZ"/>
        </w:rPr>
        <w:t>Physcomitrella patens</w:t>
      </w:r>
      <w:r w:rsidRPr="00107040">
        <w:rPr>
          <w:sz w:val="28"/>
          <w:szCs w:val="28"/>
          <w:lang w:val="kk-KZ"/>
        </w:rPr>
        <w:t xml:space="preserve">, </w:t>
      </w:r>
      <w:r w:rsidRPr="00107040">
        <w:rPr>
          <w:i/>
          <w:sz w:val="28"/>
          <w:szCs w:val="28"/>
          <w:lang w:val="kk-KZ"/>
        </w:rPr>
        <w:t>Oryza sativa</w:t>
      </w:r>
      <w:r w:rsidRPr="00107040">
        <w:rPr>
          <w:sz w:val="28"/>
          <w:szCs w:val="28"/>
          <w:lang w:val="kk-KZ"/>
        </w:rPr>
        <w:t xml:space="preserve">, </w:t>
      </w:r>
      <w:r w:rsidRPr="00107040">
        <w:rPr>
          <w:i/>
          <w:sz w:val="28"/>
          <w:szCs w:val="28"/>
          <w:lang w:val="kk-KZ"/>
        </w:rPr>
        <w:t>Brachypodium distachyon</w:t>
      </w:r>
      <w:r w:rsidRPr="00107040">
        <w:rPr>
          <w:sz w:val="28"/>
          <w:szCs w:val="28"/>
          <w:lang w:val="kk-KZ"/>
        </w:rPr>
        <w:t xml:space="preserve">, </w:t>
      </w:r>
      <w:r w:rsidRPr="00107040">
        <w:rPr>
          <w:i/>
          <w:sz w:val="28"/>
          <w:szCs w:val="28"/>
          <w:lang w:val="kk-KZ"/>
        </w:rPr>
        <w:t>Sorghum bicolor</w:t>
      </w:r>
      <w:r w:rsidRPr="00107040">
        <w:rPr>
          <w:sz w:val="28"/>
          <w:szCs w:val="28"/>
          <w:lang w:val="kk-KZ"/>
        </w:rPr>
        <w:t xml:space="preserve">, </w:t>
      </w:r>
      <w:r w:rsidRPr="00107040">
        <w:rPr>
          <w:i/>
          <w:sz w:val="28"/>
          <w:szCs w:val="28"/>
          <w:lang w:val="kk-KZ"/>
        </w:rPr>
        <w:t>Zea mays</w:t>
      </w:r>
      <w:r w:rsidRPr="00107040">
        <w:rPr>
          <w:sz w:val="28"/>
          <w:szCs w:val="28"/>
          <w:lang w:val="kk-KZ"/>
        </w:rPr>
        <w:t xml:space="preserve"> и </w:t>
      </w:r>
      <w:r w:rsidRPr="00107040">
        <w:rPr>
          <w:i/>
          <w:sz w:val="28"/>
          <w:szCs w:val="28"/>
          <w:lang w:val="kk-KZ"/>
        </w:rPr>
        <w:t>Hordeum vulgare</w:t>
      </w:r>
      <w:r w:rsidRPr="00107040">
        <w:rPr>
          <w:sz w:val="28"/>
          <w:szCs w:val="28"/>
          <w:lang w:val="kk-KZ"/>
        </w:rPr>
        <w:t xml:space="preserve"> </w:t>
      </w:r>
      <w:r w:rsidRPr="00107040">
        <w:rPr>
          <w:sz w:val="28"/>
          <w:szCs w:val="28"/>
          <w:lang w:val="kk-KZ"/>
        </w:rPr>
        <w:fldChar w:fldCharType="begin"/>
      </w:r>
      <w:r w:rsidR="00FB5E68">
        <w:rPr>
          <w:sz w:val="28"/>
          <w:szCs w:val="28"/>
          <w:lang w:val="kk-KZ"/>
        </w:rPr>
        <w:instrText xml:space="preserve"> ADDIN ZOTERO_ITEM CSL_CITATION {"citationID":"a8bb9omevv","properties":{"formattedCitation":"[324,332,344]","plainCitation":"[324,332,344]","noteIndex":0},"citationItems":[{"id":"MPjqK5ng/9HXO2hDs","uris":["http://zotero.org/users/9078202/items/NYAP7I89"],"itemData":{"id":258,"type":"article-journal","abstract":"The deterioration of seeds during prolonged storage results in a reduction of viability and germination rate. DNA damage is one of the major cellular defects associated with seed deterioration. It is provoked by the formation of reactive oxygen species (ROS) even in the quiescent state of the desiccated seed. In contrast to other stages of seed life, DNA repair during storage is hindered through the low seed water content; thereby DNA lesions can accumulate. To allow subsequent seedling development, DNA repair has thus to be initiated immediately upon imbibition. Poly(ADP-ribose) polymerases (PARPs) are important components in the DNA damage response in humans. Arabidopsis thaliana contains three homologues to the human HsPARP1 protein. Of these three, only AtPARP3 was very highly expressed in seeds. Histochemical GUS staining of embryos and endosperm layers revealed strong promoter activity of AtPARP3 during all steps of germination. This coincided with high ROS activity and indicated a role of the nuclear-localised AtPARP3 in DNA repair during germination. Accordingly, stored parp3-1 mutant seeds lacking AtPARP3 expression displayed a delay in germination as compared to Col-0 wild-type seeds. A controlled deterioration test showed that the mutant seeds were hypersensitive to unfavourable storage conditions. The results demonstrate that AtPARP3 is an important component of seed storability and viability.","container-title":"Plant Biology (Stuttgart, Germany)","DOI":"10.1111/plb.12167","ISSN":"1438-8677","issue":"6","journalAbbreviation":"Plant Biol (Stuttg)","language":"eng","note":"PMID: 24533577","page":"1058-1064","source":"PubMed","title":"The nuclear protein Poly(ADP-ribose) polymerase 3 (AtPARP3) is required for seed storability in Arabidopsis thaliana","volume":"16","author":[{"family":"Rissel","given":"D."},{"family":"Losch","given":"J."},{"family":"Peiter","given":"E."}],"issued":{"date-parts":[["2014",11]]}}},{"id":1645,"uris":["http://zotero.org/users/9078202/items/2VEELFJ4"],"itemData":{"id":1645,"type":"article-journal","abstract":"Genome integrity is constantly challenged by endo- and exogenous DNA-damaging factors. The influence of genotoxic agents causes an accumulation of DNA lesions, which if not repaired, become mutations that can cause various abnormalities in a cell metabolism. The main pathway of DSB repair, which is based on non-homologous recombination, is canonical non-homologous end joining (C-NHEJ). It has been shown that this mechanism is highly conserved in both Pro- and Eukaryotes. The mechanisms that underlie DSB repair through C-NHEJ have mainly been investigated in mammalian systems, and therefore our knowledge about this process is much more limited as far as plants, and crop plants in particular, are concerned. Recent studies have demonstrated that PARP3 is an important response factor to the presence of DSB in a genome. The aims of this study were to identify the sequence of the barley PARP3 gene, to perform a mutational analysis of the sequence that was identified using the TILLING (Targeting Induced Local Lesions IN Genomes) method and to phenotype the mutants that were identified through their exposure to mutagenic treatment with the DSB-inducing chemical--bleomycin. A functional analysis led to the identification of a series of parp3 alleles. The mutants were characterized using several different approaches, including quantifying the DSB and γH2AX foci, which validated the function of the HvPARP3 gene in DSB repair in barley. The potential involvement of the HvPARP3 gene in the regulation of telomere length in barley was also analyzed.","container-title":"DNA repair","DOI":"10.1016/j.dnarep.2015.02.018","ISSN":"1568-7856","journalAbbreviation":"DNA Repair (Amst)","language":"eng","note":"PMID: 25753810","page":"116-130","source":"PubMed","title":"Alleles of newly identified barley gene HvPARP3 exhibit changes in efficiency of DNA repair","volume":"28","author":[{"family":"Stolarek","given":"Magdalena"},{"family":"Gruszka","given":"Damian"},{"family":"Braszewska-Zalewska","given":"Agnieszka"},{"family":"Maluszynski","given":"Miroslaw"}],"issued":{"date-parts":[["2015",4]]}}},{"id":1682,"uris":["http://zotero.org/users/9078202/items/WGW2T6XX"],"itemData":{"id":1682,"type":"article-journal","abstract":"Transcriptome and metabolite profiling of rice (Oryza sativa) embryo tissue during a detailed time course formed a foundation for examining transcriptional and posttranscriptional processes during germination. One hour after imbibition (HAI), independent of changes in transcript levels, rapid changes in metabolism occurred, including increases in hexose phosphates, tricarboxylic acid cycle intermediates, and γ-aminobutyric acid. Later changes in the metabolome, including those involved in carbohydrate, amino acid, and cell wall metabolism, appeared to be driven by increases in transcript levels, given that the large group (over 6,000 transcripts) observed to increase from 12 HAI were enriched in metabolic functional categories. Analysis of transcripts encoding proteins located in the organelles of primary metabolism revealed that for the mitochondrial gene set, a greater proportion of transcripts peaked early, at 1 or 3 HAI, compared with the plastid set, and notably, many of these transcripts encoded proteins involved in transport functions. One group of over 2,000 transcripts displayed a unique expression pattern beginning with low levels in dry seeds, followed by a peak in expression levels at 1 or 3 HAI, before markedly declining at later time points. This group was enriched in transcription factors and signal transduction components. A subset of these transiently expressed transcription factors were further interrogated across publicly available rice array data, indicating that some were only expressed during the germination process. Analysis of the 1-kb upstream regions of transcripts displaying similar changes in abundance identified a variety of common sequence motifs, potential binding sites for transcription factors. Additionally, newly synthesized transcripts peaking at 3 HAI displayed a significant enrichment of sequence elements in the 3′ untranslated region that have been previously associated with RNA instability. Overall, these analyses reveal that during rice germination, an immediate change in some metabolite levels is followed by a two-step, large-scale rearrangement of the transcriptome that is mediated by RNA synthesis and degradation and is accompanied by later changes in metabolite levels.","container-title":"Plant Physiology","DOI":"10.1104/pp.108.129874","ISSN":"0032-0889","issue":"2","journalAbbreviation":"Plant Physiology","page":"961-980","source":"Silverchair","title":"Mapping Metabolic and Transcript Temporal Switches during Germination in Rice Highlights Specific Transcription Factors and the Role of RNA Instability in the Germination Process","URL":"https://doi.org/10.1104/pp.108.129874","volume":"149","author":[{"family":"Howell","given":"Katharine A."},{"family":"Narsai","given":"Reena"},{"family":"Carroll","given":"Adam"},{"family":"Ivanova","given":"Aneta"},{"family":"Lohse","given":"Marc"},{"family":"Usadel","given":"Björn"},{"family":"Millar","given":"A. Harvey"},{"family":"Whelan","given":"James"}],"accessed":{"date-parts":[["2022",9,7]]},"issued":{"date-parts":[["2009",2,1]]}}}],"schema":"https://github.com/citation-style-language/schema/raw/master/csl-citation.json"} </w:instrText>
      </w:r>
      <w:r w:rsidRPr="00107040">
        <w:rPr>
          <w:sz w:val="28"/>
          <w:szCs w:val="28"/>
          <w:lang w:val="kk-KZ"/>
        </w:rPr>
        <w:fldChar w:fldCharType="separate"/>
      </w:r>
      <w:r w:rsidR="008611DC" w:rsidRPr="008611DC">
        <w:rPr>
          <w:sz w:val="28"/>
          <w:lang w:val="ru-RU"/>
        </w:rPr>
        <w:t>[324,332,344]</w:t>
      </w:r>
      <w:r w:rsidRPr="00107040">
        <w:rPr>
          <w:sz w:val="28"/>
          <w:szCs w:val="28"/>
          <w:lang w:val="kk-KZ"/>
        </w:rPr>
        <w:fldChar w:fldCharType="end"/>
      </w:r>
      <w:r w:rsidRPr="00107040">
        <w:rPr>
          <w:sz w:val="28"/>
          <w:szCs w:val="28"/>
          <w:lang w:val="kk-KZ"/>
        </w:rPr>
        <w:t xml:space="preserve">. Это приводит к выводу, что защитная роль PARP3 может сохраняться во всем царстве растений. </w:t>
      </w:r>
    </w:p>
    <w:p w14:paraId="53C7DCE2" w14:textId="2989659A"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t xml:space="preserve">Активность </w:t>
      </w:r>
      <w:r w:rsidRPr="00107040">
        <w:rPr>
          <w:sz w:val="28"/>
          <w:szCs w:val="28"/>
        </w:rPr>
        <w:t>PARP</w:t>
      </w:r>
      <w:r w:rsidRPr="00107040">
        <w:rPr>
          <w:sz w:val="28"/>
          <w:szCs w:val="28"/>
          <w:lang w:val="ru-RU"/>
        </w:rPr>
        <w:t xml:space="preserve"> приводит к образованию ингибитора обратной связи никотинамида в качестве побочного продукта </w:t>
      </w:r>
      <w:r w:rsidRPr="00107040">
        <w:rPr>
          <w:sz w:val="28"/>
          <w:szCs w:val="28"/>
          <w:lang w:val="ru-RU"/>
        </w:rPr>
        <w:fldChar w:fldCharType="begin"/>
      </w:r>
      <w:r w:rsidR="008611DC">
        <w:rPr>
          <w:sz w:val="28"/>
          <w:szCs w:val="28"/>
          <w:lang w:val="ru-RU"/>
        </w:rPr>
        <w:instrText xml:space="preserve"> ADDIN ZOTERO_ITEM CSL_CITATION {"citationID":"an77rfsrhq","properties":{"formattedCitation":"[348]","plainCitation":"[348]","noteIndex":0},"citationItems":[{"id":1696,"uris":["http://zotero.org/users/9078202/items/6EVP5FIH"],"itemData":{"id":1696,"type":"article-journal","abstract":"Many metabolic processes that occur in living cells involve oxidation-reduction (redox) chemistry underpinned by compounds, such as glutathione, ascorbate, and/or pyridine nucleotides. Among these redox carriers, nicotinamide adenine dinucleotide (NAD+) represents one of the cornerstones of cellular oxidation and is essential for plant growth and development. In addition to its redox role, compelling evidence of a role for NAD+ as a signal molecule in plants is emerging. In non-plant systems, NAD+ biosynthesis can be the product of two independent pathways—the de novo and the salvage pathway. Despite the fact that homologous plant genes exist for the composite enzymes of most, if not all, of these pathways research into plant NAD+ biosynthesis per se has lagged behind that of microbial and mammalian systems. Indeed, much plant work has been focused on additional roles of the composite enzymes in processes, such as DNA repair or post-translational modification of proteins. That said, in recent years, a number of studies, mostly in Arabidopsis, have been carried out in order to fill this knowledge gap. Therefore, in this review, we intend to present a synthesis of such molecular genetic studies as well as biochemical analyses that have begun to elucidate the regulatory hierarchies both of NAD+ biosynthesis and the parallel activities of the enzymes that are involved in these pathways.","container-title":"Critical Reviews in Plant Sciences","DOI":"10.1080/07352689.2018.1505591","ISSN":"0735-2689","issue":"4","note":"publisher: Taylor &amp; Francis\n_eprint: https://doi.org/10.1080/07352689.2018.1505591","page":"259-307","source":"Taylor and Francis+NEJM","title":"NAD+ Biosynthesis and Signaling in Plants","URL":"https://doi.org/10.1080/07352689.2018.1505591","volume":"37","author":[{"family":"Gakière","given":"Bertrand"},{"family":"Hao","given":"Jingfang"},{"family":"Bont","given":"Linda","non-dropping-particle":"de"},{"family":"Pétriacq","given":"Pierre"},{"family":"Nunes-Nesi","given":"Adriano"},{"family":"Fernie","given":"Alisdair R."}],"accessed":{"date-parts":[["2022",9,7]]},"issued":{"date-parts":[["2018",7,4]]}}}],"schema":"https://github.com/citation-style-language/schema/raw/master/csl-citation.json"} </w:instrText>
      </w:r>
      <w:r w:rsidRPr="00107040">
        <w:rPr>
          <w:sz w:val="28"/>
          <w:szCs w:val="28"/>
          <w:lang w:val="ru-RU"/>
        </w:rPr>
        <w:fldChar w:fldCharType="separate"/>
      </w:r>
      <w:r w:rsidR="008611DC" w:rsidRPr="008611DC">
        <w:rPr>
          <w:sz w:val="28"/>
          <w:lang w:val="ru-RU"/>
        </w:rPr>
        <w:t>[348]</w:t>
      </w:r>
      <w:r w:rsidRPr="00107040">
        <w:rPr>
          <w:sz w:val="28"/>
          <w:szCs w:val="28"/>
          <w:lang w:val="ru-RU"/>
        </w:rPr>
        <w:fldChar w:fldCharType="end"/>
      </w:r>
      <w:r w:rsidRPr="00107040">
        <w:rPr>
          <w:sz w:val="28"/>
          <w:szCs w:val="28"/>
          <w:lang w:val="ru-RU"/>
        </w:rPr>
        <w:t>. Никотинамидазы превращают никотинамид в никотинат, который далее метаболизируется обратно в НАД</w:t>
      </w:r>
      <w:r w:rsidRPr="00107040">
        <w:rPr>
          <w:sz w:val="28"/>
          <w:szCs w:val="28"/>
          <w:vertAlign w:val="superscript"/>
          <w:lang w:val="ru-RU"/>
        </w:rPr>
        <w:t>+</w:t>
      </w:r>
      <w:r w:rsidRPr="00107040">
        <w:rPr>
          <w:sz w:val="28"/>
          <w:szCs w:val="28"/>
          <w:lang w:val="ru-RU"/>
        </w:rPr>
        <w:t xml:space="preserve"> в </w:t>
      </w:r>
      <w:r w:rsidRPr="00107040">
        <w:rPr>
          <w:sz w:val="28"/>
          <w:szCs w:val="28"/>
          <w:lang w:val="kk-KZ"/>
        </w:rPr>
        <w:t xml:space="preserve">спасательном </w:t>
      </w:r>
      <w:r w:rsidRPr="00107040">
        <w:rPr>
          <w:sz w:val="28"/>
          <w:szCs w:val="28"/>
          <w:lang w:val="ru-RU"/>
        </w:rPr>
        <w:t xml:space="preserve">пути </w:t>
      </w:r>
      <w:r w:rsidRPr="00107040">
        <w:rPr>
          <w:sz w:val="28"/>
          <w:szCs w:val="28"/>
          <w:lang w:val="ru-RU"/>
        </w:rPr>
        <w:fldChar w:fldCharType="begin"/>
      </w:r>
      <w:r w:rsidR="008611DC">
        <w:rPr>
          <w:sz w:val="28"/>
          <w:szCs w:val="28"/>
          <w:lang w:val="ru-RU"/>
        </w:rPr>
        <w:instrText xml:space="preserve"> ADDIN ZOTERO_ITEM CSL_CITATION {"citationID":"a1sou419aha","properties":{"formattedCitation":"[348]","plainCitation":"[348]","noteIndex":0},"citationItems":[{"id":1696,"uris":["http://zotero.org/users/9078202/items/6EVP5FIH"],"itemData":{"id":1696,"type":"article-journal","abstract":"Many metabolic processes that occur in living cells involve oxidation-reduction (redox) chemistry underpinned by compounds, such as glutathione, ascorbate, and/or pyridine nucleotides. Among these redox carriers, nicotinamide adenine dinucleotide (NAD+) represents one of the cornerstones of cellular oxidation and is essential for plant growth and development. In addition to its redox role, compelling evidence of a role for NAD+ as a signal molecule in plants is emerging. In non-plant systems, NAD+ biosynthesis can be the product of two independent pathways—the de novo and the salvage pathway. Despite the fact that homologous plant genes exist for the composite enzymes of most, if not all, of these pathways research into plant NAD+ biosynthesis per se has lagged behind that of microbial and mammalian systems. Indeed, much plant work has been focused on additional roles of the composite enzymes in processes, such as DNA repair or post-translational modification of proteins. That said, in recent years, a number of studies, mostly in Arabidopsis, have been carried out in order to fill this knowledge gap. Therefore, in this review, we intend to present a synthesis of such molecular genetic studies as well as biochemical analyses that have begun to elucidate the regulatory hierarchies both of NAD+ biosynthesis and the parallel activities of the enzymes that are involved in these pathways.","container-title":"Critical Reviews in Plant Sciences","DOI":"10.1080/07352689.2018.1505591","ISSN":"0735-2689","issue":"4","note":"publisher: Taylor &amp; Francis\n_eprint: https://doi.org/10.1080/07352689.2018.1505591","page":"259-307","source":"Taylor and Francis+NEJM","title":"NAD+ Biosynthesis and Signaling in Plants","URL":"https://doi.org/10.1080/07352689.2018.1505591","volume":"37","author":[{"family":"Gakière","given":"Bertrand"},{"family":"Hao","given":"Jingfang"},{"family":"Bont","given":"Linda","non-dropping-particle":"de"},{"family":"Pétriacq","given":"Pierre"},{"family":"Nunes-Nesi","given":"Adriano"},{"family":"Fernie","given":"Alisdair R."}],"accessed":{"date-parts":[["2022",9,7]]},"issued":{"date-parts":[["2018",7,4]]}}}],"schema":"https://github.com/citation-style-language/schema/raw/master/csl-citation.json"} </w:instrText>
      </w:r>
      <w:r w:rsidRPr="00107040">
        <w:rPr>
          <w:sz w:val="28"/>
          <w:szCs w:val="28"/>
          <w:lang w:val="ru-RU"/>
        </w:rPr>
        <w:fldChar w:fldCharType="separate"/>
      </w:r>
      <w:r w:rsidR="008611DC" w:rsidRPr="008611DC">
        <w:rPr>
          <w:sz w:val="28"/>
          <w:lang w:val="ru-RU"/>
        </w:rPr>
        <w:t>[348]</w:t>
      </w:r>
      <w:r w:rsidRPr="00107040">
        <w:rPr>
          <w:sz w:val="28"/>
          <w:szCs w:val="28"/>
          <w:lang w:val="ru-RU"/>
        </w:rPr>
        <w:fldChar w:fldCharType="end"/>
      </w:r>
      <w:r w:rsidRPr="00107040">
        <w:rPr>
          <w:sz w:val="28"/>
          <w:szCs w:val="28"/>
          <w:lang w:val="ru-RU"/>
        </w:rPr>
        <w:t xml:space="preserve">. У арабидопсиса </w:t>
      </w:r>
      <w:r w:rsidRPr="00107040">
        <w:rPr>
          <w:sz w:val="28"/>
          <w:szCs w:val="28"/>
          <w:lang w:val="kk-KZ"/>
        </w:rPr>
        <w:t>шаблон</w:t>
      </w:r>
      <w:r w:rsidRPr="00107040">
        <w:rPr>
          <w:sz w:val="28"/>
          <w:szCs w:val="28"/>
          <w:lang w:val="ru-RU"/>
        </w:rPr>
        <w:t xml:space="preserve"> экспрессии </w:t>
      </w:r>
      <w:r w:rsidRPr="00107040">
        <w:rPr>
          <w:sz w:val="28"/>
          <w:szCs w:val="28"/>
        </w:rPr>
        <w:t>AtPARP</w:t>
      </w:r>
      <w:r w:rsidRPr="00107040">
        <w:rPr>
          <w:sz w:val="28"/>
          <w:szCs w:val="28"/>
          <w:lang w:val="ru-RU"/>
        </w:rPr>
        <w:t xml:space="preserve">3 коррелирует с </w:t>
      </w:r>
      <w:r w:rsidRPr="00107040">
        <w:rPr>
          <w:sz w:val="28"/>
          <w:szCs w:val="28"/>
          <w:lang w:val="kk-KZ"/>
        </w:rPr>
        <w:t>шаблоном</w:t>
      </w:r>
      <w:r w:rsidRPr="00107040">
        <w:rPr>
          <w:sz w:val="28"/>
          <w:szCs w:val="28"/>
          <w:lang w:val="ru-RU"/>
        </w:rPr>
        <w:t xml:space="preserve"> никотинамидазы 2 (</w:t>
      </w:r>
      <w:r w:rsidRPr="00107040">
        <w:rPr>
          <w:sz w:val="28"/>
          <w:szCs w:val="28"/>
        </w:rPr>
        <w:t>NIC</w:t>
      </w:r>
      <w:r w:rsidRPr="00107040">
        <w:rPr>
          <w:sz w:val="28"/>
          <w:szCs w:val="28"/>
          <w:lang w:val="ru-RU"/>
        </w:rPr>
        <w:t xml:space="preserve">2) </w:t>
      </w:r>
      <w:r w:rsidRPr="00107040">
        <w:rPr>
          <w:sz w:val="28"/>
          <w:szCs w:val="28"/>
          <w:lang w:val="ru-RU"/>
        </w:rPr>
        <w:fldChar w:fldCharType="begin"/>
      </w:r>
      <w:r w:rsidR="008611DC">
        <w:rPr>
          <w:sz w:val="28"/>
          <w:szCs w:val="28"/>
          <w:lang w:val="ru-RU"/>
        </w:rPr>
        <w:instrText xml:space="preserve"> ADDIN ZOTERO_ITEM CSL_CITATION {"citationID":"a1ri7uut53r","properties":{"formattedCitation":"[345]","plainCitation":"[345]","noteIndex":0},"citationItems":[{"id":1687,"uris":["http://zotero.org/users/9078202/items/7HF3MLUN"],"itemData":{"id":1687,"type":"article-journal","abstract":"It has been suggested that nicotinamide must be degraded during germination; however, the enzyme responsible and its physiological role have not been previously studied. We have identified an Arabidopsis gene, NIC2, that is expressed at relatively high levels in mature seed, and encodes a nicotinamidase enzyme with homology to yeast and bacterial nicotinamidases. Seed of a knockout mutant, nic2-1, had reduced nicotinamidase activity, retarded germination and impaired germination potential. nic2-1 germination was restored by after-ripening or moist chilling, but remained hypersensitive to application of nicotinamide or ABA. Nicotinamide is a known inhibitor of NAD-degrading poly(ADP-ribose) polymerases (PARP enzymes) that are implicated in DNA repair. We found reduced poly(ADP)ribosylation levels in nic2-1 seed, which were restored by moist chilling. Furthermore, nic2-1 seed had elevated levels of NAD, and germination was hypersensitive to methyl methanesulphonate (MMS), suggesting that PARP activity and DNA repair responses were impaired. We suggest that nicotinamide is normally metabolized by NIC2 during moist chilling or after-ripening, which relieves inhibition of PARP activity and allows DNA repair to occur prior to germination.","container-title":"The Plant Journal: For Cell and Molecular Biology","DOI":"10.1111/j.1365-313X.2007.03151.x","ISSN":"0960-7412","issue":"3","journalAbbreviation":"Plant J","language":"eng","note":"PMID: 17587307","page":"341-351","source":"PubMed","title":"Nicotinamidase activity is important for germination","volume":"51","author":[{"family":"Hunt","given":"Lee"},{"family":"Holdsworth","given":"Michael J."},{"family":"Gray","given":"Julie E."}],"issued":{"date-parts":[["2007",8]]}}}],"schema":"https://github.com/citation-style-language/schema/raw/master/csl-citation.json"} </w:instrText>
      </w:r>
      <w:r w:rsidRPr="00107040">
        <w:rPr>
          <w:sz w:val="28"/>
          <w:szCs w:val="28"/>
          <w:lang w:val="ru-RU"/>
        </w:rPr>
        <w:fldChar w:fldCharType="separate"/>
      </w:r>
      <w:r w:rsidR="008611DC" w:rsidRPr="008611DC">
        <w:rPr>
          <w:sz w:val="28"/>
          <w:lang w:val="ru-RU"/>
        </w:rPr>
        <w:t>[345]</w:t>
      </w:r>
      <w:r w:rsidRPr="00107040">
        <w:rPr>
          <w:sz w:val="28"/>
          <w:szCs w:val="28"/>
          <w:lang w:val="ru-RU"/>
        </w:rPr>
        <w:fldChar w:fldCharType="end"/>
      </w:r>
      <w:r w:rsidRPr="00107040">
        <w:rPr>
          <w:sz w:val="28"/>
          <w:szCs w:val="28"/>
          <w:lang w:val="ru-RU"/>
        </w:rPr>
        <w:t xml:space="preserve">. Прорастание мутантных семян </w:t>
      </w:r>
      <w:r w:rsidRPr="00107040">
        <w:rPr>
          <w:i/>
          <w:sz w:val="28"/>
          <w:szCs w:val="28"/>
        </w:rPr>
        <w:t>nic</w:t>
      </w:r>
      <w:r w:rsidRPr="00107040">
        <w:rPr>
          <w:i/>
          <w:sz w:val="28"/>
          <w:szCs w:val="28"/>
          <w:lang w:val="ru-RU"/>
        </w:rPr>
        <w:t>2</w:t>
      </w:r>
      <w:r w:rsidRPr="00107040">
        <w:rPr>
          <w:sz w:val="28"/>
          <w:szCs w:val="28"/>
          <w:lang w:val="ru-RU"/>
        </w:rPr>
        <w:t xml:space="preserve"> было гиперчувствительным к </w:t>
      </w:r>
      <w:r w:rsidRPr="00107040">
        <w:rPr>
          <w:sz w:val="28"/>
          <w:szCs w:val="28"/>
        </w:rPr>
        <w:t>MMS</w:t>
      </w:r>
      <w:r w:rsidRPr="00107040">
        <w:rPr>
          <w:sz w:val="28"/>
          <w:szCs w:val="28"/>
          <w:lang w:val="ru-RU"/>
        </w:rPr>
        <w:t xml:space="preserve">, возможно, из-за сниженных уровней поли(АДФ-рибозил)ирования, что, в свою очередь, вероятно, связано с уменьшением деградации никотинамида </w:t>
      </w:r>
      <w:r w:rsidRPr="00107040">
        <w:rPr>
          <w:sz w:val="28"/>
          <w:szCs w:val="28"/>
          <w:lang w:val="ru-RU"/>
        </w:rPr>
        <w:fldChar w:fldCharType="begin"/>
      </w:r>
      <w:r w:rsidR="008611DC">
        <w:rPr>
          <w:sz w:val="28"/>
          <w:szCs w:val="28"/>
          <w:lang w:val="ru-RU"/>
        </w:rPr>
        <w:instrText xml:space="preserve"> ADDIN ZOTERO_ITEM CSL_CITATION {"citationID":"acdh7a8ih9","properties":{"formattedCitation":"[345,346]","plainCitation":"[345,346]","noteIndex":0},"citationItems":[{"id":1687,"uris":["http://zotero.org/users/9078202/items/7HF3MLUN"],"itemData":{"id":1687,"type":"article-journal","abstract":"It has been suggested that nicotinamide must be degraded during germination; however, the enzyme responsible and its physiological role have not been previously studied. We have identified an Arabidopsis gene, NIC2, that is expressed at relatively high levels in mature seed, and encodes a nicotinamidase enzyme with homology to yeast and bacterial nicotinamidases. Seed of a knockout mutant, nic2-1, had reduced nicotinamidase activity, retarded germination and impaired germination potential. nic2-1 germination was restored by after-ripening or moist chilling, but remained hypersensitive to application of nicotinamide or ABA. Nicotinamide is a known inhibitor of NAD-degrading poly(ADP-ribose) polymerases (PARP enzymes) that are implicated in DNA repair. We found reduced poly(ADP)ribosylation levels in nic2-1 seed, which were restored by moist chilling. Furthermore, nic2-1 seed had elevated levels of NAD, and germination was hypersensitive to methyl methanesulphonate (MMS), suggesting that PARP activity and DNA repair responses were impaired. We suggest that nicotinamide is normally metabolized by NIC2 during moist chilling or after-ripening, which relieves inhibition of PARP activity and allows DNA repair to occur prior to germination.","container-title":"The Plant Journal: For Cell and Molecular Biology","DOI":"10.1111/j.1365-313X.2007.03151.x","ISSN":"0960-7412","issue":"3","journalAbbreviation":"Plant J","language":"eng","note":"PMID: 17587307","page":"341-351","source":"PubMed","title":"Nicotinamidase activity is important for germination","volume":"51","author":[{"family":"Hunt","given":"Lee"},{"family":"Holdsworth","given":"Michael J."},{"family":"Gray","given":"Julie E."}],"issued":{"date-parts":[["2007",8]]}}},{"id":1689,"uris":["http://zotero.org/users/9078202/items/I4WMTEWC"],"itemData":{"id":1689,"type":"article-journal","abstract":"To investigate the proposed role for NAD metabolism in regulating seed dormancy, NAD metabolites and associated enzyme activities were analysed in seed of Arabidopsis thaliana ecotypes ranging from Col-0, which has low seed dormancy, to Cvi, which is highly dormant. Seed poly(ADP-ribosyl)ation levels did not correlate well with the depth of seed dormancy but did correlate with the sensitivity of germination to the DNA damaging agent MMS. Cvi seed had relatively high NAD and low NADP levels compared with the less dormant ecotypes and the NAD : NADP ratios correlated well with dormancy. The activity of NAD kinase was relatively low, and NADP phosphatase was relatively high in dormant Cvi seed, indicating that these enzymes may be involved in controlling the NAD : NADP ratio. Dormant fresh Cvi and nondormant after-ripened Cvi seeds were used to investigate further. Measurement of reduced and oxidised pyridine nucleotides indicated that breaking of dormancy was associated with a reduction in NAD levels but not with an increase in NADP levels. It is proposed that poly(ADP-ribose) polymerase is involved in protecting the seed from genotoxic stress, whereas the level of NAD affects the depth of dormancy, perhaps by enhancing abscisic acid (ABA) synthesis.","container-title":"The New Phytologist","DOI":"10.1111/j.1469-8137.2008.02641.x","ISSN":"1469-8137","issue":"1","journalAbbreviation":"New Phytol","language":"eng","note":"PMID: 18826484","page":"62-70","source":"PubMed","title":"The relationship between pyridine nucleotides and seed dormancy","volume":"181","author":[{"family":"Hunt","given":"Lee"},{"family":"Gray","given":"Julie E."}],"issued":{"date-parts":[["2009"]]}}}],"schema":"https://github.com/citation-style-language/schema/raw/master/csl-citation.json"} </w:instrText>
      </w:r>
      <w:r w:rsidRPr="00107040">
        <w:rPr>
          <w:sz w:val="28"/>
          <w:szCs w:val="28"/>
          <w:lang w:val="ru-RU"/>
        </w:rPr>
        <w:fldChar w:fldCharType="separate"/>
      </w:r>
      <w:r w:rsidR="008611DC" w:rsidRPr="008611DC">
        <w:rPr>
          <w:sz w:val="28"/>
          <w:lang w:val="ru-RU"/>
        </w:rPr>
        <w:t>[345,346]</w:t>
      </w:r>
      <w:r w:rsidRPr="00107040">
        <w:rPr>
          <w:sz w:val="28"/>
          <w:szCs w:val="28"/>
          <w:lang w:val="ru-RU"/>
        </w:rPr>
        <w:fldChar w:fldCharType="end"/>
      </w:r>
      <w:r w:rsidRPr="00107040">
        <w:rPr>
          <w:sz w:val="28"/>
          <w:szCs w:val="28"/>
          <w:lang w:val="ru-RU"/>
        </w:rPr>
        <w:t xml:space="preserve">. С другой стороны, избыточное накопление никотината в результате разложения никотинамида является токсичным. Следовательно, было показано, что детоксикация никотината путем </w:t>
      </w:r>
      <w:r w:rsidRPr="00107040">
        <w:rPr>
          <w:sz w:val="28"/>
          <w:szCs w:val="28"/>
        </w:rPr>
        <w:t>O</w:t>
      </w:r>
      <w:r w:rsidRPr="00107040">
        <w:rPr>
          <w:sz w:val="28"/>
          <w:szCs w:val="28"/>
          <w:lang w:val="ru-RU"/>
        </w:rPr>
        <w:t xml:space="preserve">-гликозилирования, опосредованная никотинатгликозилтрансферазой </w:t>
      </w:r>
      <w:r w:rsidRPr="00107040">
        <w:rPr>
          <w:sz w:val="28"/>
          <w:szCs w:val="28"/>
        </w:rPr>
        <w:t>UGT</w:t>
      </w:r>
      <w:r w:rsidRPr="00107040">
        <w:rPr>
          <w:sz w:val="28"/>
          <w:szCs w:val="28"/>
          <w:lang w:val="ru-RU"/>
        </w:rPr>
        <w:t>74</w:t>
      </w:r>
      <w:r w:rsidRPr="00107040">
        <w:rPr>
          <w:sz w:val="28"/>
          <w:szCs w:val="28"/>
        </w:rPr>
        <w:t>F</w:t>
      </w:r>
      <w:r w:rsidRPr="00107040">
        <w:rPr>
          <w:sz w:val="28"/>
          <w:szCs w:val="28"/>
          <w:lang w:val="ru-RU"/>
        </w:rPr>
        <w:t xml:space="preserve">2-1, необходима для прорастания семян в условиях стресса </w:t>
      </w:r>
      <w:r w:rsidRPr="00107040">
        <w:rPr>
          <w:sz w:val="28"/>
          <w:szCs w:val="28"/>
          <w:lang w:val="ru-RU"/>
        </w:rPr>
        <w:fldChar w:fldCharType="begin"/>
      </w:r>
      <w:r w:rsidR="008611DC">
        <w:rPr>
          <w:sz w:val="28"/>
          <w:szCs w:val="28"/>
          <w:lang w:val="ru-RU"/>
        </w:rPr>
        <w:instrText xml:space="preserve"> ADDIN ZOTERO_ITEM CSL_CITATION {"citationID":"a13a9426f0v","properties":{"formattedCitation":"[349]","plainCitation":"[349]","noteIndex":0},"citationItems":[{"id":1700,"uris":["http://zotero.org/users/9078202/items/DP7PZL7Q"],"itemData":{"id":1700,"type":"article-journal","abstract":"The glycosylation of nicotinate (NA), a key intermediate of the NAD salvage pathway, occurs widely in land plants. However, the physiological function of NA glycosylation is not well understood in planta, and no gene encoding NA glycosyltransferase has been reported to date. NA glycosylation in Arabidopsis thaliana occurs at either the N- or the O-position of the NA molecule, and O-glucosylation appears to be unique to the Brassicaceae. Using gene-enzyme correlations focused on Family 1 glycosyltransferases (GTs; EC 2.4), we identified and characterized three Arabidopsis GTs, which are likely involved in NA glycosylation. These include one NAOGT (UGT74F2; previously identified as a salicylic acid glycosyltransferases) and two NANGTs (UGT76C4 and UGT76C5). Arabidopsis mutants of UGT74F2 accumulate higher levels of free NA, but not salicylic acid, than that of the wild type, and this inversely correlated with seed germination rates under various abiotic stresses. The germination defect of the ugt74f2-1 mutant could be fully complemented by overexpression of UGT74F2. These observations, together with comprehensive chemical analysis, suggest that NA glycosylation may function to protect plant cells from the toxicity of NA overaccumulation during seed germination. Combined with phylogenetic analysis, our results suggest that NAOGTs arose recently in the Brassicaceae family and may provide a fitness benefit. The multifunctionality of UGT74F2 in Arabidopsis is also investigated and discussed.","container-title":"The Plant Cell","DOI":"10.1105/tpc.15.00223","ISSN":"1532-298X","issue":"7","journalAbbreviation":"Plant Cell","language":"eng","note":"PMID: 26116607\nPMCID: PMC4531354","page":"1907-1924","source":"PubMed","title":"Nicotinate O-Glucosylation Is an Evolutionarily Metabolic Trait Important for Seed Germination under Stress Conditions in Arabidopsis thaliana","volume":"27","author":[{"family":"Li","given":"Wei"},{"family":"Zhang","given":"Fengxia"},{"family":"Chang","given":"Yuwei"},{"family":"Zhao","given":"Tao"},{"family":"Schranz","given":"M. Eric"},{"family":"Wang","given":"Guodong"}],"issued":{"date-parts":[["2015",7]]}}}],"schema":"https://github.com/citation-style-language/schema/raw/master/csl-citation.json"} </w:instrText>
      </w:r>
      <w:r w:rsidRPr="00107040">
        <w:rPr>
          <w:sz w:val="28"/>
          <w:szCs w:val="28"/>
          <w:lang w:val="ru-RU"/>
        </w:rPr>
        <w:fldChar w:fldCharType="separate"/>
      </w:r>
      <w:r w:rsidR="008611DC" w:rsidRPr="008611DC">
        <w:rPr>
          <w:sz w:val="28"/>
          <w:lang w:val="ru-RU"/>
        </w:rPr>
        <w:t>[349]</w:t>
      </w:r>
      <w:r w:rsidRPr="00107040">
        <w:rPr>
          <w:sz w:val="28"/>
          <w:szCs w:val="28"/>
          <w:lang w:val="ru-RU"/>
        </w:rPr>
        <w:fldChar w:fldCharType="end"/>
      </w:r>
      <w:r w:rsidRPr="00107040">
        <w:rPr>
          <w:sz w:val="28"/>
          <w:szCs w:val="28"/>
          <w:lang w:val="ru-RU"/>
        </w:rPr>
        <w:t xml:space="preserve">. Это еще одно свидетельство индукции активности </w:t>
      </w:r>
      <w:r w:rsidRPr="00107040">
        <w:rPr>
          <w:sz w:val="28"/>
          <w:szCs w:val="28"/>
        </w:rPr>
        <w:t>PARP</w:t>
      </w:r>
      <w:r w:rsidRPr="00107040">
        <w:rPr>
          <w:sz w:val="28"/>
          <w:szCs w:val="28"/>
          <w:lang w:val="ru-RU"/>
        </w:rPr>
        <w:t>3 в семенах в неблагоприятных условиях.</w:t>
      </w:r>
      <w:r w:rsidRPr="00107040">
        <w:rPr>
          <w:sz w:val="28"/>
          <w:szCs w:val="28"/>
          <w:lang w:val="kk-KZ"/>
        </w:rPr>
        <w:t xml:space="preserve"> </w:t>
      </w:r>
    </w:p>
    <w:p w14:paraId="3571B15B" w14:textId="5F475A3F"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Поскольку </w:t>
      </w:r>
      <w:r w:rsidRPr="00107040">
        <w:rPr>
          <w:sz w:val="28"/>
          <w:szCs w:val="28"/>
        </w:rPr>
        <w:t>AtPARP</w:t>
      </w:r>
      <w:r w:rsidRPr="00107040">
        <w:rPr>
          <w:sz w:val="28"/>
          <w:szCs w:val="28"/>
          <w:lang w:val="ru-RU"/>
        </w:rPr>
        <w:t xml:space="preserve">3 проявляет структурную гомологию с </w:t>
      </w:r>
      <w:r w:rsidRPr="00107040">
        <w:rPr>
          <w:sz w:val="28"/>
          <w:szCs w:val="28"/>
        </w:rPr>
        <w:t>AtPARP</w:t>
      </w:r>
      <w:r w:rsidRPr="00107040">
        <w:rPr>
          <w:sz w:val="28"/>
          <w:szCs w:val="28"/>
          <w:lang w:val="ru-RU"/>
        </w:rPr>
        <w:t xml:space="preserve">1 и </w:t>
      </w:r>
      <w:r w:rsidRPr="00107040">
        <w:rPr>
          <w:sz w:val="28"/>
          <w:szCs w:val="28"/>
        </w:rPr>
        <w:t>PARP</w:t>
      </w:r>
      <w:r w:rsidRPr="00107040">
        <w:rPr>
          <w:sz w:val="28"/>
          <w:szCs w:val="28"/>
          <w:lang w:val="ru-RU"/>
        </w:rPr>
        <w:t>3 человека (</w:t>
      </w:r>
      <w:r w:rsidRPr="0067118F">
        <w:rPr>
          <w:sz w:val="28"/>
          <w:szCs w:val="28"/>
          <w:lang w:val="ru-RU"/>
        </w:rPr>
        <w:t>рис</w:t>
      </w:r>
      <w:r w:rsidRPr="0067118F">
        <w:rPr>
          <w:sz w:val="28"/>
          <w:szCs w:val="28"/>
          <w:lang w:val="kk-KZ"/>
        </w:rPr>
        <w:t>унок</w:t>
      </w:r>
      <w:r w:rsidRPr="0067118F">
        <w:rPr>
          <w:sz w:val="28"/>
          <w:szCs w:val="28"/>
          <w:lang w:val="ru-RU"/>
        </w:rPr>
        <w:t xml:space="preserve"> </w:t>
      </w:r>
      <w:r w:rsidRPr="00107040">
        <w:rPr>
          <w:sz w:val="28"/>
          <w:szCs w:val="28"/>
          <w:lang w:val="ru-RU"/>
        </w:rPr>
        <w:t xml:space="preserve">8), можно предположить сходные функции. </w:t>
      </w:r>
      <w:r w:rsidRPr="00107040">
        <w:rPr>
          <w:sz w:val="28"/>
          <w:szCs w:val="28"/>
        </w:rPr>
        <w:t>PARP</w:t>
      </w:r>
      <w:r w:rsidRPr="00107040">
        <w:rPr>
          <w:sz w:val="28"/>
          <w:szCs w:val="28"/>
          <w:lang w:val="ru-RU"/>
        </w:rPr>
        <w:t>3 человека участвует в репарации повреждений ДНК с помощью негомологичного соединения концов (</w:t>
      </w:r>
      <w:r w:rsidRPr="00107040">
        <w:rPr>
          <w:sz w:val="28"/>
          <w:szCs w:val="28"/>
        </w:rPr>
        <w:t>NHEJ</w:t>
      </w:r>
      <w:r w:rsidRPr="00107040">
        <w:rPr>
          <w:sz w:val="28"/>
          <w:szCs w:val="28"/>
          <w:lang w:val="ru-RU"/>
        </w:rPr>
        <w:t xml:space="preserve">), что указывает на роль растительного </w:t>
      </w:r>
      <w:r w:rsidRPr="00107040">
        <w:rPr>
          <w:sz w:val="28"/>
          <w:szCs w:val="28"/>
        </w:rPr>
        <w:t>PARP</w:t>
      </w:r>
      <w:r w:rsidRPr="00107040">
        <w:rPr>
          <w:sz w:val="28"/>
          <w:szCs w:val="28"/>
          <w:lang w:val="ru-RU"/>
        </w:rPr>
        <w:t xml:space="preserve">3 в репарации </w:t>
      </w:r>
      <w:r w:rsidRPr="00107040">
        <w:rPr>
          <w:sz w:val="28"/>
          <w:szCs w:val="28"/>
        </w:rPr>
        <w:t>DSB</w:t>
      </w:r>
      <w:r w:rsidRPr="00107040">
        <w:rPr>
          <w:sz w:val="28"/>
          <w:szCs w:val="28"/>
          <w:lang w:val="ru-RU"/>
        </w:rPr>
        <w:t xml:space="preserve"> посредством </w:t>
      </w:r>
      <w:r w:rsidRPr="00107040">
        <w:rPr>
          <w:sz w:val="28"/>
          <w:szCs w:val="28"/>
        </w:rPr>
        <w:t>NHEJ</w:t>
      </w:r>
      <w:r w:rsidRPr="00107040">
        <w:rPr>
          <w:sz w:val="28"/>
          <w:szCs w:val="28"/>
          <w:lang w:val="ru-RU"/>
        </w:rPr>
        <w:t xml:space="preserve">. Интересно, что у </w:t>
      </w:r>
      <w:r w:rsidRPr="00107040">
        <w:rPr>
          <w:i/>
          <w:sz w:val="28"/>
          <w:szCs w:val="28"/>
        </w:rPr>
        <w:t>Hordeum</w:t>
      </w:r>
      <w:r w:rsidRPr="00107040">
        <w:rPr>
          <w:i/>
          <w:sz w:val="28"/>
          <w:szCs w:val="28"/>
          <w:lang w:val="ru-RU"/>
        </w:rPr>
        <w:t xml:space="preserve"> </w:t>
      </w:r>
      <w:r w:rsidRPr="00107040">
        <w:rPr>
          <w:i/>
          <w:sz w:val="28"/>
          <w:szCs w:val="28"/>
        </w:rPr>
        <w:t>vulgare</w:t>
      </w:r>
      <w:r w:rsidRPr="00107040">
        <w:rPr>
          <w:sz w:val="28"/>
          <w:szCs w:val="28"/>
          <w:lang w:val="ru-RU"/>
        </w:rPr>
        <w:t xml:space="preserve"> экспрессия </w:t>
      </w:r>
      <w:r w:rsidRPr="00107040">
        <w:rPr>
          <w:sz w:val="28"/>
          <w:szCs w:val="28"/>
        </w:rPr>
        <w:t>HvPARP</w:t>
      </w:r>
      <w:r w:rsidRPr="00107040">
        <w:rPr>
          <w:sz w:val="28"/>
          <w:szCs w:val="28"/>
          <w:lang w:val="ru-RU"/>
        </w:rPr>
        <w:t xml:space="preserve">3 в корнях молодых проростков усиливалась под действием </w:t>
      </w:r>
      <w:r w:rsidRPr="00107040">
        <w:rPr>
          <w:sz w:val="28"/>
          <w:szCs w:val="28"/>
          <w:lang w:val="ru-RU"/>
        </w:rPr>
        <w:lastRenderedPageBreak/>
        <w:t xml:space="preserve">агента, индуцирующего </w:t>
      </w:r>
      <w:r w:rsidRPr="00107040">
        <w:rPr>
          <w:sz w:val="28"/>
          <w:szCs w:val="28"/>
        </w:rPr>
        <w:t>DSB</w:t>
      </w:r>
      <w:r w:rsidRPr="00107040">
        <w:rPr>
          <w:sz w:val="28"/>
          <w:szCs w:val="28"/>
          <w:lang w:val="ru-RU"/>
        </w:rPr>
        <w:t xml:space="preserve"> ДНК, блеомицина </w:t>
      </w:r>
      <w:r w:rsidRPr="00107040">
        <w:rPr>
          <w:sz w:val="28"/>
          <w:szCs w:val="28"/>
          <w:lang w:val="ru-RU"/>
        </w:rPr>
        <w:fldChar w:fldCharType="begin"/>
      </w:r>
      <w:r w:rsidR="008611DC">
        <w:rPr>
          <w:sz w:val="28"/>
          <w:szCs w:val="28"/>
          <w:lang w:val="ru-RU"/>
        </w:rPr>
        <w:instrText xml:space="preserve"> ADDIN ZOTERO_ITEM CSL_CITATION {"citationID":"ajkutiaq3v","properties":{"formattedCitation":"[332]","plainCitation":"[332]","noteIndex":0},"citationItems":[{"id":1645,"uris":["http://zotero.org/users/9078202/items/2VEELFJ4"],"itemData":{"id":1645,"type":"article-journal","abstract":"Genome integrity is constantly challenged by endo- and exogenous DNA-damaging factors. The influence of genotoxic agents causes an accumulation of DNA lesions, which if not repaired, become mutations that can cause various abnormalities in a cell metabolism. The main pathway of DSB repair, which is based on non-homologous recombination, is canonical non-homologous end joining (C-NHEJ). It has been shown that this mechanism is highly conserved in both Pro- and Eukaryotes. The mechanisms that underlie DSB repair through C-NHEJ have mainly been investigated in mammalian systems, and therefore our knowledge about this process is much more limited as far as plants, and crop plants in particular, are concerned. Recent studies have demonstrated that PARP3 is an important response factor to the presence of DSB in a genome. The aims of this study were to identify the sequence of the barley PARP3 gene, to perform a mutational analysis of the sequence that was identified using the TILLING (Targeting Induced Local Lesions IN Genomes) method and to phenotype the mutants that were identified through their exposure to mutagenic treatment with the DSB-inducing chemical--bleomycin. A functional analysis led to the identification of a series of parp3 alleles. The mutants were characterized using several different approaches, including quantifying the DSB and γH2AX foci, which validated the function of the HvPARP3 gene in DSB repair in barley. The potential involvement of the HvPARP3 gene in the regulation of telomere length in barley was also analyzed.","container-title":"DNA repair","DOI":"10.1016/j.dnarep.2015.02.018","ISSN":"1568-7856","journalAbbreviation":"DNA Repair (Amst)","language":"eng","note":"PMID: 25753810","page":"116-130","source":"PubMed","title":"Alleles of newly identified barley gene HvPARP3 exhibit changes in efficiency of DNA repair","volume":"28","author":[{"family":"Stolarek","given":"Magdalena"},{"family":"Gruszka","given":"Damian"},{"family":"Braszewska-Zalewska","given":"Agnieszka"},{"family":"Maluszynski","given":"Miroslaw"}],"issued":{"date-parts":[["2015",4]]}}}],"schema":"https://github.com/citation-style-language/schema/raw/master/csl-citation.json"} </w:instrText>
      </w:r>
      <w:r w:rsidRPr="00107040">
        <w:rPr>
          <w:sz w:val="28"/>
          <w:szCs w:val="28"/>
          <w:lang w:val="ru-RU"/>
        </w:rPr>
        <w:fldChar w:fldCharType="separate"/>
      </w:r>
      <w:r w:rsidR="008611DC" w:rsidRPr="008611DC">
        <w:rPr>
          <w:sz w:val="28"/>
          <w:lang w:val="ru-RU"/>
        </w:rPr>
        <w:t>[332]</w:t>
      </w:r>
      <w:r w:rsidRPr="00107040">
        <w:rPr>
          <w:sz w:val="28"/>
          <w:szCs w:val="28"/>
          <w:lang w:val="ru-RU"/>
        </w:rPr>
        <w:fldChar w:fldCharType="end"/>
      </w:r>
      <w:r w:rsidRPr="00107040">
        <w:rPr>
          <w:sz w:val="28"/>
          <w:szCs w:val="28"/>
          <w:lang w:val="ru-RU"/>
        </w:rPr>
        <w:t xml:space="preserve">, поддерживая такую функцию. Тем не менее, точная роль растительного </w:t>
      </w:r>
      <w:r w:rsidRPr="00107040">
        <w:rPr>
          <w:sz w:val="28"/>
          <w:szCs w:val="28"/>
        </w:rPr>
        <w:t>PARP</w:t>
      </w:r>
      <w:r w:rsidRPr="00107040">
        <w:rPr>
          <w:sz w:val="28"/>
          <w:szCs w:val="28"/>
          <w:lang w:val="ru-RU"/>
        </w:rPr>
        <w:t xml:space="preserve">3 в репарации </w:t>
      </w:r>
      <w:r w:rsidRPr="00107040">
        <w:rPr>
          <w:sz w:val="28"/>
          <w:szCs w:val="28"/>
        </w:rPr>
        <w:t>DSB</w:t>
      </w:r>
      <w:r w:rsidRPr="00107040">
        <w:rPr>
          <w:sz w:val="28"/>
          <w:szCs w:val="28"/>
          <w:lang w:val="ru-RU"/>
        </w:rPr>
        <w:t xml:space="preserve"> ДНК должна быть выяснена. Помимо прорастания мутантных семян арабидопсиса </w:t>
      </w:r>
      <w:r w:rsidRPr="00107040">
        <w:rPr>
          <w:i/>
          <w:sz w:val="28"/>
          <w:szCs w:val="28"/>
        </w:rPr>
        <w:t>parp</w:t>
      </w:r>
      <w:r w:rsidRPr="00107040">
        <w:rPr>
          <w:i/>
          <w:sz w:val="28"/>
          <w:szCs w:val="28"/>
          <w:lang w:val="ru-RU"/>
        </w:rPr>
        <w:t>3</w:t>
      </w:r>
      <w:r w:rsidRPr="00107040">
        <w:rPr>
          <w:sz w:val="28"/>
          <w:szCs w:val="28"/>
          <w:lang w:val="ru-RU"/>
        </w:rPr>
        <w:t xml:space="preserve"> в присутствии агентов, индуцирующих </w:t>
      </w:r>
      <w:r w:rsidRPr="00107040">
        <w:rPr>
          <w:sz w:val="28"/>
          <w:szCs w:val="28"/>
        </w:rPr>
        <w:t>DSB</w:t>
      </w:r>
      <w:r w:rsidRPr="00107040">
        <w:rPr>
          <w:sz w:val="28"/>
          <w:szCs w:val="28"/>
          <w:lang w:val="ru-RU"/>
        </w:rPr>
        <w:t xml:space="preserve"> ДНК, скрещивание мутантов </w:t>
      </w:r>
      <w:r w:rsidRPr="00107040">
        <w:rPr>
          <w:i/>
          <w:sz w:val="28"/>
          <w:szCs w:val="28"/>
        </w:rPr>
        <w:t>parp</w:t>
      </w:r>
      <w:r w:rsidRPr="00107040">
        <w:rPr>
          <w:i/>
          <w:sz w:val="28"/>
          <w:szCs w:val="28"/>
          <w:lang w:val="ru-RU"/>
        </w:rPr>
        <w:t>3</w:t>
      </w:r>
      <w:r w:rsidRPr="00107040">
        <w:rPr>
          <w:sz w:val="28"/>
          <w:szCs w:val="28"/>
          <w:lang w:val="ru-RU"/>
        </w:rPr>
        <w:t xml:space="preserve"> с мутантами </w:t>
      </w:r>
      <w:r w:rsidRPr="00107040">
        <w:rPr>
          <w:i/>
          <w:sz w:val="28"/>
          <w:szCs w:val="28"/>
        </w:rPr>
        <w:t>ku</w:t>
      </w:r>
      <w:r w:rsidRPr="00107040">
        <w:rPr>
          <w:i/>
          <w:sz w:val="28"/>
          <w:szCs w:val="28"/>
          <w:lang w:val="ru-RU"/>
        </w:rPr>
        <w:t>70</w:t>
      </w:r>
      <w:r w:rsidRPr="00107040">
        <w:rPr>
          <w:sz w:val="28"/>
          <w:szCs w:val="28"/>
          <w:lang w:val="ru-RU"/>
        </w:rPr>
        <w:t xml:space="preserve"> и </w:t>
      </w:r>
      <w:r w:rsidRPr="00107040">
        <w:rPr>
          <w:i/>
          <w:sz w:val="28"/>
          <w:szCs w:val="28"/>
        </w:rPr>
        <w:t>ku</w:t>
      </w:r>
      <w:r w:rsidRPr="00107040">
        <w:rPr>
          <w:i/>
          <w:sz w:val="28"/>
          <w:szCs w:val="28"/>
          <w:lang w:val="ru-RU"/>
        </w:rPr>
        <w:t>80</w:t>
      </w:r>
      <w:r w:rsidRPr="00107040">
        <w:rPr>
          <w:sz w:val="28"/>
          <w:szCs w:val="28"/>
          <w:lang w:val="ru-RU"/>
        </w:rPr>
        <w:t xml:space="preserve"> может предоставить доказательства того, действует ли </w:t>
      </w:r>
      <w:r w:rsidRPr="00107040">
        <w:rPr>
          <w:sz w:val="28"/>
          <w:szCs w:val="28"/>
        </w:rPr>
        <w:t>AtPARP</w:t>
      </w:r>
      <w:r w:rsidRPr="00107040">
        <w:rPr>
          <w:sz w:val="28"/>
          <w:szCs w:val="28"/>
          <w:lang w:val="ru-RU"/>
        </w:rPr>
        <w:t xml:space="preserve">3 в </w:t>
      </w:r>
      <w:r w:rsidRPr="00107040">
        <w:rPr>
          <w:sz w:val="28"/>
          <w:szCs w:val="28"/>
        </w:rPr>
        <w:t>NHEJ</w:t>
      </w:r>
      <w:r w:rsidRPr="00107040">
        <w:rPr>
          <w:sz w:val="28"/>
          <w:szCs w:val="28"/>
          <w:lang w:val="ru-RU"/>
        </w:rPr>
        <w:t>, как его аналог у млекопитающих. Поскольку прямые доказательства активности поли(АДФ-рибозил</w:t>
      </w:r>
      <w:r w:rsidRPr="00107040">
        <w:rPr>
          <w:sz w:val="28"/>
          <w:szCs w:val="28"/>
          <w:lang w:val="kk-KZ"/>
        </w:rPr>
        <w:t>)</w:t>
      </w:r>
      <w:r w:rsidRPr="00107040">
        <w:rPr>
          <w:sz w:val="28"/>
          <w:szCs w:val="28"/>
          <w:lang w:val="ru-RU"/>
        </w:rPr>
        <w:t xml:space="preserve">ирования </w:t>
      </w:r>
      <w:r w:rsidRPr="00107040">
        <w:rPr>
          <w:sz w:val="28"/>
          <w:szCs w:val="28"/>
        </w:rPr>
        <w:t>AtPARP</w:t>
      </w:r>
      <w:r w:rsidRPr="00107040">
        <w:rPr>
          <w:sz w:val="28"/>
          <w:szCs w:val="28"/>
          <w:lang w:val="ru-RU"/>
        </w:rPr>
        <w:t xml:space="preserve">3 до сих пор отсутствуют, необходимо определить активность </w:t>
      </w:r>
      <w:r w:rsidRPr="00107040">
        <w:rPr>
          <w:sz w:val="28"/>
          <w:szCs w:val="28"/>
        </w:rPr>
        <w:t>PARP</w:t>
      </w:r>
      <w:r w:rsidRPr="00107040">
        <w:rPr>
          <w:sz w:val="28"/>
          <w:szCs w:val="28"/>
          <w:lang w:val="ru-RU"/>
        </w:rPr>
        <w:t xml:space="preserve"> в мутантных семенах </w:t>
      </w:r>
      <w:r w:rsidRPr="00107040">
        <w:rPr>
          <w:i/>
          <w:sz w:val="28"/>
          <w:szCs w:val="28"/>
        </w:rPr>
        <w:t>parp</w:t>
      </w:r>
      <w:r w:rsidRPr="00107040">
        <w:rPr>
          <w:i/>
          <w:sz w:val="28"/>
          <w:szCs w:val="28"/>
          <w:lang w:val="ru-RU"/>
        </w:rPr>
        <w:t>3</w:t>
      </w:r>
      <w:r w:rsidRPr="00107040">
        <w:rPr>
          <w:sz w:val="28"/>
          <w:szCs w:val="28"/>
          <w:lang w:val="ru-RU"/>
        </w:rPr>
        <w:t xml:space="preserve">. Аберрантные уровни поли(АДФ-рибозы) будут указывать, способен ли </w:t>
      </w:r>
      <w:r w:rsidRPr="00107040">
        <w:rPr>
          <w:sz w:val="28"/>
          <w:szCs w:val="28"/>
        </w:rPr>
        <w:t>AtPARP</w:t>
      </w:r>
      <w:r w:rsidRPr="00107040">
        <w:rPr>
          <w:sz w:val="28"/>
          <w:szCs w:val="28"/>
          <w:lang w:val="ru-RU"/>
        </w:rPr>
        <w:t>3 к поли(АДФ-рибозил)ированию. Однако также возможна активность моно(АДФ-рибозил)ирования этим ферментом, сходная с его человеческим аналогом.</w:t>
      </w:r>
      <w:r w:rsidRPr="00107040">
        <w:rPr>
          <w:sz w:val="28"/>
          <w:szCs w:val="28"/>
          <w:lang w:val="kk-KZ"/>
        </w:rPr>
        <w:t xml:space="preserve"> </w:t>
      </w:r>
    </w:p>
    <w:p w14:paraId="65ADAF12"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p>
    <w:p w14:paraId="53223C86" w14:textId="7E95F0BF" w:rsidR="00107040" w:rsidRPr="00107040" w:rsidRDefault="00107040" w:rsidP="00107040">
      <w:pPr>
        <w:pStyle w:val="p"/>
        <w:shd w:val="clear" w:color="auto" w:fill="FFFFFF"/>
        <w:spacing w:before="0" w:beforeAutospacing="0" w:after="0" w:afterAutospacing="0"/>
        <w:ind w:firstLine="567"/>
        <w:jc w:val="both"/>
        <w:rPr>
          <w:sz w:val="28"/>
          <w:szCs w:val="28"/>
          <w:lang w:val="ru-RU"/>
        </w:rPr>
      </w:pPr>
      <w:bookmarkStart w:id="48" w:name="_Hlk113268534"/>
      <w:r w:rsidRPr="00107040">
        <w:rPr>
          <w:sz w:val="28"/>
          <w:szCs w:val="28"/>
          <w:lang w:val="kk-KZ"/>
        </w:rPr>
        <w:t xml:space="preserve">1.9.3 </w:t>
      </w:r>
      <w:r w:rsidR="008C6134">
        <w:rPr>
          <w:sz w:val="28"/>
          <w:szCs w:val="28"/>
          <w:lang w:val="ru-RU"/>
        </w:rPr>
        <w:t>Связь</w:t>
      </w:r>
      <w:r w:rsidRPr="00107040">
        <w:rPr>
          <w:sz w:val="28"/>
          <w:szCs w:val="28"/>
          <w:lang w:val="ru-RU"/>
        </w:rPr>
        <w:t xml:space="preserve"> растительны</w:t>
      </w:r>
      <w:r w:rsidR="008C6134">
        <w:rPr>
          <w:sz w:val="28"/>
          <w:szCs w:val="28"/>
          <w:lang w:val="ru-RU"/>
        </w:rPr>
        <w:t>х</w:t>
      </w:r>
      <w:r w:rsidRPr="00107040">
        <w:rPr>
          <w:sz w:val="28"/>
          <w:szCs w:val="28"/>
          <w:lang w:val="ru-RU"/>
        </w:rPr>
        <w:t xml:space="preserve"> белк</w:t>
      </w:r>
      <w:r w:rsidR="008C6134">
        <w:rPr>
          <w:sz w:val="28"/>
          <w:szCs w:val="28"/>
          <w:lang w:val="ru-RU"/>
        </w:rPr>
        <w:t>ов</w:t>
      </w:r>
      <w:r w:rsidRPr="00107040">
        <w:rPr>
          <w:sz w:val="28"/>
          <w:szCs w:val="28"/>
          <w:lang w:val="ru-RU"/>
        </w:rPr>
        <w:t xml:space="preserve"> </w:t>
      </w:r>
      <w:r w:rsidRPr="00107040">
        <w:rPr>
          <w:sz w:val="28"/>
          <w:szCs w:val="28"/>
        </w:rPr>
        <w:t>PARG</w:t>
      </w:r>
      <w:r w:rsidRPr="00107040">
        <w:rPr>
          <w:sz w:val="28"/>
          <w:szCs w:val="28"/>
          <w:lang w:val="ru-RU"/>
        </w:rPr>
        <w:t xml:space="preserve"> с реакцией на повреждение ДНК</w:t>
      </w:r>
    </w:p>
    <w:bookmarkEnd w:id="48"/>
    <w:p w14:paraId="6378CB9A" w14:textId="11BE98FA"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Подобно мутантным растениям </w:t>
      </w:r>
      <w:r w:rsidRPr="00107040">
        <w:rPr>
          <w:i/>
          <w:sz w:val="28"/>
          <w:szCs w:val="28"/>
        </w:rPr>
        <w:t>parp</w:t>
      </w:r>
      <w:r w:rsidRPr="00107040">
        <w:rPr>
          <w:sz w:val="28"/>
          <w:szCs w:val="28"/>
          <w:lang w:val="ru-RU"/>
        </w:rPr>
        <w:t xml:space="preserve">, </w:t>
      </w:r>
      <w:r w:rsidRPr="00107040">
        <w:rPr>
          <w:i/>
          <w:sz w:val="28"/>
          <w:szCs w:val="28"/>
        </w:rPr>
        <w:t>parg</w:t>
      </w:r>
      <w:r w:rsidRPr="00107040">
        <w:rPr>
          <w:i/>
          <w:sz w:val="28"/>
          <w:szCs w:val="28"/>
          <w:lang w:val="ru-RU"/>
        </w:rPr>
        <w:t>1</w:t>
      </w:r>
      <w:r w:rsidRPr="00107040">
        <w:rPr>
          <w:i/>
          <w:sz w:val="28"/>
          <w:szCs w:val="28"/>
          <w:lang w:val="kk-KZ"/>
        </w:rPr>
        <w:t xml:space="preserve"> </w:t>
      </w:r>
      <w:r w:rsidRPr="00107040">
        <w:rPr>
          <w:sz w:val="28"/>
          <w:szCs w:val="28"/>
          <w:lang w:val="ru-RU"/>
        </w:rPr>
        <w:t xml:space="preserve">мутанты </w:t>
      </w:r>
      <w:r w:rsidRPr="00107040">
        <w:rPr>
          <w:i/>
          <w:sz w:val="28"/>
          <w:szCs w:val="28"/>
        </w:rPr>
        <w:t>Arabidopsis</w:t>
      </w:r>
      <w:r w:rsidRPr="00107040">
        <w:rPr>
          <w:i/>
          <w:sz w:val="28"/>
          <w:szCs w:val="28"/>
          <w:lang w:val="ru-RU"/>
        </w:rPr>
        <w:t xml:space="preserve"> </w:t>
      </w:r>
      <w:r w:rsidRPr="00107040">
        <w:rPr>
          <w:sz w:val="28"/>
          <w:szCs w:val="28"/>
          <w:lang w:val="ru-RU"/>
        </w:rPr>
        <w:t xml:space="preserve">проявляли повышенную чувствительность к митомицину С и блеомицину </w:t>
      </w:r>
      <w:r w:rsidRPr="00107040">
        <w:rPr>
          <w:sz w:val="28"/>
          <w:szCs w:val="28"/>
          <w:lang w:val="ru-RU"/>
        </w:rPr>
        <w:fldChar w:fldCharType="begin"/>
      </w:r>
      <w:r w:rsidR="008611DC">
        <w:rPr>
          <w:sz w:val="28"/>
          <w:szCs w:val="28"/>
          <w:lang w:val="ru-RU"/>
        </w:rPr>
        <w:instrText xml:space="preserve"> ADDIN ZOTERO_ITEM CSL_CITATION {"citationID":"av2fgtds09","properties":{"formattedCitation":"[350]","plainCitation":"[350]","noteIndex":0},"citationItems":[{"id":240,"uris":["http://zotero.org/users/9078202/items/VTBIQATV"],"itemData":{"id":240,"type":"article-journal","abstract":"Poly(ADP-ribosyl)ation is a posttranslational protein modification in which ADP-ribose (ADP-Rib) units derived from NAD(+) are attached to proteins by poly(ADP-Rib) polymerase (PARP) enzymes. ADP-Rib groups are removed from these polymer chains by the enzyme poly(ADP-Rib) glycohydrolase (PARG). In animals, poly(ADP-ribosyl)ation is associated with DNA damage responses and programmed cell death. Previously, we hypothesized a role for poly(ADP-ribosyl)ation in plant defense responses when we detected defense-associated expression of the poly(ADP-ribosyl)ation-related genes PARG2 and NUDT7 and observed altered callose deposition in the presence of a chemical PARP inhibitor. The role of poly(ADP-ribosyl)ation in plant defenses was more extensively investigated in this study, using Arabidopsis (Arabidopsis thaliana). Pharmacological inhibition of PARP using 3-aminobenzamide perturbs certain innate immune responses to microbe-associated molecular patterns (flg22 and elf18), including callose deposition, lignin deposition, pigment accumulation, and phenylalanine ammonia lyase activity, but does not disrupt other responses, such as the initial oxidative burst and expression of some early defense-associated genes. Mutant parg1 seedlings exhibit exaggerated seedling growth inhibition and pigment accumulation in response to elf18 and are hypersensitive to the DNA-damaging agent mitomycin C. Both parg1 and parg2 knockout plants show accelerated onset of disease symptoms when infected with Botrytis cinerea. Cellular levels of ADP-Rib polymer increase after infection with avirulent Pseudomonas syringae pv tomato DC3000 avrRpt2(+), and pathogen-dependent changes in the poly(ADP-ribosyl)ation of discrete proteins were also observed. We conclude that poly(ADP-ribosyl)ation is a functional component in plant responses to biotic stress.","container-title":"Plant Physiology","DOI":"10.1104/pp.109.148049","ISSN":"1532-2548","issue":"1","journalAbbreviation":"Plant Physiol","language":"eng","note":"PMID: 19889874\nPMCID: PMC2799362","page":"267-280","source":"PubMed","title":"Disruption of poly(ADP-ribosyl)ation mechanisms alters responses of Arabidopsis to biotic stress","volume":"152","author":[{"family":"Adams-Phillips","given":"Lori"},{"family":"Briggs","given":"Amy G."},{"family":"Bent","given":"Andrew F."}],"issued":{"date-parts":[["2010",1]]}}}],"schema":"https://github.com/citation-style-language/schema/raw/master/csl-citation.json"} </w:instrText>
      </w:r>
      <w:r w:rsidRPr="00107040">
        <w:rPr>
          <w:sz w:val="28"/>
          <w:szCs w:val="28"/>
          <w:lang w:val="ru-RU"/>
        </w:rPr>
        <w:fldChar w:fldCharType="separate"/>
      </w:r>
      <w:r w:rsidR="008611DC" w:rsidRPr="008611DC">
        <w:rPr>
          <w:sz w:val="28"/>
          <w:lang w:val="ru-RU"/>
        </w:rPr>
        <w:t>[350]</w:t>
      </w:r>
      <w:r w:rsidRPr="00107040">
        <w:rPr>
          <w:sz w:val="28"/>
          <w:szCs w:val="28"/>
          <w:lang w:val="ru-RU"/>
        </w:rPr>
        <w:fldChar w:fldCharType="end"/>
      </w:r>
      <w:r w:rsidRPr="00107040">
        <w:rPr>
          <w:sz w:val="28"/>
          <w:szCs w:val="28"/>
          <w:lang w:val="ru-RU"/>
        </w:rPr>
        <w:t xml:space="preserve">. Мутантные растения, лишенные </w:t>
      </w:r>
      <w:r w:rsidRPr="00107040">
        <w:rPr>
          <w:sz w:val="28"/>
          <w:szCs w:val="28"/>
        </w:rPr>
        <w:t>AtPARG</w:t>
      </w:r>
      <w:r w:rsidRPr="00107040">
        <w:rPr>
          <w:sz w:val="28"/>
          <w:szCs w:val="28"/>
          <w:lang w:val="ru-RU"/>
        </w:rPr>
        <w:t xml:space="preserve">2, не обнаруживали или лишь немного повышали чувствительность к агентам, повреждающим ДНК, что указывает на то, что </w:t>
      </w:r>
      <w:r w:rsidRPr="00107040">
        <w:rPr>
          <w:sz w:val="28"/>
          <w:szCs w:val="28"/>
        </w:rPr>
        <w:t>AtPARG</w:t>
      </w:r>
      <w:r w:rsidRPr="00107040">
        <w:rPr>
          <w:sz w:val="28"/>
          <w:szCs w:val="28"/>
          <w:lang w:val="ru-RU"/>
        </w:rPr>
        <w:t xml:space="preserve">1 более важен в ответ на повреждение ДНК, вызванное агентами, повреждающими ДНК </w:t>
      </w:r>
      <w:r w:rsidRPr="00107040">
        <w:rPr>
          <w:sz w:val="28"/>
          <w:szCs w:val="28"/>
          <w:lang w:val="ru-RU"/>
        </w:rPr>
        <w:fldChar w:fldCharType="begin"/>
      </w:r>
      <w:r w:rsidR="008611DC">
        <w:rPr>
          <w:sz w:val="28"/>
          <w:szCs w:val="28"/>
          <w:lang w:val="ru-RU"/>
        </w:rPr>
        <w:instrText xml:space="preserve"> ADDIN ZOTERO_ITEM CSL_CITATION {"citationID":"a5ar4toisa","properties":{"formattedCitation":"[328,350]","plainCitation":"[328,350]","noteIndex":0},"citationItems":[{"id":1637,"uris":["http://zotero.org/users/9078202/items/Y6YU77KL"],"itemData":{"id":1637,"type":"article-journal","abstract":"Poly(ADP-ribosyl)ation is a reversible post-translational modification of proteins, characterized by the addition of poly(ADP-ribose) (PAR) to proteins by poly(ADP-ribose) polymerase (PARP), and removal of PAR by poly(ADP-ribose) glycohydrolase (PARG). Three PARPs and two PARGs have been found in Arabidopsis, but their respective roles are not fully understood. In this study, the functions of each PARP and PARG in DNA repair were analyzed based on their mutant phenotypes under genotoxic stresses. Double or triple mutant analysis revealed that PARP1 and PARP2, but not PARP3, play a similar but not critical role in DNA repair in Arabidopsis seedlings. PARG1 and PARG2 play an essential and a minor role, respectively under the same conditions. Mutation of PARG1 results in increased DNA damage level and enhanced cell death in plants after bleomycin treatment. PARG1 expression is induced primarily in root and shoot meristems by bleomycin and induction of PARG1 is dependent on ATM and ATR kinases. PARG1 also antagonistically modulates the DNA repair process by preventing the over-induction of DNA repair genes. Our study determined the contribution of each PARP and PARG member in DNA repair and indicated that PARG1 plays a critical role in this process.","container-title":"Scientific Reports","DOI":"10.1038/srep15892","ISSN":"2045-2322","journalAbbreviation":"Sci Rep","language":"eng","note":"PMID: 26516022\nPMCID: PMC4626836","page":"15892","source":"PubMed","title":"Arabidopsis PARG1 is the key factor promoting cell survival among the enzymes regulating post-translational poly(ADP-ribosyl)ation","volume":"5","author":[{"family":"Zhang","given":"Hailei"},{"family":"Gu","given":"Zongying"},{"family":"Wu","given":"Qiao"},{"family":"Yang","given":"Lifeng"},{"family":"Liu","given":"Caifeng"},{"family":"Ma","given":"Hong"},{"family":"Xia","given":"Yiji"},{"family":"Ge","given":"Xiaochun"}],"issued":{"date-parts":[["2015",10,30]]}}},{"id":240,"uris":["http://zotero.org/users/9078202/items/VTBIQATV"],"itemData":{"id":240,"type":"article-journal","abstract":"Poly(ADP-ribosyl)ation is a posttranslational protein modification in which ADP-ribose (ADP-Rib) units derived from NAD(+) are attached to proteins by poly(ADP-Rib) polymerase (PARP) enzymes. ADP-Rib groups are removed from these polymer chains by the enzyme poly(ADP-Rib) glycohydrolase (PARG). In animals, poly(ADP-ribosyl)ation is associated with DNA damage responses and programmed cell death. Previously, we hypothesized a role for poly(ADP-ribosyl)ation in plant defense responses when we detected defense-associated expression of the poly(ADP-ribosyl)ation-related genes PARG2 and NUDT7 and observed altered callose deposition in the presence of a chemical PARP inhibitor. The role of poly(ADP-ribosyl)ation in plant defenses was more extensively investigated in this study, using Arabidopsis (Arabidopsis thaliana). Pharmacological inhibition of PARP using 3-aminobenzamide perturbs certain innate immune responses to microbe-associated molecular patterns (flg22 and elf18), including callose deposition, lignin deposition, pigment accumulation, and phenylalanine ammonia lyase activity, but does not disrupt other responses, such as the initial oxidative burst and expression of some early defense-associated genes. Mutant parg1 seedlings exhibit exaggerated seedling growth inhibition and pigment accumulation in response to elf18 and are hypersensitive to the DNA-damaging agent mitomycin C. Both parg1 and parg2 knockout plants show accelerated onset of disease symptoms when infected with Botrytis cinerea. Cellular levels of ADP-Rib polymer increase after infection with avirulent Pseudomonas syringae pv tomato DC3000 avrRpt2(+), and pathogen-dependent changes in the poly(ADP-ribosyl)ation of discrete proteins were also observed. We conclude that poly(ADP-ribosyl)ation is a functional component in plant responses to biotic stress.","container-title":"Plant Physiology","DOI":"10.1104/pp.109.148049","ISSN":"1532-2548","issue":"1","journalAbbreviation":"Plant Physiol","language":"eng","note":"PMID: 19889874\nPMCID: PMC2799362","page":"267-280","source":"PubMed","title":"Disruption of poly(ADP-ribosyl)ation mechanisms alters responses of Arabidopsis to biotic stress","volume":"152","author":[{"family":"Adams-Phillips","given":"Lori"},{"family":"Briggs","given":"Amy G."},{"family":"Bent","given":"Andrew F."}],"issued":{"date-parts":[["2010",1]]}}}],"schema":"https://github.com/citation-style-language/schema/raw/master/csl-citation.json"} </w:instrText>
      </w:r>
      <w:r w:rsidRPr="00107040">
        <w:rPr>
          <w:sz w:val="28"/>
          <w:szCs w:val="28"/>
          <w:lang w:val="ru-RU"/>
        </w:rPr>
        <w:fldChar w:fldCharType="separate"/>
      </w:r>
      <w:r w:rsidR="008611DC" w:rsidRPr="008611DC">
        <w:rPr>
          <w:sz w:val="28"/>
          <w:lang w:val="ru-RU"/>
        </w:rPr>
        <w:t>[328,350]</w:t>
      </w:r>
      <w:r w:rsidRPr="00107040">
        <w:rPr>
          <w:sz w:val="28"/>
          <w:szCs w:val="28"/>
          <w:lang w:val="ru-RU"/>
        </w:rPr>
        <w:fldChar w:fldCharType="end"/>
      </w:r>
      <w:r w:rsidRPr="00107040">
        <w:rPr>
          <w:sz w:val="28"/>
          <w:szCs w:val="28"/>
          <w:lang w:val="ru-RU"/>
        </w:rPr>
        <w:t xml:space="preserve">. Примечательно, что мутации </w:t>
      </w:r>
      <w:r w:rsidRPr="00107040">
        <w:rPr>
          <w:i/>
          <w:sz w:val="28"/>
          <w:szCs w:val="28"/>
        </w:rPr>
        <w:t>parg</w:t>
      </w:r>
      <w:r w:rsidRPr="00107040">
        <w:rPr>
          <w:i/>
          <w:sz w:val="28"/>
          <w:szCs w:val="28"/>
          <w:lang w:val="ru-RU"/>
        </w:rPr>
        <w:t>1</w:t>
      </w:r>
      <w:r w:rsidRPr="00107040">
        <w:rPr>
          <w:sz w:val="28"/>
          <w:szCs w:val="28"/>
          <w:lang w:val="ru-RU"/>
        </w:rPr>
        <w:t xml:space="preserve"> вызывали более серьезные повреждения растений, чем отсутствие </w:t>
      </w:r>
      <w:r w:rsidRPr="00107040">
        <w:rPr>
          <w:sz w:val="28"/>
          <w:szCs w:val="28"/>
        </w:rPr>
        <w:t>AtPARP</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{"citationID":"a17v8lut7a5","properties":{"formattedCitation":"[328]","plainCitation":"[328]","noteIndex":0},"citationItems":[{"id":1637,"uris":["http://zotero.org/users/9078202/items/Y6YU77KL"],"itemData":{"id":1637,"type":"article-journal","abstract":"Poly(ADP-ribosyl)ation is a reversible post-translational modification of proteins, characterized by the addition of poly(ADP-ribose) (PAR) to proteins by poly(ADP-ribose) polymerase (PARP), and removal of PAR by poly(ADP-ribose) glycohydrolase (PARG). Three PARPs and two PARGs have been found in Arabidopsis, but their respective roles are not fully understood. In this study, the functions of each PARP and PARG in DNA repair were analyzed based on their mutant phenotypes under genotoxic stresses. Double or triple mutant analysis revealed that PARP1 and PARP2, but not PARP3, play a similar but not critical role in DNA repair in Arabidopsis seedlings. PARG1 and PARG2 play an essential and a minor role, respectively under the same conditions. Mutation of PARG1 results in increased DNA damage level and enhanced cell death in plants after bleomycin treatment. PARG1 expression is induced primarily in root and shoot meristems by bleomycin and induction of PARG1 is dependent on ATM and ATR kinases. PARG1 also antagonistically modulates the DNA repair process by preventing the over-induction of DNA repair genes. Our study determined the contribution of each PARP and PARG member in DNA repair and indicated that PARG1 plays a critical role in this process.","container-title":"Scientific Reports","DOI":"10.1038/srep15892","ISSN":"2045-2322","journalAbbreviation":"Sci Rep","language":"eng","note":"PMID: 26516022\nPMCID: PMC4626836","page":"15892","source":"PubMed","title":"Arabidopsis PARG1 is the key factor promoting cell survival among the enzymes regulating post-translational poly(ADP-ribosyl)ation","volume":"5","author":[{"family":"Zhang","given":"Hailei"},{"family":"Gu","given":"Zongying"},{"family":"Wu","given":"Qiao"},{"family":"Yang","given":"Lifeng"},{"family":"Liu","given":"Caifeng"},{"family":"Ma","given":"Hong"},{"family":"Xia","given":"Yiji"},{"family":"Ge","given":"Xiaochun"}],"issued":{"date-parts":[["2015",10,30]]}}}],"schema":"https://github.com/citation-style-language/schema/raw/master/csl-citation.json"} </w:instrText>
      </w:r>
      <w:r w:rsidRPr="00107040">
        <w:rPr>
          <w:sz w:val="28"/>
          <w:szCs w:val="28"/>
          <w:lang w:val="ru-RU"/>
        </w:rPr>
        <w:fldChar w:fldCharType="separate"/>
      </w:r>
      <w:r w:rsidR="008611DC" w:rsidRPr="008611DC">
        <w:rPr>
          <w:sz w:val="28"/>
          <w:lang w:val="ru-RU"/>
        </w:rPr>
        <w:t>[328]</w:t>
      </w:r>
      <w:r w:rsidRPr="00107040">
        <w:rPr>
          <w:sz w:val="28"/>
          <w:szCs w:val="28"/>
          <w:lang w:val="ru-RU"/>
        </w:rPr>
        <w:fldChar w:fldCharType="end"/>
      </w:r>
      <w:r w:rsidRPr="00107040">
        <w:rPr>
          <w:sz w:val="28"/>
          <w:szCs w:val="28"/>
          <w:lang w:val="ru-RU"/>
        </w:rPr>
        <w:t xml:space="preserve">. Это было связано с тем, что свободная поли(АДФ-рибоза) считается токсичной для растительных клеток, как это было описано для клеток млекопитающих </w:t>
      </w:r>
      <w:r w:rsidRPr="00107040">
        <w:rPr>
          <w:sz w:val="28"/>
          <w:szCs w:val="28"/>
          <w:lang w:val="ru-RU"/>
        </w:rPr>
        <w:fldChar w:fldCharType="begin"/>
      </w:r>
      <w:r w:rsidR="008611DC">
        <w:rPr>
          <w:sz w:val="28"/>
          <w:szCs w:val="28"/>
          <w:lang w:val="ru-RU"/>
        </w:rPr>
        <w:instrText xml:space="preserve"> ADDIN ZOTERO_ITEM CSL_CITATION {"citationID":"a1grvhm59v8","properties":{"formattedCitation":"[328]","plainCitation":"[328]","noteIndex":0},"citationItems":[{"id":1637,"uris":["http://zotero.org/users/9078202/items/Y6YU77KL"],"itemData":{"id":1637,"type":"article-journal","abstract":"Poly(ADP-ribosyl)ation is a reversible post-translational modification of proteins, characterized by the addition of poly(ADP-ribose) (PAR) to proteins by poly(ADP-ribose) polymerase (PARP), and removal of PAR by poly(ADP-ribose) glycohydrolase (PARG). Three PARPs and two PARGs have been found in Arabidopsis, but their respective roles are not fully understood. In this study, the functions of each PARP and PARG in DNA repair were analyzed based on their mutant phenotypes under genotoxic stresses. Double or triple mutant analysis revealed that PARP1 and PARP2, but not PARP3, play a similar but not critical role in DNA repair in Arabidopsis seedlings. PARG1 and PARG2 play an essential and a minor role, respectively under the same conditions. Mutation of PARG1 results in increased DNA damage level and enhanced cell death in plants after bleomycin treatment. PARG1 expression is induced primarily in root and shoot meristems by bleomycin and induction of PARG1 is dependent on ATM and ATR kinases. PARG1 also antagonistically modulates the DNA repair process by preventing the over-induction of DNA repair genes. Our study determined the contribution of each PARP and PARG member in DNA repair and indicated that PARG1 plays a critical role in this process.","container-title":"Scientific Reports","DOI":"10.1038/srep15892","ISSN":"2045-2322","journalAbbreviation":"Sci Rep","language":"eng","note":"PMID: 26516022\nPMCID: PMC4626836","page":"15892","source":"PubMed","title":"Arabidopsis PARG1 is the key factor promoting cell survival among the enzymes regulating post-translational poly(ADP-ribosyl)ation","volume":"5","author":[{"family":"Zhang","given":"Hailei"},{"family":"Gu","given":"Zongying"},{"family":"Wu","given":"Qiao"},{"family":"Yang","given":"Lifeng"},{"family":"Liu","given":"Caifeng"},{"family":"Ma","given":"Hong"},{"family":"Xia","given":"Yiji"},{"family":"Ge","given":"Xiaochun"}],"issued":{"date-parts":[["2015",10,30]]}}}],"schema":"https://github.com/citation-style-language/schema/raw/master/csl-citation.json"} </w:instrText>
      </w:r>
      <w:r w:rsidRPr="00107040">
        <w:rPr>
          <w:sz w:val="28"/>
          <w:szCs w:val="28"/>
          <w:lang w:val="ru-RU"/>
        </w:rPr>
        <w:fldChar w:fldCharType="separate"/>
      </w:r>
      <w:r w:rsidR="008611DC" w:rsidRPr="008611DC">
        <w:rPr>
          <w:sz w:val="28"/>
          <w:lang w:val="ru-RU"/>
        </w:rPr>
        <w:t>[328]</w:t>
      </w:r>
      <w:r w:rsidRPr="00107040">
        <w:rPr>
          <w:sz w:val="28"/>
          <w:szCs w:val="28"/>
          <w:lang w:val="ru-RU"/>
        </w:rPr>
        <w:fldChar w:fldCharType="end"/>
      </w:r>
      <w:r w:rsidRPr="00107040">
        <w:rPr>
          <w:sz w:val="28"/>
          <w:szCs w:val="28"/>
          <w:lang w:val="ru-RU"/>
        </w:rPr>
        <w:t>.</w:t>
      </w:r>
      <w:r w:rsidRPr="00107040">
        <w:rPr>
          <w:sz w:val="28"/>
          <w:szCs w:val="28"/>
          <w:lang w:val="kk-KZ"/>
        </w:rPr>
        <w:t xml:space="preserve"> </w:t>
      </w:r>
    </w:p>
    <w:p w14:paraId="2C27B481" w14:textId="62DB4FD9"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Механистическую роль </w:t>
      </w:r>
      <w:r w:rsidRPr="00107040">
        <w:rPr>
          <w:sz w:val="28"/>
          <w:szCs w:val="28"/>
        </w:rPr>
        <w:t>PARG</w:t>
      </w:r>
      <w:r w:rsidRPr="00107040">
        <w:rPr>
          <w:sz w:val="28"/>
          <w:szCs w:val="28"/>
          <w:lang w:val="ru-RU"/>
        </w:rPr>
        <w:t xml:space="preserve"> в реакциях растений на повреждение ДНК еще предстоит выяснить. У мутантов</w:t>
      </w:r>
      <w:r w:rsidRPr="00107040">
        <w:rPr>
          <w:i/>
          <w:sz w:val="28"/>
          <w:szCs w:val="28"/>
          <w:lang w:val="ru-RU"/>
        </w:rPr>
        <w:t xml:space="preserve"> </w:t>
      </w:r>
      <w:r w:rsidRPr="00107040">
        <w:rPr>
          <w:i/>
          <w:sz w:val="28"/>
          <w:szCs w:val="28"/>
        </w:rPr>
        <w:t>parg</w:t>
      </w:r>
      <w:r w:rsidRPr="00107040">
        <w:rPr>
          <w:i/>
          <w:sz w:val="28"/>
          <w:szCs w:val="28"/>
          <w:lang w:val="ru-RU"/>
        </w:rPr>
        <w:t>1</w:t>
      </w:r>
      <w:r w:rsidRPr="00107040">
        <w:rPr>
          <w:sz w:val="28"/>
          <w:szCs w:val="28"/>
          <w:lang w:val="ru-RU"/>
        </w:rPr>
        <w:t xml:space="preserve"> была обнаружена повышенная экспрессия компонентов </w:t>
      </w:r>
      <w:r w:rsidRPr="00107040">
        <w:rPr>
          <w:sz w:val="28"/>
          <w:szCs w:val="28"/>
        </w:rPr>
        <w:t>HR</w:t>
      </w:r>
      <w:r w:rsidRPr="00107040">
        <w:rPr>
          <w:sz w:val="28"/>
          <w:szCs w:val="28"/>
          <w:lang w:val="ru-RU"/>
        </w:rPr>
        <w:t xml:space="preserve"> (т.е. </w:t>
      </w:r>
      <w:r w:rsidRPr="00107040">
        <w:rPr>
          <w:sz w:val="28"/>
          <w:szCs w:val="28"/>
        </w:rPr>
        <w:t>SMC</w:t>
      </w:r>
      <w:r w:rsidRPr="00107040">
        <w:rPr>
          <w:sz w:val="28"/>
          <w:szCs w:val="28"/>
          <w:lang w:val="ru-RU"/>
        </w:rPr>
        <w:t>6</w:t>
      </w:r>
      <w:r w:rsidRPr="00107040">
        <w:rPr>
          <w:sz w:val="28"/>
          <w:szCs w:val="28"/>
        </w:rPr>
        <w:t>A</w:t>
      </w:r>
      <w:r w:rsidRPr="00107040">
        <w:rPr>
          <w:sz w:val="28"/>
          <w:szCs w:val="28"/>
          <w:lang w:val="ru-RU"/>
        </w:rPr>
        <w:t xml:space="preserve">, </w:t>
      </w:r>
      <w:r w:rsidRPr="00107040">
        <w:rPr>
          <w:sz w:val="28"/>
          <w:szCs w:val="28"/>
        </w:rPr>
        <w:t>SMC</w:t>
      </w:r>
      <w:r w:rsidRPr="00107040">
        <w:rPr>
          <w:sz w:val="28"/>
          <w:szCs w:val="28"/>
          <w:lang w:val="ru-RU"/>
        </w:rPr>
        <w:t>6</w:t>
      </w:r>
      <w:r w:rsidRPr="00107040">
        <w:rPr>
          <w:sz w:val="28"/>
          <w:szCs w:val="28"/>
        </w:rPr>
        <w:t>B</w:t>
      </w:r>
      <w:r w:rsidRPr="00107040">
        <w:rPr>
          <w:sz w:val="28"/>
          <w:szCs w:val="28"/>
          <w:lang w:val="ru-RU"/>
        </w:rPr>
        <w:t xml:space="preserve">, </w:t>
      </w:r>
      <w:r w:rsidRPr="00107040">
        <w:rPr>
          <w:sz w:val="28"/>
          <w:szCs w:val="28"/>
        </w:rPr>
        <w:t>RAD</w:t>
      </w:r>
      <w:r w:rsidRPr="00107040">
        <w:rPr>
          <w:sz w:val="28"/>
          <w:szCs w:val="28"/>
          <w:lang w:val="ru-RU"/>
        </w:rPr>
        <w:t xml:space="preserve">17, </w:t>
      </w:r>
      <w:r w:rsidRPr="00107040">
        <w:rPr>
          <w:sz w:val="28"/>
          <w:szCs w:val="28"/>
        </w:rPr>
        <w:t>RAD</w:t>
      </w:r>
      <w:r w:rsidRPr="00107040">
        <w:rPr>
          <w:sz w:val="28"/>
          <w:szCs w:val="28"/>
          <w:lang w:val="ru-RU"/>
        </w:rPr>
        <w:t xml:space="preserve">51, </w:t>
      </w:r>
      <w:r w:rsidRPr="00107040">
        <w:rPr>
          <w:sz w:val="28"/>
          <w:szCs w:val="28"/>
        </w:rPr>
        <w:t>RAD</w:t>
      </w:r>
      <w:r w:rsidRPr="00107040">
        <w:rPr>
          <w:sz w:val="28"/>
          <w:szCs w:val="28"/>
          <w:lang w:val="ru-RU"/>
        </w:rPr>
        <w:t xml:space="preserve">54, </w:t>
      </w:r>
      <w:r w:rsidRPr="00107040">
        <w:rPr>
          <w:sz w:val="28"/>
          <w:szCs w:val="28"/>
        </w:rPr>
        <w:t>REV</w:t>
      </w:r>
      <w:r w:rsidRPr="00107040">
        <w:rPr>
          <w:sz w:val="28"/>
          <w:szCs w:val="28"/>
          <w:lang w:val="ru-RU"/>
        </w:rPr>
        <w:t xml:space="preserve">7) и компонентов </w:t>
      </w:r>
      <w:r w:rsidRPr="00107040">
        <w:rPr>
          <w:sz w:val="28"/>
          <w:szCs w:val="28"/>
        </w:rPr>
        <w:t>NHEJ</w:t>
      </w:r>
      <w:r w:rsidRPr="00107040">
        <w:rPr>
          <w:sz w:val="28"/>
          <w:szCs w:val="28"/>
          <w:lang w:val="ru-RU"/>
        </w:rPr>
        <w:t xml:space="preserve"> (т.е. </w:t>
      </w:r>
      <w:r w:rsidRPr="00107040">
        <w:rPr>
          <w:sz w:val="28"/>
          <w:szCs w:val="28"/>
        </w:rPr>
        <w:t>LIG</w:t>
      </w:r>
      <w:r w:rsidRPr="00107040">
        <w:rPr>
          <w:sz w:val="28"/>
          <w:szCs w:val="28"/>
          <w:lang w:val="ru-RU"/>
        </w:rPr>
        <w:t xml:space="preserve">4, </w:t>
      </w:r>
      <w:r w:rsidRPr="00107040">
        <w:rPr>
          <w:sz w:val="28"/>
          <w:szCs w:val="28"/>
        </w:rPr>
        <w:t>Ku</w:t>
      </w:r>
      <w:r w:rsidRPr="00107040">
        <w:rPr>
          <w:sz w:val="28"/>
          <w:szCs w:val="28"/>
          <w:lang w:val="ru-RU"/>
        </w:rPr>
        <w:t xml:space="preserve">70, </w:t>
      </w:r>
      <w:r w:rsidRPr="00107040">
        <w:rPr>
          <w:sz w:val="28"/>
          <w:szCs w:val="28"/>
        </w:rPr>
        <w:t>Ku</w:t>
      </w:r>
      <w:r w:rsidRPr="00107040">
        <w:rPr>
          <w:sz w:val="28"/>
          <w:szCs w:val="28"/>
          <w:lang w:val="ru-RU"/>
        </w:rPr>
        <w:t xml:space="preserve">80) </w:t>
      </w:r>
      <w:r w:rsidRPr="00107040">
        <w:rPr>
          <w:sz w:val="28"/>
          <w:szCs w:val="28"/>
          <w:lang w:val="ru-RU"/>
        </w:rPr>
        <w:fldChar w:fldCharType="begin"/>
      </w:r>
      <w:r w:rsidR="008611DC">
        <w:rPr>
          <w:sz w:val="28"/>
          <w:szCs w:val="28"/>
          <w:lang w:val="ru-RU"/>
        </w:rPr>
        <w:instrText xml:space="preserve"> ADDIN ZOTERO_ITEM CSL_CITATION {"citationID":"a3693etemg","properties":{"formattedCitation":"[328]","plainCitation":"[328]","noteIndex":0},"citationItems":[{"id":1637,"uris":["http://zotero.org/users/9078202/items/Y6YU77KL"],"itemData":{"id":1637,"type":"article-journal","abstract":"Poly(ADP-ribosyl)ation is a reversible post-translational modification of proteins, characterized by the addition of poly(ADP-ribose) (PAR) to proteins by poly(ADP-ribose) polymerase (PARP), and removal of PAR by poly(ADP-ribose) glycohydrolase (PARG). Three PARPs and two PARGs have been found in Arabidopsis, but their respective roles are not fully understood. In this study, the functions of each PARP and PARG in DNA repair were analyzed based on their mutant phenotypes under genotoxic stresses. Double or triple mutant analysis revealed that PARP1 and PARP2, but not PARP3, play a similar but not critical role in DNA repair in Arabidopsis seedlings. PARG1 and PARG2 play an essential and a minor role, respectively under the same conditions. Mutation of PARG1 results in increased DNA damage level and enhanced cell death in plants after bleomycin treatment. PARG1 expression is induced primarily in root and shoot meristems by bleomycin and induction of PARG1 is dependent on ATM and ATR kinases. PARG1 also antagonistically modulates the DNA repair process by preventing the over-induction of DNA repair genes. Our study determined the contribution of each PARP and PARG member in DNA repair and indicated that PARG1 plays a critical role in this process.","container-title":"Scientific Reports","DOI":"10.1038/srep15892","ISSN":"2045-2322","journalAbbreviation":"Sci Rep","language":"eng","note":"PMID: 26516022\nPMCID: PMC4626836","page":"15892","source":"PubMed","title":"Arabidopsis PARG1 is the key factor promoting cell survival among the enzymes regulating post-translational poly(ADP-ribosyl)ation","volume":"5","author":[{"family":"Zhang","given":"Hailei"},{"family":"Gu","given":"Zongying"},{"family":"Wu","given":"Qiao"},{"family":"Yang","given":"Lifeng"},{"family":"Liu","given":"Caifeng"},{"family":"Ma","given":"Hong"},{"family":"Xia","given":"Yiji"},{"family":"Ge","given":"Xiaochun"}],"issued":{"date-parts":[["2015",10,30]]}}}],"schema":"https://github.com/citation-style-language/schema/raw/master/csl-citation.json"} </w:instrText>
      </w:r>
      <w:r w:rsidRPr="00107040">
        <w:rPr>
          <w:sz w:val="28"/>
          <w:szCs w:val="28"/>
          <w:lang w:val="ru-RU"/>
        </w:rPr>
        <w:fldChar w:fldCharType="separate"/>
      </w:r>
      <w:r w:rsidR="008611DC" w:rsidRPr="008611DC">
        <w:rPr>
          <w:sz w:val="28"/>
          <w:lang w:val="ru-RU"/>
        </w:rPr>
        <w:t>[328]</w:t>
      </w:r>
      <w:r w:rsidRPr="00107040">
        <w:rPr>
          <w:sz w:val="28"/>
          <w:szCs w:val="28"/>
          <w:lang w:val="ru-RU"/>
        </w:rPr>
        <w:fldChar w:fldCharType="end"/>
      </w:r>
      <w:r w:rsidRPr="00107040">
        <w:rPr>
          <w:sz w:val="28"/>
          <w:szCs w:val="28"/>
          <w:lang w:val="ru-RU"/>
        </w:rPr>
        <w:t xml:space="preserve">. Напротив, </w:t>
      </w:r>
      <w:r w:rsidRPr="00107040">
        <w:rPr>
          <w:sz w:val="28"/>
          <w:szCs w:val="28"/>
          <w:lang w:val="kk-KZ"/>
        </w:rPr>
        <w:t>у</w:t>
      </w:r>
      <w:r w:rsidRPr="00107040">
        <w:rPr>
          <w:sz w:val="28"/>
          <w:szCs w:val="28"/>
          <w:lang w:val="ru-RU"/>
        </w:rPr>
        <w:t xml:space="preserve"> мутантов </w:t>
      </w:r>
      <w:r w:rsidRPr="00107040">
        <w:rPr>
          <w:i/>
          <w:sz w:val="28"/>
          <w:szCs w:val="28"/>
        </w:rPr>
        <w:t>parg</w:t>
      </w:r>
      <w:r w:rsidRPr="00107040">
        <w:rPr>
          <w:i/>
          <w:sz w:val="28"/>
          <w:szCs w:val="28"/>
          <w:lang w:val="ru-RU"/>
        </w:rPr>
        <w:t>1</w:t>
      </w:r>
      <w:r w:rsidRPr="00107040">
        <w:rPr>
          <w:sz w:val="28"/>
          <w:szCs w:val="28"/>
          <w:lang w:val="ru-RU"/>
        </w:rPr>
        <w:t xml:space="preserve"> </w:t>
      </w:r>
      <w:r w:rsidRPr="00107040">
        <w:rPr>
          <w:sz w:val="28"/>
          <w:szCs w:val="28"/>
          <w:lang w:val="kk-KZ"/>
        </w:rPr>
        <w:t xml:space="preserve">была нарушена </w:t>
      </w:r>
      <w:r w:rsidRPr="00107040">
        <w:rPr>
          <w:sz w:val="28"/>
          <w:szCs w:val="28"/>
          <w:lang w:val="ru-RU"/>
        </w:rPr>
        <w:t xml:space="preserve">экспрессия </w:t>
      </w:r>
      <w:r w:rsidRPr="00107040">
        <w:rPr>
          <w:sz w:val="28"/>
          <w:szCs w:val="28"/>
        </w:rPr>
        <w:t>RAD</w:t>
      </w:r>
      <w:r w:rsidRPr="00107040">
        <w:rPr>
          <w:sz w:val="28"/>
          <w:szCs w:val="28"/>
          <w:lang w:val="ru-RU"/>
        </w:rPr>
        <w:t xml:space="preserve">51 и </w:t>
      </w:r>
      <w:r w:rsidRPr="00107040">
        <w:rPr>
          <w:sz w:val="28"/>
          <w:szCs w:val="28"/>
        </w:rPr>
        <w:t>SWI</w:t>
      </w:r>
      <w:r w:rsidRPr="00107040">
        <w:rPr>
          <w:sz w:val="28"/>
          <w:szCs w:val="28"/>
          <w:lang w:val="ru-RU"/>
        </w:rPr>
        <w:t xml:space="preserve">, индуцированная бактериальным элиситором </w:t>
      </w:r>
      <w:r w:rsidRPr="00107040">
        <w:rPr>
          <w:sz w:val="28"/>
          <w:szCs w:val="28"/>
        </w:rPr>
        <w:t>flg</w:t>
      </w:r>
      <w:r w:rsidRPr="00107040">
        <w:rPr>
          <w:sz w:val="28"/>
          <w:szCs w:val="28"/>
          <w:lang w:val="ru-RU"/>
        </w:rPr>
        <w:t xml:space="preserve">22 </w:t>
      </w:r>
      <w:r w:rsidRPr="00107040">
        <w:rPr>
          <w:sz w:val="28"/>
          <w:szCs w:val="28"/>
          <w:lang w:val="ru-RU"/>
        </w:rPr>
        <w:fldChar w:fldCharType="begin"/>
      </w:r>
      <w:r w:rsidR="008611DC">
        <w:rPr>
          <w:sz w:val="28"/>
          <w:szCs w:val="28"/>
          <w:lang w:val="ru-RU"/>
        </w:rPr>
        <w:instrText xml:space="preserve"> ADDIN ZOTERO_ITEM CSL_CITATION {"citationID":"a1fakeeplfr","properties":{"formattedCitation":"[351]","plainCitation":"[351]","noteIndex":0},"citationItems":[{"id":1707,"uris":["http://zotero.org/users/9078202/items/5NVYT3UP"],"itemData":{"id":1707,"type":"article-journal","abstract":"Pharmacological inhibition of poly(ADP-ribose) polymerase (PARP) or loss of Arabidopsis thaliana PARG1 (poly(ADP-ribose) glycohydrolase) disrupt a subset of plant defenses. In the present study we examined the impact of altered poly(ADP-ribosyl)ation on early gene expression induced by the microbe-associate molecular patterns (MAMPs) flagellin (flg22) and EF-Tu (elf18). Stringent statistical analyses and filtering identified 178 genes having MAMP-induced mRNA abundance patterns that were altered by either PARP inhibitor 3-aminobenzamide (3AB) or PARG1 knockout. From the identified set of 178 genes, over fifty Arabidopsis T-DNA insertion lines were chosen and screened for altered basal defense responses. Subtle alterations in callose deposition and/or seedling growth in response to those MAMPs were observed in knockouts of At3g55630 (FPGS3, a cytosolic folylpolyglutamate synthetase), At5g15660 (containing an F-box domain), At1g47370 (a TIR-X (Toll-Interleukin Receptor domain)), and At5g64060 (a predicted pectin methylesterase inhibitor). Over-represented GO terms for the gene expression study included \"innate immune response\" for elf18/parg1, highlighting a subset of elf18-activated defense-associated genes whose expression is altered in parg1 plants. The study also allowed a tightly controlled comparison of early mRNA abundance responses to flg22 and elf18 in wild-type Arabidopsis, which revealed many differences. The PARP inhibitor 3-methoxybenzamide (3MB) was also used in the gene expression profiling, but pleiotropic impacts of this inhibitor were observed. This transcriptomics study revealed targets for further dissection of MAMP-induced plant immune responses, impacts of PARP inhibitors, and the molecular mechanisms by which poly(ADP-ribosyl)ation regulates plant responses to MAMPs.","container-title":"PloS One","DOI":"10.1371/journal.pone.0190268","ISSN":"1932-6203","issue":"12","journalAbbreviation":"PLoS One","language":"eng","note":"PMID: 29284022\nPMCID: PMC5746271","page":"e0190268","source":"PubMed","title":"A transcriptomics approach uncovers novel roles for poly(ADP-ribosyl)ation in the basal defense response in Arabidopsis thaliana","volume":"12","author":[{"family":"Briggs","given":"Amy G."},{"family":"Adams-Phillips","given":"Lori C."},{"family":"Keppler","given":"Brian D."},{"family":"Zebell","given":"Sophia G."},{"family":"Arend","given":"Kyle C."},{"family":"Apfelbaum","given":"April A."},{"family":"Smith","given":"Joshua A."},{"family":"Bent","given":"Andrew F."}],"issued":{"date-parts":[["2017"]]}}}],"schema":"https://github.com/citation-style-language/schema/raw/master/csl-citation.json"} </w:instrText>
      </w:r>
      <w:r w:rsidRPr="00107040">
        <w:rPr>
          <w:sz w:val="28"/>
          <w:szCs w:val="28"/>
          <w:lang w:val="ru-RU"/>
        </w:rPr>
        <w:fldChar w:fldCharType="separate"/>
      </w:r>
      <w:r w:rsidR="008611DC" w:rsidRPr="008611DC">
        <w:rPr>
          <w:sz w:val="28"/>
          <w:lang w:val="ru-RU"/>
        </w:rPr>
        <w:t>[351]</w:t>
      </w:r>
      <w:r w:rsidRPr="00107040">
        <w:rPr>
          <w:sz w:val="28"/>
          <w:szCs w:val="28"/>
          <w:lang w:val="ru-RU"/>
        </w:rPr>
        <w:fldChar w:fldCharType="end"/>
      </w:r>
      <w:r w:rsidRPr="00107040">
        <w:rPr>
          <w:sz w:val="28"/>
          <w:szCs w:val="28"/>
          <w:lang w:val="ru-RU"/>
        </w:rPr>
        <w:t xml:space="preserve">. Кроме того, индукция экспрессии </w:t>
      </w:r>
      <w:r w:rsidRPr="00107040">
        <w:rPr>
          <w:sz w:val="28"/>
          <w:szCs w:val="28"/>
        </w:rPr>
        <w:t>AtPARG</w:t>
      </w:r>
      <w:r w:rsidRPr="00107040">
        <w:rPr>
          <w:sz w:val="28"/>
          <w:szCs w:val="28"/>
          <w:lang w:val="ru-RU"/>
        </w:rPr>
        <w:t xml:space="preserve">1 была ослаблена у мутантных растений </w:t>
      </w:r>
      <w:r w:rsidRPr="00107040">
        <w:rPr>
          <w:i/>
          <w:sz w:val="28"/>
          <w:szCs w:val="28"/>
        </w:rPr>
        <w:t>atm</w:t>
      </w:r>
      <w:r w:rsidRPr="00107040">
        <w:rPr>
          <w:sz w:val="28"/>
          <w:szCs w:val="28"/>
          <w:lang w:val="ru-RU"/>
        </w:rPr>
        <w:t xml:space="preserve"> и </w:t>
      </w:r>
      <w:r w:rsidRPr="00107040">
        <w:rPr>
          <w:i/>
          <w:sz w:val="28"/>
          <w:szCs w:val="28"/>
        </w:rPr>
        <w:t>atr</w:t>
      </w:r>
      <w:r w:rsidRPr="00107040">
        <w:rPr>
          <w:i/>
          <w:sz w:val="28"/>
          <w:szCs w:val="28"/>
          <w:lang w:val="ru-RU"/>
        </w:rPr>
        <w:t xml:space="preserve"> </w:t>
      </w:r>
      <w:r w:rsidRPr="00107040">
        <w:rPr>
          <w:sz w:val="28"/>
          <w:szCs w:val="28"/>
          <w:lang w:val="ru-RU"/>
        </w:rPr>
        <w:t xml:space="preserve">и наоборот </w:t>
      </w:r>
      <w:r w:rsidRPr="00107040">
        <w:rPr>
          <w:sz w:val="28"/>
          <w:szCs w:val="28"/>
          <w:lang w:val="ru-RU"/>
        </w:rPr>
        <w:fldChar w:fldCharType="begin"/>
      </w:r>
      <w:r w:rsidR="008611DC">
        <w:rPr>
          <w:sz w:val="28"/>
          <w:szCs w:val="28"/>
          <w:lang w:val="ru-RU"/>
        </w:rPr>
        <w:instrText xml:space="preserve"> ADDIN ZOTERO_ITEM CSL_CITATION {"citationID":"a1tee1hc2ni","properties":{"formattedCitation":"[328]","plainCitation":"[328]","noteIndex":0},"citationItems":[{"id":1637,"uris":["http://zotero.org/users/9078202/items/Y6YU77KL"],"itemData":{"id":1637,"type":"article-journal","abstract":"Poly(ADP-ribosyl)ation is a reversible post-translational modification of proteins, characterized by the addition of poly(ADP-ribose) (PAR) to proteins by poly(ADP-ribose) polymerase (PARP), and removal of PAR by poly(ADP-ribose) glycohydrolase (PARG). Three PARPs and two PARGs have been found in Arabidopsis, but their respective roles are not fully understood. In this study, the functions of each PARP and PARG in DNA repair were analyzed based on their mutant phenotypes under genotoxic stresses. Double or triple mutant analysis revealed that PARP1 and PARP2, but not PARP3, play a similar but not critical role in DNA repair in Arabidopsis seedlings. PARG1 and PARG2 play an essential and a minor role, respectively under the same conditions. Mutation of PARG1 results in increased DNA damage level and enhanced cell death in plants after bleomycin treatment. PARG1 expression is induced primarily in root and shoot meristems by bleomycin and induction of PARG1 is dependent on ATM and ATR kinases. PARG1 also antagonistically modulates the DNA repair process by preventing the over-induction of DNA repair genes. Our study determined the contribution of each PARP and PARG member in DNA repair and indicated that PARG1 plays a critical role in this process.","container-title":"Scientific Reports","DOI":"10.1038/srep15892","ISSN":"2045-2322","journalAbbreviation":"Sci Rep","language":"eng","note":"PMID: 26516022\nPMCID: PMC4626836","page":"15892","source":"PubMed","title":"Arabidopsis PARG1 is the key factor promoting cell survival among the enzymes regulating post-translational poly(ADP-ribosyl)ation","volume":"5","author":[{"family":"Zhang","given":"Hailei"},{"family":"Gu","given":"Zongying"},{"family":"Wu","given":"Qiao"},{"family":"Yang","given":"Lifeng"},{"family":"Liu","given":"Caifeng"},{"family":"Ma","given":"Hong"},{"family":"Xia","given":"Yiji"},{"family":"Ge","given":"Xiaochun"}],"issued":{"date-parts":[["2015",10,30]]}}}],"schema":"https://github.com/citation-style-language/schema/raw/master/csl-citation.json"} </w:instrText>
      </w:r>
      <w:r w:rsidRPr="00107040">
        <w:rPr>
          <w:sz w:val="28"/>
          <w:szCs w:val="28"/>
          <w:lang w:val="ru-RU"/>
        </w:rPr>
        <w:fldChar w:fldCharType="separate"/>
      </w:r>
      <w:r w:rsidR="008611DC" w:rsidRPr="008611DC">
        <w:rPr>
          <w:sz w:val="28"/>
          <w:lang w:val="ru-RU"/>
        </w:rPr>
        <w:t>[328]</w:t>
      </w:r>
      <w:r w:rsidRPr="00107040">
        <w:rPr>
          <w:sz w:val="28"/>
          <w:szCs w:val="28"/>
          <w:lang w:val="ru-RU"/>
        </w:rPr>
        <w:fldChar w:fldCharType="end"/>
      </w:r>
      <w:r w:rsidRPr="00107040">
        <w:rPr>
          <w:sz w:val="28"/>
          <w:szCs w:val="28"/>
          <w:lang w:val="ru-RU"/>
        </w:rPr>
        <w:t xml:space="preserve">. Подобно </w:t>
      </w:r>
      <w:r w:rsidRPr="00107040">
        <w:rPr>
          <w:sz w:val="28"/>
          <w:szCs w:val="28"/>
        </w:rPr>
        <w:t>ATM</w:t>
      </w:r>
      <w:r w:rsidRPr="00107040">
        <w:rPr>
          <w:sz w:val="28"/>
          <w:szCs w:val="28"/>
          <w:lang w:val="ru-RU"/>
        </w:rPr>
        <w:t xml:space="preserve">, </w:t>
      </w:r>
      <w:r w:rsidRPr="00107040">
        <w:rPr>
          <w:sz w:val="28"/>
          <w:szCs w:val="28"/>
        </w:rPr>
        <w:t>ATR</w:t>
      </w:r>
      <w:r w:rsidRPr="00107040">
        <w:rPr>
          <w:sz w:val="28"/>
          <w:szCs w:val="28"/>
          <w:lang w:val="ru-RU"/>
        </w:rPr>
        <w:t xml:space="preserve"> является инициатором различных путей репарации повреждений ДНК </w:t>
      </w:r>
      <w:r w:rsidRPr="00107040">
        <w:rPr>
          <w:sz w:val="28"/>
          <w:szCs w:val="28"/>
          <w:lang w:val="ru-RU"/>
        </w:rPr>
        <w:fldChar w:fldCharType="begin"/>
      </w:r>
      <w:r w:rsidR="008611DC">
        <w:rPr>
          <w:sz w:val="28"/>
          <w:szCs w:val="28"/>
          <w:lang w:val="ru-RU"/>
        </w:rPr>
        <w:instrText xml:space="preserve"> ADDIN ZOTERO_ITEM CSL_CITATION {"citationID":"anhjqpoola","properties":{"formattedCitation":"[339]","plainCitation":"[339]","noteIndex":0},"citationItems":[{"id":1666,"uris":["http://zotero.org/users/9078202/items/WRJF6UBE"],"itemData":{"id":1666,"type":"article-journal","abstract":"Plant cells are constantly exposed to environmental agents and endogenous processes that inflict damage to DNA and cause genotoxic stress, which can reduce plant genome stability, growth and productivity. Plants are most affected by solar UV-B radiation, which damage the DNA by inducing the formation of two main UV photoproducts such as cyclobutane pyrimidine dimers (CPDs) and pyrimidine (6-4) pyrimidone photoproducts (6-4PPs). Reactive oxygen species (ROS) are also generated extra- or intra-cellularly, which constitute yet another source of genotoxic stress. As a result of this stress, the cellular DNA-damage responses (DDR) are activated, which transiently arrest the cell cycle and allow cells to repair DNA before proceeding into mitosis. DDR requires the activation of Ataxia telangiectasia-mutated (ATM) and Rad3-related (ATR) genes, which regulate the cell cycle and transmit the damage signals to downstream effectors of cell-cycle progression. Since genomic protection and stability are fundamental to ensure and sustain plant diversity and productivity, therefore, repair of DNA damages is essential. In plants the bulky DNA lesions, CPDs and 6-4PPs, are repaired by a simple and error-free mechanism: photoreactivation, which is a light-dependent mechanism and requires CPD or 6-4PP specific photolyases. In addition to this direct repair process, the plants also have sophisticated light-independent general repair mechanisms, such as the nucleotide excision repair (NER) and base excision repair (BER). The completed plant genome sequences reveal that most of the genes involved in NER and BER are present in higher plants, which suggests that the network of in-built DNA-damage repair mechanisms is conserved. This article describes the insight underlying the DNA damage and repair pathways in plants. The comet assay to measure the DNA damage and the role of DNA repair helicases such as XPD and XPB are also covered.","container-title":"Mutation Research","DOI":"10.1016/j.mrrev.2008.06.004","ISSN":"0027-5107","issue":"2-3","journalAbbreviation":"Mutat Res","language":"eng","note":"PMID: 18652913","page":"134-149","source":"PubMed","title":"Genotoxic stress in plants: shedding light on DNA damage, repair and DNA repair helicases","title-short":"Genotoxic stress in plants","volume":"681","author":[{"family":"Tuteja","given":"Narendra"},{"family":"Ahmad","given":"Parvaiz"},{"family":"Panda","given":"Brahma B."},{"family":"Tuteja","given":"Renu"}],"issued":{"date-parts":[["2009",6]]}}}],"schema":"https://github.com/citation-style-language/schema/raw/master/csl-citation.json"} </w:instrText>
      </w:r>
      <w:r w:rsidRPr="00107040">
        <w:rPr>
          <w:sz w:val="28"/>
          <w:szCs w:val="28"/>
          <w:lang w:val="ru-RU"/>
        </w:rPr>
        <w:fldChar w:fldCharType="separate"/>
      </w:r>
      <w:r w:rsidR="008611DC" w:rsidRPr="008611DC">
        <w:rPr>
          <w:sz w:val="28"/>
          <w:lang w:val="ru-RU"/>
        </w:rPr>
        <w:t>[339]</w:t>
      </w:r>
      <w:r w:rsidRPr="00107040">
        <w:rPr>
          <w:sz w:val="28"/>
          <w:szCs w:val="28"/>
          <w:lang w:val="ru-RU"/>
        </w:rPr>
        <w:fldChar w:fldCharType="end"/>
      </w:r>
      <w:r w:rsidRPr="00107040">
        <w:rPr>
          <w:sz w:val="28"/>
          <w:szCs w:val="28"/>
          <w:lang w:val="ru-RU"/>
        </w:rPr>
        <w:t xml:space="preserve">. Следовательно, </w:t>
      </w:r>
      <w:r w:rsidRPr="00107040">
        <w:rPr>
          <w:sz w:val="28"/>
          <w:szCs w:val="28"/>
        </w:rPr>
        <w:t>PARG</w:t>
      </w:r>
      <w:r w:rsidRPr="00107040">
        <w:rPr>
          <w:sz w:val="28"/>
          <w:szCs w:val="28"/>
          <w:lang w:val="ru-RU"/>
        </w:rPr>
        <w:t xml:space="preserve">, как и </w:t>
      </w:r>
      <w:r w:rsidRPr="00107040">
        <w:rPr>
          <w:sz w:val="28"/>
          <w:szCs w:val="28"/>
        </w:rPr>
        <w:t>PARP</w:t>
      </w:r>
      <w:r w:rsidRPr="00107040">
        <w:rPr>
          <w:sz w:val="28"/>
          <w:szCs w:val="28"/>
          <w:lang w:val="ru-RU"/>
        </w:rPr>
        <w:t xml:space="preserve">, по-видимому, действуют как переключатель между различными путями репарации ДНК в </w:t>
      </w:r>
      <w:r w:rsidRPr="00107040">
        <w:rPr>
          <w:sz w:val="28"/>
          <w:szCs w:val="28"/>
          <w:lang w:val="kk-KZ"/>
        </w:rPr>
        <w:t>растениях</w:t>
      </w:r>
      <w:r w:rsidRPr="00107040">
        <w:rPr>
          <w:sz w:val="28"/>
          <w:szCs w:val="28"/>
          <w:lang w:val="ru-RU"/>
        </w:rPr>
        <w:t>. Тем не менее, их точная функция все еще неоднозначна.</w:t>
      </w:r>
      <w:r w:rsidRPr="00107040">
        <w:rPr>
          <w:sz w:val="28"/>
          <w:szCs w:val="28"/>
          <w:lang w:val="kk-KZ"/>
        </w:rPr>
        <w:t xml:space="preserve"> </w:t>
      </w:r>
    </w:p>
    <w:p w14:paraId="0A447F60"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p>
    <w:p w14:paraId="00D7366F"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bookmarkStart w:id="49" w:name="_Hlk113268550"/>
      <w:r w:rsidRPr="00107040">
        <w:rPr>
          <w:sz w:val="28"/>
          <w:szCs w:val="28"/>
          <w:lang w:val="kk-KZ"/>
        </w:rPr>
        <w:t>1.9.4 Р</w:t>
      </w:r>
      <w:r w:rsidRPr="00107040">
        <w:rPr>
          <w:sz w:val="28"/>
          <w:szCs w:val="28"/>
          <w:lang w:val="ru-RU"/>
        </w:rPr>
        <w:t xml:space="preserve">астительные </w:t>
      </w:r>
      <w:r w:rsidRPr="00107040">
        <w:rPr>
          <w:sz w:val="28"/>
          <w:szCs w:val="28"/>
        </w:rPr>
        <w:t>PARP</w:t>
      </w:r>
      <w:r w:rsidRPr="00107040">
        <w:rPr>
          <w:sz w:val="28"/>
          <w:szCs w:val="28"/>
          <w:lang w:val="ru-RU"/>
        </w:rPr>
        <w:t xml:space="preserve"> модифицир</w:t>
      </w:r>
      <w:r w:rsidRPr="00107040">
        <w:rPr>
          <w:sz w:val="28"/>
          <w:szCs w:val="28"/>
          <w:lang w:val="kk-KZ"/>
        </w:rPr>
        <w:t>уют</w:t>
      </w:r>
      <w:r w:rsidRPr="00107040">
        <w:rPr>
          <w:sz w:val="28"/>
          <w:szCs w:val="28"/>
          <w:lang w:val="ru-RU"/>
        </w:rPr>
        <w:t xml:space="preserve"> хромосомы</w:t>
      </w:r>
    </w:p>
    <w:bookmarkEnd w:id="49"/>
    <w:p w14:paraId="5B4FE869" w14:textId="6571F4F4"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В соответствии с ролью в реакции растений на повреждение ДНК, </w:t>
      </w:r>
      <w:r w:rsidRPr="00107040">
        <w:rPr>
          <w:sz w:val="28"/>
          <w:szCs w:val="28"/>
        </w:rPr>
        <w:t>PARP</w:t>
      </w:r>
      <w:r w:rsidRPr="00107040">
        <w:rPr>
          <w:sz w:val="28"/>
          <w:szCs w:val="28"/>
          <w:lang w:val="ru-RU"/>
        </w:rPr>
        <w:t xml:space="preserve"> обладают поли(АДФ-рибозил)ирующей активностью в отношении хромосомных белков. </w:t>
      </w:r>
      <w:r w:rsidRPr="00107040">
        <w:rPr>
          <w:sz w:val="28"/>
          <w:szCs w:val="28"/>
        </w:rPr>
        <w:t>AtPARP</w:t>
      </w:r>
      <w:r w:rsidRPr="00107040">
        <w:rPr>
          <w:sz w:val="28"/>
          <w:szCs w:val="28"/>
          <w:lang w:val="ru-RU"/>
        </w:rPr>
        <w:t xml:space="preserve">1 и </w:t>
      </w:r>
      <w:r w:rsidRPr="00107040">
        <w:rPr>
          <w:sz w:val="28"/>
          <w:szCs w:val="28"/>
        </w:rPr>
        <w:t>AtPARP</w:t>
      </w:r>
      <w:r w:rsidRPr="00107040">
        <w:rPr>
          <w:sz w:val="28"/>
          <w:szCs w:val="28"/>
          <w:lang w:val="ru-RU"/>
        </w:rPr>
        <w:t xml:space="preserve">2 связываются с хромосомами в делящихся клетках через свои </w:t>
      </w:r>
      <w:r w:rsidRPr="00107040">
        <w:rPr>
          <w:sz w:val="28"/>
          <w:szCs w:val="28"/>
        </w:rPr>
        <w:t>N</w:t>
      </w:r>
      <w:r w:rsidRPr="00107040">
        <w:rPr>
          <w:sz w:val="28"/>
          <w:szCs w:val="28"/>
          <w:lang w:val="ru-RU"/>
        </w:rPr>
        <w:t xml:space="preserve">-концевые домены </w:t>
      </w:r>
      <w:r w:rsidRPr="00107040">
        <w:rPr>
          <w:sz w:val="28"/>
          <w:szCs w:val="28"/>
          <w:lang w:val="ru-RU"/>
        </w:rPr>
        <w:fldChar w:fldCharType="begin"/>
      </w:r>
      <w:r w:rsidR="008611DC">
        <w:rPr>
          <w:sz w:val="28"/>
          <w:szCs w:val="28"/>
          <w:lang w:val="ru-RU"/>
        </w:rPr>
        <w:instrText xml:space="preserve"> ADDIN ZOTERO_ITEM CSL_CITATION {"citationID":"a27kpts9cj5","properties":{"formattedCitation":"[352]","plainCitation":"[352]","noteIndex":0},"citationItems":[{"id":1712,"uris":["http://zotero.org/users/9078202/items/43PPLYQP"],"itemData":{"id":1712,"type":"article-journal","abstract":"Poly(ADP-ribos)ylation is a reversible protein modification that in higher plants is catalyzed by two structurally different poly(ADP-ribose) polymerases, App and Zap. In vivo imaging of green-fluorescent protein (GPF) fusions showed that both Zap and App were associated with chromatin through the cell cycle progression. The in vivo behaviour of the App-GFP protein fusions can be attributed to the activity of two NASA motifs that mediate protein-protein interactions and nucleic acid binding. Expression of Zap deletion variants revealed that both Zn fingers and helix-turn-helix domains contributed to the association with chromosomes, whereas the localization in the nucleoplasm was mostly determined by the Zn fingers. The results highlight novel properties of protein sequences found in plant poly(ADP-ribose) polymerases and suggest important functions for this class of nuclear enzymes in chromosome dynamics.","container-title":"The Plant Journal: For Cell and Molecular Biology","DOI":"10.1046/j.1365-313x.2001.01143.x","ISSN":"0960-7412","issue":"3","journalAbbreviation":"Plant J","language":"eng","note":"PMID: 11722768","page":"245-255","source":"PubMed","title":"N-terminal domains of plant poly(ADP-ribose) polymerases define their association with mitotic chromosomes","volume":"28","author":[{"family":"Babiychuk","given":"E."},{"family":"Van Montagu","given":"M."},{"family":"Kushnir","given":"S."}],"issued":{"date-parts":[["2001",11]]}}}],"schema":"https://github.com/citation-style-language/schema/raw/master/csl-citation.json"} </w:instrText>
      </w:r>
      <w:r w:rsidRPr="00107040">
        <w:rPr>
          <w:sz w:val="28"/>
          <w:szCs w:val="28"/>
          <w:lang w:val="ru-RU"/>
        </w:rPr>
        <w:fldChar w:fldCharType="separate"/>
      </w:r>
      <w:r w:rsidR="008611DC" w:rsidRPr="008611DC">
        <w:rPr>
          <w:sz w:val="28"/>
          <w:lang w:val="ru-RU"/>
        </w:rPr>
        <w:t>[352]</w:t>
      </w:r>
      <w:r w:rsidRPr="00107040">
        <w:rPr>
          <w:sz w:val="28"/>
          <w:szCs w:val="28"/>
          <w:lang w:val="ru-RU"/>
        </w:rPr>
        <w:fldChar w:fldCharType="end"/>
      </w:r>
      <w:r w:rsidRPr="00107040">
        <w:rPr>
          <w:sz w:val="28"/>
          <w:szCs w:val="28"/>
          <w:lang w:val="ru-RU"/>
        </w:rPr>
        <w:t xml:space="preserve">. Таким образом, оба белка совместно локализуются и, вероятно, конкурируют за предполагаемые сайты ассоциации с гетерохроматином. Гистоны </w:t>
      </w:r>
      <w:r w:rsidRPr="00107040">
        <w:rPr>
          <w:sz w:val="28"/>
          <w:szCs w:val="28"/>
        </w:rPr>
        <w:t>H</w:t>
      </w:r>
      <w:r w:rsidRPr="00107040">
        <w:rPr>
          <w:sz w:val="28"/>
          <w:szCs w:val="28"/>
          <w:lang w:val="ru-RU"/>
        </w:rPr>
        <w:t xml:space="preserve">1, </w:t>
      </w:r>
      <w:r w:rsidRPr="00107040">
        <w:rPr>
          <w:sz w:val="28"/>
          <w:szCs w:val="28"/>
        </w:rPr>
        <w:t>H</w:t>
      </w:r>
      <w:r w:rsidRPr="00107040">
        <w:rPr>
          <w:sz w:val="28"/>
          <w:szCs w:val="28"/>
          <w:lang w:val="ru-RU"/>
        </w:rPr>
        <w:t>2</w:t>
      </w:r>
      <w:r w:rsidRPr="00107040">
        <w:rPr>
          <w:sz w:val="28"/>
          <w:szCs w:val="28"/>
        </w:rPr>
        <w:t>A</w:t>
      </w:r>
      <w:r w:rsidRPr="00107040">
        <w:rPr>
          <w:sz w:val="28"/>
          <w:szCs w:val="28"/>
          <w:lang w:val="ru-RU"/>
        </w:rPr>
        <w:t xml:space="preserve"> и </w:t>
      </w:r>
      <w:r w:rsidRPr="00107040">
        <w:rPr>
          <w:sz w:val="28"/>
          <w:szCs w:val="28"/>
        </w:rPr>
        <w:t>H</w:t>
      </w:r>
      <w:r w:rsidRPr="00107040">
        <w:rPr>
          <w:sz w:val="28"/>
          <w:szCs w:val="28"/>
          <w:lang w:val="ru-RU"/>
        </w:rPr>
        <w:t>2</w:t>
      </w:r>
      <w:r w:rsidRPr="00107040">
        <w:rPr>
          <w:sz w:val="28"/>
          <w:szCs w:val="28"/>
        </w:rPr>
        <w:t>B</w:t>
      </w:r>
      <w:r w:rsidRPr="00107040">
        <w:rPr>
          <w:sz w:val="28"/>
          <w:szCs w:val="28"/>
          <w:lang w:val="ru-RU"/>
        </w:rPr>
        <w:t xml:space="preserve"> в пшенице и табаке, а также гистоны </w:t>
      </w:r>
      <w:r w:rsidRPr="00107040">
        <w:rPr>
          <w:sz w:val="28"/>
          <w:szCs w:val="28"/>
        </w:rPr>
        <w:t>H</w:t>
      </w:r>
      <w:r w:rsidRPr="00107040">
        <w:rPr>
          <w:sz w:val="28"/>
          <w:szCs w:val="28"/>
          <w:lang w:val="ru-RU"/>
        </w:rPr>
        <w:t xml:space="preserve">1.1 и </w:t>
      </w:r>
      <w:r w:rsidRPr="00107040">
        <w:rPr>
          <w:sz w:val="28"/>
          <w:szCs w:val="28"/>
        </w:rPr>
        <w:t>H</w:t>
      </w:r>
      <w:r w:rsidRPr="00107040">
        <w:rPr>
          <w:sz w:val="28"/>
          <w:szCs w:val="28"/>
          <w:lang w:val="ru-RU"/>
        </w:rPr>
        <w:t xml:space="preserve">1.3 в арабидопсисе были нацелены на поли(АДФ-рибозил)ирование, предположительно создавая структуру хроматина, более доступную для РНК-полимеразы </w:t>
      </w:r>
      <w:r w:rsidRPr="00107040">
        <w:rPr>
          <w:sz w:val="28"/>
          <w:szCs w:val="28"/>
        </w:rPr>
        <w:t>II</w:t>
      </w:r>
      <w:r w:rsidRPr="00107040">
        <w:rPr>
          <w:sz w:val="28"/>
          <w:szCs w:val="28"/>
          <w:lang w:val="ru-RU"/>
        </w:rPr>
        <w:t xml:space="preserve">, как это было обнаружено </w:t>
      </w:r>
      <w:r w:rsidRPr="00107040">
        <w:rPr>
          <w:sz w:val="28"/>
          <w:szCs w:val="28"/>
          <w:lang w:val="ru-RU"/>
        </w:rPr>
        <w:lastRenderedPageBreak/>
        <w:t xml:space="preserve">для </w:t>
      </w:r>
      <w:r w:rsidRPr="00107040">
        <w:rPr>
          <w:sz w:val="28"/>
          <w:szCs w:val="28"/>
        </w:rPr>
        <w:t>PARP</w:t>
      </w:r>
      <w:r w:rsidRPr="00107040">
        <w:rPr>
          <w:sz w:val="28"/>
          <w:szCs w:val="28"/>
          <w:lang w:val="ru-RU"/>
        </w:rPr>
        <w:t xml:space="preserve">1 человека </w:t>
      </w:r>
      <w:r w:rsidRPr="00107040">
        <w:rPr>
          <w:sz w:val="28"/>
          <w:szCs w:val="28"/>
          <w:lang w:val="ru-RU"/>
        </w:rPr>
        <w:fldChar w:fldCharType="begin"/>
      </w:r>
      <w:r w:rsidR="00FB5E68">
        <w:rPr>
          <w:sz w:val="28"/>
          <w:szCs w:val="28"/>
          <w:lang w:val="ru-RU"/>
        </w:rPr>
        <w:instrText xml:space="preserve"> ADDIN ZOTERO_ITEM CSL_CITATION {"citationID":"a2nof7eqs8","properties":{"formattedCitation":"[310,312,322]","plainCitation":"[310,312,322]","noteIndex":0},"citationItems":[{"id":257,"uris":["http://zotero.org/users/9078202/items/CQVPEE3D"],"itemData":{"id":257,"type":"article-journal","container-title":"FEBS letters","DOI":"10.1016/0014-5793(79)81167-9","ISSN":"0014-5793","issue":"1","journalAbbreviation":"FEBS Lett","language":"eng","note":"PMID: 230075","page":"13-16","source":"PubMed","title":"Demonstration of in vitro covalent modification of chromosomal proteins by poly(ADP) ribosylation in plant nuclei","volume":"108","author":[{"family":"Willmitzer","given":"L."}],"issued":{"date-parts":[["1979",12,1]]}}},{"id":1588,"uris":["http://zotero.org/users/9078202/items/2U56DZ7W"],"itemData":{"id":1588,"type":"article-journal","abstract":"Polyamines in the presence or absence of Mg++ have been shown to stimulate 2–4 fold the total synthesis of poly(ADP-ribose) in isolated wheat nuclei. The stimulation by Mg++ and polyamines is dose dependent and is an affect on actual synthesis of new chains of polymer since neither Mg++ nor polyamines increase the average chain length of the polymer synthesised or inhibit the degradation of the polymer in isolated nuclei. Mg++ and polyamine treated nuclei showed an increased ADP-ribosylation of total histones to the same extent as did total polymer synthesised. Furthermore the distribution of poly(ADP-ribose) between histone H1 and the other core histones remained the same in control, Mg++ and polyamine treated nuclei.","container-title":"Biochemical and Biophysical Research Communications","DOI":"10.1016/0006-291X(79)91177-X","ISSN":"0006-291X","issue":"4","journalAbbreviation":"Biochemical and Biophysical Research Communications","language":"en","page":"1295-1304","source":"ScienceDirect","title":"Effect of polyamines and Mg++ on poly(ADP-ribose) synthesis and ADP-ribosylation of histones in wheat","URL":"https://www.sciencedirect.com/science/article/pii/0006291X7991177X","volume":"90","author":[{"family":"Whitby","given":"Andrew J."},{"family":"Stone","given":"Peter R."},{"family":"Whish","given":"William J. D."}],"accessed":{"date-parts":[["2022",9,5]]},"issued":{"date-parts":[["1979",10,29]]}}},{"id":"MPjqK5ng/v6qLSWfx","uris":["http://zotero.org/users/9078202/items/PX5WSTDM"],"itemData":{"id":251,"type":"article-journal","abstract":"Perception of microbe-associated molecular patterns (MAMPs) elicits transcriptional reprogramming in hosts and activates defense to pathogen attacks. The molecular mechanisms underlying plant pattern-triggered immunity remain elusive. A genetic screen identified Arabidopsis poly(ADP-ribose) glycohydrolase 1 (atparg1) mutant with elevated immune gene expression upon multiple MAMP and pathogen treatments. Poly(ADP-ribose) glycohydrolase (PARG) is predicted to remove poly(ADP-ribose) polymers on acceptor proteins modified by poly(ADP-ribose) polymerases (PARPs) with three PARPs and two PARGs in Arabidopsis genome. AtPARP1 and AtPARP2 possess poly(ADP-ribose) polymerase activity, and the activity of AtPARP2 was enhanced by MAMP treatment. AtPARG1, but not AtPARG2, carries glycohydrolase activity in vivo and in vitro. Importantly, mutation (G450R) in atparg1 blocks its activity and the corresponding residue is highly conserved and essential for human HsPARG activity. Consistently, mutant atparp1atparp2 plants exhibited compromised immune gene activation and enhanced susceptibility to pathogen infections. Our study indicates that protein poly(ADP-ribosyl)ation plays critical roles in plant immune gene expression and defense to pathogen attacks.","container-title":"PLOS Genetics","DOI":"10.1371/journal.pgen.1004936","ISSN":"1553-7404","issue":"1","journalAbbreviation":"PLOS Genetics","language":"en","note":"publisher: Public Library of Science","page":"e1004936","source":"PLoS Journals","title":"Protein Poly(ADP-ribosyl)ation Regulates Arabidopsis Immune Gene Expression and Defense Responses","URL":"https://journals.plos.org/plosgenetics/article?id=10.1371/journal.pgen.1004936","volume":"11","author":[{"family":"Feng","given":"Baomin"},{"family":"Liu","given":"Chenglong"},{"family":"Oliveira","given":"Marcos V. V.","dropping-particle":"de"},{"family":"Intorne","given":"Aline C."},{"family":"Li","given":"Bo"},{"family":"Babilonia","given":"Kevin"},{"family":"Filho","given":"Gonçalo A. de Souza"},{"family":"Shan","given":"Libo"},{"family":"He","given":"Ping"}],"accessed":{"date-parts":[["2022",4,11]]},"issued":{"date-parts":[["2015",1,8]]}}}],"schema":"https://github.com/citation-style-language/schema/raw/master/csl-citation.json"} </w:instrText>
      </w:r>
      <w:r w:rsidRPr="00107040">
        <w:rPr>
          <w:sz w:val="28"/>
          <w:szCs w:val="28"/>
          <w:lang w:val="ru-RU"/>
        </w:rPr>
        <w:fldChar w:fldCharType="separate"/>
      </w:r>
      <w:r w:rsidR="008611DC" w:rsidRPr="008611DC">
        <w:rPr>
          <w:sz w:val="28"/>
          <w:lang w:val="ru-RU"/>
        </w:rPr>
        <w:t>[310,312,322]</w:t>
      </w:r>
      <w:r w:rsidRPr="00107040">
        <w:rPr>
          <w:sz w:val="28"/>
          <w:szCs w:val="28"/>
          <w:lang w:val="ru-RU"/>
        </w:rPr>
        <w:fldChar w:fldCharType="end"/>
      </w:r>
      <w:r w:rsidRPr="00107040">
        <w:rPr>
          <w:sz w:val="28"/>
          <w:szCs w:val="28"/>
          <w:lang w:val="ru-RU"/>
        </w:rPr>
        <w:t xml:space="preserve">. На возможную регуляцию транскрипции белками </w:t>
      </w:r>
      <w:r w:rsidRPr="00107040">
        <w:rPr>
          <w:sz w:val="28"/>
          <w:szCs w:val="28"/>
        </w:rPr>
        <w:t>PARP</w:t>
      </w:r>
      <w:r w:rsidRPr="00107040">
        <w:rPr>
          <w:sz w:val="28"/>
          <w:szCs w:val="28"/>
          <w:lang w:val="ru-RU"/>
        </w:rPr>
        <w:t xml:space="preserve"> указывает взаимодействие </w:t>
      </w:r>
      <w:r w:rsidRPr="00107040">
        <w:rPr>
          <w:sz w:val="28"/>
          <w:szCs w:val="28"/>
        </w:rPr>
        <w:t>AtPARP</w:t>
      </w:r>
      <w:r w:rsidRPr="00107040">
        <w:rPr>
          <w:sz w:val="28"/>
          <w:szCs w:val="28"/>
          <w:lang w:val="ru-RU"/>
        </w:rPr>
        <w:t xml:space="preserve">1 с </w:t>
      </w:r>
      <w:r w:rsidRPr="00107040">
        <w:rPr>
          <w:sz w:val="28"/>
          <w:szCs w:val="28"/>
        </w:rPr>
        <w:t>DIP</w:t>
      </w:r>
      <w:r w:rsidRPr="00107040">
        <w:rPr>
          <w:sz w:val="28"/>
          <w:szCs w:val="28"/>
          <w:lang w:val="ru-RU"/>
        </w:rPr>
        <w:t xml:space="preserve">1 и </w:t>
      </w:r>
      <w:r w:rsidRPr="00107040">
        <w:rPr>
          <w:sz w:val="28"/>
          <w:szCs w:val="28"/>
        </w:rPr>
        <w:t>DIP</w:t>
      </w:r>
      <w:r w:rsidRPr="00107040">
        <w:rPr>
          <w:sz w:val="28"/>
          <w:szCs w:val="28"/>
          <w:lang w:val="ru-RU"/>
        </w:rPr>
        <w:t xml:space="preserve">2, двумя белками, гомологичными транскрипционному коактиватору </w:t>
      </w:r>
      <w:r w:rsidRPr="00107040">
        <w:rPr>
          <w:sz w:val="28"/>
          <w:szCs w:val="28"/>
        </w:rPr>
        <w:t>ALY</w:t>
      </w:r>
      <w:r w:rsidRPr="00107040">
        <w:rPr>
          <w:sz w:val="28"/>
          <w:szCs w:val="28"/>
          <w:lang w:val="ru-RU"/>
        </w:rPr>
        <w:t xml:space="preserve">, через его ДНК-связывающий домен </w:t>
      </w:r>
      <w:r w:rsidRPr="00107040">
        <w:rPr>
          <w:i/>
          <w:sz w:val="28"/>
          <w:szCs w:val="28"/>
        </w:rPr>
        <w:t>in</w:t>
      </w:r>
      <w:r w:rsidRPr="00107040">
        <w:rPr>
          <w:i/>
          <w:sz w:val="28"/>
          <w:szCs w:val="28"/>
          <w:lang w:val="ru-RU"/>
        </w:rPr>
        <w:t xml:space="preserve"> </w:t>
      </w:r>
      <w:r w:rsidRPr="00107040">
        <w:rPr>
          <w:i/>
          <w:sz w:val="28"/>
          <w:szCs w:val="28"/>
        </w:rPr>
        <w:t>vitro</w:t>
      </w:r>
      <w:r w:rsidRPr="00107040">
        <w:rPr>
          <w:sz w:val="28"/>
          <w:szCs w:val="28"/>
          <w:lang w:val="ru-RU"/>
        </w:rPr>
        <w:t xml:space="preserve"> и в дрожжах </w:t>
      </w:r>
      <w:r w:rsidRPr="00107040">
        <w:rPr>
          <w:sz w:val="28"/>
          <w:szCs w:val="28"/>
          <w:lang w:val="ru-RU"/>
        </w:rPr>
        <w:fldChar w:fldCharType="begin"/>
      </w:r>
      <w:r w:rsidR="008611DC">
        <w:rPr>
          <w:sz w:val="28"/>
          <w:szCs w:val="28"/>
          <w:lang w:val="ru-RU"/>
        </w:rPr>
        <w:instrText xml:space="preserve"> ADDIN ZOTERO_ITEM CSL_CITATION {"citationID":"a2f1d60qrm2","properties":{"formattedCitation":"[353]","plainCitation":"[353]","noteIndex":0},"citationItems":[{"id":1714,"uris":["http://zotero.org/users/9078202/items/TR9JHXIX"],"itemData":{"id":1714,"type":"article-journal","abstract":"Two novel homologous Arabidopsis proteins, DIP1 and DIP2, interact with the DNA-binding domain of plant poly(ADP-ribose) polymerase (PARP) in the yeast two-hybrid system and in vitro. Their homology to the transcriptional coactivator ALY suggests that plant PARP may play a role in the regulation of …","container-title":"Journal of experimental botany","ISSN":"0022-0957","issue":"359","language":"en","note":"publisher: J Exp Bot\nPMID: 11432957","source":"pubmed.ncbi.nlm.nih.gov","title":"Arabidopsis coactivator ALY-like proteins, DIP1 and DIP2, interact physically with the DNA-binding domain of the Zn-finger poly(ADP-ribose) polymerase","URL":"https://pubmed.ncbi.nlm.nih.gov/11432957/","volume":"52","author":[{"family":"S","given":"Storozhenko"},{"family":"D","given":"Inzé"},{"family":"M","given":"Van Montagu"},{"family":"S","given":"Kushnir"}],"accessed":{"date-parts":[["2022",9,7]]},"issued":{"date-parts":[["2001",6]]}}}],"schema":"https://github.com/citation-style-language/schema/raw/master/csl-citation.json"} </w:instrText>
      </w:r>
      <w:r w:rsidRPr="00107040">
        <w:rPr>
          <w:sz w:val="28"/>
          <w:szCs w:val="28"/>
          <w:lang w:val="ru-RU"/>
        </w:rPr>
        <w:fldChar w:fldCharType="separate"/>
      </w:r>
      <w:r w:rsidR="008611DC" w:rsidRPr="008611DC">
        <w:rPr>
          <w:sz w:val="28"/>
          <w:lang w:val="ru-RU"/>
        </w:rPr>
        <w:t>[353]</w:t>
      </w:r>
      <w:r w:rsidRPr="00107040">
        <w:rPr>
          <w:sz w:val="28"/>
          <w:szCs w:val="28"/>
          <w:lang w:val="ru-RU"/>
        </w:rPr>
        <w:fldChar w:fldCharType="end"/>
      </w:r>
      <w:r w:rsidRPr="00107040">
        <w:rPr>
          <w:sz w:val="28"/>
          <w:szCs w:val="28"/>
          <w:lang w:val="ru-RU"/>
        </w:rPr>
        <w:t>.</w:t>
      </w:r>
      <w:r w:rsidRPr="00107040">
        <w:rPr>
          <w:sz w:val="28"/>
          <w:szCs w:val="28"/>
          <w:lang w:val="kk-KZ"/>
        </w:rPr>
        <w:t xml:space="preserve"> </w:t>
      </w:r>
    </w:p>
    <w:p w14:paraId="2393E4CE" w14:textId="42758760"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Экспрессия </w:t>
      </w:r>
      <w:r w:rsidRPr="00107040">
        <w:rPr>
          <w:sz w:val="28"/>
          <w:szCs w:val="28"/>
        </w:rPr>
        <w:t>AtPARP</w:t>
      </w:r>
      <w:r w:rsidRPr="00107040">
        <w:rPr>
          <w:sz w:val="28"/>
          <w:szCs w:val="28"/>
          <w:lang w:val="ru-RU"/>
        </w:rPr>
        <w:t xml:space="preserve">1 и </w:t>
      </w:r>
      <w:r w:rsidRPr="00107040">
        <w:rPr>
          <w:sz w:val="28"/>
          <w:szCs w:val="28"/>
        </w:rPr>
        <w:t>AtPARP</w:t>
      </w:r>
      <w:r w:rsidRPr="00107040">
        <w:rPr>
          <w:sz w:val="28"/>
          <w:szCs w:val="28"/>
          <w:lang w:val="ru-RU"/>
        </w:rPr>
        <w:t xml:space="preserve">2, но не </w:t>
      </w:r>
      <w:r w:rsidRPr="00107040">
        <w:rPr>
          <w:sz w:val="28"/>
          <w:szCs w:val="28"/>
        </w:rPr>
        <w:t>AtPARP</w:t>
      </w:r>
      <w:r w:rsidRPr="00107040">
        <w:rPr>
          <w:sz w:val="28"/>
          <w:szCs w:val="28"/>
          <w:lang w:val="ru-RU"/>
        </w:rPr>
        <w:t xml:space="preserve">3, увеличивается в ответ на дисфункцию теломеразы </w:t>
      </w:r>
      <w:r w:rsidRPr="00107040">
        <w:rPr>
          <w:sz w:val="28"/>
          <w:szCs w:val="28"/>
          <w:lang w:val="ru-RU"/>
        </w:rPr>
        <w:fldChar w:fldCharType="begin"/>
      </w:r>
      <w:r w:rsidR="008611DC">
        <w:rPr>
          <w:sz w:val="28"/>
          <w:szCs w:val="28"/>
          <w:lang w:val="ru-RU"/>
        </w:rPr>
        <w:instrText xml:space="preserve"> ADDIN ZOTERO_ITEM CSL_CITATION {"citationID":"ag4tim9oei","properties":{"formattedCitation":"[330,354]","plainCitation":"[330,354]","noteIndex":0},"citationItems":[{"id":247,"uris":["http://zotero.org/users/9078202/items/BMAABXKV"],"itemData":{"id":247,"type":"article-journal","abstract":"Maintaining the length of the telomere tract at chromosome ends is a complex process vital to normal cell division. Telomere length is controlled through the action of telomerase as well as a cadre of telomere-associated proteins that facilitate replication of the chromosome end and protect it from eliciting a DNA damage response. In vertebrates, multiple poly(ADP-ribose) polymerases (PARPs) have been implicated in the regulation of telomere length, telomerase activity and chromosome end protection. Here we investigate the role of PARPs in plant telomere biology. We analyzed Arabidopsis thaliana mutants null for PARP1 and PARP2 as well as plants treated with the PARP competitive inhibitor 3-AB. Plants deficient in PARP were hypersensitive to genotoxic stress, and expression of PARP1 and PARP2 mRNA was elevated in response to MMS or zeocin treatment or by the loss of telomerase. Additionally, PARP1 mRNA was induced in parp2 mutants, and conversely, PARP2 mRNA was induced in parp1 mutants. PARP3 mRNA, by contrast, was elevated in both parp1 and parp2 mutants, but not in seedlings treated with 3-AB or zeocin. PARP mutants and 3-AB treated plants displayed robust telomerase activity, no significant changes in telomere length, and no end-to-end chromosome fusions. Although there remains a possibility that PARPs play a role in Arabidopsis telomere biology, these findings argue that the contribution is a minor one.","container-title":"PLOS ONE","DOI":"10.1371/journal.pone.0088872","ISSN":"1932-6203","issue":"2","journalAbbreviation":"PLOS ONE","language":"en","note":"publisher: Public Library of Science","page":"e88872","source":"PLoS Journals","title":"Analysis of Poly(ADP-Ribose) Polymerases in Arabidopsis Telomere Biology","URL":"https://journals.plos.org/plosone/article?id=10.1371/journal.pone.0088872","volume":"9","author":[{"family":"Boltz","given":"Kara A."},{"family":"Jasti","given":"Madhu"},{"family":"Townley","given":"Jennifer M."},{"family":"Shippen","given":"Dorothy E."}],"accessed":{"date-parts":[["2022",4,11]]},"issued":{"date-parts":[["2014",2,13]]}}},{"id":1717,"uris":["http://zotero.org/users/9078202/items/WCLBCANK"],"itemData":{"id":1717,"type":"article-journal","abstract":"Telomerase replenishes telomere tracts by reiteratively copying its RNA template, TER. Unlike other model organisms, Arabidopsis thaliana harbors two divergent TER genes. However, only TER1 is required for telomere maintenance. Here we examine the function of TER2. We show that TER2 is spliced and its 3' end is truncated in vivo to generate a third TER isoform, TER2(S). TERT preferentially associates with TER2 &gt; TER1 &gt; TER2(S). Moreover, TER2 and TER2(S) assemble with Ku and POT1b (protection of telomeres), forming RNP (ribonucleoprotein) complexes distinct from TER1 RNP. Plants null for TER2 display increased telomerase enzyme activity, while TER2 overexpression inhibits telomere synthesis from TER1 and leads to telomere shortening. These findings argue that TER2 negatively regulates telomerase by sequestering TERT in a nonproductive RNP complex. Introduction of DNA double-strand breaks by zeocin leads to an immediate and specific spike in TER2 and a concomitant decrease in telomerase enzyme activity. This response is not triggered by replication stress or telomere dysfunction and is abrogated in ter2 mutants. We conclude that Arabidopsis telomerase is modulated by TER2, a novel DNA damage-induced noncoding RNA that works in concert with the canonical TER to promote genome integrity.","container-title":"Genes &amp; Development","DOI":"10.1101/gad.202960.112","ISSN":"1549-5477","issue":"22","journalAbbreviation":"Genes Dev","language":"eng","note":"PMID: 23109676\nPMCID: PMC3505821","page":"2512-2523","source":"PubMed","title":"An alternative telomerase RNA in Arabidopsis modulates enzyme activity in response to DNA damage","volume":"26","author":[{"family":"Cifuentes-Rojas","given":"Catherine"},{"family":"Nelson","given":"Andrew D. L."},{"family":"Boltz","given":"Kara A."},{"family":"Kannan","given":"Kalpana"},{"family":"She","given":"Xintao"},{"family":"Shippen","given":"Dorothy E."}],"issued":{"date-parts":[["2012",11,15]]}}}],"schema":"https://github.com/citation-style-language/schema/raw/master/csl-citation.json"} </w:instrText>
      </w:r>
      <w:r w:rsidRPr="00107040">
        <w:rPr>
          <w:sz w:val="28"/>
          <w:szCs w:val="28"/>
          <w:lang w:val="ru-RU"/>
        </w:rPr>
        <w:fldChar w:fldCharType="separate"/>
      </w:r>
      <w:r w:rsidR="008611DC" w:rsidRPr="008611DC">
        <w:rPr>
          <w:sz w:val="28"/>
          <w:lang w:val="ru-RU"/>
        </w:rPr>
        <w:t>[330,354]</w:t>
      </w:r>
      <w:r w:rsidRPr="00107040">
        <w:rPr>
          <w:sz w:val="28"/>
          <w:szCs w:val="28"/>
          <w:lang w:val="ru-RU"/>
        </w:rPr>
        <w:fldChar w:fldCharType="end"/>
      </w:r>
      <w:r w:rsidRPr="00107040">
        <w:rPr>
          <w:sz w:val="28"/>
          <w:szCs w:val="28"/>
          <w:lang w:val="ru-RU"/>
        </w:rPr>
        <w:t xml:space="preserve">. Однако, в отличие от своих аналогов у человека, </w:t>
      </w:r>
      <w:r w:rsidRPr="00107040">
        <w:rPr>
          <w:sz w:val="28"/>
          <w:szCs w:val="28"/>
        </w:rPr>
        <w:t>AtPARP</w:t>
      </w:r>
      <w:r w:rsidRPr="00107040">
        <w:rPr>
          <w:sz w:val="28"/>
          <w:szCs w:val="28"/>
          <w:lang w:val="ru-RU"/>
        </w:rPr>
        <w:t xml:space="preserve">1 и </w:t>
      </w:r>
      <w:r w:rsidRPr="00107040">
        <w:rPr>
          <w:sz w:val="28"/>
          <w:szCs w:val="28"/>
        </w:rPr>
        <w:t>AtPARP</w:t>
      </w:r>
      <w:r w:rsidRPr="00107040">
        <w:rPr>
          <w:sz w:val="28"/>
          <w:szCs w:val="28"/>
          <w:lang w:val="ru-RU"/>
        </w:rPr>
        <w:t xml:space="preserve">2 не стимулируют активность теломеразы. Кроме того, ни </w:t>
      </w:r>
      <w:r w:rsidRPr="00107040">
        <w:rPr>
          <w:sz w:val="28"/>
          <w:szCs w:val="28"/>
        </w:rPr>
        <w:t>PARP</w:t>
      </w:r>
      <w:r w:rsidRPr="00107040">
        <w:rPr>
          <w:sz w:val="28"/>
          <w:szCs w:val="28"/>
          <w:lang w:val="ru-RU"/>
        </w:rPr>
        <w:t xml:space="preserve"> арабидопсиса не участвует в защите концов теломер и защите длины теломер у проростков и цветков </w:t>
      </w:r>
      <w:r w:rsidRPr="00107040">
        <w:rPr>
          <w:sz w:val="28"/>
          <w:szCs w:val="28"/>
          <w:lang w:val="ru-RU"/>
        </w:rPr>
        <w:fldChar w:fldCharType="begin"/>
      </w:r>
      <w:r w:rsidR="008611DC">
        <w:rPr>
          <w:sz w:val="28"/>
          <w:szCs w:val="28"/>
          <w:lang w:val="ru-RU"/>
        </w:rPr>
        <w:instrText xml:space="preserve"> ADDIN ZOTERO_ITEM CSL_CITATION {"citationID":"a1osjupdj4j","properties":{"formattedCitation":"[330]","plainCitation":"[330]","noteIndex":0},"citationItems":[{"id":247,"uris":["http://zotero.org/users/9078202/items/BMAABXKV"],"itemData":{"id":247,"type":"article-journal","abstract":"Maintaining the length of the telomere tract at chromosome ends is a complex process vital to normal cell division. Telomere length is controlled through the action of telomerase as well as a cadre of telomere-associated proteins that facilitate replication of the chromosome end and protect it from eliciting a DNA damage response. In vertebrates, multiple poly(ADP-ribose) polymerases (PARPs) have been implicated in the regulation of telomere length, telomerase activity and chromosome end protection. Here we investigate the role of PARPs in plant telomere biology. We analyzed Arabidopsis thaliana mutants null for PARP1 and PARP2 as well as plants treated with the PARP competitive inhibitor 3-AB. Plants deficient in PARP were hypersensitive to genotoxic stress, and expression of PARP1 and PARP2 mRNA was elevated in response to MMS or zeocin treatment or by the loss of telomerase. Additionally, PARP1 mRNA was induced in parp2 mutants, and conversely, PARP2 mRNA was induced in parp1 mutants. PARP3 mRNA, by contrast, was elevated in both parp1 and parp2 mutants, but not in seedlings treated with 3-AB or zeocin. PARP mutants and 3-AB treated plants displayed robust telomerase activity, no significant changes in telomere length, and no end-to-end chromosome fusions. Although there remains a possibility that PARPs play a role in Arabidopsis telomere biology, these findings argue that the contribution is a minor one.","container-title":"PLOS ONE","DOI":"10.1371/journal.pone.0088872","ISSN":"1932-6203","issue":"2","journalAbbreviation":"PLOS ONE","language":"en","note":"publisher: Public Library of Science","page":"e88872","source":"PLoS Journals","title":"Analysis of Poly(ADP-Ribose) Polymerases in Arabidopsis Telomere Biology","URL":"https://journals.plos.org/plosone/article?id=10.1371/journal.pone.0088872","volume":"9","author":[{"family":"Boltz","given":"Kara A."},{"family":"Jasti","given":"Madhu"},{"family":"Townley","given":"Jennifer M."},{"family":"Shippen","given":"Dorothy E."}],"accessed":{"date-parts":[["2022",4,11]]},"issued":{"date-parts":[["2014",2,13]]}}}],"schema":"https://github.com/citation-style-language/schema/raw/master/csl-citation.json"} </w:instrText>
      </w:r>
      <w:r w:rsidRPr="00107040">
        <w:rPr>
          <w:sz w:val="28"/>
          <w:szCs w:val="28"/>
          <w:lang w:val="ru-RU"/>
        </w:rPr>
        <w:fldChar w:fldCharType="separate"/>
      </w:r>
      <w:r w:rsidR="008611DC" w:rsidRPr="008611DC">
        <w:rPr>
          <w:sz w:val="28"/>
          <w:lang w:val="ru-RU"/>
        </w:rPr>
        <w:t>[330]</w:t>
      </w:r>
      <w:r w:rsidRPr="00107040">
        <w:rPr>
          <w:sz w:val="28"/>
          <w:szCs w:val="28"/>
          <w:lang w:val="ru-RU"/>
        </w:rPr>
        <w:fldChar w:fldCharType="end"/>
      </w:r>
      <w:r w:rsidRPr="00107040">
        <w:rPr>
          <w:sz w:val="28"/>
          <w:szCs w:val="28"/>
          <w:lang w:val="ru-RU"/>
        </w:rPr>
        <w:t xml:space="preserve">. Напротив, предполагалось, что </w:t>
      </w:r>
      <w:r w:rsidRPr="00107040">
        <w:rPr>
          <w:sz w:val="28"/>
          <w:szCs w:val="28"/>
        </w:rPr>
        <w:t>HvPARP</w:t>
      </w:r>
      <w:r w:rsidRPr="00107040">
        <w:rPr>
          <w:sz w:val="28"/>
          <w:szCs w:val="28"/>
          <w:lang w:val="ru-RU"/>
        </w:rPr>
        <w:t xml:space="preserve">3 участвует в поддержании длины теломер у проростков ячменя </w:t>
      </w:r>
      <w:r w:rsidRPr="00107040">
        <w:rPr>
          <w:sz w:val="28"/>
          <w:szCs w:val="28"/>
          <w:lang w:val="ru-RU"/>
        </w:rPr>
        <w:fldChar w:fldCharType="begin"/>
      </w:r>
      <w:r w:rsidR="008611DC">
        <w:rPr>
          <w:sz w:val="28"/>
          <w:szCs w:val="28"/>
          <w:lang w:val="ru-RU"/>
        </w:rPr>
        <w:instrText xml:space="preserve"> ADDIN ZOTERO_ITEM CSL_CITATION {"citationID":"av9mip25cg","properties":{"formattedCitation":"[332]","plainCitation":"[332]","noteIndex":0},"citationItems":[{"id":1645,"uris":["http://zotero.org/users/9078202/items/2VEELFJ4"],"itemData":{"id":1645,"type":"article-journal","abstract":"Genome integrity is constantly challenged by endo- and exogenous DNA-damaging factors. The influence of genotoxic agents causes an accumulation of DNA lesions, which if not repaired, become mutations that can cause various abnormalities in a cell metabolism. The main pathway of DSB repair, which is based on non-homologous recombination, is canonical non-homologous end joining (C-NHEJ). It has been shown that this mechanism is highly conserved in both Pro- and Eukaryotes. The mechanisms that underlie DSB repair through C-NHEJ have mainly been investigated in mammalian systems, and therefore our knowledge about this process is much more limited as far as plants, and crop plants in particular, are concerned. Recent studies have demonstrated that PARP3 is an important response factor to the presence of DSB in a genome. The aims of this study were to identify the sequence of the barley PARP3 gene, to perform a mutational analysis of the sequence that was identified using the TILLING (Targeting Induced Local Lesions IN Genomes) method and to phenotype the mutants that were identified through their exposure to mutagenic treatment with the DSB-inducing chemical--bleomycin. A functional analysis led to the identification of a series of parp3 alleles. The mutants were characterized using several different approaches, including quantifying the DSB and γH2AX foci, which validated the function of the HvPARP3 gene in DSB repair in barley. The potential involvement of the HvPARP3 gene in the regulation of telomere length in barley was also analyzed.","container-title":"DNA repair","DOI":"10.1016/j.dnarep.2015.02.018","ISSN":"1568-7856","journalAbbreviation":"DNA Repair (Amst)","language":"eng","note":"PMID: 25753810","page":"116-130","source":"PubMed","title":"Alleles of newly identified barley gene HvPARP3 exhibit changes in efficiency of DNA repair","volume":"28","author":[{"family":"Stolarek","given":"Magdalena"},{"family":"Gruszka","given":"Damian"},{"family":"Braszewska-Zalewska","given":"Agnieszka"},{"family":"Maluszynski","given":"Miroslaw"}],"issued":{"date-parts":[["2015",4]]}}}],"schema":"https://github.com/citation-style-language/schema/raw/master/csl-citation.json"} </w:instrText>
      </w:r>
      <w:r w:rsidRPr="00107040">
        <w:rPr>
          <w:sz w:val="28"/>
          <w:szCs w:val="28"/>
          <w:lang w:val="ru-RU"/>
        </w:rPr>
        <w:fldChar w:fldCharType="separate"/>
      </w:r>
      <w:r w:rsidR="008611DC" w:rsidRPr="008611DC">
        <w:rPr>
          <w:sz w:val="28"/>
          <w:lang w:val="ru-RU"/>
        </w:rPr>
        <w:t>[332]</w:t>
      </w:r>
      <w:r w:rsidRPr="00107040">
        <w:rPr>
          <w:sz w:val="28"/>
          <w:szCs w:val="28"/>
          <w:lang w:val="ru-RU"/>
        </w:rPr>
        <w:fldChar w:fldCharType="end"/>
      </w:r>
      <w:r w:rsidRPr="00107040">
        <w:rPr>
          <w:sz w:val="28"/>
          <w:szCs w:val="28"/>
          <w:lang w:val="ru-RU"/>
        </w:rPr>
        <w:t xml:space="preserve">. Это явное несоответствие требует систематического изучения роли </w:t>
      </w:r>
      <w:r w:rsidRPr="00107040">
        <w:rPr>
          <w:sz w:val="28"/>
          <w:szCs w:val="28"/>
        </w:rPr>
        <w:t>PARP</w:t>
      </w:r>
      <w:r w:rsidRPr="00107040">
        <w:rPr>
          <w:sz w:val="28"/>
          <w:szCs w:val="28"/>
          <w:lang w:val="ru-RU"/>
        </w:rPr>
        <w:t>, связанных с теломерами, у большего разнообразия видов растений.</w:t>
      </w:r>
      <w:r w:rsidRPr="00107040">
        <w:rPr>
          <w:sz w:val="28"/>
          <w:szCs w:val="28"/>
          <w:lang w:val="kk-KZ"/>
        </w:rPr>
        <w:t xml:space="preserve"> </w:t>
      </w:r>
    </w:p>
    <w:p w14:paraId="7BBD7DE9"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p>
    <w:p w14:paraId="2F9453FF" w14:textId="7DC4D9E6" w:rsidR="00107040" w:rsidRPr="00107040" w:rsidRDefault="00107040" w:rsidP="00107040">
      <w:pPr>
        <w:pStyle w:val="p"/>
        <w:shd w:val="clear" w:color="auto" w:fill="FFFFFF"/>
        <w:spacing w:before="0" w:beforeAutospacing="0" w:after="0" w:afterAutospacing="0"/>
        <w:ind w:firstLine="567"/>
        <w:jc w:val="both"/>
        <w:rPr>
          <w:b/>
          <w:sz w:val="28"/>
          <w:szCs w:val="28"/>
          <w:lang w:val="ru-RU"/>
        </w:rPr>
      </w:pPr>
      <w:bookmarkStart w:id="50" w:name="_Hlk113268564"/>
      <w:r w:rsidRPr="00107040">
        <w:rPr>
          <w:b/>
          <w:sz w:val="28"/>
          <w:szCs w:val="28"/>
          <w:lang w:val="ru-RU"/>
        </w:rPr>
        <w:t>1.10</w:t>
      </w:r>
      <w:r w:rsidRPr="00107040">
        <w:rPr>
          <w:b/>
          <w:sz w:val="28"/>
          <w:szCs w:val="28"/>
          <w:lang w:val="kk-KZ"/>
        </w:rPr>
        <w:t xml:space="preserve"> </w:t>
      </w:r>
      <w:r w:rsidR="008C6134">
        <w:rPr>
          <w:b/>
          <w:sz w:val="28"/>
          <w:szCs w:val="28"/>
          <w:lang w:val="kk-KZ"/>
        </w:rPr>
        <w:t xml:space="preserve">Роль </w:t>
      </w:r>
      <w:r w:rsidR="008C6134">
        <w:rPr>
          <w:b/>
          <w:sz w:val="28"/>
          <w:szCs w:val="28"/>
          <w:lang w:val="ru-RU"/>
        </w:rPr>
        <w:t>р</w:t>
      </w:r>
      <w:r w:rsidRPr="00107040">
        <w:rPr>
          <w:b/>
          <w:sz w:val="28"/>
          <w:szCs w:val="28"/>
          <w:lang w:val="ru-RU"/>
        </w:rPr>
        <w:t>астительны</w:t>
      </w:r>
      <w:r w:rsidR="008C6134">
        <w:rPr>
          <w:b/>
          <w:sz w:val="28"/>
          <w:szCs w:val="28"/>
          <w:lang w:val="ru-RU"/>
        </w:rPr>
        <w:t>х</w:t>
      </w:r>
      <w:r w:rsidRPr="00107040">
        <w:rPr>
          <w:b/>
          <w:sz w:val="28"/>
          <w:szCs w:val="28"/>
          <w:lang w:val="ru-RU"/>
        </w:rPr>
        <w:t xml:space="preserve"> </w:t>
      </w:r>
      <w:r w:rsidRPr="00107040">
        <w:rPr>
          <w:b/>
          <w:sz w:val="28"/>
          <w:szCs w:val="28"/>
        </w:rPr>
        <w:t>PARP</w:t>
      </w:r>
      <w:r w:rsidRPr="00107040">
        <w:rPr>
          <w:b/>
          <w:sz w:val="28"/>
          <w:szCs w:val="28"/>
          <w:lang w:val="ru-RU"/>
        </w:rPr>
        <w:t xml:space="preserve"> в гибели, развитии и метаболизме клеток</w:t>
      </w:r>
    </w:p>
    <w:bookmarkEnd w:id="50"/>
    <w:p w14:paraId="68673D51" w14:textId="6D2D0B76"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Белки </w:t>
      </w:r>
      <w:r w:rsidRPr="00107040">
        <w:rPr>
          <w:sz w:val="28"/>
          <w:szCs w:val="28"/>
        </w:rPr>
        <w:t>PARP</w:t>
      </w:r>
      <w:r w:rsidRPr="00107040">
        <w:rPr>
          <w:sz w:val="28"/>
          <w:szCs w:val="28"/>
          <w:lang w:val="ru-RU"/>
        </w:rPr>
        <w:t xml:space="preserve"> млекопитающих являются регуляторами различных аспектов клеточной гибели. Сопоставимые функции были обнаружены и у растительных </w:t>
      </w:r>
      <w:r w:rsidRPr="00107040">
        <w:rPr>
          <w:sz w:val="28"/>
          <w:szCs w:val="28"/>
        </w:rPr>
        <w:t>PARP</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{"citationID":"a2i2bvkdiha","properties":{"formattedCitation":"[355,356]","plainCitation":"[355,356]","noteIndex":0},"citationItems":[{"id":246,"uris":["http://zotero.org/users/9078202/items/39YCBVJH"],"itemData":{"id":246,"type":"article-journal","abstract":"In plants many biotic and abiotic stresses can cause secondary oxidative stress. Earlier work showed that, depending on the severity of the oxidative stress, plants can activate either cell protective genes or programmed cell death (PCD). Poly(ADP-ribose) polymerase (PARP) has been implicated as one of the enzymes in the apoptotic pathways induced by DNA damaging agents or oxidative stress. We show that in cultured soybean cells, PARP is involved in responses to mild and severe oxidative stresses, by mediating DNA repair and PCD processes, respectively. Addition of PARP inhibitors reduced the degree of cell death triggered by H2O2. Two windows of NAD consumption after H2O2 treatment were detected. Experiments with transient overexpression of Arabidopsis PARP cDNA promoted DNA repair and inhibited cell death caused by mild oxidative stress. However, following severe stress PARP overexpression increased cell death. Expression of antisense PARP produced the opposite effects: an increase in DNA nicks and inhibition of cell death at high, but not mild doses of H2O2.","container-title":"FEBS letters","DOI":"10.1016/s0014-5793(98)01408-2","ISSN":"0014-5793","issue":"1-2","journalAbbreviation":"FEBS Lett","language":"eng","note":"PMID: 9862413","page":"1-7","source":"PubMed","title":"The involvement of poly(ADP-ribose) polymerase in the oxidative stress responses in plants","volume":"440","author":[{"family":"Amor","given":"Y."},{"family":"Babiychuk","given":"E."},{"family":"Inzé","given":"D."},{"family":"Levine","given":"A."}],"issued":{"date-parts":[["1998",11,27]]}}},{"id":245,"uris":["http://zotero.org/users/9078202/items/TA2Q2QPE"],"itemData":{"id":245,"type":"article-journal","abstract":"The cleavage of poly(ADP-ribose) polymerase (PARP) by caspase (casp)-3 is an essential link in the apoptotic pathway in animal cells. In plant cells, however, there is no authentic evidence for the similar role that PARP may play during apoptosis. Using a heat shock (HS)-induced apoptosis system of tobacco cells, we found that immediately after a 4 h heat treatment, PARP was cleaved to form an 89 kDa signature fragment, while DNA laddering appeared only after a 20 h recovery following the HS. An activation of casp-3-like protease was also observed. The results suggest that apoptosis in plants and animals may share common mechanisms. On the other hand, when cells were preincubated with 4 mM 3-aminobenzamide or 2-8 mM nicotinamide, the specific inhibitors of PARP, before HS treatment, apoptotic cell death was reduced significantly. Our results thus imply that PARP may also be involved in apoptosis in a different way from the casp-related events.","container-title":"FEBS letters","DOI":"10.1016/s0014-5793(00)01561-1","ISSN":"0014-5793","issue":"1","journalAbbreviation":"FEBS Lett","language":"eng","note":"PMID: 10828442","page":"11-15","source":"PubMed","title":"Involvement of poly(ADP-ribose) polymerase and activation of caspase-3-like protease in heat shock-induced apoptosis in tobacco suspension cells","volume":"474","author":[{"family":"Tian","given":"R.","dropping-particle":"h"},{"family":"Zhang","given":"G. Y."},{"family":"Yan","given":"C. H."},{"family":"Dai","given":"Y. R."}],"issued":{"date-parts":[["2000",5,26]]}}}],"schema":"https://github.com/citation-style-language/schema/raw/master/csl-citation.json"} </w:instrText>
      </w:r>
      <w:r w:rsidRPr="00107040">
        <w:rPr>
          <w:sz w:val="28"/>
          <w:szCs w:val="28"/>
          <w:lang w:val="ru-RU"/>
        </w:rPr>
        <w:fldChar w:fldCharType="separate"/>
      </w:r>
      <w:r w:rsidR="008611DC" w:rsidRPr="008611DC">
        <w:rPr>
          <w:sz w:val="28"/>
          <w:lang w:val="ru-RU"/>
        </w:rPr>
        <w:t>[355,356]</w:t>
      </w:r>
      <w:r w:rsidRPr="00107040">
        <w:rPr>
          <w:sz w:val="28"/>
          <w:szCs w:val="28"/>
          <w:lang w:val="ru-RU"/>
        </w:rPr>
        <w:fldChar w:fldCharType="end"/>
      </w:r>
      <w:r w:rsidRPr="00107040">
        <w:rPr>
          <w:sz w:val="28"/>
          <w:szCs w:val="28"/>
          <w:lang w:val="ru-RU"/>
        </w:rPr>
        <w:t xml:space="preserve">. Таким образом, обработка ингибиторами </w:t>
      </w:r>
      <w:r w:rsidRPr="00107040">
        <w:rPr>
          <w:sz w:val="28"/>
          <w:szCs w:val="28"/>
        </w:rPr>
        <w:t>PARP</w:t>
      </w:r>
      <w:r w:rsidRPr="00107040">
        <w:rPr>
          <w:sz w:val="28"/>
          <w:szCs w:val="28"/>
          <w:lang w:val="ru-RU"/>
        </w:rPr>
        <w:t>, 3</w:t>
      </w:r>
      <w:r w:rsidRPr="00107040">
        <w:rPr>
          <w:sz w:val="28"/>
          <w:szCs w:val="28"/>
        </w:rPr>
        <w:t>AB</w:t>
      </w:r>
      <w:r w:rsidRPr="00107040">
        <w:rPr>
          <w:sz w:val="28"/>
          <w:szCs w:val="28"/>
          <w:lang w:val="ru-RU"/>
        </w:rPr>
        <w:t xml:space="preserve"> и никотинамидом, блокировала </w:t>
      </w:r>
      <w:r w:rsidRPr="00107040">
        <w:rPr>
          <w:sz w:val="28"/>
          <w:szCs w:val="28"/>
        </w:rPr>
        <w:t>PCD</w:t>
      </w:r>
      <w:r w:rsidRPr="00107040">
        <w:rPr>
          <w:sz w:val="28"/>
          <w:szCs w:val="28"/>
          <w:lang w:val="ru-RU"/>
        </w:rPr>
        <w:t xml:space="preserve">, вызванную тепловым шоком и </w:t>
      </w:r>
      <w:r w:rsidRPr="00107040">
        <w:rPr>
          <w:sz w:val="28"/>
          <w:szCs w:val="28"/>
        </w:rPr>
        <w:t>H</w:t>
      </w:r>
      <w:r w:rsidRPr="00107040">
        <w:rPr>
          <w:sz w:val="28"/>
          <w:szCs w:val="28"/>
          <w:vertAlign w:val="subscript"/>
          <w:lang w:val="ru-RU"/>
        </w:rPr>
        <w:t>2</w:t>
      </w:r>
      <w:r w:rsidRPr="00107040">
        <w:rPr>
          <w:sz w:val="28"/>
          <w:szCs w:val="28"/>
        </w:rPr>
        <w:t>O</w:t>
      </w:r>
      <w:r w:rsidRPr="00107040">
        <w:rPr>
          <w:sz w:val="28"/>
          <w:szCs w:val="28"/>
          <w:vertAlign w:val="subscript"/>
          <w:lang w:val="ru-RU"/>
        </w:rPr>
        <w:t>2</w:t>
      </w:r>
      <w:r w:rsidRPr="00107040">
        <w:rPr>
          <w:sz w:val="28"/>
          <w:szCs w:val="28"/>
          <w:lang w:val="ru-RU"/>
        </w:rPr>
        <w:t xml:space="preserve">, в культивируемых клетках табака и сои, при этом опосредованная ингибитором </w:t>
      </w:r>
      <w:r w:rsidRPr="00107040">
        <w:rPr>
          <w:sz w:val="28"/>
          <w:szCs w:val="28"/>
        </w:rPr>
        <w:t>PARP</w:t>
      </w:r>
      <w:r w:rsidRPr="00107040">
        <w:rPr>
          <w:sz w:val="28"/>
          <w:szCs w:val="28"/>
          <w:lang w:val="ru-RU"/>
        </w:rPr>
        <w:t xml:space="preserve"> защита от </w:t>
      </w:r>
      <w:r w:rsidRPr="00107040">
        <w:rPr>
          <w:sz w:val="28"/>
          <w:szCs w:val="28"/>
        </w:rPr>
        <w:t>H</w:t>
      </w:r>
      <w:r w:rsidRPr="00107040">
        <w:rPr>
          <w:sz w:val="28"/>
          <w:szCs w:val="28"/>
          <w:vertAlign w:val="subscript"/>
          <w:lang w:val="ru-RU"/>
        </w:rPr>
        <w:t>2</w:t>
      </w:r>
      <w:r w:rsidRPr="00107040">
        <w:rPr>
          <w:sz w:val="28"/>
          <w:szCs w:val="28"/>
        </w:rPr>
        <w:t>O</w:t>
      </w:r>
      <w:r w:rsidRPr="00107040">
        <w:rPr>
          <w:sz w:val="28"/>
          <w:szCs w:val="28"/>
          <w:vertAlign w:val="subscript"/>
          <w:lang w:val="ru-RU"/>
        </w:rPr>
        <w:t>2</w:t>
      </w:r>
      <w:r w:rsidRPr="00107040">
        <w:rPr>
          <w:sz w:val="28"/>
          <w:szCs w:val="28"/>
          <w:lang w:val="ru-RU"/>
        </w:rPr>
        <w:t xml:space="preserve">-индуцированной </w:t>
      </w:r>
      <w:r w:rsidRPr="00107040">
        <w:rPr>
          <w:sz w:val="28"/>
          <w:szCs w:val="28"/>
        </w:rPr>
        <w:t>PCD</w:t>
      </w:r>
      <w:r w:rsidRPr="00107040">
        <w:rPr>
          <w:sz w:val="28"/>
          <w:szCs w:val="28"/>
          <w:lang w:val="ru-RU"/>
        </w:rPr>
        <w:t xml:space="preserve"> была наиболее эффективной в начальной фазе обработки </w:t>
      </w:r>
      <w:r w:rsidRPr="00107040">
        <w:rPr>
          <w:sz w:val="28"/>
          <w:szCs w:val="28"/>
        </w:rPr>
        <w:t>H</w:t>
      </w:r>
      <w:r w:rsidRPr="00107040">
        <w:rPr>
          <w:sz w:val="28"/>
          <w:szCs w:val="28"/>
          <w:vertAlign w:val="subscript"/>
          <w:lang w:val="ru-RU"/>
        </w:rPr>
        <w:t>2</w:t>
      </w:r>
      <w:r w:rsidRPr="00107040">
        <w:rPr>
          <w:sz w:val="28"/>
          <w:szCs w:val="28"/>
        </w:rPr>
        <w:t>O</w:t>
      </w:r>
      <w:r w:rsidRPr="00107040">
        <w:rPr>
          <w:sz w:val="28"/>
          <w:szCs w:val="28"/>
          <w:vertAlign w:val="subscript"/>
          <w:lang w:val="ru-RU"/>
        </w:rPr>
        <w:t>2</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{"citationID":"a269g0ndkqb","properties":{"formattedCitation":"[355,356]","plainCitation":"[355,356]","noteIndex":0},"citationItems":[{"id":246,"uris":["http://zotero.org/users/9078202/items/39YCBVJH"],"itemData":{"id":246,"type":"article-journal","abstract":"In plants many biotic and abiotic stresses can cause secondary oxidative stress. Earlier work showed that, depending on the severity of the oxidative stress, plants can activate either cell protective genes or programmed cell death (PCD). Poly(ADP-ribose) polymerase (PARP) has been implicated as one of the enzymes in the apoptotic pathways induced by DNA damaging agents or oxidative stress. We show that in cultured soybean cells, PARP is involved in responses to mild and severe oxidative stresses, by mediating DNA repair and PCD processes, respectively. Addition of PARP inhibitors reduced the degree of cell death triggered by H2O2. Two windows of NAD consumption after H2O2 treatment were detected. Experiments with transient overexpression of Arabidopsis PARP cDNA promoted DNA repair and inhibited cell death caused by mild oxidative stress. However, following severe stress PARP overexpression increased cell death. Expression of antisense PARP produced the opposite effects: an increase in DNA nicks and inhibition of cell death at high, but not mild doses of H2O2.","container-title":"FEBS letters","DOI":"10.1016/s0014-5793(98)01408-2","ISSN":"0014-5793","issue":"1-2","journalAbbreviation":"FEBS Lett","language":"eng","note":"PMID: 9862413","page":"1-7","source":"PubMed","title":"The involvement of poly(ADP-ribose) polymerase in the oxidative stress responses in plants","volume":"440","author":[{"family":"Amor","given":"Y."},{"family":"Babiychuk","given":"E."},{"family":"Inzé","given":"D."},{"family":"Levine","given":"A."}],"issued":{"date-parts":[["1998",11,27]]}}},{"id":245,"uris":["http://zotero.org/users/9078202/items/TA2Q2QPE"],"itemData":{"id":245,"type":"article-journal","abstract":"The cleavage of poly(ADP-ribose) polymerase (PARP) by caspase (casp)-3 is an essential link in the apoptotic pathway in animal cells. In plant cells, however, there is no authentic evidence for the similar role that PARP may play during apoptosis. Using a heat shock (HS)-induced apoptosis system of tobacco cells, we found that immediately after a 4 h heat treatment, PARP was cleaved to form an 89 kDa signature fragment, while DNA laddering appeared only after a 20 h recovery following the HS. An activation of casp-3-like protease was also observed. The results suggest that apoptosis in plants and animals may share common mechanisms. On the other hand, when cells were preincubated with 4 mM 3-aminobenzamide or 2-8 mM nicotinamide, the specific inhibitors of PARP, before HS treatment, apoptotic cell death was reduced significantly. Our results thus imply that PARP may also be involved in apoptosis in a different way from the casp-related events.","container-title":"FEBS letters","DOI":"10.1016/s0014-5793(00)01561-1","ISSN":"0014-5793","issue":"1","journalAbbreviation":"FEBS Lett","language":"eng","note":"PMID: 10828442","page":"11-15","source":"PubMed","title":"Involvement of poly(ADP-ribose) polymerase and activation of caspase-3-like protease in heat shock-induced apoptosis in tobacco suspension cells","volume":"474","author":[{"family":"Tian","given":"R.","dropping-particle":"h"},{"family":"Zhang","given":"G. Y."},{"family":"Yan","given":"C. H."},{"family":"Dai","given":"Y. R."}],"issued":{"date-parts":[["2000",5,26]]}}}],"schema":"https://github.com/citation-style-language/schema/raw/master/csl-citation.json"} </w:instrText>
      </w:r>
      <w:r w:rsidRPr="00107040">
        <w:rPr>
          <w:sz w:val="28"/>
          <w:szCs w:val="28"/>
          <w:lang w:val="ru-RU"/>
        </w:rPr>
        <w:fldChar w:fldCharType="separate"/>
      </w:r>
      <w:r w:rsidR="008611DC" w:rsidRPr="008611DC">
        <w:rPr>
          <w:sz w:val="28"/>
          <w:lang w:val="ru-RU"/>
        </w:rPr>
        <w:t>[355,356]</w:t>
      </w:r>
      <w:r w:rsidRPr="00107040">
        <w:rPr>
          <w:sz w:val="28"/>
          <w:szCs w:val="28"/>
          <w:lang w:val="ru-RU"/>
        </w:rPr>
        <w:fldChar w:fldCharType="end"/>
      </w:r>
      <w:r w:rsidRPr="00107040">
        <w:rPr>
          <w:sz w:val="28"/>
          <w:szCs w:val="28"/>
          <w:lang w:val="ru-RU"/>
        </w:rPr>
        <w:t xml:space="preserve">. В этот момент резкое падение уровня </w:t>
      </w:r>
      <w:r w:rsidRPr="00107040">
        <w:rPr>
          <w:sz w:val="28"/>
          <w:szCs w:val="28"/>
          <w:lang w:val="kk-KZ"/>
        </w:rPr>
        <w:t>НАД</w:t>
      </w:r>
      <w:r w:rsidRPr="00107040">
        <w:rPr>
          <w:sz w:val="28"/>
          <w:szCs w:val="28"/>
          <w:vertAlign w:val="superscript"/>
          <w:lang w:val="ru-RU"/>
        </w:rPr>
        <w:t>+</w:t>
      </w:r>
      <w:r w:rsidRPr="00107040">
        <w:rPr>
          <w:sz w:val="28"/>
          <w:szCs w:val="28"/>
          <w:lang w:val="ru-RU"/>
        </w:rPr>
        <w:t xml:space="preserve"> в клетках сои указывало на начало активности </w:t>
      </w:r>
      <w:r w:rsidRPr="00107040">
        <w:rPr>
          <w:sz w:val="28"/>
          <w:szCs w:val="28"/>
        </w:rPr>
        <w:t>PARP</w:t>
      </w:r>
      <w:r w:rsidRPr="00107040">
        <w:rPr>
          <w:sz w:val="28"/>
          <w:szCs w:val="28"/>
          <w:lang w:val="ru-RU"/>
        </w:rPr>
        <w:t xml:space="preserve">. Интересно, что сверхэкспрессия </w:t>
      </w:r>
      <w:r w:rsidRPr="00107040">
        <w:rPr>
          <w:sz w:val="28"/>
          <w:szCs w:val="28"/>
        </w:rPr>
        <w:t>AtPARP</w:t>
      </w:r>
      <w:r w:rsidRPr="00107040">
        <w:rPr>
          <w:sz w:val="28"/>
          <w:szCs w:val="28"/>
          <w:lang w:val="ru-RU"/>
        </w:rPr>
        <w:t xml:space="preserve">2 в культуре клеток сои приводила к снижению гибели клеток при низких концентрациях </w:t>
      </w:r>
      <w:r w:rsidRPr="00107040">
        <w:rPr>
          <w:sz w:val="28"/>
          <w:szCs w:val="28"/>
        </w:rPr>
        <w:t>H</w:t>
      </w:r>
      <w:r w:rsidRPr="00107040">
        <w:rPr>
          <w:sz w:val="28"/>
          <w:szCs w:val="28"/>
          <w:vertAlign w:val="subscript"/>
          <w:lang w:val="ru-RU"/>
        </w:rPr>
        <w:t>2</w:t>
      </w:r>
      <w:r w:rsidRPr="00107040">
        <w:rPr>
          <w:sz w:val="28"/>
          <w:szCs w:val="28"/>
        </w:rPr>
        <w:t>O</w:t>
      </w:r>
      <w:r w:rsidRPr="00107040">
        <w:rPr>
          <w:sz w:val="28"/>
          <w:szCs w:val="28"/>
          <w:vertAlign w:val="subscript"/>
          <w:lang w:val="ru-RU"/>
        </w:rPr>
        <w:t>2</w:t>
      </w:r>
      <w:r w:rsidRPr="00107040">
        <w:rPr>
          <w:sz w:val="28"/>
          <w:szCs w:val="28"/>
          <w:lang w:val="ru-RU"/>
        </w:rPr>
        <w:t xml:space="preserve"> (легкий окислительный стресс), но к резкому увеличению гибели клеток при высоких концентрациях </w:t>
      </w:r>
      <w:r w:rsidRPr="00107040">
        <w:rPr>
          <w:sz w:val="28"/>
          <w:szCs w:val="28"/>
        </w:rPr>
        <w:t>H</w:t>
      </w:r>
      <w:r w:rsidRPr="00107040">
        <w:rPr>
          <w:sz w:val="28"/>
          <w:szCs w:val="28"/>
          <w:vertAlign w:val="subscript"/>
          <w:lang w:val="ru-RU"/>
        </w:rPr>
        <w:t>2</w:t>
      </w:r>
      <w:r w:rsidRPr="00107040">
        <w:rPr>
          <w:sz w:val="28"/>
          <w:szCs w:val="28"/>
        </w:rPr>
        <w:t>O</w:t>
      </w:r>
      <w:r w:rsidRPr="00107040">
        <w:rPr>
          <w:sz w:val="28"/>
          <w:szCs w:val="28"/>
          <w:vertAlign w:val="subscript"/>
          <w:lang w:val="ru-RU"/>
        </w:rPr>
        <w:t>2</w:t>
      </w:r>
      <w:r w:rsidRPr="00107040">
        <w:rPr>
          <w:sz w:val="28"/>
          <w:szCs w:val="28"/>
          <w:lang w:val="ru-RU"/>
        </w:rPr>
        <w:t xml:space="preserve"> (тяжелый окислительный стресс).</w:t>
      </w:r>
      <w:r w:rsidRPr="00107040">
        <w:rPr>
          <w:sz w:val="28"/>
          <w:szCs w:val="28"/>
          <w:lang w:val="kk-KZ"/>
        </w:rPr>
        <w:t xml:space="preserve"> Кроме того, экспрессия AtPARP2 снижала количество ДНК с разрывами как при легком, так и при тяжелом окислительном стрессе </w:t>
      </w:r>
      <w:r w:rsidRPr="00107040">
        <w:rPr>
          <w:sz w:val="28"/>
          <w:szCs w:val="28"/>
          <w:lang w:val="kk-KZ"/>
        </w:rPr>
        <w:fldChar w:fldCharType="begin"/>
      </w:r>
      <w:r w:rsidR="008611DC">
        <w:rPr>
          <w:sz w:val="28"/>
          <w:szCs w:val="28"/>
          <w:lang w:val="kk-KZ"/>
        </w:rPr>
        <w:instrText xml:space="preserve"> ADDIN ZOTERO_ITEM CSL_CITATION {"citationID":"a2c6pg9jsut","properties":{"formattedCitation":"[355]","plainCitation":"[355]","noteIndex":0},"citationItems":[{"id":246,"uris":["http://zotero.org/users/9078202/items/39YCBVJH"],"itemData":{"id":246,"type":"article-journal","abstract":"In plants many biotic and abiotic stresses can cause secondary oxidative stress. Earlier work showed that, depending on the severity of the oxidative stress, plants can activate either cell protective genes or programmed cell death (PCD). Poly(ADP-ribose) polymerase (PARP) has been implicated as one of the enzymes in the apoptotic pathways induced by DNA damaging agents or oxidative stress. We show that in cultured soybean cells, PARP is involved in responses to mild and severe oxidative stresses, by mediating DNA repair and PCD processes, respectively. Addition of PARP inhibitors reduced the degree of cell death triggered by H2O2. Two windows of NAD consumption after H2O2 treatment were detected. Experiments with transient overexpression of Arabidopsis PARP cDNA promoted DNA repair and inhibited cell death caused by mild oxidative stress. However, following severe stress PARP overexpression increased cell death. Expression of antisense PARP produced the opposite effects: an increase in DNA nicks and inhibition of cell death at high, but not mild doses of H2O2.","container-title":"FEBS letters","DOI":"10.1016/s0014-5793(98)01408-2","ISSN":"0014-5793","issue":"1-2","journalAbbreviation":"FEBS Lett","language":"eng","note":"PMID: 9862413","page":"1-7","source":"PubMed","title":"The involvement of poly(ADP-ribose) polymerase in the oxidative stress responses in plants","volume":"440","author":[{"family":"Amor","given":"Y."},{"family":"Babiychuk","given":"E."},{"family":"Inzé","given":"D."},{"family":"Levine","given":"A."}],"issued":{"date-parts":[["1998",11,27]]}}}],"schema":"https://github.com/citation-style-language/schema/raw/master/csl-citation.json"} </w:instrText>
      </w:r>
      <w:r w:rsidRPr="00107040">
        <w:rPr>
          <w:sz w:val="28"/>
          <w:szCs w:val="28"/>
          <w:lang w:val="kk-KZ"/>
        </w:rPr>
        <w:fldChar w:fldCharType="separate"/>
      </w:r>
      <w:r w:rsidR="008611DC" w:rsidRPr="008611DC">
        <w:rPr>
          <w:sz w:val="28"/>
          <w:lang w:val="ru-RU"/>
        </w:rPr>
        <w:t>[355]</w:t>
      </w:r>
      <w:r w:rsidRPr="00107040">
        <w:rPr>
          <w:sz w:val="28"/>
          <w:szCs w:val="28"/>
          <w:lang w:val="kk-KZ"/>
        </w:rPr>
        <w:fldChar w:fldCharType="end"/>
      </w:r>
      <w:r w:rsidRPr="00107040">
        <w:rPr>
          <w:sz w:val="28"/>
          <w:szCs w:val="28"/>
          <w:lang w:val="kk-KZ"/>
        </w:rPr>
        <w:t>. Кроме того, расщепление белков AtPARP каспазой-3, центральным компонентом запрограммированной гибели клеток, было продемонстрировано в клетках табака непосредственно после воздействия теплового шока, вызывающего PCD</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{"citationID":"a1kbmuf7968","properties":{"formattedCitation":"[356]","plainCitation":"[356]","noteIndex":0},"citationItems":[{"id":245,"uris":["http://zotero.org/users/9078202/items/TA2Q2QPE"],"itemData":{"id":245,"type":"article-journal","abstract":"The cleavage of poly(ADP-ribose) polymerase (PARP) by caspase (casp)-3 is an essential link in the apoptotic pathway in animal cells. In plant cells, however, there is no authentic evidence for the similar role that PARP may play during apoptosis. Using a heat shock (HS)-induced apoptosis system of tobacco cells, we found that immediately after a 4 h heat treatment, PARP was cleaved to form an 89 kDa signature fragment, while DNA laddering appeared only after a 20 h recovery following the HS. An activation of casp-3-like protease was also observed. The results suggest that apoptosis in plants and animals may share common mechanisms. On the other hand, when cells were preincubated with 4 mM 3-aminobenzamide or 2-8 mM nicotinamide, the specific inhibitors of PARP, before HS treatment, apoptotic cell death was reduced significantly. Our results thus imply that PARP may also be involved in apoptosis in a different way from the casp-related events.","container-title":"FEBS letters","DOI":"10.1016/s0014-5793(00)01561-1","ISSN":"0014-5793","issue":"1","journalAbbreviation":"FEBS Lett","language":"eng","note":"PMID: 10828442","page":"11-15","source":"PubMed","title":"Involvement of poly(ADP-ribose) polymerase and activation of caspase-3-like protease in heat shock-induced apoptosis in tobacco suspension cells","volume":"474","author":[{"family":"Tian","given":"R.","dropping-particle":"h"},{"family":"Zhang","given":"G. Y."},{"family":"Yan","given":"C. H."},{"family":"Dai","given":"Y. R."}],"issued":{"date-parts":[["2000",5,26]]}}}],"schema":"https://github.com/citation-style-language/schema/raw/master/csl-citation.json"} </w:instrText>
      </w:r>
      <w:r w:rsidRPr="00107040">
        <w:rPr>
          <w:sz w:val="28"/>
          <w:szCs w:val="28"/>
          <w:lang w:val="ru-RU"/>
        </w:rPr>
        <w:fldChar w:fldCharType="separate"/>
      </w:r>
      <w:r w:rsidR="008611DC" w:rsidRPr="008611DC">
        <w:rPr>
          <w:sz w:val="28"/>
          <w:lang w:val="ru-RU"/>
        </w:rPr>
        <w:t>[356]</w:t>
      </w:r>
      <w:r w:rsidRPr="00107040">
        <w:rPr>
          <w:sz w:val="28"/>
          <w:szCs w:val="28"/>
          <w:lang w:val="ru-RU"/>
        </w:rPr>
        <w:fldChar w:fldCharType="end"/>
      </w:r>
      <w:r w:rsidRPr="00107040">
        <w:rPr>
          <w:sz w:val="28"/>
          <w:szCs w:val="28"/>
          <w:lang w:val="kk-KZ"/>
        </w:rPr>
        <w:t xml:space="preserve">. Эти данные свидетельствуют о том, что PARP растений выполняют те же функции, что и их аналоги у млекопитающих: они действуют как переключатель между репарацией повреждений ДНК в условиях умеренного стресса и PCD в условиях сильного стресса. </w:t>
      </w:r>
    </w:p>
    <w:p w14:paraId="5BA84AE7" w14:textId="5D9FCD04"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t xml:space="preserve">Предполагается, что помимо повреждения ДНК и </w:t>
      </w:r>
      <w:r w:rsidRPr="00107040">
        <w:rPr>
          <w:sz w:val="28"/>
          <w:szCs w:val="28"/>
        </w:rPr>
        <w:t>PCD</w:t>
      </w:r>
      <w:r w:rsidRPr="00107040">
        <w:rPr>
          <w:sz w:val="28"/>
          <w:szCs w:val="28"/>
          <w:lang w:val="ru-RU"/>
        </w:rPr>
        <w:t xml:space="preserve"> важную роль в развитии растений играют белки </w:t>
      </w:r>
      <w:r w:rsidRPr="00107040">
        <w:rPr>
          <w:sz w:val="28"/>
          <w:szCs w:val="28"/>
        </w:rPr>
        <w:t>PARP</w:t>
      </w:r>
      <w:r w:rsidRPr="00107040">
        <w:rPr>
          <w:sz w:val="28"/>
          <w:szCs w:val="28"/>
          <w:lang w:val="ru-RU"/>
        </w:rPr>
        <w:t xml:space="preserve"> и поли(АДФ-рибозил)ирование </w:t>
      </w:r>
      <w:r w:rsidRPr="00107040">
        <w:rPr>
          <w:sz w:val="28"/>
          <w:szCs w:val="28"/>
          <w:lang w:val="ru-RU"/>
        </w:rPr>
        <w:fldChar w:fldCharType="begin"/>
      </w:r>
      <w:r w:rsidR="008611DC">
        <w:rPr>
          <w:sz w:val="28"/>
          <w:szCs w:val="28"/>
          <w:lang w:val="ru-RU"/>
        </w:rPr>
        <w:instrText xml:space="preserve"> ADDIN ZOTERO_ITEM CSL_CITATION {"citationID":"a29vm79qqvi","properties":{"formattedCitation":"[357]","plainCitation":"[357]","noteIndex":0},"citationItems":[{"id":261,"uris":["http://zotero.org/users/9078202/items/7PTQ2MA4"],"itemData":{"id":261,"type":"article-journal","abstract":"Poly(ADP-ribos)ylation, originally described as a mechanism of DNA break repair, is now considered as part of a complex regulatory system involved in dynamic reorganization of chromatin structure, transcriptional control of gene expression and regulation of metabolism. In plants poly(ADP-ribos)ylation has received surprisingly little attention. It has been implicated in abiotic and biotic stress responses, cell cycle control and development; however the molecular mechanisms and proteins involved are largely unknown.","container-title":"Current Protein &amp; Peptide Science","DOI":"10.2174/1389203717666160419144721","ISSN":"13892037","issue":"7","journalAbbreviation":"CPPS","language":"en","page":"713-723","source":"DOI.org (Crossref)","title":"Plant PARPs, PARGs and PARP-like Proteins","URL":"http://www.eurekaselect.com/openurl/content.php?genre=article&amp;issn=1389-2037&amp;volume=17&amp;issue=7&amp;spage=713","volume":"17","author":[{"family":"P. Vainonen","given":"Julia"},{"family":"Shapiguzov","given":"Alexey"},{"family":"Vaattovaara","given":"Aleksia"},{"family":"Kangasjärvi","given":"Jaakko"}],"accessed":{"date-parts":[["2022",4,11]]},"issued":{"date-parts":[["2016",9,6]]}}}],"schema":"https://github.com/citation-style-language/schema/raw/master/csl-citation.json"} </w:instrText>
      </w:r>
      <w:r w:rsidRPr="00107040">
        <w:rPr>
          <w:sz w:val="28"/>
          <w:szCs w:val="28"/>
          <w:lang w:val="ru-RU"/>
        </w:rPr>
        <w:fldChar w:fldCharType="separate"/>
      </w:r>
      <w:r w:rsidR="008611DC" w:rsidRPr="008611DC">
        <w:rPr>
          <w:sz w:val="28"/>
          <w:lang w:val="ru-RU"/>
        </w:rPr>
        <w:t>[357]</w:t>
      </w:r>
      <w:r w:rsidRPr="00107040">
        <w:rPr>
          <w:sz w:val="28"/>
          <w:szCs w:val="28"/>
          <w:lang w:val="ru-RU"/>
        </w:rPr>
        <w:fldChar w:fldCharType="end"/>
      </w:r>
      <w:r w:rsidRPr="00107040">
        <w:rPr>
          <w:sz w:val="28"/>
          <w:szCs w:val="28"/>
          <w:lang w:val="ru-RU"/>
        </w:rPr>
        <w:t xml:space="preserve">. Например, образование трахейных элементов в культурах клеток артишока, клубнях артишока и эксплантатах корней гороха ингибировалось добавлением ингибитора </w:t>
      </w:r>
      <w:r w:rsidRPr="00107040">
        <w:rPr>
          <w:sz w:val="28"/>
          <w:szCs w:val="28"/>
        </w:rPr>
        <w:t>PARP</w:t>
      </w:r>
      <w:r w:rsidRPr="00107040">
        <w:rPr>
          <w:sz w:val="28"/>
          <w:szCs w:val="28"/>
          <w:lang w:val="ru-RU"/>
        </w:rPr>
        <w:t>, 3</w:t>
      </w:r>
      <w:r w:rsidRPr="00107040">
        <w:rPr>
          <w:sz w:val="28"/>
          <w:szCs w:val="28"/>
        </w:rPr>
        <w:t>AB</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{"citationID":"a1k5418sa5g","properties":{"formattedCitation":"[358]","plainCitation":"[358]","noteIndex":0},"citationItems":[{"id":1109,"uris":["http://zotero.org/users/9078202/items/TAAJLSEC"],"itemData":{"id":1109,"type":"article-journal","abstract":"3-Aminobenzamide (3-ABAM), a specific inhibitor of the nuclear enzyme ADP-ribosyl transferase (ADP-RT) has been previously shown to inhibit the differentiation of tracheary elements without affecting cell division (Hawkins and Phillips, 1983). This effect is confirmed here in cultured explants of pea as well as Jerusalem artichoke, and total inhibition of direct differentiation in cultures of gamma-irradiated immature artichoke tubers demonstrated. In studies on the timing of action of 3-ABAM, cells were found to be sensitive only during the 6 h period prior to the onset of visible differentiation, i.e., after the final mitosis when cells were known to be in the G1/G0 phase of the cell cycle. The duration of effectiveness of 3-ABAM was limited to a maximum of 3–4 d, apparently due to metabolic degradation of the inhibitor. Other reported ADP-RT inhibitors and their analogues were found to be toxic in this system. The blocking of differentiation by 3-ABAM was freely and rapidly reversed on removal, and by this means the maturation time for differentiating tracheary elements was estimated at 6 h. The potential of studies on ADP-RT activity, and its possible role in regulating DNA strand breakage and repair for advancing our understanding of the molecular mechanisms involved in xylem differentiation are discussed.","container-title":"Journal of Experimental Botany","DOI":"10.1093/jxb/36.1.119","ISSN":"0022-0957","issue":"1","journalAbbreviation":"Journal of Experimental Botany","page":"119-128","source":"Silverchair","title":"Characteristics of the Inhibition of Induced Tracheary Element Differentiation by 3-Aminobenzamide and Related Compounds","URL":"https://doi.org/10.1093/jxb/36.1.119","volume":"36","author":[{"family":"PHILLIPS","given":"R."},{"family":"HAWKINS","given":"S. W."}],"accessed":{"date-parts":[["2022",4,19]]},"issued":{"date-parts":[["1985",1,1]]}}}],"schema":"https://github.com/citation-style-language/schema/raw/master/csl-citation.json"} </w:instrText>
      </w:r>
      <w:r w:rsidRPr="00107040">
        <w:rPr>
          <w:sz w:val="28"/>
          <w:szCs w:val="28"/>
          <w:lang w:val="ru-RU"/>
        </w:rPr>
        <w:fldChar w:fldCharType="separate"/>
      </w:r>
      <w:r w:rsidR="008611DC" w:rsidRPr="008611DC">
        <w:rPr>
          <w:sz w:val="28"/>
          <w:lang w:val="ru-RU"/>
        </w:rPr>
        <w:t>[358]</w:t>
      </w:r>
      <w:r w:rsidRPr="00107040">
        <w:rPr>
          <w:sz w:val="28"/>
          <w:szCs w:val="28"/>
          <w:lang w:val="ru-RU"/>
        </w:rPr>
        <w:fldChar w:fldCharType="end"/>
      </w:r>
      <w:r w:rsidRPr="00107040">
        <w:rPr>
          <w:sz w:val="28"/>
          <w:szCs w:val="28"/>
          <w:lang w:val="ru-RU"/>
        </w:rPr>
        <w:t xml:space="preserve">. В дополнение к этому экспрессия </w:t>
      </w:r>
      <w:r w:rsidRPr="00107040">
        <w:rPr>
          <w:sz w:val="28"/>
          <w:szCs w:val="28"/>
        </w:rPr>
        <w:t>AtPARP</w:t>
      </w:r>
      <w:r w:rsidRPr="00107040">
        <w:rPr>
          <w:sz w:val="28"/>
          <w:szCs w:val="28"/>
          <w:lang w:val="ru-RU"/>
        </w:rPr>
        <w:t xml:space="preserve">1 и </w:t>
      </w:r>
      <w:r w:rsidRPr="00107040">
        <w:rPr>
          <w:sz w:val="28"/>
          <w:szCs w:val="28"/>
        </w:rPr>
        <w:t>AtPARP</w:t>
      </w:r>
      <w:r w:rsidRPr="00107040">
        <w:rPr>
          <w:sz w:val="28"/>
          <w:szCs w:val="28"/>
          <w:lang w:val="ru-RU"/>
        </w:rPr>
        <w:t xml:space="preserve">2 и их активность увеличивались в культурах клеток арабидопсиса в фазе экспоненциального роста </w:t>
      </w:r>
      <w:r w:rsidRPr="00107040">
        <w:rPr>
          <w:sz w:val="28"/>
          <w:szCs w:val="28"/>
          <w:lang w:val="ru-RU"/>
        </w:rPr>
        <w:fldChar w:fldCharType="begin"/>
      </w:r>
      <w:r w:rsidR="008611DC">
        <w:rPr>
          <w:sz w:val="28"/>
          <w:szCs w:val="28"/>
          <w:lang w:val="ru-RU"/>
        </w:rPr>
        <w:instrText xml:space="preserve"> ADDIN ZOTERO_ITEM CSL_CITATION {"citationID":"ajsa5652c8","properties":{"formattedCitation":"[359]","plainCitation":"[359]","noteIndex":0},"citationItems":[{"id":1113,"uris":["http://zotero.org/users/9078202/items/HGUFV2NN"],"itemData":{"id":1113,"type":"article-journal","abstract":"Pyridine nucleotides, ascorbate and glutathione are major redox metabolites in plant cells, with specific roles in cellular redox homeostasis and the regulation of the cell cycle. However, the regulation of these metabolite pools during exponential growth and their precise functions in the cell cycle remain to be characterized. The present analysis of the abundance of ascorbate, glutathione, and pyridine nucleotides during exponential growth of Arabidopsis cells in culture provides evidence for the differential regulation of each of these redox pools. Ascorbate was most abundant early in the growth cycle, but glutathione was low at this point. The cellular ascorbate to dehydroascorbate and reduced glutathione (GSH) to glutathione disulphide ratios were high and constant but the pyridine nucleotide pools were largely oxidized over the period of exponential growth and only became more reduced once growth had ceased. The glutathione pool increased in parallel with poly (ADP-ribose) polymerase (PARP) activities and with increases in the abundance of PARP1 and PARP2 mRNAs at a time of high cell cycle activity as indicated by transcriptome information. Marked changes in the intracellular partitioning of GSH between the cytoplasm and nucleus were observed. Extension of the exponential growth phase by dilution or changing the media led to increases in the glutathione and nicotinamide adenine dinucleotide, oxidized form (NAD)-plus-nicotinamide adenine dinucleotide, reduced form (NADH) pools and to higher NAD/NADH ratios but the nicotinamide adenine dinucleotide phosphate, oxidized form (NADP)-plus-nicotinamide adenine dinucleotide phosphate, reduced form (NADPH) pool sizes, and NAPD/NADPH ratios were much less affected. The ascorbate, glutathione, and pyridine nucleotide pools and PARP activity decreased before the exponential growth phase ended. We conclude that there are marked changes in intracellular redox state during the growth cycle but that redox homeostasis is maintained by interplay of the major redox pyridine nucleotides, glutathione, and ascorbate pools. The correlation between PARP expression and activity and GSH accumulation and the finding that GSH can be recruited to the nucleus suggest a relationship between redox regulation and nuclear enzyme activity.","container-title":"Molecular Plant","DOI":"10.1093/mp/ssp008","ISSN":"1674-2052","issue":"3","journalAbbreviation":"Molecular Plant","language":"en","page":"442-456","source":"ScienceDirect","title":"Pyridine Nucleotide Cycling and Control of Intracellular Redox State in Relation to Poly (ADP-Ribose) Polymerase Activity and Nuclear Localization of Glutathione during Exponential Growth of Arabidopsis Cells in Culture","URL":"https://www.sciencedirect.com/science/article/pii/S1674205214604858","volume":"2","author":[{"family":"Pellny","given":"Till K."},{"family":"Locato","given":"Vittoria"},{"family":"Vivancos","given":"Pedro Diaz"},{"family":"Markovic","given":"Jelena"},{"family":"De Gara","given":"Laura"},{"family":"Pallardó","given":"Federico V."},{"family":"Foyer","given":"Christine H."}],"accessed":{"date-parts":[["2022",4,19]]},"issued":{"date-parts":[["2009",5,1]]}}}],"schema":"https://github.com/citation-style-language/schema/raw/master/csl-citation.json"} </w:instrText>
      </w:r>
      <w:r w:rsidRPr="00107040">
        <w:rPr>
          <w:sz w:val="28"/>
          <w:szCs w:val="28"/>
          <w:lang w:val="ru-RU"/>
        </w:rPr>
        <w:fldChar w:fldCharType="separate"/>
      </w:r>
      <w:r w:rsidR="008611DC" w:rsidRPr="008611DC">
        <w:rPr>
          <w:sz w:val="28"/>
          <w:lang w:val="ru-RU"/>
        </w:rPr>
        <w:t>[359]</w:t>
      </w:r>
      <w:r w:rsidRPr="00107040">
        <w:rPr>
          <w:sz w:val="28"/>
          <w:szCs w:val="28"/>
          <w:lang w:val="ru-RU"/>
        </w:rPr>
        <w:fldChar w:fldCharType="end"/>
      </w:r>
      <w:r w:rsidRPr="00107040">
        <w:rPr>
          <w:sz w:val="28"/>
          <w:szCs w:val="28"/>
          <w:lang w:val="ru-RU"/>
        </w:rPr>
        <w:t>.</w:t>
      </w:r>
      <w:r w:rsidRPr="00107040">
        <w:rPr>
          <w:sz w:val="28"/>
          <w:szCs w:val="28"/>
          <w:lang w:val="kk-KZ"/>
        </w:rPr>
        <w:t xml:space="preserve"> Это увеличение экспрессии и активности было временно связано с увеличением экспрессии маркерного гена для фазового перехода от S к G2 в клеточном цикле. Одновременно была обнаружена корреляция между повышением активности PARP и увеличением пула глутатиона при экспоненциальном росте клеточной культуры </w:t>
      </w:r>
      <w:r w:rsidRPr="00107040">
        <w:rPr>
          <w:sz w:val="28"/>
          <w:szCs w:val="28"/>
          <w:lang w:val="kk-KZ"/>
        </w:rPr>
        <w:fldChar w:fldCharType="begin"/>
      </w:r>
      <w:r w:rsidR="008611DC">
        <w:rPr>
          <w:sz w:val="28"/>
          <w:szCs w:val="28"/>
          <w:lang w:val="kk-KZ"/>
        </w:rPr>
        <w:instrText xml:space="preserve"> ADDIN ZOTERO_ITEM CSL_CITATION {"citationID":"a21a8hlm98o","properties":{"formattedCitation":"[359]","plainCitation":"[359]","noteIndex":0},"citationItems":[{"id":1113,"uris":["http://zotero.org/users/9078202/items/HGUFV2NN"],"itemData":{"id":1113,"type":"article-journal","abstract":"Pyridine nucleotides, ascorbate and glutathione are major redox metabolites in plant cells, with specific roles in cellular redox homeostasis and the regulation of the cell cycle. However, the regulation of these metabolite pools during exponential growth and their precise functions in the cell cycle remain to be characterized. The present analysis of the abundance of ascorbate, glutathione, and pyridine nucleotides during exponential growth of Arabidopsis cells in culture provides evidence for the differential regulation of each of these redox pools. Ascorbate was most abundant early in the growth cycle, but glutathione was low at this point. The cellular ascorbate to dehydroascorbate and reduced glutathione (GSH) to glutathione disulphide ratios were high and constant but the pyridine nucleotide pools were largely oxidized over the period of exponential growth and only became more reduced once growth had ceased. The glutathione pool increased in parallel with poly (ADP-ribose) polymerase (PARP) activities and with increases in the abundance of PARP1 and PARP2 mRNAs at a time of high cell cycle activity as indicated by transcriptome information. Marked changes in the intracellular partitioning of GSH between the cytoplasm and nucleus were observed. Extension of the exponential growth phase by dilution or changing the media led to increases in the glutathione and nicotinamide adenine dinucleotide, oxidized form (NAD)-plus-nicotinamide adenine dinucleotide, reduced form (NADH) pools and to higher NAD/NADH ratios but the nicotinamide adenine dinucleotide phosphate, oxidized form (NADP)-plus-nicotinamide adenine dinucleotide phosphate, reduced form (NADPH) pool sizes, and NAPD/NADPH ratios were much less affected. The ascorbate, glutathione, and pyridine nucleotide pools and PARP activity decreased before the exponential growth phase ended. We conclude that there are marked changes in intracellular redox state during the growth cycle but that redox homeostasis is maintained by interplay of the major redox pyridine nucleotides, glutathione, and ascorbate pools. The correlation between PARP expression and activity and GSH accumulation and the finding that GSH can be recruited to the nucleus suggest a relationship between redox regulation and nuclear enzyme activity.","container-title":"Molecular Plant","DOI":"10.1093/mp/ssp008","ISSN":"1674-2052","issue":"3","journalAbbreviation":"Molecular Plant","language":"en","page":"442-456","source":"ScienceDirect","title":"Pyridine Nucleotide Cycling and Control of Intracellular Redox State in Relation to Poly (ADP-Ribose) Polymerase Activity and Nuclear Localization of Glutathione during Exponential Growth of Arabidopsis Cells in Culture","URL":"https://www.sciencedirect.com/science/article/pii/S1674205214604858","volume":"2","author":[{"family":"Pellny","given":"Till K."},{"family":"Locato","given":"Vittoria"},{"family":"Vivancos","given":"Pedro Diaz"},{"family":"Markovic","given":"Jelena"},{"family":"De Gara","given":"Laura"},{"family":"Pallardó","given":"Federico V."},{"family":"Foyer","given":"Christine H."}],"accessed":{"date-parts":[["2022",4,19]]},"issued":{"date-parts":[["2009",5,1]]}}}],"schema":"https://github.com/citation-style-language/schema/raw/master/csl-citation.json"} </w:instrText>
      </w:r>
      <w:r w:rsidRPr="00107040">
        <w:rPr>
          <w:sz w:val="28"/>
          <w:szCs w:val="28"/>
          <w:lang w:val="kk-KZ"/>
        </w:rPr>
        <w:fldChar w:fldCharType="separate"/>
      </w:r>
      <w:r w:rsidR="008611DC" w:rsidRPr="008611DC">
        <w:rPr>
          <w:sz w:val="28"/>
          <w:lang w:val="ru-RU"/>
        </w:rPr>
        <w:t>[359]</w:t>
      </w:r>
      <w:r w:rsidRPr="00107040">
        <w:rPr>
          <w:sz w:val="28"/>
          <w:szCs w:val="28"/>
          <w:lang w:val="kk-KZ"/>
        </w:rPr>
        <w:fldChar w:fldCharType="end"/>
      </w:r>
      <w:r w:rsidRPr="00107040">
        <w:rPr>
          <w:sz w:val="28"/>
          <w:szCs w:val="28"/>
          <w:lang w:val="kk-KZ"/>
        </w:rPr>
        <w:t xml:space="preserve">. </w:t>
      </w:r>
      <w:r w:rsidRPr="00107040">
        <w:rPr>
          <w:sz w:val="28"/>
          <w:szCs w:val="28"/>
          <w:lang w:val="kk-KZ"/>
        </w:rPr>
        <w:lastRenderedPageBreak/>
        <w:t xml:space="preserve">Следовательно, активность PARP связана с ходом клеточного цикла и регуляцией окислительно-восстановительного потенциала, что указывает на регулирующую функцию AtPARP в развитии растений. В соответствии с этим всхожесть семян была изменена у мутантных растений </w:t>
      </w:r>
      <w:r w:rsidRPr="00107040">
        <w:rPr>
          <w:i/>
          <w:sz w:val="28"/>
          <w:szCs w:val="28"/>
          <w:lang w:val="kk-KZ"/>
        </w:rPr>
        <w:t>parp1</w:t>
      </w:r>
      <w:r w:rsidRPr="00107040">
        <w:rPr>
          <w:sz w:val="28"/>
          <w:szCs w:val="28"/>
          <w:lang w:val="kk-KZ"/>
        </w:rPr>
        <w:t xml:space="preserve">, </w:t>
      </w:r>
      <w:r w:rsidRPr="00107040">
        <w:rPr>
          <w:i/>
          <w:sz w:val="28"/>
          <w:szCs w:val="28"/>
          <w:lang w:val="kk-KZ"/>
        </w:rPr>
        <w:t>parp2</w:t>
      </w:r>
      <w:r w:rsidRPr="00107040">
        <w:rPr>
          <w:sz w:val="28"/>
          <w:szCs w:val="28"/>
          <w:lang w:val="kk-KZ"/>
        </w:rPr>
        <w:t xml:space="preserve"> и </w:t>
      </w:r>
      <w:r w:rsidRPr="00107040">
        <w:rPr>
          <w:i/>
          <w:sz w:val="28"/>
          <w:szCs w:val="28"/>
          <w:lang w:val="kk-KZ"/>
        </w:rPr>
        <w:t>parp3</w:t>
      </w:r>
      <w:r w:rsidRPr="00107040">
        <w:rPr>
          <w:sz w:val="28"/>
          <w:szCs w:val="28"/>
          <w:lang w:val="kk-KZ"/>
        </w:rPr>
        <w:t xml:space="preserve">. В нестрессовых условиях растения </w:t>
      </w:r>
      <w:r w:rsidRPr="00107040">
        <w:rPr>
          <w:i/>
          <w:sz w:val="28"/>
          <w:szCs w:val="28"/>
          <w:lang w:val="kk-KZ"/>
        </w:rPr>
        <w:t>parp3</w:t>
      </w:r>
      <w:r w:rsidRPr="00107040">
        <w:rPr>
          <w:sz w:val="28"/>
          <w:szCs w:val="28"/>
          <w:lang w:val="kk-KZ"/>
        </w:rPr>
        <w:t xml:space="preserve"> прорастали быстрее, чем растения дикого типа, в то время как растения </w:t>
      </w:r>
      <w:r w:rsidRPr="00107040">
        <w:rPr>
          <w:i/>
          <w:sz w:val="28"/>
          <w:szCs w:val="28"/>
          <w:lang w:val="kk-KZ"/>
        </w:rPr>
        <w:t>parp1</w:t>
      </w:r>
      <w:r w:rsidRPr="00107040">
        <w:rPr>
          <w:sz w:val="28"/>
          <w:szCs w:val="28"/>
          <w:lang w:val="kk-KZ"/>
        </w:rPr>
        <w:t xml:space="preserve"> и </w:t>
      </w:r>
      <w:r w:rsidRPr="00107040">
        <w:rPr>
          <w:i/>
          <w:sz w:val="28"/>
          <w:szCs w:val="28"/>
          <w:lang w:val="kk-KZ"/>
        </w:rPr>
        <w:t>parp2</w:t>
      </w:r>
      <w:r w:rsidRPr="00107040">
        <w:rPr>
          <w:sz w:val="28"/>
          <w:szCs w:val="28"/>
          <w:lang w:val="kk-KZ"/>
        </w:rPr>
        <w:t xml:space="preserve"> демонстрировали более медленную и частично сниженную скорость прорастания </w:t>
      </w:r>
      <w:r w:rsidRPr="00107040">
        <w:rPr>
          <w:sz w:val="28"/>
          <w:szCs w:val="28"/>
          <w:lang w:val="kk-KZ"/>
        </w:rPr>
        <w:fldChar w:fldCharType="begin"/>
      </w:r>
      <w:r>
        <w:rPr>
          <w:sz w:val="28"/>
          <w:szCs w:val="28"/>
          <w:lang w:val="kk-KZ"/>
        </w:rPr>
        <w:instrText xml:space="preserve"> ADDIN ZOTERO_ITEM CSL_CITATION {"citationID":"a146iovcotq","properties":{"formattedCitation":"[9]","plainCitation":"[9]","noteIndex":0},"citationItems":[{"id":1247,"uris":["http://zotero.org/users/9078202/items/YHNZFVKW"],"itemData":{"id":1247,"type":"article-journal","abstract":"Poly(ADP-ribose) polymerases (PARPs) and poly(ADP-ribose) glycohydrolases (PARGs) are the main enzymes responsible for the post-translational modification known as poly(ADP-ribosyl)ation. These enzymes play important roles in genotoxic stress tolerance and DNA repair, programmed cell death, transcription, and cell cycle control in animals. Similar impacts are being discovered in plants, as well as roles in plant-specific processes. In particular, we review recent work that has revealed significant roles for poly(ADP-ribosyl)ation in plant responses to biotic and abiotic stress, as well as roles for ADP-ribose pyrophosphatases (a subset of the nucleoside diphosphate linked to some moiety-X or NUDX hydrolases). Future challenges include identification of poly(ADP-ribosyl)ation targets and interacting proteins, improved use of inhibitors and plant mutants, and field-based studies with economically valuable plant species.","container-title":"Trends in Plant Science","DOI":"10.1016/j.tplants.2011.03.008","ISSN":"1878-4372","issue":"7","journalAbbreviation":"Trends Plant Sci","language":"eng","note":"PMID: 21482174","page":"372-380","source":"PubMed","title":"Poly(ADP-ribosyl)ation in plants","volume":"16","author":[{"family":"Briggs","given":"Amy G."},{"family":"Bent","given":"Andrew F."}],"issued":{"date-parts":[["2011",7]]}}}],"schema":"https://github.com/citation-style-language/schema/raw/master/csl-citation.json"} </w:instrText>
      </w:r>
      <w:r w:rsidRPr="00107040">
        <w:rPr>
          <w:sz w:val="28"/>
          <w:szCs w:val="28"/>
          <w:lang w:val="kk-KZ"/>
        </w:rPr>
        <w:fldChar w:fldCharType="separate"/>
      </w:r>
      <w:r w:rsidRPr="00107040">
        <w:rPr>
          <w:sz w:val="28"/>
          <w:lang w:val="ru-RU"/>
        </w:rPr>
        <w:t>[9]</w:t>
      </w:r>
      <w:r w:rsidRPr="00107040">
        <w:rPr>
          <w:sz w:val="28"/>
          <w:szCs w:val="28"/>
          <w:lang w:val="kk-KZ"/>
        </w:rPr>
        <w:fldChar w:fldCharType="end"/>
      </w:r>
      <w:r w:rsidRPr="00107040">
        <w:rPr>
          <w:sz w:val="28"/>
          <w:szCs w:val="28"/>
          <w:lang w:val="kk-KZ"/>
        </w:rPr>
        <w:t xml:space="preserve">. </w:t>
      </w:r>
    </w:p>
    <w:p w14:paraId="052C4E16" w14:textId="6ECB2098"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Помимо прорастания, регуляция роста растений, по-видимому, включает поли(АДФ-рибозил)ирование, поскольку было показано, что ингибитор </w:t>
      </w:r>
      <w:r w:rsidRPr="00107040">
        <w:rPr>
          <w:sz w:val="28"/>
          <w:szCs w:val="28"/>
        </w:rPr>
        <w:t>PARP</w:t>
      </w:r>
      <w:r w:rsidRPr="00107040">
        <w:rPr>
          <w:sz w:val="28"/>
          <w:szCs w:val="28"/>
          <w:lang w:val="ru-RU"/>
        </w:rPr>
        <w:t xml:space="preserve"> 3</w:t>
      </w:r>
      <w:r w:rsidRPr="00107040">
        <w:rPr>
          <w:sz w:val="28"/>
          <w:szCs w:val="28"/>
        </w:rPr>
        <w:t>MB</w:t>
      </w:r>
      <w:r w:rsidRPr="00107040">
        <w:rPr>
          <w:sz w:val="28"/>
          <w:szCs w:val="28"/>
          <w:lang w:val="ru-RU"/>
        </w:rPr>
        <w:t xml:space="preserve"> улучшает рост арабидопсиса в нестрессовых условиях </w:t>
      </w:r>
      <w:r w:rsidRPr="00107040">
        <w:rPr>
          <w:sz w:val="28"/>
          <w:szCs w:val="28"/>
          <w:lang w:val="ru-RU"/>
        </w:rPr>
        <w:fldChar w:fldCharType="begin"/>
      </w:r>
      <w:r w:rsidR="008611DC">
        <w:rPr>
          <w:sz w:val="28"/>
          <w:szCs w:val="28"/>
          <w:lang w:val="ru-RU"/>
        </w:rPr>
        <w:instrText xml:space="preserve"> ADDIN ZOTERO_ITEM CSL_CITATION {"citationID":"a2kto6p34up","properties":{"formattedCitation":"[360,361]","plainCitation":"[360,361]","noteIndex":0},"citationItems":[{"id":1122,"uris":["http://zotero.org/users/9078202/items/9EX853NA"],"itemData":{"id":1122,"type":"article-journal","abstract":"Poly-ADP-ribose polymerase (PARP) post-translationally modifies proteins through the addition of ADP-ribose polymers, yet its role in modulating plant development and stress responses is only poorly understood. The experiments presented here address some of the gaps in our understanding of its role in stress tolerance and thereby provide new insights into tolerance mechanisms and growth. Using a combination of chemical and genetic approaches, this study characterized phenotypes associated with PARP inhibition at the physiological level. Molecular analyses including gene expression analysis, measurement of primary metabolites and redox metabolites were used to understand the underlying processes. The analysis revealed that PARP inhibition represses anthocyanin and ascorbate accumulation under stress conditions. The reduction in defense is correlated with enhanced biomass production. Even in unstressed conditions protective genes and molecules are repressed by PARP inhibition. The reduced anthocyanin production was shown to be based on the repression of transcription of key regulatory and biosynthesis genes. PARP is a key factor for understanding growth and stress responses of plants. PARP inhibition allows plants to reduce protection such as anthocyanin, ascorbate or Non-Photochemical-Quenching whilst maintaining high energy levels likely enabling the observed enhancement of biomass production under stress, opening interesting perspectives for increasing crop productivity.","container-title":"PLOS ONE","DOI":"10.1371/journal.pone.0037287","ISSN":"1932-6203","issue":"5","journalAbbreviation":"PLOS ONE","language":"en","note":"publisher: Public Library of Science","page":"e37287","source":"PLoS Journals","title":"Chemical PARP Inhibition Enhances Growth of Arabidopsis and Reduces Anthocyanin Accumulation and the Activation of Stress Protective Mechanisms","URL":"https://journals.plos.org/plosone/article?id=10.1371/journal.pone.0037287","volume":"7","author":[{"family":"Schulz","given":"Philipp"},{"family":"Neukermans","given":"Jenny"},{"family":"Kelen","given":"Katrien Van Der"},{"family":"Mühlenbock","given":"Per"},{"family":"Breusegem","given":"Frank Van"},{"family":"Noctor","given":"Graham"},{"family":"Teige","given":"Markus"},{"family":"Metzlaff","given":"Michael"},{"family":"Hannah","given":"Matthew A."}],"accessed":{"date-parts":[["2022",4,19]]},"issued":{"date-parts":[["2012",5,25]]}}},{"id":1125,"uris":["http://zotero.org/users/9078202/items/59BJN3IJ"],"itemData":{"id":1125,"type":"article-journal","abstract":"A changing global environment, rising population and increasing demand for biofuels are challenging agriculture and creating a need for technologies to increase biomass production. Here we demonstrate that the inhibition of poly (ADP-ribose) polymerase activity is a promising technology to achieve this under non-stress conditions. Furthermore, we investigate the basis of this growth enhancement via leaf series and kinematic cell analysis as well as single leaf transcriptomics and plant metabolomics under non-stress conditions. These data indicate a regulatory function of PARP within cell growth and potentially development. PARP inhibition enhances growth of Arabidopsis thaliana by enhancing the cell number. Time course single leaf transcriptomics shows that PARP inhibition regulates a small subset of genes which are related to growth promotion, cell cycle and the control of metabolism. This is supported by metabolite analysis showing overall changes in primary and particularly secondary metabolism. Taken together the results indicate a versatile function of PARP beyond its previously reported roles in controlling plant stress tolerance and thus can be a useful target for enhancing biomass production.","container-title":"PLOS ONE","DOI":"10.1371/journal.pone.0090322","ISSN":"1932-6203","issue":"2","journalAbbreviation":"PLOS ONE","language":"en","note":"publisher: Public Library of Science","page":"e90322","source":"PLoS Journals","title":"Poly(ADP-Ribose)Polymerase Activity Controls Plant Growth by Promoting Leaf Cell Number","URL":"https://journals.plos.org/plosone/article?id=10.1371/journal.pone.0090322","volume":"9","author":[{"family":"Schulz","given":"Philipp"},{"family":"Jansseune","given":"Karel"},{"family":"Degenkolbe","given":"Thomas"},{"family":"Méret","given":"Michaël"},{"family":"Claeys","given":"Hannes"},{"family":"Skirycz","given":"Aleksandra"},{"family":"Teige","given":"Markus"},{"family":"Willmitzer","given":"Lothar"},{"family":"Hannah","given":"Matthew A."}],"accessed":{"date-parts":[["2022",4,19]]},"issued":{"date-parts":[["2014",2,28]]}}}],"schema":"https://github.com/citation-style-language/schema/raw/master/csl-citation.json"} </w:instrText>
      </w:r>
      <w:r w:rsidRPr="00107040">
        <w:rPr>
          <w:sz w:val="28"/>
          <w:szCs w:val="28"/>
          <w:lang w:val="ru-RU"/>
        </w:rPr>
        <w:fldChar w:fldCharType="separate"/>
      </w:r>
      <w:r w:rsidR="008611DC" w:rsidRPr="008611DC">
        <w:rPr>
          <w:sz w:val="28"/>
          <w:lang w:val="ru-RU"/>
        </w:rPr>
        <w:t>[360,361]</w:t>
      </w:r>
      <w:r w:rsidRPr="00107040">
        <w:rPr>
          <w:sz w:val="28"/>
          <w:szCs w:val="28"/>
          <w:lang w:val="ru-RU"/>
        </w:rPr>
        <w:fldChar w:fldCharType="end"/>
      </w:r>
      <w:r w:rsidRPr="00107040">
        <w:rPr>
          <w:sz w:val="28"/>
          <w:szCs w:val="28"/>
          <w:lang w:val="ru-RU"/>
        </w:rPr>
        <w:t>. Усиленный рост на 3</w:t>
      </w:r>
      <w:r w:rsidRPr="00107040">
        <w:rPr>
          <w:sz w:val="28"/>
          <w:szCs w:val="28"/>
        </w:rPr>
        <w:t>MB</w:t>
      </w:r>
      <w:r w:rsidRPr="00107040">
        <w:rPr>
          <w:sz w:val="28"/>
          <w:szCs w:val="28"/>
          <w:lang w:val="ru-RU"/>
        </w:rPr>
        <w:t xml:space="preserve"> был связан с более высоким числом клеток листа из-за укороченного цикла клеточного деления, что привело к увеличению общего размера листа </w:t>
      </w:r>
      <w:r w:rsidRPr="00107040">
        <w:rPr>
          <w:sz w:val="28"/>
          <w:szCs w:val="28"/>
          <w:lang w:val="ru-RU"/>
        </w:rPr>
        <w:fldChar w:fldCharType="begin"/>
      </w:r>
      <w:r w:rsidR="008611DC">
        <w:rPr>
          <w:sz w:val="28"/>
          <w:szCs w:val="28"/>
          <w:lang w:val="ru-RU"/>
        </w:rPr>
        <w:instrText xml:space="preserve"> ADDIN ZOTERO_ITEM CSL_CITATION {"citationID":"a7qr5r02s2","properties":{"formattedCitation":"[361]","plainCitation":"[361]","noteIndex":0},"citationItems":[{"id":1125,"uris":["http://zotero.org/users/9078202/items/59BJN3IJ"],"itemData":{"id":1125,"type":"article-journal","abstract":"A changing global environment, rising population and increasing demand for biofuels are challenging agriculture and creating a need for technologies to increase biomass production. Here we demonstrate that the inhibition of poly (ADP-ribose) polymerase activity is a promising technology to achieve this under non-stress conditions. Furthermore, we investigate the basis of this growth enhancement via leaf series and kinematic cell analysis as well as single leaf transcriptomics and plant metabolomics under non-stress conditions. These data indicate a regulatory function of PARP within cell growth and potentially development. PARP inhibition enhances growth of Arabidopsis thaliana by enhancing the cell number. Time course single leaf transcriptomics shows that PARP inhibition regulates a small subset of genes which are related to growth promotion, cell cycle and the control of metabolism. This is supported by metabolite analysis showing overall changes in primary and particularly secondary metabolism. Taken together the results indicate a versatile function of PARP beyond its previously reported roles in controlling plant stress tolerance and thus can be a useful target for enhancing biomass production.","container-title":"PLOS ONE","DOI":"10.1371/journal.pone.0090322","ISSN":"1932-6203","issue":"2","journalAbbreviation":"PLOS ONE","language":"en","note":"publisher: Public Library of Science","page":"e90322","source":"PLoS Journals","title":"Poly(ADP-Ribose)Polymerase Activity Controls Plant Growth by Promoting Leaf Cell Number","URL":"https://journals.plos.org/plosone/article?id=10.1371/journal.pone.0090322","volume":"9","author":[{"family":"Schulz","given":"Philipp"},{"family":"Jansseune","given":"Karel"},{"family":"Degenkolbe","given":"Thomas"},{"family":"Méret","given":"Michaël"},{"family":"Claeys","given":"Hannes"},{"family":"Skirycz","given":"Aleksandra"},{"family":"Teige","given":"Markus"},{"family":"Willmitzer","given":"Lothar"},{"family":"Hannah","given":"Matthew A."}],"accessed":{"date-parts":[["2022",4,19]]},"issued":{"date-parts":[["2014",2,28]]}}}],"schema":"https://github.com/citation-style-language/schema/raw/master/csl-citation.json"} </w:instrText>
      </w:r>
      <w:r w:rsidRPr="00107040">
        <w:rPr>
          <w:sz w:val="28"/>
          <w:szCs w:val="28"/>
          <w:lang w:val="ru-RU"/>
        </w:rPr>
        <w:fldChar w:fldCharType="separate"/>
      </w:r>
      <w:r w:rsidR="008611DC" w:rsidRPr="008611DC">
        <w:rPr>
          <w:sz w:val="28"/>
          <w:lang w:val="ru-RU"/>
        </w:rPr>
        <w:t>[361]</w:t>
      </w:r>
      <w:r w:rsidRPr="00107040">
        <w:rPr>
          <w:sz w:val="28"/>
          <w:szCs w:val="28"/>
          <w:lang w:val="ru-RU"/>
        </w:rPr>
        <w:fldChar w:fldCharType="end"/>
      </w:r>
      <w:r w:rsidRPr="00107040">
        <w:rPr>
          <w:sz w:val="28"/>
          <w:szCs w:val="28"/>
          <w:lang w:val="ru-RU"/>
        </w:rPr>
        <w:t>. Более того, обработка 3</w:t>
      </w:r>
      <w:r w:rsidRPr="00107040">
        <w:rPr>
          <w:sz w:val="28"/>
          <w:szCs w:val="28"/>
        </w:rPr>
        <w:t>MB</w:t>
      </w:r>
      <w:r w:rsidRPr="00107040">
        <w:rPr>
          <w:sz w:val="28"/>
          <w:szCs w:val="28"/>
          <w:lang w:val="ru-RU"/>
        </w:rPr>
        <w:t xml:space="preserve"> изменяла экспрессию генов у растений арабидопсиса в условиях отсутствия стресса, влияя на компоненты реакции растений на внешние и внутренние раздражители и реакцию на абиотический стресс, циркадный ритм, рост растений, энергетический обмен и фотосинтез, а также первичный и вторичный метаболизм </w:t>
      </w:r>
      <w:r w:rsidRPr="00107040">
        <w:rPr>
          <w:sz w:val="28"/>
          <w:szCs w:val="28"/>
          <w:lang w:val="ru-RU"/>
        </w:rPr>
        <w:fldChar w:fldCharType="begin"/>
      </w:r>
      <w:r w:rsidR="008611DC">
        <w:rPr>
          <w:sz w:val="28"/>
          <w:szCs w:val="28"/>
          <w:lang w:val="ru-RU"/>
        </w:rPr>
        <w:instrText xml:space="preserve"> ADDIN ZOTERO_ITEM CSL_CITATION {"citationID":"a19t5q65vvj","properties":{"formattedCitation":"[351,360,361]","plainCitation":"[351,360,361]","noteIndex":0},"citationItems":[{"id":1122,"uris":["http://zotero.org/users/9078202/items/9EX853NA"],"itemData":{"id":1122,"type":"article-journal","abstract":"Poly-ADP-ribose polymerase (PARP) post-translationally modifies proteins through the addition of ADP-ribose polymers, yet its role in modulating plant development and stress responses is only poorly understood. The experiments presented here address some of the gaps in our understanding of its role in stress tolerance and thereby provide new insights into tolerance mechanisms and growth. Using a combination of chemical and genetic approaches, this study characterized phenotypes associated with PARP inhibition at the physiological level. Molecular analyses including gene expression analysis, measurement of primary metabolites and redox metabolites were used to understand the underlying processes. The analysis revealed that PARP inhibition represses anthocyanin and ascorbate accumulation under stress conditions. The reduction in defense is correlated with enhanced biomass production. Even in unstressed conditions protective genes and molecules are repressed by PARP inhibition. The reduced anthocyanin production was shown to be based on the repression of transcription of key regulatory and biosynthesis genes. PARP is a key factor for understanding growth and stress responses of plants. PARP inhibition allows plants to reduce protection such as anthocyanin, ascorbate or Non-Photochemical-Quenching whilst maintaining high energy levels likely enabling the observed enhancement of biomass production under stress, opening interesting perspectives for increasing crop productivity.","container-title":"PLOS ONE","DOI":"10.1371/journal.pone.0037287","ISSN":"1932-6203","issue":"5","journalAbbreviation":"PLOS ONE","language":"en","note":"publisher: Public Library of Science","page":"e37287","source":"PLoS Journals","title":"Chemical PARP Inhibition Enhances Growth of Arabidopsis and Reduces Anthocyanin Accumulation and the Activation of Stress Protective Mechanisms","URL":"https://journals.plos.org/plosone/article?id=10.1371/journal.pone.0037287","volume":"7","author":[{"family":"Schulz","given":"Philipp"},{"family":"Neukermans","given":"Jenny"},{"family":"Kelen","given":"Katrien Van Der"},{"family":"Mühlenbock","given":"Per"},{"family":"Breusegem","given":"Frank Van"},{"family":"Noctor","given":"Graham"},{"family":"Teige","given":"Markus"},{"family":"Metzlaff","given":"Michael"},{"family":"Hannah","given":"Matthew A."}],"accessed":{"date-parts":[["2022",4,19]]},"issued":{"date-parts":[["2012",5,25]]}}},{"id":1707,"uris":["http://zotero.org/users/9078202/items/5NVYT3UP"],"itemData":{"id":1707,"type":"article-journal","abstract":"Pharmacological inhibition of poly(ADP-ribose) polymerase (PARP) or loss of Arabidopsis thaliana PARG1 (poly(ADP-ribose) glycohydrolase) disrupt a subset of plant defenses. In the present study we examined the impact of altered poly(ADP-ribosyl)ation on early gene expression induced by the microbe-associate molecular patterns (MAMPs) flagellin (flg22) and EF-Tu (elf18). Stringent statistical analyses and filtering identified 178 genes having MAMP-induced mRNA abundance patterns that were altered by either PARP inhibitor 3-aminobenzamide (3AB) or PARG1 knockout. From the identified set of 178 genes, over fifty Arabidopsis T-DNA insertion lines were chosen and screened for altered basal defense responses. Subtle alterations in callose deposition and/or seedling growth in response to those MAMPs were observed in knockouts of At3g55630 (FPGS3, a cytosolic folylpolyglutamate synthetase), At5g15660 (containing an F-box domain), At1g47370 (a TIR-X (Toll-Interleukin Receptor domain)), and At5g64060 (a predicted pectin methylesterase inhibitor). Over-represented GO terms for the gene expression study included \"innate immune response\" for elf18/parg1, highlighting a subset of elf18-activated defense-associated genes whose expression is altered in parg1 plants. The study also allowed a tightly controlled comparison of early mRNA abundance responses to flg22 and elf18 in wild-type Arabidopsis, which revealed many differences. The PARP inhibitor 3-methoxybenzamide (3MB) was also used in the gene expression profiling, but pleiotropic impacts of this inhibitor were observed. This transcriptomics study revealed targets for further dissection of MAMP-induced plant immune responses, impacts of PARP inhibitors, and the molecular mechanisms by which poly(ADP-ribosyl)ation regulates plant responses to MAMPs.","container-title":"PloS One","DOI":"10.1371/journal.pone.0190268","ISSN":"1932-6203","issue":"12","journalAbbreviation":"PLoS One","language":"eng","note":"PMID: 29284022\nPMCID: PMC5746271","page":"e0190268","source":"PubMed","title":"A transcriptomics approach uncovers novel roles for poly(ADP-ribosyl)ation in the basal defense response in Arabidopsis thaliana","volume":"12","author":[{"family":"Briggs","given":"Amy G."},{"family":"Adams-Phillips","given":"Lori C."},{"family":"Keppler","given":"Brian D."},{"family":"Zebell","given":"Sophia G."},{"family":"Arend","given":"Kyle C."},{"family":"Apfelbaum","given":"April A."},{"family":"Smith","given":"Joshua A."},{"family":"Bent","given":"Andrew F."}],"issued":{"date-parts":[["2017"]]}}},{"id":1125,"uris":["http://zotero.org/users/9078202/items/59BJN3IJ"],"itemData":{"id":1125,"type":"article-journal","abstract":"A changing global environment, rising population and increasing demand for biofuels are challenging agriculture and creating a need for technologies to increase biomass production. Here we demonstrate that the inhibition of poly (ADP-ribose) polymerase activity is a promising technology to achieve this under non-stress conditions. Furthermore, we investigate the basis of this growth enhancement via leaf series and kinematic cell analysis as well as single leaf transcriptomics and plant metabolomics under non-stress conditions. These data indicate a regulatory function of PARP within cell growth and potentially development. PARP inhibition enhances growth of Arabidopsis thaliana by enhancing the cell number. Time course single leaf transcriptomics shows that PARP inhibition regulates a small subset of genes which are related to growth promotion, cell cycle and the control of metabolism. This is supported by metabolite analysis showing overall changes in primary and particularly secondary metabolism. Taken together the results indicate a versatile function of PARP beyond its previously reported roles in controlling plant stress tolerance and thus can be a useful target for enhancing biomass production.","container-title":"PLOS ONE","DOI":"10.1371/journal.pone.0090322","ISSN":"1932-6203","issue":"2","journalAbbreviation":"PLOS ONE","language":"en","note":"publisher: Public Library of Science","page":"e90322","source":"PLoS Journals","title":"Poly(ADP-Ribose)Polymerase Activity Controls Plant Growth by Promoting Leaf Cell Number","URL":"https://journals.plos.org/plosone/article?id=10.1371/journal.pone.0090322","volume":"9","author":[{"family":"Schulz","given":"Philipp"},{"family":"Jansseune","given":"Karel"},{"family":"Degenkolbe","given":"Thomas"},{"family":"Méret","given":"Michaël"},{"family":"Claeys","given":"Hannes"},{"family":"Skirycz","given":"Aleksandra"},{"family":"Teige","given":"Markus"},{"family":"Willmitzer","given":"Lothar"},{"family":"Hannah","given":"Matthew A."}],"accessed":{"date-parts":[["2022",4,19]]},"issued":{"date-parts":[["2014",2,28]]}}}],"schema":"https://github.com/citation-style-language/schema/raw/master/csl-citation.json"} </w:instrText>
      </w:r>
      <w:r w:rsidRPr="00107040">
        <w:rPr>
          <w:sz w:val="28"/>
          <w:szCs w:val="28"/>
          <w:lang w:val="ru-RU"/>
        </w:rPr>
        <w:fldChar w:fldCharType="separate"/>
      </w:r>
      <w:r w:rsidR="008611DC" w:rsidRPr="008611DC">
        <w:rPr>
          <w:sz w:val="28"/>
          <w:lang w:val="ru-RU"/>
        </w:rPr>
        <w:t>[351,360,361]</w:t>
      </w:r>
      <w:r w:rsidRPr="00107040">
        <w:rPr>
          <w:sz w:val="28"/>
          <w:szCs w:val="28"/>
          <w:lang w:val="ru-RU"/>
        </w:rPr>
        <w:fldChar w:fldCharType="end"/>
      </w:r>
      <w:r w:rsidRPr="00107040">
        <w:rPr>
          <w:sz w:val="28"/>
          <w:szCs w:val="28"/>
          <w:lang w:val="ru-RU"/>
        </w:rPr>
        <w:t>.</w:t>
      </w:r>
      <w:r w:rsidRPr="00107040">
        <w:rPr>
          <w:sz w:val="28"/>
          <w:szCs w:val="28"/>
          <w:lang w:val="kk-KZ"/>
        </w:rPr>
        <w:t xml:space="preserve"> Для ингибитора PARP 3AB сообщалось о противоположных эффектах в зависимости от используемой концентрации 3AB. Биомасса растений арабидопсиса снижалась при обработке 2,5 или 5 мМ 3AB </w:t>
      </w:r>
      <w:r w:rsidRPr="00107040">
        <w:rPr>
          <w:sz w:val="28"/>
          <w:szCs w:val="28"/>
          <w:lang w:val="kk-KZ"/>
        </w:rPr>
        <w:fldChar w:fldCharType="begin"/>
      </w:r>
      <w:r w:rsidR="00FB5E68">
        <w:rPr>
          <w:sz w:val="28"/>
          <w:szCs w:val="28"/>
          <w:lang w:val="kk-KZ"/>
        </w:rPr>
        <w:instrText xml:space="preserve"> ADDIN ZOTERO_ITEM CSL_CITATION {"citationID":"a27pc3lugrg","properties":{"formattedCitation":"[330,351,362]","plainCitation":"[330,351,362]","noteIndex":0},"citationItems":[{"id":247,"uris":["http://zotero.org/users/9078202/items/BMAABXKV"],"itemData":{"id":247,"type":"article-journal","abstract":"Maintaining the length of the telomere tract at chromosome ends is a complex process vital to normal cell division. Telomere length is controlled through the action of telomerase as well as a cadre of telomere-associated proteins that facilitate replication of the chromosome end and protect it from eliciting a DNA damage response. In vertebrates, multiple poly(ADP-ribose) polymerases (PARPs) have been implicated in the regulation of telomere length, telomerase activity and chromosome end protection. Here we investigate the role of PARPs in plant telomere biology. We analyzed Arabidopsis thaliana mutants null for PARP1 and PARP2 as well as plants treated with the PARP competitive inhibitor 3-AB. Plants deficient in PARP were hypersensitive to genotoxic stress, and expression of PARP1 and PARP2 mRNA was elevated in response to MMS or zeocin treatment or by the loss of telomerase. Additionally, PARP1 mRNA was induced in parp2 mutants, and conversely, PARP2 mRNA was induced in parp1 mutants. PARP3 mRNA, by contrast, was elevated in both parp1 and parp2 mutants, but not in seedlings treated with 3-AB or zeocin. PARP mutants and 3-AB treated plants displayed robust telomerase activity, no significant changes in telomere length, and no end-to-end chromosome fusions. Although there remains a possibility that PARPs play a role in Arabidopsis telomere biology, these findings argue that the contribution is a minor one.","container-title":"PLOS ONE","DOI":"10.1371/journal.pone.0088872","ISSN":"1932-6203","issue":"2","journalAbbreviation":"PLOS ONE","language":"en","note":"publisher: Public Library of Science","page":"e88872","source":"PLoS Journals","title":"Analysis of Poly(ADP-Ribose) Polymerases in Arabidopsis Telomere Biology","URL":"https://journals.plos.org/plosone/article?id=10.1371/journal.pone.0088872","volume":"9","author":[{"family":"Boltz","given":"Kara A."},{"family":"Jasti","given":"Madhu"},{"family":"Townley","given":"Jennifer M."},{"family":"Shippen","given":"Dorothy E."}],"accessed":{"date-parts":[["2022",4,11]]},"issued":{"date-parts":[["2014",2,13]]}}},{"id":1707,"uris":["http://zotero.org/users/9078202/items/5NVYT3UP"],"itemData":{"id":1707,"type":"article-journal","abstract":"Pharmacological inhibition of poly(ADP-ribose) polymerase (PARP) or loss of Arabidopsis thaliana PARG1 (poly(ADP-ribose) glycohydrolase) disrupt a subset of plant defenses. In the present study we examined the impact of altered poly(ADP-ribosyl)ation on early gene expression induced by the microbe-associate molecular patterns (MAMPs) flagellin (flg22) and EF-Tu (elf18). Stringent statistical analyses and filtering identified 178 genes having MAMP-induced mRNA abundance patterns that were altered by either PARP inhibitor 3-aminobenzamide (3AB) or PARG1 knockout. From the identified set of 178 genes, over fifty Arabidopsis T-DNA insertion lines were chosen and screened for altered basal defense responses. Subtle alterations in callose deposition and/or seedling growth in response to those MAMPs were observed in knockouts of At3g55630 (FPGS3, a cytosolic folylpolyglutamate synthetase), At5g15660 (containing an F-box domain), At1g47370 (a TIR-X (Toll-Interleukin Receptor domain)), and At5g64060 (a predicted pectin methylesterase inhibitor). Over-represented GO terms for the gene expression study included \"innate immune response\" for elf18/parg1, highlighting a subset of elf18-activated defense-associated genes whose expression is altered in parg1 plants. The study also allowed a tightly controlled comparison of early mRNA abundance responses to flg22 and elf18 in wild-type Arabidopsis, which revealed many differences. The PARP inhibitor 3-methoxybenzamide (3MB) was also used in the gene expression profiling, but pleiotropic impacts of this inhibitor were observed. This transcriptomics study revealed targets for further dissection of MAMP-induced plant immune responses, impacts of PARP inhibitors, and the molecular mechanisms by which poly(ADP-ribosyl)ation regulates plant responses to MAMPs.","container-title":"PloS One","DOI":"10.1371/journal.pone.0190268","ISSN":"1932-6203","issue":"12","journalAbbreviation":"PLoS One","language":"eng","note":"PMID: 29284022\nPMCID: PMC5746271","page":"e0190268","source":"PubMed","title":"A transcriptomics approach uncovers novel roles for poly(ADP-ribosyl)ation in the basal defense response in Arabidopsis thaliana","volume":"12","author":[{"family":"Briggs","given":"Amy G."},{"family":"Adams-Phillips","given":"Lori C."},{"family":"Keppler","given":"Brian D."},{"family":"Zebell","given":"Sophia G."},{"family":"Arend","given":"Kyle C."},{"family":"Apfelbaum","given":"April A."},{"family":"Smith","given":"Joshua A."},{"family":"Bent","given":"Andrew F."}],"issued":{"date-parts":[["2017"]]}}},{"id":"MPjqK5ng/UIMnMGh9","uris":["http://zotero.org/users/9078202/items/JC3RNLBC"],"itemData":{"id":241,"type":"article-journal","abstract":"A dissection of plant defense pathways was initiated through gene expression profiling of the responses of a single Arabidopsis thaliana genotype to isogenic Pseudomonas syringae strains expressing one of four different cloned avirulence (avr) genes. Differences in the expression profiles elicited by different resistance (R)-avr interactions were observed. A role for poly(ADP-ribosyl)ation in plant defense responses was suggested initially by the upregulated expression of genes encoding NUDT7 and poly(ADP-ribose) glycohydrolase in multiple R-avr interactions. Gene knockout plant lines were tested for 20 candidate genes identified by the expression profiling, and Arabidopsis NUDT7 mutants allowed less growth of virulent P. syringae (as previously reported) but also exhibited a reduced hypersensitive-response phenotype. Inhibitors of poly(ADP-ribose) polymerase (PARP) disrupted FLS2-mediated basal defense responses such as callose deposition. EIN2 (ethylene response) and IXR1 and IXR2 (cellulose synthase) mutants impacted the FLS2-mediated responses that occur during PARP inhibition, whereas no impacts were observed for NPR1, PAD4, or NDR1 mutants. In the expression profiling work, false-positive selection and grouping of genes was reduced by requiring simultaneous satisfaction of statistical significance criteria for each of three separate analysis methods, and by clustering genes based on statistical confidence values for each gene rather than on average fold-change of transcript abundance.","container-title":"Molecular plant-microbe interactions: MPMI","DOI":"10.1094/MPMI-21-5-0646","ISSN":"0894-0282","issue":"5","journalAbbreviation":"Mol Plant Microbe Interact","language":"eng","note":"PMID: 18393624","page":"646-657","source":"PubMed","title":"Discovery of ADP-ribosylation and other plant defense pathway elements through expression profiling of four different Arabidopsis-Pseudomonas R-avr interactions","volume":"21","author":[{"family":"Adams-Phillips","given":"Lori"},{"family":"Wan","given":"Jinrong"},{"family":"Tan","given":"Xiaoping"},{"family":"Dunning","given":"F. Mark"},{"family":"Meyers","given":"Blake C."},{"family":"Michelmore","given":"Richard W."},{"family":"Bent","given":"Andrew F."}],"issued":{"date-parts":[["2008",5]]}}}],"schema":"https://github.com/citation-style-language/schema/raw/master/csl-citation.json"} </w:instrText>
      </w:r>
      <w:r w:rsidRPr="00107040">
        <w:rPr>
          <w:sz w:val="28"/>
          <w:szCs w:val="28"/>
          <w:lang w:val="kk-KZ"/>
        </w:rPr>
        <w:fldChar w:fldCharType="separate"/>
      </w:r>
      <w:r w:rsidR="008611DC" w:rsidRPr="008611DC">
        <w:rPr>
          <w:sz w:val="28"/>
          <w:lang w:val="ru-RU"/>
        </w:rPr>
        <w:t>[330,351,362]</w:t>
      </w:r>
      <w:r w:rsidRPr="00107040">
        <w:rPr>
          <w:sz w:val="28"/>
          <w:szCs w:val="28"/>
          <w:lang w:val="kk-KZ"/>
        </w:rPr>
        <w:fldChar w:fldCharType="end"/>
      </w:r>
      <w:r w:rsidRPr="00107040">
        <w:rPr>
          <w:sz w:val="28"/>
          <w:szCs w:val="28"/>
          <w:lang w:val="kk-KZ"/>
        </w:rPr>
        <w:t xml:space="preserve">, тогда как 1 мМ 3AB способствовал развитию биомассы растений и корневой системы, что приводило к большему количеству боковых корней, образованию боковых корней второго порядка, увеличению длины боковых корней и увеличению длины первичного корня по сравнению с контрольными растениями </w:t>
      </w:r>
      <w:r w:rsidRPr="00107040">
        <w:rPr>
          <w:sz w:val="28"/>
          <w:szCs w:val="28"/>
          <w:lang w:val="kk-KZ"/>
        </w:rPr>
        <w:fldChar w:fldCharType="begin"/>
      </w:r>
      <w:r w:rsidR="008611DC">
        <w:rPr>
          <w:sz w:val="28"/>
          <w:szCs w:val="28"/>
          <w:lang w:val="kk-KZ"/>
        </w:rPr>
        <w:instrText xml:space="preserve"> ADDIN ZOTERO_ITEM CSL_CITATION {"citationID":"a14pr2hssda","properties":{"formattedCitation":"[333]","plainCitation":"[333]","noteIndex":0},"citationItems":[{"id":1651,"uris":["http://zotero.org/users/9078202/items/M462RQEV"],"itemData":{"id":1651,"type":"article-journal","abstract":"Root organogenesis involves cell division, differentiation and expansion. The molecular mechanisms regulating root development are not fully understood. In this study, we identified poly(adenosine diphosphate (ADP)-ribose) polymerases (PARPs) as new players in root development. PARP catalyzes poly(ADP-ribosyl)ation of proteins by repeatedly adding ADP-ribose units onto proteins using nicotinamide adenine dinucleotide (NAD+) as the donor. We found that inhibition of PARP activities by 3-aminobenzomide (3-AB) increased the growth rates of both primary and lateral roots, leading to a more developed root system. The double mutant of Arabidopsis PARPs, parp1parp2, showed more rapid primary and lateral root growth. Cyclin genes regulating G1-to-S and G2-to-M transition were up-regulated upon treatment by 3-AB. The proportion of 2C cells increased while cells with higher DNA ploidy declined in the roots of treated plants, resulting in an enlarged root meristematic zone. The expression level of PARP2 was very low in the meristematic zone but high in the maturation zone, consistent with a role of PARP in inhibiting mitosis and promoting cell differentiation. Our results suggest that PARPs play an important role in root development by negatively regulating root cell division.","container-title":"Journal of Integrative Plant Biology","DOI":"10.1111/jipb.12530","ISSN":"1744-7909","issue":"7","language":"en","note":"_eprint: https://onlinelibrary.wiley.com/doi/pdf/10.1111/jipb.12530","page":"459-474","source":"Wiley Online Library","title":"Poly(ADP-ribose) polymerases regulate cell division and development in Arabidopsis roots","URL":"https://onlinelibrary.wiley.com/doi/abs/10.1111/jipb.12530","volume":"59","author":[{"family":"Liu","given":"Caifeng"},{"family":"Wu","given":"Qiao"},{"family":"Liu","given":"Weiwei"},{"family":"Gu","given":"Zongyin"},{"family":"Wang","given":"Wenjing"},{"family":"Xu","given":"Ping"},{"family":"Ma","given":"Hong"},{"family":"Ge","given":"Xiaochun"}],"accessed":{"date-parts":[["2022",9,6]]},"issued":{"date-parts":[["2017"]]}}}],"schema":"https://github.com/citation-style-language/schema/raw/master/csl-citation.json"} </w:instrText>
      </w:r>
      <w:r w:rsidRPr="00107040">
        <w:rPr>
          <w:sz w:val="28"/>
          <w:szCs w:val="28"/>
          <w:lang w:val="kk-KZ"/>
        </w:rPr>
        <w:fldChar w:fldCharType="separate"/>
      </w:r>
      <w:r w:rsidR="008611DC" w:rsidRPr="008611DC">
        <w:rPr>
          <w:sz w:val="28"/>
          <w:lang w:val="ru-RU"/>
        </w:rPr>
        <w:t>[333]</w:t>
      </w:r>
      <w:r w:rsidRPr="00107040">
        <w:rPr>
          <w:sz w:val="28"/>
          <w:szCs w:val="28"/>
          <w:lang w:val="kk-KZ"/>
        </w:rPr>
        <w:fldChar w:fldCharType="end"/>
      </w:r>
      <w:r w:rsidRPr="00107040">
        <w:rPr>
          <w:sz w:val="28"/>
          <w:szCs w:val="28"/>
          <w:lang w:val="kk-KZ"/>
        </w:rPr>
        <w:t xml:space="preserve">. Подобные, хотя и более слабые эффекты наблюдались для другого ингибитора PARP, 6(5H)-фенантридинона. Подобно фармакологическому ингибированию PARP, отсутствие AtPARP1 и AtPARP2 у двойных мутантов </w:t>
      </w:r>
      <w:r w:rsidRPr="00107040">
        <w:rPr>
          <w:i/>
          <w:sz w:val="28"/>
          <w:szCs w:val="28"/>
          <w:lang w:val="kk-KZ"/>
        </w:rPr>
        <w:t xml:space="preserve">parp1 parp2 </w:t>
      </w:r>
      <w:r w:rsidRPr="00107040">
        <w:rPr>
          <w:sz w:val="28"/>
          <w:szCs w:val="28"/>
          <w:lang w:val="kk-KZ"/>
        </w:rPr>
        <w:t xml:space="preserve">приводило к формированию более крупной корневой системы по сравнению с диким типом </w:t>
      </w:r>
      <w:r w:rsidRPr="00107040">
        <w:rPr>
          <w:sz w:val="28"/>
          <w:szCs w:val="28"/>
          <w:lang w:val="kk-KZ"/>
        </w:rPr>
        <w:fldChar w:fldCharType="begin"/>
      </w:r>
      <w:r w:rsidR="008611DC">
        <w:rPr>
          <w:sz w:val="28"/>
          <w:szCs w:val="28"/>
          <w:lang w:val="kk-KZ"/>
        </w:rPr>
        <w:instrText xml:space="preserve"> ADDIN ZOTERO_ITEM CSL_CITATION {"citationID":"at7nh12273","properties":{"formattedCitation":"[333]","plainCitation":"[333]","noteIndex":0},"citationItems":[{"id":1651,"uris":["http://zotero.org/users/9078202/items/M462RQEV"],"itemData":{"id":1651,"type":"article-journal","abstract":"Root organogenesis involves cell division, differentiation and expansion. The molecular mechanisms regulating root development are not fully understood. In this study, we identified poly(adenosine diphosphate (ADP)-ribose) polymerases (PARPs) as new players in root development. PARP catalyzes poly(ADP-ribosyl)ation of proteins by repeatedly adding ADP-ribose units onto proteins using nicotinamide adenine dinucleotide (NAD+) as the donor. We found that inhibition of PARP activities by 3-aminobenzomide (3-AB) increased the growth rates of both primary and lateral roots, leading to a more developed root system. The double mutant of Arabidopsis PARPs, parp1parp2, showed more rapid primary and lateral root growth. Cyclin genes regulating G1-to-S and G2-to-M transition were up-regulated upon treatment by 3-AB. The proportion of 2C cells increased while cells with higher DNA ploidy declined in the roots of treated plants, resulting in an enlarged root meristematic zone. The expression level of PARP2 was very low in the meristematic zone but high in the maturation zone, consistent with a role of PARP in inhibiting mitosis and promoting cell differentiation. Our results suggest that PARPs play an important role in root development by negatively regulating root cell division.","container-title":"Journal of Integrative Plant Biology","DOI":"10.1111/jipb.12530","ISSN":"1744-7909","issue":"7","language":"en","note":"_eprint: https://onlinelibrary.wiley.com/doi/pdf/10.1111/jipb.12530","page":"459-474","source":"Wiley Online Library","title":"Poly(ADP-ribose) polymerases regulate cell division and development in Arabidopsis roots","URL":"https://onlinelibrary.wiley.com/doi/abs/10.1111/jipb.12530","volume":"59","author":[{"family":"Liu","given":"Caifeng"},{"family":"Wu","given":"Qiao"},{"family":"Liu","given":"Weiwei"},{"family":"Gu","given":"Zongyin"},{"family":"Wang","given":"Wenjing"},{"family":"Xu","given":"Ping"},{"family":"Ma","given":"Hong"},{"family":"Ge","given":"Xiaochun"}],"accessed":{"date-parts":[["2022",9,6]]},"issued":{"date-parts":[["2017"]]}}}],"schema":"https://github.com/citation-style-language/schema/raw/master/csl-citation.json"} </w:instrText>
      </w:r>
      <w:r w:rsidRPr="00107040">
        <w:rPr>
          <w:sz w:val="28"/>
          <w:szCs w:val="28"/>
          <w:lang w:val="kk-KZ"/>
        </w:rPr>
        <w:fldChar w:fldCharType="separate"/>
      </w:r>
      <w:r w:rsidR="008611DC" w:rsidRPr="008611DC">
        <w:rPr>
          <w:sz w:val="28"/>
          <w:lang w:val="ru-RU"/>
        </w:rPr>
        <w:t>[333]</w:t>
      </w:r>
      <w:r w:rsidRPr="00107040">
        <w:rPr>
          <w:sz w:val="28"/>
          <w:szCs w:val="28"/>
          <w:lang w:val="kk-KZ"/>
        </w:rPr>
        <w:fldChar w:fldCharType="end"/>
      </w:r>
      <w:r w:rsidRPr="00107040">
        <w:rPr>
          <w:sz w:val="28"/>
          <w:szCs w:val="28"/>
          <w:lang w:val="kk-KZ"/>
        </w:rPr>
        <w:t xml:space="preserve">, но этот фенотип был слабее, чем вызываемый ингибиторами. Напротив, нокаутные мутантные линии всех генов PARP арабидопсиса, включая все комбинации двойных мутантов и тройной мутант </w:t>
      </w:r>
      <w:r w:rsidRPr="00107040">
        <w:rPr>
          <w:i/>
          <w:sz w:val="28"/>
          <w:szCs w:val="28"/>
          <w:lang w:val="kk-KZ"/>
        </w:rPr>
        <w:t>parp1</w:t>
      </w:r>
      <w:r w:rsidRPr="00107040">
        <w:rPr>
          <w:sz w:val="28"/>
          <w:szCs w:val="28"/>
          <w:lang w:val="kk-KZ"/>
        </w:rPr>
        <w:t xml:space="preserve">, </w:t>
      </w:r>
      <w:r w:rsidRPr="00107040">
        <w:rPr>
          <w:i/>
          <w:sz w:val="28"/>
          <w:szCs w:val="28"/>
          <w:lang w:val="kk-KZ"/>
        </w:rPr>
        <w:t>parp2</w:t>
      </w:r>
      <w:r w:rsidRPr="00107040">
        <w:rPr>
          <w:sz w:val="28"/>
          <w:szCs w:val="28"/>
          <w:lang w:val="kk-KZ"/>
        </w:rPr>
        <w:t xml:space="preserve">, </w:t>
      </w:r>
      <w:r w:rsidRPr="00107040">
        <w:rPr>
          <w:i/>
          <w:sz w:val="28"/>
          <w:szCs w:val="28"/>
          <w:lang w:val="kk-KZ"/>
        </w:rPr>
        <w:t>parp3</w:t>
      </w:r>
      <w:r w:rsidRPr="00107040">
        <w:rPr>
          <w:sz w:val="28"/>
          <w:szCs w:val="28"/>
          <w:lang w:val="kk-KZ"/>
        </w:rPr>
        <w:t xml:space="preserve">, не демонстрировали очевидных изменений развития в нестрессовых условиях роста </w:t>
      </w:r>
      <w:r w:rsidRPr="00107040">
        <w:rPr>
          <w:sz w:val="28"/>
          <w:szCs w:val="28"/>
          <w:lang w:val="kk-KZ"/>
        </w:rPr>
        <w:fldChar w:fldCharType="begin"/>
      </w:r>
      <w:r w:rsidR="008611DC">
        <w:rPr>
          <w:sz w:val="28"/>
          <w:szCs w:val="28"/>
          <w:lang w:val="kk-KZ"/>
        </w:rPr>
        <w:instrText xml:space="preserve"> ADDIN ZOTERO_ITEM CSL_CITATION {"citationID":"a12oea7ifve","properties":{"formattedCitation":"[327]","plainCitation":"[327]","noteIndex":0},"citationItems":[{"id":1631,"uris":["http://zotero.org/users/9078202/items/YIIMG6YR"],"itemData":{"id":1631,"type":"article-journal","abstract":"Abiotic and biotic stress can have a detrimental impact on plant growth and productivity. Hence, there is a substantial demand for key factors of stress responses to improve yield stability of crops. Members of the poly(ADP-ribose)polymerase (PARP) protein family, which post-translationally modify (PARylate) nuclear proteins, have been suggested as such universal determinants of plant stress responses. A role under abiotic stress has been inferred from studies in which a genetic or, more commonly, pharmacological inhibition of PARP activity improved the performance of stressed plants. To further elucidate the role of PARP proteins under stress, T-DNA knockout mutants for the three Arabidopsis thaliana PARP genes were subjected to drought, osmotic, salt, and oxidative stress. To exclude a functional redundancy, which was indicated by a transcriptional upregulation of the remaining parp genes, a parp triple mutant was generated. Surprisingly, parp mutant plants did not differ from wild type plants in any of these stress experiments, independent from the number of PARP genes mutated. The parp triple mutant was also analyzed for callose formation in response to the pathogenassociated molecular pattern flg22. Unexpectedly, callose formation was unaltered in the mutant, albeit pharmacological PARP inhibition robustly blocked this immune response, confirming previous reports. Evidently, pharmacological inhibition appears to be more robust than the abolition of all PARP genes, indicating the presence of so-far undescribed proteins with PARP activity. This was supported by the finding that protein PARylation was not absent, but even increased in the parp triple mutant. Candidates for novel PARP-inhibitor targets may be found in the SRO protein family. These proteins harbor a catalytic PARP-like domain and are centrally involved in stress responses. Molecular modeling analyses, employing animal PARPs as templates, indeed indicated a capability of the SRO proteins RCD1 and SRO1 to bind nicotinamide-derived inhibitors. Collectively, the results of our study suggest that the stress-related phenotypes of parp mutants are highly conditional, and they call for a reconsideration of PARP inhibitor studies. In the context of this study, we also propose a unifying nomenclature of PARP genes and parp mutants, which is currently highly inconsistent and redundant.","container-title":"Frontiers in Plant Science","DOI":"10.3389/fpls.2017.00059","ISSN":"1664-462X","journalAbbreviation":"Front Plant Sci","language":"eng","note":"PMID: 28220129\nPMCID: PMC5292411","page":"59","source":"PubMed","title":"No Silver Bullet - Canonical Poly(ADP-Ribose) Polymerases (PARPs) Are No Universal Factors of Abiotic and Biotic Stress Resistance of Arabidopsis thaliana","volume":"8","author":[{"family":"Rissel","given":"Dagmar"},{"family":"Heym","given":"Peter P."},{"family":"Thor","given":"Kathrin"},{"family":"Brandt","given":"Wolfgang"},{"family":"Wessjohann","given":"Ludger A."},{"family":"Peiter","given":"Edgar"}],"issued":{"date-parts":[["2017"]]}}}],"schema":"https://github.com/citation-style-language/schema/raw/master/csl-citation.json"} </w:instrText>
      </w:r>
      <w:r w:rsidRPr="00107040">
        <w:rPr>
          <w:sz w:val="28"/>
          <w:szCs w:val="28"/>
          <w:lang w:val="kk-KZ"/>
        </w:rPr>
        <w:fldChar w:fldCharType="separate"/>
      </w:r>
      <w:r w:rsidR="008611DC" w:rsidRPr="008611DC">
        <w:rPr>
          <w:sz w:val="28"/>
        </w:rPr>
        <w:t>[327]</w:t>
      </w:r>
      <w:r w:rsidRPr="00107040">
        <w:rPr>
          <w:sz w:val="28"/>
          <w:szCs w:val="28"/>
          <w:lang w:val="kk-KZ"/>
        </w:rPr>
        <w:fldChar w:fldCharType="end"/>
      </w:r>
      <w:r w:rsidRPr="00107040">
        <w:rPr>
          <w:sz w:val="28"/>
          <w:szCs w:val="28"/>
          <w:lang w:val="kk-KZ"/>
        </w:rPr>
        <w:t xml:space="preserve">. Это согласуется с выводами, полученными другими авторами </w:t>
      </w:r>
      <w:r w:rsidRPr="00107040">
        <w:rPr>
          <w:sz w:val="28"/>
          <w:szCs w:val="28"/>
          <w:lang w:val="kk-KZ"/>
        </w:rPr>
        <w:fldChar w:fldCharType="begin"/>
      </w:r>
      <w:r w:rsidR="008611DC">
        <w:rPr>
          <w:sz w:val="28"/>
          <w:szCs w:val="28"/>
          <w:lang w:val="kk-KZ"/>
        </w:rPr>
        <w:instrText xml:space="preserve"> ADDIN ZOTERO_ITEM CSL_CITATION {"citationID":"a1i1qlqjdrb","properties":{"formattedCitation":"[317,328,333]","plainCitation":"[317,328,333]","noteIndex":0},"citationItems":[{"id":1603,"uris":["http://zotero.org/users/9078202/items/7ULQ9USS"],"itemData":{"id":1603,"type":"article-journal","abstract":"Poly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F."}],"accessed":{"date-parts":[["2022",9,5]]},"issued":{"date-parts":[["2015",5,7]]}}},{"id":1637,"uris":["http://zotero.org/users/9078202/items/Y6YU77KL"],"itemData":{"id":1637,"type":"article-journal","abstract":"Poly(ADP-ribosyl)ation is a reversible post-translational modification of proteins, characterized by the addition of poly(ADP-ribose) (PAR) to proteins by poly(ADP-ribose) polymerase (PARP), and removal of PAR by poly(ADP-ribose) glycohydrolase (PARG). Three PARPs and two PARGs have been found in Arabidopsis, but their respective roles are not fully understood. In this study, the functions of each PARP and PARG in DNA repair were analyzed based on their mutant phenotypes under genotoxic stresses. Double or triple mutant analysis revealed that PARP1 and PARP2, but not PARP3, play a similar but not critical role in DNA repair in Arabidopsis seedlings. PARG1 and PARG2 play an essential and a minor role, respectively under the same conditions. Mutation of PARG1 results in increased DNA damage level and enhanced cell death in plants after bleomycin treatment. PARG1 expression is induced primarily in root and shoot meristems by bleomycin and induction of PARG1 is dependent on ATM and ATR kinases. PARG1 also antagonistically modulates the DNA repair process by preventing the over-induction of DNA repair genes. Our study determined the contribution of each PARP and PARG member in DNA repair and indicated that PARG1 plays a critical role in this process.","container-title":"Scientific Reports","DOI":"10.1038/srep15892","ISSN":"2045-2322","journalAbbreviation":"Sci Rep","language":"eng","note":"PMID: 26516022\nPMCID: PMC4626836","page":"15892","source":"PubMed","title":"Arabidopsis PARG1 is the key factor promoting cell survival among the enzymes regulating post-translational poly(ADP-ribosyl)ation","volume":"5","author":[{"family":"Zhang","given":"Hailei"},{"family":"Gu","given":"Zongying"},{"family":"Wu","given":"Qiao"},{"family":"Yang","given":"Lifeng"},{"family":"Liu","given":"Caifeng"},{"family":"Ma","given":"Hong"},{"family":"Xia","given":"Yiji"},{"family":"Ge","given":"Xiaochun"}],"issued":{"date-parts":[["2015",10,30]]}}},{"id":1651,"uris":["http://zotero.org/users/9078202/items/M462RQEV"],"itemData":{"id":1651,"type":"article-journal","abstract":"Root organogenesis involves cell division, differentiation and expansion. The molecular mechanisms regulating root development are not fully understood. In this study, we identified poly(adenosine diphosphate (ADP)-ribose) polymerases (PARPs) as new players in root development. PARP catalyzes poly(ADP-ribosyl)ation of proteins by repeatedly adding ADP-ribose units onto proteins using nicotinamide adenine dinucleotide (NAD+) as the donor. We found that inhibition of PARP activities by 3-aminobenzomide (3-AB) increased the growth rates of both primary and lateral roots, leading to a more developed root system. The double mutant of Arabidopsis PARPs, parp1parp2, showed more rapid primary and lateral root growth. Cyclin genes regulating G1-to-S and G2-to-M transition were up-regulated upon treatment by 3-AB. The proportion of 2C cells increased while cells with higher DNA ploidy declined in the roots of treated plants, resulting in an enlarged root meristematic zone. The expression level of PARP2 was very low in the meristematic zone but high in the maturation zone, consistent with a role of PARP in inhibiting mitosis and promoting cell differentiation. Our results suggest that PARPs play an important role in root development by negatively regulating root cell division.","container-title":"Journal of Integrative Plant Biology","DOI":"10.1111/jipb.12530","ISSN":"1744-7909","issue":"7","language":"en","note":"_eprint: https://onlinelibrary.wiley.com/doi/pdf/10.1111/jipb.12530","page":"459-474","source":"Wiley Online Library","title":"Poly(ADP-ribose) polymerases regulate cell division and development in Arabidopsis roots","URL":"https://onlinelibrary.wiley.com/doi/abs/10.1111/jipb.12530","volume":"59","author":[{"family":"Liu","given":"Caifeng"},{"family":"Wu","given":"Qiao"},{"family":"Liu","given":"Weiwei"},{"family":"Gu","given":"Zongyin"},{"family":"Wang","given":"Wenjing"},{"family":"Xu","given":"Ping"},{"family":"Ma","given":"Hong"},{"family":"Ge","given":"Xiaochun"}],"accessed":{"date-parts":[["2022",9,6]]},"issued":{"date-parts":[["2017"]]}}}],"schema":"https://github.com/citation-style-language/schema/raw/master/csl-citation.json"} </w:instrText>
      </w:r>
      <w:r w:rsidRPr="00107040">
        <w:rPr>
          <w:sz w:val="28"/>
          <w:szCs w:val="28"/>
          <w:lang w:val="kk-KZ"/>
        </w:rPr>
        <w:fldChar w:fldCharType="separate"/>
      </w:r>
      <w:r w:rsidR="008611DC" w:rsidRPr="008611DC">
        <w:rPr>
          <w:sz w:val="28"/>
          <w:lang w:val="ru-RU"/>
        </w:rPr>
        <w:t>[317,328,333]</w:t>
      </w:r>
      <w:r w:rsidRPr="00107040">
        <w:rPr>
          <w:sz w:val="28"/>
          <w:szCs w:val="28"/>
          <w:lang w:val="kk-KZ"/>
        </w:rPr>
        <w:fldChar w:fldCharType="end"/>
      </w:r>
      <w:r w:rsidRPr="00107040">
        <w:rPr>
          <w:sz w:val="28"/>
          <w:szCs w:val="28"/>
          <w:lang w:val="kk-KZ"/>
        </w:rPr>
        <w:t>. Следовательно, PARP, по-видимому, влияют на развитие растений только в определенных условиях, природу которых еще предстоит определить. Кроме того, более сильные и более устойчивые эффекты ингибиторов PARP по сравнению с генетическим нокаутом указывают на нецелевые эффекты этих веществ. Необходима дальнейшая работа для выяснения конкретной роли PARP в развитии растений.</w:t>
      </w:r>
    </w:p>
    <w:p w14:paraId="0FBC4BBB"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p>
    <w:p w14:paraId="45B1FF14" w14:textId="77777777" w:rsidR="00107040" w:rsidRPr="00107040" w:rsidRDefault="00107040" w:rsidP="00107040">
      <w:pPr>
        <w:pStyle w:val="p"/>
        <w:shd w:val="clear" w:color="auto" w:fill="FFFFFF"/>
        <w:spacing w:before="0" w:beforeAutospacing="0" w:after="0" w:afterAutospacing="0"/>
        <w:ind w:firstLine="567"/>
        <w:jc w:val="both"/>
        <w:rPr>
          <w:b/>
          <w:sz w:val="28"/>
          <w:szCs w:val="28"/>
          <w:lang w:val="ru-RU"/>
        </w:rPr>
      </w:pPr>
      <w:bookmarkStart w:id="51" w:name="_Hlk113268584"/>
      <w:r w:rsidRPr="00107040">
        <w:rPr>
          <w:b/>
          <w:sz w:val="28"/>
          <w:szCs w:val="28"/>
          <w:lang w:val="kk-KZ"/>
        </w:rPr>
        <w:t xml:space="preserve">1.11 </w:t>
      </w:r>
      <w:r w:rsidRPr="00107040">
        <w:rPr>
          <w:b/>
          <w:sz w:val="28"/>
          <w:szCs w:val="28"/>
          <w:lang w:val="ru-RU"/>
        </w:rPr>
        <w:t>Поли(АДФ-рибозил)ирование и реакция растений на абиотический стресс</w:t>
      </w:r>
    </w:p>
    <w:bookmarkEnd w:id="51"/>
    <w:p w14:paraId="58937A4E" w14:textId="209ACC56"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Белки </w:t>
      </w:r>
      <w:r w:rsidRPr="00107040">
        <w:rPr>
          <w:sz w:val="28"/>
          <w:szCs w:val="28"/>
        </w:rPr>
        <w:t>PARP</w:t>
      </w:r>
      <w:r w:rsidRPr="00107040">
        <w:rPr>
          <w:sz w:val="28"/>
          <w:szCs w:val="28"/>
          <w:lang w:val="ru-RU"/>
        </w:rPr>
        <w:t xml:space="preserve"> растений были связаны с реакцией на абиотический стресс. В некоторых исследованиях экспрессия генов </w:t>
      </w:r>
      <w:r w:rsidRPr="00107040">
        <w:rPr>
          <w:sz w:val="28"/>
          <w:szCs w:val="28"/>
        </w:rPr>
        <w:t>AtPARP</w:t>
      </w:r>
      <w:r w:rsidRPr="00107040">
        <w:rPr>
          <w:sz w:val="28"/>
          <w:szCs w:val="28"/>
          <w:lang w:val="ru-RU"/>
        </w:rPr>
        <w:t xml:space="preserve"> и </w:t>
      </w:r>
      <w:r w:rsidRPr="00107040">
        <w:rPr>
          <w:sz w:val="28"/>
          <w:szCs w:val="28"/>
        </w:rPr>
        <w:t>AtPARG</w:t>
      </w:r>
      <w:r w:rsidRPr="00107040">
        <w:rPr>
          <w:sz w:val="28"/>
          <w:szCs w:val="28"/>
          <w:lang w:val="ru-RU"/>
        </w:rPr>
        <w:t xml:space="preserve"> была изменена в ответ на абиотические стрессы </w:t>
      </w:r>
      <w:r w:rsidRPr="00107040">
        <w:rPr>
          <w:sz w:val="28"/>
          <w:szCs w:val="28"/>
          <w:lang w:val="ru-RU"/>
        </w:rPr>
        <w:fldChar w:fldCharType="begin"/>
      </w:r>
      <w:r w:rsidR="008611DC">
        <w:rPr>
          <w:sz w:val="28"/>
          <w:szCs w:val="28"/>
          <w:lang w:val="ru-RU"/>
        </w:rPr>
        <w:instrText xml:space="preserve"> ADDIN ZOTERO_ITEM CSL_CITATION {"citationID":"a12jt7fsnhc","properties":{"formattedCitation":"[320,325]","plainCitation":"[320,325]","noteIndex":0},"citationItems":[{"id":249,"uris":["http://zotero.org/users/9078202/items/9SNUKG3E"],"itemData":{"id":249,"type":"article-journal","abstract":"By screening for Arabidopsis genes activated by ionising radiation (IR)-induced DNA damage, we have isolated a cDNA hybridising with a 3.2-kb mRNA that accumulates rapidly and strongly in irradiated cell suspensions or whole plants. The cDNA codes for a 110-kDa protein that is highly homologous to the 116-kDa vertebrate poly(ADP-ribose) polymerase (PARP-1). It is recognised by a human anti-PARP-1 antibody, binds efficiently to DNA strand interruptions in vitro, and catalyses DNA damage-dependent (ADP-ribose) polymer synthesis. We have named this protein AtPARP-1. We have also extended our observations to the Arabidopsis app (AtPARP-2) gene, demonstrating for the first time that IR-induced DNA strand interruptions induce rapid and massive accumulation of AtPARP-1 and AtPARP-2 transcripts, whereas dehydration and cadmium preferentially induce the accumulation of AtPARP-2 transcripts. The IR-induced PARP gene expression seen in Arabidopsis is in striking contrast to the post-translational activation of the PARP-1 protein that is associated with genotoxic stress in animal cells. AtPARP-1 transcripts accumulate in all plant organs after exposure to ionising radiation, but this is followed by an increase in AtPARP-1 protein levels only in tissues that contain large amounts of actively dividing cells. This cell-type specific accumulation of AtPARP-1 protein in response to DNA damage is compatible with a role for the AtPARP-1 protein in the maintenance of DNA integrity during replication, similar to the role of \"guardian of the genome\" attributed to its animal counterpart.","container-title":"Molecular genetics and genomics: MGG","DOI":"10.1007/s004380100506","ISSN":"1617-4615","issue":"6","journalAbbreviation":"Mol Genet Genomics","language":"eng","note":"PMID: 11523787","page":"954-963","source":"PubMed","title":"Ionising radiation induces the expression of PARP-1 and PARP-2 genes in Arabidopsis","volume":"265","author":[{"family":"Doucet-Chabeaud","given":"G."},{"family":"Godon","given":"C."},{"family":"Brutesco","given":"C."},{"family":"Murcia","given":"G.","non-dropping-particle":"de"},{"family":"Kazmaier","given":"M."}],"issued":{"date-parts":[["2001",8]]}}},{"id":243,"uris":["http://zotero.org/users/9078202/items/KQBUK5IH"],"itemData":{"id":243,"type":"article-journal","container-title":"The Plant Journal","DOI":"10.1111/j.1365-313X.2008.03686.x","ISSN":"09607412, 1365313X","issue":"2","language":"en","page":"289-301","source":"DOI.org (Crossref)","title":"Overexpression of an ADP-ribose pyrophosphatase, &lt;i&gt;AtNUDX2&lt;/i&gt; , confers enhanced tolerance to oxidative stress in Arabidopsis plants","URL":"https://onlinelibrary.wiley.com/doi/10.1111/j.1365-313X.2008.03686.x","volume":"57","author":[{"family":"Ogawa","given":"Takahisa"},{"family":"Ishikawa","given":"Kazuya"},{"family":"Harada","given":"Kazuo"},{"family":"Fukusaki","given":"Eiichiro"},{"family":"Yoshimura","given":"Kazuya"},{"family":"Shigeoka","given":"Shigeru"}],"accessed":{"date-parts":[["2022",4,11]]},"issued":{"date-parts":[["2009",1]]}}}],"schema":"https://github.com/citation-style-language/schema/raw/master/csl-citation.json"} </w:instrText>
      </w:r>
      <w:r w:rsidRPr="00107040">
        <w:rPr>
          <w:sz w:val="28"/>
          <w:szCs w:val="28"/>
          <w:lang w:val="ru-RU"/>
        </w:rPr>
        <w:fldChar w:fldCharType="separate"/>
      </w:r>
      <w:r w:rsidR="008611DC" w:rsidRPr="008611DC">
        <w:rPr>
          <w:sz w:val="28"/>
          <w:lang w:val="ru-RU"/>
        </w:rPr>
        <w:t>[320,325]</w:t>
      </w:r>
      <w:r w:rsidRPr="00107040">
        <w:rPr>
          <w:sz w:val="28"/>
          <w:szCs w:val="28"/>
          <w:lang w:val="ru-RU"/>
        </w:rPr>
        <w:fldChar w:fldCharType="end"/>
      </w:r>
      <w:r w:rsidRPr="00107040">
        <w:rPr>
          <w:sz w:val="28"/>
          <w:szCs w:val="28"/>
          <w:lang w:val="ru-RU"/>
        </w:rPr>
        <w:t xml:space="preserve">, хотя во многих других исследованиях </w:t>
      </w:r>
      <w:r w:rsidRPr="00107040">
        <w:rPr>
          <w:sz w:val="28"/>
          <w:szCs w:val="28"/>
          <w:lang w:val="ru-RU"/>
        </w:rPr>
        <w:lastRenderedPageBreak/>
        <w:t xml:space="preserve">не удалось обнаружить транскрипционные ответы на засуху, осмотический или солевой стресс </w:t>
      </w:r>
      <w:r w:rsidRPr="00107040">
        <w:rPr>
          <w:sz w:val="28"/>
          <w:szCs w:val="28"/>
          <w:lang w:val="ru-RU"/>
        </w:rPr>
        <w:fldChar w:fldCharType="begin"/>
      </w:r>
      <w:r w:rsidR="008611DC">
        <w:rPr>
          <w:sz w:val="28"/>
          <w:szCs w:val="28"/>
          <w:lang w:val="ru-RU"/>
        </w:rPr>
        <w:instrText xml:space="preserve"> ADDIN ZOTERO_ITEM CSL_CITATION {"citationID":"HgKOydKU","properties":{"formattedCitation":"[327,363\\uc0\\u8211{}369]","plainCitation":"[327,363–369]","noteIndex":0},"citationItems":[{"id":1631,"uris":["http://zotero.org/users/9078202/items/YIIMG6YR"],"itemData":{"id":1631,"type":"article-journal","abstract":"Abiotic and biotic stress can have a detrimental impact on plant growth and productivity. Hence, there is a substantial demand for key factors of stress responses to improve yield stability of crops. Members of the poly(ADP-ribose)polymerase (PARP) protein family, which post-translationally modify (PARylate) nuclear proteins, have been suggested as such universal determinants of plant stress responses. A role under abiotic stress has been inferred from studies in which a genetic or, more commonly, pharmacological inhibition of PARP activity improved the performance of stressed plants. To further elucidate the role of PARP proteins under stress, T-DNA knockout mutants for the three Arabidopsis thaliana PARP genes were subjected to drought, osmotic, salt, and oxidative stress. To exclude a functional redundancy, which was indicated by a transcriptional upregulation of the remaining parp genes, a parp triple mutant was generated. Surprisingly, parp mutant plants did not differ from wild type plants in any of these stress experiments, independent from the number of PARP genes mutated. The parp triple mutant was also analyzed for callose formation in response to the pathogenassociated molecular pattern flg22. Unexpectedly, callose formation was unaltered in the mutant, albeit pharmacological PARP inhibition robustly blocked this immune response, confirming previous reports. Evidently, pharmacological inhibition appears to be more robust than the abolition of all PARP genes, indicating the presence of so-far undescribed proteins with PARP activity. This was supported by the finding that protein PARylation was not absent, but even increased in the parp triple mutant. Candidates for novel PARP-inhibitor targets may be found in the SRO protein family. These proteins harbor a catalytic PARP-like domain and are centrally involved in stress responses. Molecular modeling analyses, employing animal PARPs as templates, indeed indicated a capability of the SRO proteins RCD1 and SRO1 to bind nicotinamide-derived inhibitors. Collectively, the results of our study suggest that the stress-related phenotypes of parp mutants are highly conditional, and they call for a reconsideration of PARP inhibitor studies. In the context of this study, we also propose a unifying nomenclature of PARP genes and parp mutants, which is currently highly inconsistent and redundant.","container-title":"Frontiers in Plant Science","DOI":"10.3389/fpls.2017.00059","ISSN":"1664-462X","journalAbbreviation":"Front Plant Sci","language":"eng","note":"PMID: 28220129\nPMCID: PMC5292411","page":"59","source":"PubMed","title":"No Silver Bullet - Canonical Poly(ADP-Ribose) Polymerases (PARPs) Are No Universal Factors of Abiotic and Biotic Stress Resistance of Arabidopsis thaliana","volume":"8","author":[{"family":"Rissel","given":"Dagmar"},{"family":"Heym","given":"Peter P."},{"family":"Thor","given":"Kathrin"},{"family":"Brandt","given":"Wolfgang"},{"family":"Wessjohann","given":"Ludger A."},{"family":"Peiter","given":"Edgar"}],"issued":{"date-parts":[["2017"]]}}},{"id":1735,"uris":["http://zotero.org/users/9078202/items/RFTNRI6X"],"itemData":{"id":1735,"type":"article-journal","abstract":"The tolerance responses of plants to many abiotic stresses are conjectured to be controlled by complex gene networks. In the frame of the AtGenExpress project a comprehensive Arabidopsis thaliana genome transcript expression study was performed using the Affymetrix ATH1 microarray in order to understand these regulatory networks in detail. In contrast to earlier studies, we subjected, side-by-side and in a high-resolution kinetic series, Arabidopsis plants, of identical genotype grown under identical conditions, to different environmental stresses comprising heat, cold, drought, salt, high osmolarity, UV-B light and wounding. Furthermore, the harvesting of tissue and RNA isolation were performed in parallel at the same location using identical experimental protocols. Here we describe the technical performance of the experiments. We also present a general overview of environmental abiotic stress-induced gene expression patterns and the results of a model bioinformatics analysis of gene expression in response to UV-B light, drought and cold stress. Our results suggest that the initial transcriptional stress reaction of Arabidopsis might comprise a set of core environmental stress response genes which, by adjustment of the energy balance, could have a crucial function in various stress responses. In addition, there are indications that systemic signals generated by the tissue exposed to stress play a major role in the coordination and execution of stress responses. In summary, the information reported provides a prime reference point and source for the subsequent exploitation of this important resource for research into plant abiotic stress.","container-title":"The Plant Journal","DOI":"10.1111/j.1365-313X.2007.03052.x","ISSN":"1365-313X","issue":"2","language":"en","note":"_eprint: https://onlinelibrary.wiley.com/doi/pdf/10.1111/j.1365-313X.2007.03052.x","page":"347-363","source":"Wiley Online Library","title":"The AtGenExpress global stress expression data set: protocols, evaluation and model data analysis of UV-B light, drought and cold stress responses","title-short":"The AtGenExpress global stress expression data set","URL":"https://onlinelibrary.wiley.com/doi/abs/10.1111/j.1365-313X.2007.03052.x","volume":"50","author":[{"family":"Kilian","given":"Joachim"},{"family":"Whitehead","given":"Dion"},{"family":"Horak","given":"Jakub"},{"family":"Wanke","given":"Dierk"},{"family":"Weinl","given":"Stefan"},{"family":"Batistic","given":"Oliver"},{"family":"D’Angelo","given":"Cecilia"},{"family":"Bornberg-Bauer","given":"Erich"},{"family":"Kudla","given":"Jörg"},{"family":"Harter","given":"Klaus"}],"accessed":{"date-parts":[["2022",9,7]]},"issued":{"date-parts":[["2007"]]}}},{"id":1738,"uris":["http://zotero.org/users/9078202/items/KS6AXHYB"],"itemData":{"id":1738,"type":"article-journal","abstract":"The phosphoinositide pathway and inositol-1,4,5-trisphosphate (InsP(3)) are implicated in plant responses to stress. To determine the downstream consequences of altered InsP(3)-mediated signaling, we generated transgenic Arabidopsis thaliana plants expressing the mammalian type I inositol polyphosphate 5-phosphatase (InsP 5-ptase), which specifically hydrolyzes soluble inositol phosphates and terminates the signal. Rapid transient Ca(2+) responses to a cold or salt stimulus were reduced by approximately 30% in these transgenic plants. Drought stress studies revealed, surprisingly, that the InsP 5-ptase plants lost less water and exhibited increased drought tolerance. The onset of the drought stress was delayed in the transgenic plants, and abscisic acid (ABA) levels increased less than in the wild-type plants. Stomatal bioassays showed that transgenic guard cells were less responsive to the inhibition of opening by ABA but showed an increased sensitivity to ABA-induced closure. Transcript profiling revealed that the drought-inducible ABA-independent transcription factor DREB2A and a subset of DREB2A-regulated genes were basally upregulated in the InsP 5-ptase plants, suggesting that InsP(3) is a negative regulator of these DREB2A-regulated genes. These results indicate that the drought tolerance of the InsP 5-ptase plants is mediated in part via a DREB2A-dependent pathway and that constitutive dampening of the InsP(3) signal reveals unanticipated interconnections between signaling pathways.","container-title":"The Plant Cell","DOI":"10.1105/tpc.108.061374","ISSN":"1040-4651","issue":"10","journalAbbreviation":"Plant Cell","language":"eng","note":"PMID: 18849493\nPMCID: PMC2590728","page":"2876-2893","source":"PubMed","title":"Transgenic Arabidopsis plants expressing the type 1 inositol 5-phosphatase exhibit increased drought tolerance and altered abscisic acid signaling","volume":"20","author":[{"family":"Perera","given":"Imara Y."},{"family":"Hung","given":"Chiu-Yueh"},{"family":"Moore","given":"Candace D."},{"family":"Stevenson-Paulik","given":"Jill"},{"family":"Boss","given":"Wendy F."}],"issued":{"date-parts":[["2008",10]]}}},{"id":1744,"uris":["http://zotero.org/users/9078202/items/S526RWD3"],"itemData":{"id":1744,"type":"article-journal","abstract":"Guard cells, which form stoma in leaf epidermis, sense and integrate environmental signals to modulate stomatal aperture in response to diverse conditions. Under drought stress, plants synthesize abscisic acid (ABA), which in turn induces a rapid closing of stoma, to prevent water loss by transpiration. However, many aspects of the molecular mechanism for ABA-mediated stomatal closure are still not understood. Here, we report a novel negative regulator of guard cell ABA signaling, DOR, in Arabidopsis (Arabidopsis thaliana). The DOR gene encodes a putative F-box protein, a member of the S-locus F-box-like family related to AhSLF-S2 and specifically interacting with ASK14 and CUL1. A null mutation in DOR resulted in a hypersensitive ABA response of stomatal closing and a substantial increase of drought tolerance; in contrast, the transgenic plants overexpressing DOR were more susceptible to the drought stress. DOR is strongly expressed in guard cells and suppressed by ABA treatment, suggesting a negative feedback loop of DOR in ABA responses. Double-mutant analyses of dor with ABA-insensitive mutant abi1-1 showed that abi1-1 is epistatic to dor, but no apparent change of phospholipase Dα1 was detected between the wild type and dor. Affymetrix GeneChip analysis showed that DOR likely regulates ABA biosynthesis under drought stress. Taken together, our results demonstrate that DOR acts independent of phospholipase Dα1 in an ABA signaling pathway to inhibit the ABA-induced stomatal closure under drought stress.","container-title":"Plant Physiology","DOI":"10.1104/pp.108.126912","ISSN":"0032-0889","issue":"4","journalAbbreviation":"Plant Physiology","page":"2121-2133","source":"Silverchair","title":"F-Box Protein DOR Functions As a Novel Inhibitory Factor for Abscisic Acid-Induced Stomatal Closure under Drought Stress in Arabidopsis","URL":"https://doi.org/10.1104/pp.108.126912","volume":"148","author":[{"family":"Zhang","given":"Yu'e"},{"family":"Xu","given":"Wenying"},{"family":"Li","given":"Zhonghui"},{"family":"Deng","given":"Xing Wang"},{"family":"Wu","given":"Weihua"},{"family":"Xue","given":"Yongbiao"}],"accessed":{"date-parts":[["2022",9,7]]},"issued":{"date-parts":[["2008",12,1]]}}},{"id":1751,"uris":["http://zotero.org/users/9078202/items/6SBUNQ3L"],"itemData":{"id":1751,"type":"article-journal","abstract":"Mannitol is a putative osmoprotectant contributing to salt tolerance in several species. Arabidopsis plants transformed with the mannose-6-phosphate reductase (M6PR) gene from celery were dramatically more salt tolerant (at 100 mM NaCl) as exhibited by reduced salt injury, less inhibition of vegetative growth, and increased seed production relative to the wild type (WT). When treated with 200 mM NaCl, transformants produced no seeds, but did bolt, and exhibited less chlorosis/necrosis and greater survival and dry weights than the WT. Without salt there were no M6PR effects on growth or phenotype, but expression levels of 2272 genes were altered. Many fewer differences (1039) were observed between M6PR and WT plants in the presence of salt, suggesting that M6PR pre-conditioned the plants to stress. Previous work suggested that mannitol is an osmoprotectant, but mannitol levels are invariably quite low, perhaps inadequate for osmoprotectant effects. In this study, transcriptome analysis reveals that the M6PR transgene activated the downstream abscisic acid (ABA) pathway by up-regulation of ABA receptor genes (PYL4, PYL5, and PYL6) and down-regulation of protein phosphatase 2C genes (ABI1 and ABI2). In the M6PR transgenic lines there were also increases in transcripts related to redox and cell wall-strengthening pathways. These data indicate that mannitol-enhanced stress tolerance is due at least in part to increased expression of a variety of stress-inducible genes.","container-title":"Journal of Experimental Botany","DOI":"10.1093/jxb/err130","ISSN":"1460-2431","issue":"14","journalAbbreviation":"J Exp Bot","language":"eng","note":"PMID: 21821598\nPMCID: PMC3192998","page":"4787-4803","source":"PubMed","title":"Global gene expression analysis of transgenic, mannitol-producing, and salt-tolerant Arabidopsis thaliana indicates widespread changes in abiotic and biotic stress-related genes","volume":"62","author":[{"family":"Chan","given":"Zhulong"},{"family":"Grumet","given":"Rebecca"},{"family":"Loescher","given":"Wayne"}],"issued":{"date-parts":[["2011",10]]}}},{"id":1756,"uris":["http://zotero.org/users/9078202/items/WEBPUMKR"],"itemData":{"id":1756,"type":"article-journal","abstract":"Six Arabidopsis (Arabidopsis thaliana) clade A protein phosphatase 2Cs (PP2Cs) have established abscisic acid (ABA) signaling roles; however, phenotypic roles of the remaining three “HAI” PP2Cs, Highly ABA-Induced1 (HAI1), AKT1-Interacting PP2C1/HAI2, and HAI3, have remained unclear. HAI PP2C mutants had enhanced proline and osmoregulatory solute accumulation at low water potential, while mutants of other clade A PP2Cs had no or lesser effect on these drought resistance traits. hai1-2 also had increased expression of abiotic stress-associated genes, including dehydrins and late embryogenesis abundant proteins, but decreased expression of several defense-related genes. Conversely, the HAI PP2Cs had relatively less impact on several ABA sensitivity phenotypes. HAI PP2C single mutants were unaffected in ABA sensitivity, while double and triple mutants were moderately hypersensitive in postgermination ABA response but ABA insensitive in germination. The HAI PP2Cs interacted most strongly with PYL5 and PYL7 to -10 of the PYL/RCAR ABA receptor family, with PYL7 to -10 interactions being relatively little affected by ABA in yeast two-hybrid assays. HAI1 had especially limited PYL interaction. Reduced expression of the main HAI1-interacting PYLs at low water potential when HAI1 expression was strongly induced also suggests limited PYL regulation and a role of HAI1 activity in negatively regulating specific drought resistance phenotypes. Overall, the HAI PP2Cs had greatest effect on ABA-independent low water potential phenotypes and lesser effect on classical ABA sensitivity phenotypes. Both this and their distinct PYL interaction demonstrate a new level of functional differentiation among the clade A PP2Cs and a point of cross talk between ABA-dependent and ABA-independent drought-associated signaling.","container-title":"Plant Physiology","DOI":"10.1104/pp.112.202408","ISSN":"0032-0889","issue":"1","journalAbbreviation":"Plant Physiology","page":"379-395","source":"Silverchair","title":"Unique Drought Resistance Functions of the Highly ABA-Induced Clade A Protein Phosphatase 2Cs","URL":"https://doi.org/10.1104/pp.112.202408","volume":"160","author":[{"family":"Bhaskara","given":"Govinal Badiger"},{"family":"Nguyen","given":"Thao Thi"},{"family":"Verslues","given":"Paul E."}],"accessed":{"date-parts":[["2022",9,7]]},"issued":{"date-parts":[["2012",9,1]]}}},{"id":1761,"uris":["http://zotero.org/users/9078202/items/B5SXQV56"],"itemData":{"id":1761,"type":"article-journal","abstract":"The functions of microRNAs and their target mRNAs in Arabidopsis thaliana development have been widely documented; however, roles of stress-responsive microRNAs and their targets are not as well understood. Using small RNA deep sequencing and ATH1 microarrays to profile mRNAs, we identified IAA-Ala Resistant3 (IAR3) as a new target of miR167a. As expected, IAR3 mRNA was cleaved at the miR167a complementary site and under high osmotic stress miR167a levels decreased, whereas IAR3 mRNA levels increased. IAR3 hydrolyzes an inactive form of auxin (indole-3-acetic acid [IAA]-alanine) and releases bioactive auxin (IAA), a central phytohormone for root development. In contrast with the wild type, iar3 mutants accumulated reduced IAA levels and did not display high osmotic stress–induced root architecture changes. Transgenic plants expressing a cleavage-resistant form of IAR3 mRNA accumulated high levels of IAR3 mRNAs and showed increased lateral root development compared with transgenic plants expressing wild-type IAR3. Expression of an inducible noncoding RNA to sequester miR167a by target mimicry led to an increase in IAR3 mRNA levels, further confirming the inverse relationship between the two partners. Sequence comparison revealed the miR167 target site on IAR3 mRNA is conserved in evolutionarily distant plant species. Finally, we showed that IAR3 is required for drought tolerance.","container-title":"The Plant Cell","DOI":"10.1105/tpc.112.097006","ISSN":"1040-4651","issue":"9","journalAbbreviation":"The Plant Cell","page":"3590-3602","source":"Silverchair","title":"IAA-Ala Resistant3, an Evolutionarily Conserved Target of miR167, Mediates Arabidopsis Root Architecture Changes during High Osmotic Stress","URL":"https://doi.org/10.1105/tpc.112.097006","volume":"24","author":[{"family":"Kinoshita","given":"Natsuko"},{"family":"Wang","given":"Huan"},{"family":"Kasahara","given":"Hiroyuki"},{"family":"Liu","given":"Jun"},{"family":"MacPherson","given":"Cameron"},{"family":"Machida","given":"Yasunori"},{"family":"Kamiya","given":"Yuji"},{"family":"Hannah","given":"Matthew A."},{"family":"Chua","given":"Nam-Hai"}],"accessed":{"date-parts":[["2022",9,7]]},"issued":{"date-parts":[["2012",9,1]]}}},{"id":1928,"uris":["http://zotero.org/users/9078202/items/8DHYSUBX"],"itemData":{"id":1928,"type":"article-journal","abstract":"The subclass III group of SNF1-related protein kinase 2 (SnRK2) members is known to play an important role in ABA and osmotic stress signaling in Arabidopsis; however, the roles of other subclasses remain elusive. Here, we established a double mutant of SRK2C/SnR2.8 and SRK2F/SnRK2.7 to investigate the functions of subclass II SnRK2s. Microarray analysis suggested that subclass II SnRK2s regulate some drought-responsive genes involving ABA-responsive element binding transcription factors (AREB/ABF) and their targets, and quantitative reverse transcription- PCR confirmed that those genes were down-regulated significantly in srk2cf. This study indicates that subclass II SnRK2s also play important roles in drought stress signaling in Arabidopsis.","container-title":"Plant &amp; Cell Physiology","DOI":"10.1093/pcp/pcq041","ISSN":"1471-9053","issue":"5","journalAbbreviation":"Plant Cell Physiol","language":"eng","note":"PMID: 20375108","page":"842-847","source":"PubMed","title":"Two closely related subclass II SnRK2 protein kinases cooperatively regulate drought-inducible gene expression","volume":"51","author":[{"family":"Mizoguchi","given":"Masahide"},{"family":"Umezawa","given":"Taishi"},{"family":"Nakashima","given":"Kazuo"},{"family":"Kidokoro","given":"Satoshi"},{"family":"Takasaki","given":"Hironori"},{"family":"Fujita","given":"Yasunari"},{"family":"Yamaguchi-Shinozaki","given":"Kazuko"},{"family":"Shinozaki","given":"Kazuo"}],"issued":{"date-parts":[["2010",5]]}}}],"schema":"https://github.com/citation-style-language/schema/raw/master/csl-citation.json"} </w:instrText>
      </w:r>
      <w:r w:rsidRPr="00107040">
        <w:rPr>
          <w:sz w:val="28"/>
          <w:szCs w:val="28"/>
          <w:lang w:val="ru-RU"/>
        </w:rPr>
        <w:fldChar w:fldCharType="separate"/>
      </w:r>
      <w:r w:rsidR="008611DC" w:rsidRPr="00E57A39">
        <w:rPr>
          <w:sz w:val="28"/>
          <w:lang w:val="ru-RU"/>
        </w:rPr>
        <w:t>[327,363–369]</w:t>
      </w:r>
      <w:r w:rsidRPr="00107040">
        <w:rPr>
          <w:sz w:val="28"/>
          <w:szCs w:val="28"/>
          <w:lang w:val="ru-RU"/>
        </w:rPr>
        <w:fldChar w:fldCharType="end"/>
      </w:r>
      <w:r w:rsidRPr="00107040">
        <w:rPr>
          <w:sz w:val="28"/>
          <w:szCs w:val="28"/>
          <w:lang w:val="ru-RU"/>
        </w:rPr>
        <w:t xml:space="preserve">. Нокдаун </w:t>
      </w:r>
      <w:r w:rsidRPr="00107040">
        <w:rPr>
          <w:sz w:val="28"/>
          <w:szCs w:val="28"/>
        </w:rPr>
        <w:t>PARP</w:t>
      </w:r>
      <w:r w:rsidRPr="00107040">
        <w:rPr>
          <w:sz w:val="28"/>
          <w:szCs w:val="28"/>
          <w:lang w:val="ru-RU"/>
        </w:rPr>
        <w:t xml:space="preserve">1 или </w:t>
      </w:r>
      <w:r w:rsidRPr="00107040">
        <w:rPr>
          <w:sz w:val="28"/>
          <w:szCs w:val="28"/>
        </w:rPr>
        <w:t>PARP</w:t>
      </w:r>
      <w:r w:rsidRPr="00107040">
        <w:rPr>
          <w:sz w:val="28"/>
          <w:szCs w:val="28"/>
          <w:lang w:val="ru-RU"/>
        </w:rPr>
        <w:t xml:space="preserve">2 у масличного рапса и арабидопсиса с помощью конструкций шпилек </w:t>
      </w:r>
      <w:r w:rsidRPr="00107040">
        <w:rPr>
          <w:sz w:val="28"/>
          <w:szCs w:val="28"/>
        </w:rPr>
        <w:t>PARP</w:t>
      </w:r>
      <w:r w:rsidRPr="00107040">
        <w:rPr>
          <w:sz w:val="28"/>
          <w:szCs w:val="28"/>
          <w:lang w:val="ru-RU"/>
        </w:rPr>
        <w:t xml:space="preserve"> повышает толерантность к высыханию, кратковременной обработке паракватом и яркому свету, что связано со снижением активности </w:t>
      </w:r>
      <w:r w:rsidRPr="00107040">
        <w:rPr>
          <w:sz w:val="28"/>
          <w:szCs w:val="28"/>
        </w:rPr>
        <w:t>PARP</w:t>
      </w:r>
      <w:r w:rsidRPr="00107040">
        <w:rPr>
          <w:sz w:val="28"/>
          <w:szCs w:val="28"/>
          <w:lang w:val="ru-RU"/>
        </w:rPr>
        <w:t xml:space="preserve"> в условиях стресса </w:t>
      </w:r>
      <w:r w:rsidRPr="00107040">
        <w:rPr>
          <w:sz w:val="28"/>
          <w:szCs w:val="28"/>
          <w:lang w:val="ru-RU"/>
        </w:rPr>
        <w:fldChar w:fldCharType="begin"/>
      </w:r>
      <w:r>
        <w:rPr>
          <w:sz w:val="28"/>
          <w:szCs w:val="28"/>
          <w:lang w:val="ru-RU"/>
        </w:rPr>
        <w:instrText xml:space="preserve"> ADDIN ZOTERO_ITEM CSL_CITATION {"citationID":"a284gl8veu0","properties":{"formattedCitation":"[24]","plainCitation":"[24]","noteIndex":0},"citationItems":[{"id":1278,"uris":["http://zotero.org/users/9078202/items/W6JPRRQR"],"itemData":{"id":1278,"type":"article-journal","abstract":"Plants contain two genes that code for poly(ADP-ribose) polymerase (PARP): parp1 and parp2. Both PARPs are activated by DNA damage caused by, example reactive oxygen species. Upon activation polymers of ADP-ribose are synthesized on a range of nuclear enzymes using NAD(+) as substrate. Here, we show that in plants stresses such as drought, high light and heat activate PARP causing NAD(+) breakdown and ATP consumption. When the PARP activity is reduced by means of chemical inhibitors or by gene silencing, cell death is inhibited and plants become tolerant to a broad range of abiotic stresses like high light, drought and heat. Plant lines with low poly(ADP-ribosyl)ation activity maintain under stress conditions their energy homeostasis by reducing NAD(+) breakdown and consequently energy consumption. The higher energy-use efficiency avoids the need for a too intense mitochondrial respiration and consequently reduces the formation of reactive oxygen species. From these results it can be concluded that breeding or engineering for a high energy-use efficiency under stress conditions is a valuable, but until today nearly unexploited, approach to enhance overall stress tolerance of crops.","container-title":"The Plant Journal: For Cell and Molecular Biology","DOI":"10.1111/j.1365-313X.2004.02277.x","ISSN":"0960-7412","issue":"1","journalAbbreviation":"Plant J","language":"eng","note":"PMID: 15610352","page":"95-106","source":"PubMed","title":"Poly(ADP-ribose) polymerase in plants affects energy homeostasis, cell death and stress tolerance","volume":"41","author":[{"family":"De Block","given":"Marc"},{"family":"Verduyn","given":"Christoph"},{"family":"De Brouwer","given":"Dirk"},{"family":"Cornelissen","given":"Marc"}],"issued":{"date-parts":[["2005",1]]}}}],"schema":"https://github.com/citation-style-language/schema/raw/master/csl-citation.json"} </w:instrText>
      </w:r>
      <w:r w:rsidRPr="00107040">
        <w:rPr>
          <w:sz w:val="28"/>
          <w:szCs w:val="28"/>
          <w:lang w:val="ru-RU"/>
        </w:rPr>
        <w:fldChar w:fldCharType="separate"/>
      </w:r>
      <w:r w:rsidRPr="00107040">
        <w:rPr>
          <w:sz w:val="28"/>
          <w:lang w:val="ru-RU"/>
        </w:rPr>
        <w:t>[24]</w:t>
      </w:r>
      <w:r w:rsidRPr="00107040">
        <w:rPr>
          <w:sz w:val="28"/>
          <w:szCs w:val="28"/>
          <w:lang w:val="ru-RU"/>
        </w:rPr>
        <w:fldChar w:fldCharType="end"/>
      </w:r>
      <w:r w:rsidRPr="00107040">
        <w:rPr>
          <w:sz w:val="28"/>
          <w:szCs w:val="28"/>
          <w:lang w:val="ru-RU"/>
        </w:rPr>
        <w:t xml:space="preserve">. Соответственно, высокое потребление энергии, которое является ответом на активацию </w:t>
      </w:r>
      <w:r w:rsidRPr="00107040">
        <w:rPr>
          <w:sz w:val="28"/>
          <w:szCs w:val="28"/>
        </w:rPr>
        <w:t>PARP</w:t>
      </w:r>
      <w:r w:rsidRPr="00107040">
        <w:rPr>
          <w:sz w:val="28"/>
          <w:szCs w:val="28"/>
          <w:lang w:val="ru-RU"/>
        </w:rPr>
        <w:t xml:space="preserve"> после сильного стресса в клетках млекопитающих, было предотвращено в линиях нокдауна. Энергетический гомеостаз и нормальный уровень митохондриального дыхания сохранялись, а продукция АФК поддерживалась на низком уровне </w:t>
      </w:r>
      <w:r w:rsidRPr="00107040">
        <w:rPr>
          <w:sz w:val="28"/>
          <w:szCs w:val="28"/>
          <w:lang w:val="ru-RU"/>
        </w:rPr>
        <w:fldChar w:fldCharType="begin"/>
      </w:r>
      <w:r>
        <w:rPr>
          <w:sz w:val="28"/>
          <w:szCs w:val="28"/>
          <w:lang w:val="ru-RU"/>
        </w:rPr>
        <w:instrText xml:space="preserve"> ADDIN ZOTERO_ITEM CSL_CITATION {"citationID":"a20jmphcl9g","properties":{"formattedCitation":"[24]","plainCitation":"[24]","noteIndex":0},"citationItems":[{"id":1278,"uris":["http://zotero.org/users/9078202/items/W6JPRRQR"],"itemData":{"id":1278,"type":"article-journal","abstract":"Plants contain two genes that code for poly(ADP-ribose) polymerase (PARP): parp1 and parp2. Both PARPs are activated by DNA damage caused by, example reactive oxygen species. Upon activation polymers of ADP-ribose are synthesized on a range of nuclear enzymes using NAD(+) as substrate. Here, we show that in plants stresses such as drought, high light and heat activate PARP causing NAD(+) breakdown and ATP consumption. When the PARP activity is reduced by means of chemical inhibitors or by gene silencing, cell death is inhibited and plants become tolerant to a broad range of abiotic stresses like high light, drought and heat. Plant lines with low poly(ADP-ribosyl)ation activity maintain under stress conditions their energy homeostasis by reducing NAD(+) breakdown and consequently energy consumption. The higher energy-use efficiency avoids the need for a too intense mitochondrial respiration and consequently reduces the formation of reactive oxygen species. From these results it can be concluded that breeding or engineering for a high energy-use efficiency under stress conditions is a valuable, but until today nearly unexploited, approach to enhance overall stress tolerance of crops.","container-title":"The Plant Journal: For Cell and Molecular Biology","DOI":"10.1111/j.1365-313X.2004.02277.x","ISSN":"0960-7412","issue":"1","journalAbbreviation":"Plant J","language":"eng","note":"PMID: 15610352","page":"95-106","source":"PubMed","title":"Poly(ADP-ribose) polymerase in plants affects energy homeostasis, cell death and stress tolerance","volume":"41","author":[{"family":"De Block","given":"Marc"},{"family":"Verduyn","given":"Christoph"},{"family":"De Brouwer","given":"Dirk"},{"family":"Cornelissen","given":"Marc"}],"issued":{"date-parts":[["2005",1]]}}}],"schema":"https://github.com/citation-style-language/schema/raw/master/csl-citation.json"} </w:instrText>
      </w:r>
      <w:r w:rsidRPr="00107040">
        <w:rPr>
          <w:sz w:val="28"/>
          <w:szCs w:val="28"/>
          <w:lang w:val="ru-RU"/>
        </w:rPr>
        <w:fldChar w:fldCharType="separate"/>
      </w:r>
      <w:r w:rsidRPr="00107040">
        <w:rPr>
          <w:sz w:val="28"/>
          <w:lang w:val="ru-RU"/>
        </w:rPr>
        <w:t>[24]</w:t>
      </w:r>
      <w:r w:rsidRPr="00107040">
        <w:rPr>
          <w:sz w:val="28"/>
          <w:szCs w:val="28"/>
          <w:lang w:val="ru-RU"/>
        </w:rPr>
        <w:fldChar w:fldCharType="end"/>
      </w:r>
      <w:r w:rsidRPr="00107040">
        <w:rPr>
          <w:sz w:val="28"/>
          <w:szCs w:val="28"/>
          <w:lang w:val="ru-RU"/>
        </w:rPr>
        <w:t>.</w:t>
      </w:r>
      <w:r w:rsidRPr="00107040">
        <w:rPr>
          <w:sz w:val="28"/>
          <w:szCs w:val="28"/>
          <w:lang w:val="kk-KZ"/>
        </w:rPr>
        <w:t xml:space="preserve"> </w:t>
      </w:r>
      <w:r w:rsidRPr="00107040">
        <w:rPr>
          <w:sz w:val="28"/>
          <w:szCs w:val="28"/>
          <w:lang w:val="ru-RU"/>
        </w:rPr>
        <w:t xml:space="preserve">Следовательно, сохранение энергии при стрессе было предложено как причина повышенной устойчивости к абиотическому стрессу линий нокдауна </w:t>
      </w:r>
      <w:r w:rsidRPr="00107040">
        <w:rPr>
          <w:sz w:val="28"/>
          <w:szCs w:val="28"/>
        </w:rPr>
        <w:t>PARP</w:t>
      </w:r>
      <w:r w:rsidRPr="00107040">
        <w:rPr>
          <w:sz w:val="28"/>
          <w:szCs w:val="28"/>
          <w:lang w:val="ru-RU"/>
        </w:rPr>
        <w:t xml:space="preserve">. Дополнительные объяснения были получены при транскриптомном исследовании растений со сниженной экспрессией </w:t>
      </w:r>
      <w:r w:rsidRPr="00107040">
        <w:rPr>
          <w:sz w:val="28"/>
          <w:szCs w:val="28"/>
        </w:rPr>
        <w:t>AtPARP</w:t>
      </w:r>
      <w:r w:rsidRPr="00107040">
        <w:rPr>
          <w:sz w:val="28"/>
          <w:szCs w:val="28"/>
          <w:lang w:val="ru-RU"/>
        </w:rPr>
        <w:t xml:space="preserve">1 </w:t>
      </w:r>
      <w:r w:rsidRPr="00107040">
        <w:rPr>
          <w:sz w:val="28"/>
          <w:szCs w:val="28"/>
          <w:lang w:val="ru-RU"/>
        </w:rPr>
        <w:fldChar w:fldCharType="begin"/>
      </w:r>
      <w:r w:rsidR="008611DC">
        <w:rPr>
          <w:sz w:val="28"/>
          <w:szCs w:val="28"/>
          <w:lang w:val="ru-RU"/>
        </w:rPr>
        <w:instrText xml:space="preserve"> ADDIN ZOTERO_ITEM CSL_CITATION {"citationID":"a1738djmlu3","properties":{"formattedCitation":"[370]","plainCitation":"[370]","noteIndex":0},"citationItems":[{"id":242,"uris":["http://zotero.org/users/9078202/items/TN8CJQ9D"],"itemData":{"id":242,"type":"article-journal","abstract":"Transgenic plants with reduced poly(ADP-ribose) polymerase (PARP) levels have broad-spectrum stress-resistant phenotypes. Both Arabidopsis thaliana and oilseed rape (Brassica napus) lines overexpressing RNA interference-PARP constructs were more resistant to various abiotic stress treatments in laboratory and greenhouse experiments without negative effects on growth, development, and seed production. This outperforming stress tolerance was initially attributed solely to a maintained energy homeostasis due to reduced NAD(+) consumption. We show that in PARP2-deficient Arabidopsis plants, the observed abiotic stress resistance can also be explained by alterations in abscisic acid levels that facilitate the induction of a wide set of defense-related genes.","container-title":"Proceedings of the National Academy of Sciences of the United States of America","DOI":"10.1073/pnas.0706668104","ISSN":"0027-8424","issue":"38","journalAbbreviation":"Proc Natl Acad Sci U S A","language":"eng","note":"PMID: 17823244\nPMCID: PMC1986628","page":"15150-15155","source":"PubMed","title":"Silencing of poly(ADP-ribose) polymerase in plants alters abiotic stress signal transduction","volume":"104","author":[{"family":"Vanderauwera","given":"Sandy"},{"family":"De Block","given":"Marc"},{"family":"Van de Steene","given":"Nancy"},{"family":"Cotte","given":"Brigitte","non-dropping-particle":"van de"},{"family":"Metzlaff","given":"Michael"},{"family":"Van Breusegem","given":"Frank"}],"issued":{"date-parts":[["2007",9,18]]}}}],"schema":"https://github.com/citation-style-language/schema/raw/master/csl-citation.json"} </w:instrText>
      </w:r>
      <w:r w:rsidRPr="00107040">
        <w:rPr>
          <w:sz w:val="28"/>
          <w:szCs w:val="28"/>
          <w:lang w:val="ru-RU"/>
        </w:rPr>
        <w:fldChar w:fldCharType="separate"/>
      </w:r>
      <w:r w:rsidR="008611DC" w:rsidRPr="008611DC">
        <w:rPr>
          <w:sz w:val="28"/>
          <w:lang w:val="ru-RU"/>
        </w:rPr>
        <w:t>[370]</w:t>
      </w:r>
      <w:r w:rsidRPr="00107040">
        <w:rPr>
          <w:sz w:val="28"/>
          <w:szCs w:val="28"/>
          <w:lang w:val="ru-RU"/>
        </w:rPr>
        <w:fldChar w:fldCharType="end"/>
      </w:r>
      <w:r w:rsidRPr="00107040">
        <w:rPr>
          <w:sz w:val="28"/>
          <w:szCs w:val="28"/>
          <w:lang w:val="ru-RU"/>
        </w:rPr>
        <w:t>. При «высоком световом» стрессе (250–300 µ</w:t>
      </w:r>
      <w:r w:rsidRPr="00107040">
        <w:rPr>
          <w:sz w:val="28"/>
          <w:szCs w:val="28"/>
        </w:rPr>
        <w:t>mol</w:t>
      </w:r>
      <w:r w:rsidRPr="00107040">
        <w:rPr>
          <w:sz w:val="28"/>
          <w:szCs w:val="28"/>
          <w:lang w:val="ru-RU"/>
        </w:rPr>
        <w:t xml:space="preserve"> </w:t>
      </w:r>
      <w:r w:rsidRPr="00107040">
        <w:rPr>
          <w:sz w:val="28"/>
          <w:szCs w:val="28"/>
        </w:rPr>
        <w:t>m</w:t>
      </w:r>
      <w:r w:rsidRPr="00107040">
        <w:rPr>
          <w:sz w:val="28"/>
          <w:szCs w:val="28"/>
          <w:vertAlign w:val="superscript"/>
          <w:lang w:val="ru-RU"/>
        </w:rPr>
        <w:t>−2</w:t>
      </w:r>
      <w:r w:rsidRPr="00107040">
        <w:rPr>
          <w:sz w:val="28"/>
          <w:szCs w:val="28"/>
          <w:lang w:val="ru-RU"/>
        </w:rPr>
        <w:t xml:space="preserve"> </w:t>
      </w:r>
      <w:r w:rsidRPr="00107040">
        <w:rPr>
          <w:sz w:val="28"/>
          <w:szCs w:val="28"/>
        </w:rPr>
        <w:t>sec</w:t>
      </w:r>
      <w:r w:rsidRPr="00107040">
        <w:rPr>
          <w:sz w:val="28"/>
          <w:szCs w:val="28"/>
          <w:vertAlign w:val="superscript"/>
          <w:lang w:val="ru-RU"/>
        </w:rPr>
        <w:t>−1</w:t>
      </w:r>
      <w:r w:rsidRPr="00107040">
        <w:rPr>
          <w:sz w:val="28"/>
          <w:szCs w:val="28"/>
          <w:lang w:val="ru-RU"/>
        </w:rPr>
        <w:t xml:space="preserve">) нокдаун </w:t>
      </w:r>
      <w:r w:rsidRPr="00107040">
        <w:rPr>
          <w:sz w:val="28"/>
          <w:szCs w:val="28"/>
        </w:rPr>
        <w:t>AtPARP</w:t>
      </w:r>
      <w:r w:rsidRPr="00107040">
        <w:rPr>
          <w:sz w:val="28"/>
          <w:szCs w:val="28"/>
          <w:lang w:val="ru-RU"/>
        </w:rPr>
        <w:t xml:space="preserve">1 приводил к ослаблению экспрессии генов, чувствительных к температуре и зависимых от окислительного стресса. Кроме того, гены, участвующие в клеточном транспорте и энергетическом обмене, были репрессированы, что еще раз подтверждает гипотезу о том, что снижение активности </w:t>
      </w:r>
      <w:r w:rsidRPr="00107040">
        <w:rPr>
          <w:sz w:val="28"/>
          <w:szCs w:val="28"/>
        </w:rPr>
        <w:t>PARP</w:t>
      </w:r>
      <w:r w:rsidRPr="00107040">
        <w:rPr>
          <w:sz w:val="28"/>
          <w:szCs w:val="28"/>
          <w:lang w:val="ru-RU"/>
        </w:rPr>
        <w:t xml:space="preserve"> повышает устойчивость к стрессу за счет снижения окислительного стресса и сохранения энергетического гомеостаза. Напротив, гены, реагирующие на абсцизовую кислоту (АБК), дегидратацию и холод, гипериндуцировались нокдауном </w:t>
      </w:r>
      <w:r w:rsidRPr="00107040">
        <w:rPr>
          <w:sz w:val="28"/>
          <w:szCs w:val="28"/>
        </w:rPr>
        <w:t>AtPARP</w:t>
      </w:r>
      <w:r w:rsidRPr="00107040">
        <w:rPr>
          <w:sz w:val="28"/>
          <w:szCs w:val="28"/>
          <w:lang w:val="ru-RU"/>
        </w:rPr>
        <w:t xml:space="preserve">1 при сильном световом стрессе </w:t>
      </w:r>
      <w:r w:rsidRPr="00107040">
        <w:rPr>
          <w:sz w:val="28"/>
          <w:szCs w:val="28"/>
          <w:lang w:val="ru-RU"/>
        </w:rPr>
        <w:fldChar w:fldCharType="begin"/>
      </w:r>
      <w:r w:rsidR="008611DC">
        <w:rPr>
          <w:sz w:val="28"/>
          <w:szCs w:val="28"/>
          <w:lang w:val="ru-RU"/>
        </w:rPr>
        <w:instrText xml:space="preserve"> ADDIN ZOTERO_ITEM CSL_CITATION {"citationID":"a17ksuhc4f","properties":{"formattedCitation":"[370]","plainCitation":"[370]","noteIndex":0},"citationItems":[{"id":242,"uris":["http://zotero.org/users/9078202/items/TN8CJQ9D"],"itemData":{"id":242,"type":"article-journal","abstract":"Transgenic plants with reduced poly(ADP-ribose) polymerase (PARP) levels have broad-spectrum stress-resistant phenotypes. Both Arabidopsis thaliana and oilseed rape (Brassica napus) lines overexpressing RNA interference-PARP constructs were more resistant to various abiotic stress treatments in laboratory and greenhouse experiments without negative effects on growth, development, and seed production. This outperforming stress tolerance was initially attributed solely to a maintained energy homeostasis due to reduced NAD(+) consumption. We show that in PARP2-deficient Arabidopsis plants, the observed abiotic stress resistance can also be explained by alterations in abscisic acid levels that facilitate the induction of a wide set of defense-related genes.","container-title":"Proceedings of the National Academy of Sciences of the United States of America","DOI":"10.1073/pnas.0706668104","ISSN":"0027-8424","issue":"38","journalAbbreviation":"Proc Natl Acad Sci U S A","language":"eng","note":"PMID: 17823244\nPMCID: PMC1986628","page":"15150-15155","source":"PubMed","title":"Silencing of poly(ADP-ribose) polymerase in plants alters abiotic stress signal transduction","volume":"104","author":[{"family":"Vanderauwera","given":"Sandy"},{"family":"De Block","given":"Marc"},{"family":"Van de Steene","given":"Nancy"},{"family":"Cotte","given":"Brigitte","non-dropping-particle":"van de"},{"family":"Metzlaff","given":"Michael"},{"family":"Van Breusegem","given":"Frank"}],"issued":{"date-parts":[["2007",9,18]]}}}],"schema":"https://github.com/citation-style-language/schema/raw/master/csl-citation.json"} </w:instrText>
      </w:r>
      <w:r w:rsidRPr="00107040">
        <w:rPr>
          <w:sz w:val="28"/>
          <w:szCs w:val="28"/>
          <w:lang w:val="ru-RU"/>
        </w:rPr>
        <w:fldChar w:fldCharType="separate"/>
      </w:r>
      <w:r w:rsidR="008611DC" w:rsidRPr="008611DC">
        <w:rPr>
          <w:sz w:val="28"/>
          <w:lang w:val="ru-RU"/>
        </w:rPr>
        <w:t>[370]</w:t>
      </w:r>
      <w:r w:rsidRPr="00107040">
        <w:rPr>
          <w:sz w:val="28"/>
          <w:szCs w:val="28"/>
          <w:lang w:val="ru-RU"/>
        </w:rPr>
        <w:fldChar w:fldCharType="end"/>
      </w:r>
      <w:r w:rsidRPr="00107040">
        <w:rPr>
          <w:sz w:val="28"/>
          <w:szCs w:val="28"/>
          <w:lang w:val="ru-RU"/>
        </w:rPr>
        <w:t xml:space="preserve">. В то же время уровни АБК были выше у растений со сниженной экспрессией </w:t>
      </w:r>
      <w:r w:rsidRPr="00107040">
        <w:rPr>
          <w:sz w:val="28"/>
          <w:szCs w:val="28"/>
        </w:rPr>
        <w:t>AtPARP</w:t>
      </w:r>
      <w:r w:rsidRPr="00107040">
        <w:rPr>
          <w:sz w:val="28"/>
          <w:szCs w:val="28"/>
          <w:lang w:val="ru-RU"/>
        </w:rPr>
        <w:t xml:space="preserve">1. Эти данные указывают на роль </w:t>
      </w:r>
      <w:r w:rsidRPr="00107040">
        <w:rPr>
          <w:sz w:val="28"/>
          <w:szCs w:val="28"/>
        </w:rPr>
        <w:t>AtPARP</w:t>
      </w:r>
      <w:r w:rsidRPr="00107040">
        <w:rPr>
          <w:sz w:val="28"/>
          <w:szCs w:val="28"/>
          <w:lang w:val="ru-RU"/>
        </w:rPr>
        <w:t xml:space="preserve">1 как негативного регулятора транскрипции стрессовых реакций растений АБК-зависимым образом. Это вызвало дополнительную гипотезу, объясняющую повышенную толерантность к абиотическому стрессу снижением активности </w:t>
      </w:r>
      <w:r w:rsidRPr="00107040">
        <w:rPr>
          <w:sz w:val="28"/>
          <w:szCs w:val="28"/>
        </w:rPr>
        <w:t>PARP</w:t>
      </w:r>
      <w:r w:rsidRPr="00107040">
        <w:rPr>
          <w:sz w:val="28"/>
          <w:szCs w:val="28"/>
          <w:lang w:val="ru-RU"/>
        </w:rPr>
        <w:t xml:space="preserve">, связывающую повышенный уровень </w:t>
      </w:r>
      <w:r w:rsidRPr="00107040">
        <w:rPr>
          <w:sz w:val="28"/>
          <w:szCs w:val="28"/>
          <w:lang w:val="kk-KZ"/>
        </w:rPr>
        <w:t>НАД</w:t>
      </w:r>
      <w:r w:rsidRPr="00107040">
        <w:rPr>
          <w:sz w:val="28"/>
          <w:szCs w:val="28"/>
          <w:vertAlign w:val="superscript"/>
          <w:lang w:val="ru-RU"/>
        </w:rPr>
        <w:t>+</w:t>
      </w:r>
      <w:r w:rsidRPr="00107040">
        <w:rPr>
          <w:sz w:val="28"/>
          <w:szCs w:val="28"/>
          <w:lang w:val="ru-RU"/>
        </w:rPr>
        <w:t xml:space="preserve"> с повышенным уровнем АБК и повышенной экспрессией АБК-чувствительных генов через циклическую АДФ-рибозу (цАДФР) </w:t>
      </w:r>
      <w:r w:rsidRPr="00107040">
        <w:rPr>
          <w:sz w:val="28"/>
          <w:szCs w:val="28"/>
          <w:lang w:val="ru-RU"/>
        </w:rPr>
        <w:fldChar w:fldCharType="begin"/>
      </w:r>
      <w:r w:rsidR="008611DC">
        <w:rPr>
          <w:sz w:val="28"/>
          <w:szCs w:val="28"/>
          <w:lang w:val="ru-RU"/>
        </w:rPr>
        <w:instrText xml:space="preserve"> ADDIN ZOTERO_ITEM CSL_CITATION {"citationID":"a15kfn2qudh","properties":{"formattedCitation":"[370]","plainCitation":"[370]","noteIndex":0},"citationItems":[{"id":242,"uris":["http://zotero.org/users/9078202/items/TN8CJQ9D"],"itemData":{"id":242,"type":"article-journal","abstract":"Transgenic plants with reduced poly(ADP-ribose) polymerase (PARP) levels have broad-spectrum stress-resistant phenotypes. Both Arabidopsis thaliana and oilseed rape (Brassica napus) lines overexpressing RNA interference-PARP constructs were more resistant to various abiotic stress treatments in laboratory and greenhouse experiments without negative effects on growth, development, and seed production. This outperforming stress tolerance was initially attributed solely to a maintained energy homeostasis due to reduced NAD(+) consumption. We show that in PARP2-deficient Arabidopsis plants, the observed abiotic stress resistance can also be explained by alterations in abscisic acid levels that facilitate the induction of a wide set of defense-related genes.","container-title":"Proceedings of the National Academy of Sciences of the United States of America","DOI":"10.1073/pnas.0706668104","ISSN":"0027-8424","issue":"38","journalAbbreviation":"Proc Natl Acad Sci U S A","language":"eng","note":"PMID: 17823244\nPMCID: PMC1986628","page":"15150-15155","source":"PubMed","title":"Silencing of poly(ADP-ribose) polymerase in plants alters abiotic stress signal transduction","volume":"104","author":[{"family":"Vanderauwera","given":"Sandy"},{"family":"De Block","given":"Marc"},{"family":"Van de Steene","given":"Nancy"},{"family":"Cotte","given":"Brigitte","non-dropping-particle":"van de"},{"family":"Metzlaff","given":"Michael"},{"family":"Van Breusegem","given":"Frank"}],"issued":{"date-parts":[["2007",9,18]]}}}],"schema":"https://github.com/citation-style-language/schema/raw/master/csl-citation.json"} </w:instrText>
      </w:r>
      <w:r w:rsidRPr="00107040">
        <w:rPr>
          <w:sz w:val="28"/>
          <w:szCs w:val="28"/>
          <w:lang w:val="ru-RU"/>
        </w:rPr>
        <w:fldChar w:fldCharType="separate"/>
      </w:r>
      <w:r w:rsidR="008611DC" w:rsidRPr="008611DC">
        <w:rPr>
          <w:sz w:val="28"/>
          <w:lang w:val="ru-RU"/>
        </w:rPr>
        <w:t>[370]</w:t>
      </w:r>
      <w:r w:rsidRPr="00107040">
        <w:rPr>
          <w:sz w:val="28"/>
          <w:szCs w:val="28"/>
          <w:lang w:val="ru-RU"/>
        </w:rPr>
        <w:fldChar w:fldCharType="end"/>
      </w:r>
      <w:r w:rsidRPr="00107040">
        <w:rPr>
          <w:sz w:val="28"/>
          <w:szCs w:val="28"/>
          <w:lang w:val="ru-RU"/>
        </w:rPr>
        <w:t>. Эта молекула синтезируется неизвестной АДФ-рибозоциклазой с использованием НАД</w:t>
      </w:r>
      <w:r w:rsidRPr="00107040">
        <w:rPr>
          <w:sz w:val="28"/>
          <w:szCs w:val="28"/>
          <w:vertAlign w:val="superscript"/>
          <w:lang w:val="ru-RU"/>
        </w:rPr>
        <w:t>+</w:t>
      </w:r>
      <w:r w:rsidRPr="00107040">
        <w:rPr>
          <w:sz w:val="28"/>
          <w:szCs w:val="28"/>
          <w:lang w:val="ru-RU"/>
        </w:rPr>
        <w:t xml:space="preserve"> в качестве субстрата и участвует в АБК-зависимой передаче сигналов стресса, а также в регуляции циркадных часов </w:t>
      </w:r>
      <w:r w:rsidRPr="00107040">
        <w:rPr>
          <w:sz w:val="28"/>
          <w:szCs w:val="28"/>
          <w:lang w:val="ru-RU"/>
        </w:rPr>
        <w:fldChar w:fldCharType="begin"/>
      </w:r>
      <w:r w:rsidR="008611DC">
        <w:rPr>
          <w:sz w:val="28"/>
          <w:szCs w:val="28"/>
          <w:lang w:val="ru-RU"/>
        </w:rPr>
        <w:instrText xml:space="preserve"> ADDIN ZOTERO_ITEM CSL_CITATION {"citationID":"a2p0octeih7","properties":{"formattedCitation":"[32,323,371,372]","plainCitation":"[32,323,371,372]","noteIndex":0},"citationItems":[{"id":1618,"uris":["http://zotero.org/users/9078202/items/EPK4I4YY"],"itemData":{"id":1618,"type":"article-journal","abstract":"The pyridine nucleotides, NAD+, NADH, NADP+, and NADPH have long-established and well-characterised roles as redox factors in processes such as oxidative phosphorylation, the TCA cycle, and as electron acceptors in photosynthesis. Recent years have seen an increase in the number of signalling and gene regulatory processes where NAD+ or NADP+ are metabolised. Cyclic ADP-ribose (cADPR) and nicotinic acid adenine dinucleotide phosphate (NAADP) are metabolites of NAD+ and NADP+, respectively, and now have widely accepted roles as potent intracellular calcium releasing agents in animals, but are less well characterised in plants. NAD kinases catalyse the transfer of a phosphate group from ATP to NAD to form NADP and are well characterised in plants in their requirement for the calcium binding protein calmodulin, thereby putatively linking their regulation to stress-induced intracellular calcium release. A second group of proteins unrelated to those above, the sirtuins (Sir2) and poly ADP-ribose polymerases (PARPs), cleave NAD and transfer the ADP-ribose group to acetyl groups and proteins, respectively. These have roles in transcriptional control and DNA repair in eukaryotes. Contents Summary I. Introduction 32 II. NAD synthesis and breakdown 32 III. cADPR in plants 34 IV. NAADP in plants 35 V. NAD kinases 35 VI. NAD and gene regulation 37 VII. Sir2 is an NAD dependant histone deacetylase 37 VIII. Nicotinamidases 38 IX. Poly ADP-ribosylation 39 X. Poly(ADP-ribose) glycohydrolase (PARG) 40 XI. Subcellular compartmentation of NAD and NADP in plants 41 XII. Conclusions 41 Acknowledgements 41 References 41","container-title":"New Phytologist","DOI":"10.1111/j.1469-8137.2004.01087.x","ISSN":"1469-8137","issue":"1","language":"en","note":"_eprint: https://onlinelibrary.wiley.com/doi/pdf/10.1111/j.1469-8137.2004.01087.x","page":"31-44","source":"Wiley Online Library","title":"NAD – new roles in signalling and gene regulation in plants","URL":"https://onlinelibrary.wiley.com/doi/abs/10.1111/j.1469-8137.2004.01087.x","volume":"163","author":[{"family":"Hunt","given":"Lee"},{"family":"Lerner","given":"Felicitas"},{"family":"Ziegler","given":"Mathias"}],"accessed":{"date-parts":[["2022",9,6]]},"issued":{"date-parts":[["2004"]]}}},{"id":348,"uris":["http://zotero.org/users/9078202/items/MK2LQJHU"],"itemData":{"id":348,"type":"article-journal","abstract":"Since the beginning of the last century, seminal discoveries have identified pyridine nucleotides as the major redox carriers in all organisms. Recent research has unravelled an unexpectedly wide array of signalling pathways that involve nicotinamide adenine dinucleotide (NAD) and its phosphorylated form, NADP. NAD serves as substrate for protein modification including protein deacetylation, and mono- and poly-ADP-ribosylation. Both NAD and NADP represent precursors of intracellular calcium-mobilizing molecules. It is now beyond doubt that NAD(P)-mediated signal transduction does not merely regulate metabolic pathways, but might hold a key position in the control of fundamental cellular processes. The comprehensive molecular characterization of NAD biosynthetic pathways over the past few years has further extended the understanding of the multiple roles of pyridine nucleotides in cell biology.","container-title":"Trends in Biochemical Sciences","DOI":"10.1016/j.tibs.2004.01.007","ISSN":"0968-0004","issue":"3","journalAbbreviation":"Trends Biochem Sci","language":"eng","note":"PMID: 15003268","page":"111-118","source":"PubMed","title":"The new life of a centenarian: signalling functions of NAD(P)","title-short":"The new life of a centenarian","volume":"29","author":[{"family":"Berger","given":"Felicitas"},{"family":"Ramírez-Hernández","given":"María H."},{"family":"Ziegler","given":"Mathias"}],"issued":{"date-parts":[["2004",3]]}}},{"id":1767,"uris":["http://zotero.org/users/9078202/items/WSVGPVT3"],"itemData":{"id":1767,"type":"article-journal","abstract":"Cyclic ADP-ribose (cADPR) was previously shown to activate transient expression of two abscisic acid (ABA)-responsive genes in tomato cells. Here, we show that the activity of the enzyme responsible for cADPR synthesis, ADP-ribosyl (ADPR) cyclase, is rapidly induced by ABA in both wild-type (WT) and abi1-1 mutant Arabidopsis plants in the absence of protein synthesis. Furthermore, in transgenic Arabidopsis plants, induced expression of the Aplysia ADPR cyclase gene resulted in an increase in ADPR cyclase activity and cADPR levels, as well as elevated expression of ABA-responsive genes KIN2, RD22, RD29a, and COR47 (although to a lesser extent than after ABA induction). Genome-wide profiling indicated that about 28% of all ABA-responsive genes in Arabidopsis are similarly up- and downregulated by cADPR and contributed to the identification of new ABA-responsive genes. Our results suggest that activation of ADPR cyclase is an early ABA-signaling event partially insensitive to the abi1-1 mutation and that an increase in cADPR plays an important role in downstream molecular and physiological ABA responses.","container-title":"The Plant Journal","DOI":"10.1111/j.1365-313X.2004.02055.x","ISSN":"1365-313X","issue":"3","language":"en","note":"_eprint: https://onlinelibrary.wiley.com/doi/pdf/10.1111/j.1365-313X.2004.02055.x","page":"381-395","source":"Wiley Online Library","title":"ABA activates ADPR cyclase and cADPR induces a subset of ABA-responsive genes in Arabidopsis","URL":"https://onlinelibrary.wiley.com/doi/abs/10.1111/j.1365-313X.2004.02055.x","volume":"38","author":[{"family":"Sánchez","given":"Juan-Pablo"},{"family":"Duque","given":"Paula"},{"family":"Chua","given":"Nam-Hai"}],"accessed":{"date-parts":[["2022",9,7]]},"issued":{"date-parts":[["2004"]]}}},{"id":1775,"uris":["http://zotero.org/users/9078202/items/MH7IJGMA"],"itemData":{"id":1775,"type":"article-journal","abstract":"Transcriptional feedback loops are a feature of circadian clocks in both animals and plants. We show that the plant circadian clock also incorporates the cytosolic signaling molecule cyclic adenosine diphosphate ribose (cADPR). cADPR modulates the circadian oscillator's transcriptional feedback loop …","container-title":"Science (New York, N.Y.)","DOI":"10.1126/science.1146757","ISSN":"1095-9203","issue":"5857","language":"en","note":"publisher: Science\nPMID: 18084825","source":"pubmed.ncbi.nlm.nih.gov","title":"The Arabidopsis circadian clock incorporates a cADPR-based feedback loop","URL":"https://pubmed.ncbi.nlm.nih.gov/18084825/","volume":"318","author":[{"family":"An","given":"Dodd"},{"family":"Mj","given":"Gardner"},{"family":"Ct","given":"Hotta"},{"family":"Ke","given":"Hubbard"},{"family":"N","given":"Dalchau"},{"family":"J","given":"Love"},{"family":"Jm","given":"Assie"},{"family":"Fc","given":"Robertson"},{"family":"Mk","given":"Jakobsen"},{"family":"J","given":"Gonçalves"},{"family":"D","given":"Sanders"},{"family":"Aa","given":"Webb"}],"accessed":{"date-parts":[["2022",9,7]]},"issued":{"date-parts":[["2007",12,14]]}}}],"schema":"https://github.com/citation-style-language/schema/raw/master/csl-citation.json"} </w:instrText>
      </w:r>
      <w:r w:rsidRPr="00107040">
        <w:rPr>
          <w:sz w:val="28"/>
          <w:szCs w:val="28"/>
          <w:lang w:val="ru-RU"/>
        </w:rPr>
        <w:fldChar w:fldCharType="separate"/>
      </w:r>
      <w:r w:rsidR="008611DC" w:rsidRPr="008611DC">
        <w:rPr>
          <w:sz w:val="28"/>
          <w:lang w:val="ru-RU"/>
        </w:rPr>
        <w:t>[32,323,371,372]</w:t>
      </w:r>
      <w:r w:rsidRPr="00107040">
        <w:rPr>
          <w:sz w:val="28"/>
          <w:szCs w:val="28"/>
          <w:lang w:val="ru-RU"/>
        </w:rPr>
        <w:fldChar w:fldCharType="end"/>
      </w:r>
      <w:r w:rsidRPr="00107040">
        <w:rPr>
          <w:sz w:val="28"/>
          <w:szCs w:val="28"/>
          <w:lang w:val="ru-RU"/>
        </w:rPr>
        <w:t>.</w:t>
      </w:r>
      <w:r w:rsidRPr="00107040">
        <w:rPr>
          <w:sz w:val="28"/>
          <w:szCs w:val="28"/>
          <w:lang w:val="kk-KZ"/>
        </w:rPr>
        <w:t xml:space="preserve"> цАДФР запускает высвобождение Ca</w:t>
      </w:r>
      <w:r w:rsidRPr="00107040">
        <w:rPr>
          <w:sz w:val="28"/>
          <w:szCs w:val="28"/>
          <w:vertAlign w:val="superscript"/>
          <w:lang w:val="kk-KZ"/>
        </w:rPr>
        <w:t>2+</w:t>
      </w:r>
      <w:r w:rsidRPr="00107040">
        <w:rPr>
          <w:sz w:val="28"/>
          <w:szCs w:val="28"/>
          <w:lang w:val="kk-KZ"/>
        </w:rPr>
        <w:t xml:space="preserve"> из внутренних хранилищ, что индуцирует выработку АБК и, следовательно, экспрессию гена, чувствительного к АБК. Было высказано предположение, что сохранение пула НАД</w:t>
      </w:r>
      <w:r w:rsidRPr="00107040">
        <w:rPr>
          <w:sz w:val="28"/>
          <w:szCs w:val="28"/>
          <w:vertAlign w:val="superscript"/>
          <w:lang w:val="kk-KZ"/>
        </w:rPr>
        <w:t>+</w:t>
      </w:r>
      <w:r w:rsidRPr="00107040">
        <w:rPr>
          <w:sz w:val="28"/>
          <w:szCs w:val="28"/>
          <w:lang w:val="kk-KZ"/>
        </w:rPr>
        <w:t xml:space="preserve"> за счет снижения экспрессии AtPARP1 способствует синтезу цАДФР, тем самым обеспечивая повышенную стрессоустойчивость. Хотя синтез цАДФР, его активность в качестве вторичного мессенджера, высвобождающего Са</w:t>
      </w:r>
      <w:r w:rsidRPr="00107040">
        <w:rPr>
          <w:sz w:val="28"/>
          <w:szCs w:val="28"/>
          <w:vertAlign w:val="superscript"/>
          <w:lang w:val="kk-KZ"/>
        </w:rPr>
        <w:t>2+</w:t>
      </w:r>
      <w:r w:rsidRPr="00107040">
        <w:rPr>
          <w:sz w:val="28"/>
          <w:szCs w:val="28"/>
          <w:lang w:val="kk-KZ"/>
        </w:rPr>
        <w:t xml:space="preserve">, и его участие в передаче сигналов АБК и оксида азота были индивидуально продемонстрированы у растений </w:t>
      </w:r>
      <w:r w:rsidRPr="00107040">
        <w:rPr>
          <w:sz w:val="28"/>
          <w:szCs w:val="28"/>
          <w:lang w:val="kk-KZ"/>
        </w:rPr>
        <w:fldChar w:fldCharType="begin"/>
      </w:r>
      <w:r w:rsidR="008611DC">
        <w:rPr>
          <w:sz w:val="28"/>
          <w:szCs w:val="28"/>
          <w:lang w:val="kk-KZ"/>
        </w:rPr>
        <w:instrText xml:space="preserve"> ADDIN ZOTERO_ITEM CSL_CITATION {"citationID":"cXLHeYL1","properties":{"unsorted":true,"formattedCitation":"[372\\uc0\\u8211{}376]","plainCitation":"[372–376]","noteIndex":0},"citationItems":[{"id":1775,"uris":["http://zotero.org/users/9078202/items/MH7IJGMA"],"itemData":{"id":1775,"type":"article-journal","abstract":"Transcriptional feedback loops are a feature of circadian clocks in both animals and plants. We show that the plant circadian clock also incorporates the cytosolic signaling molecule cyclic adenosine diphosphate ribose (cADPR). cADPR modulates the circadian oscillator's transcriptional feedback loop …","container-title":"Science (New York, N.Y.)","DOI":"10.1126/science.1146757","ISSN":"1095-9203","issue":"5857","language":"en","note":"publisher: Science\nPMID: 18084825","source":"pubmed.ncbi.nlm.nih.gov","title":"The Arabidopsis circadian clock incorporates a cADPR-based feedback loop","URL":"https://pubmed.ncbi.nlm.nih.gov/18084825/","volume":"318","author":[{"family":"An","given":"Dodd"},{"family":"Mj","given":"Gardner"},{"family":"Ct","given":"Hotta"},{"family":"Ke","given":"Hubbard"},{"family":"N","given":"Dalchau"},{"family":"J","given":"Love"},{"family":"Jm","given":"Assie"},{"family":"Fc","given":"Robertson"},{"family":"Mk","given":"Jakobsen"},{"family":"J","given":"Gonçalves"},{"family":"D","given":"Sanders"},{"family":"Aa","given":"Webb"}],"accessed":{"date-parts":[["2022",9,7]]},"issued":{"date-parts":[["2007",12,14]]}}},{"id":1782,"uris":["http://zotero.org/users/9078202/items/PZUVLBTL"],"itemData":{"id":1782,"type":"article-journal","abstract":"Cyclic ADP ribose (cADPR) is a Ca(2+)-mobilizing intracellular second messenger synthesized from NAD by ADP-ribosyl cyclases (ADPR cyclases). In animals, cADPR targets the ryanodine receptor present in the sarcoplasmic/endoplasmic reticulum to promote Ca(2+) release from intracellular stores to increase the concentration of cytosolic free Ca(2+) in Arabidopsis (Arabidopsis thaliana), and cADPR has been proposed to play a central role in signal transduction pathways evoked by the drought and stress hormone, abscisic acid, and the circadian clock. Despite evidence for the action of cADPR in Arabidopsis, no predicted proteins with significant similarity to the known ADPR cyclases have been reported in any plant genome database, suggesting either that there is a unique route for cADPR synthesis or that a homolog of ADPR cyclase with low similarity might exist in plants. We sought to determine whether the low levels of ADPR cyclase activity reported in Arabidopsis are indicative of a bona fide activity that can be associated with the regulation of Ca(2+) signaling. We adapted two different fluorescence-based assays to measure ADPR cyclase activity in Arabidopsis and found that this activity has the characteristics of a nucleotide cyclase that is activated by nitric oxide to increase cADPR and mobilize Ca(2.)","container-title":"Plant Physiology","DOI":"10.1104/pp.15.01965","ISSN":"1532-2548","issue":"1","journalAbbreviation":"Plant Physiol","language":"eng","note":"PMID: 26932235\nPMCID: PMC4854697","page":"623-631","source":"PubMed","title":"NO-Mediated [Ca2+]cyt Increases Depend on ADP-Ribosyl Cyclase Activity in Arabidopsis","volume":"171","author":[{"family":"Abdul-Awal","given":"S. M."},{"family":"Hotta","given":"Carlos T."},{"family":"Davey","given":"Matthew P."},{"family":"Dodd","given":"Antony N."},{"family":"Smith","given":"Alison G."},{"family":"Webb","given":"Alex A. R."}],"issued":{"date-parts":[["2016",5]]}}},{"id":1785,"uris":["http://zotero.org/users/9078202/items/SDH4HJG7"],"itemData":{"id":1785,"type":"article-journal","abstract":"Abscisic acid (ABA) is a plant hormone involved in the response of plants to reduced water availability. Reduction of guard cell turgor by ABA diminishes the aperture of the stomatal pore and thereby contributes to the ability of the plant to conserve water during periods of drought. Previous work has demonstrated that cytosolic Ca2+ is involved in the signal transduction pathway that mediates the reduction in guard cell turgor elicited by ABA. Here we report that ABA uses a Ca2+-mobilization pathway that involves cyclic adenosine 5'-diphosphoribose (cADPR). Microinjection of cADPR into guard cells caused reductions in turgor that were preceded by increases in the concentration of free Ca2+ in the cytosol. Patch clamp measurements of isolated guard cell vacuoles revealed the presence of a cADPR-elicited Ca2+-selective current that was inhibited at cytosolic Ca2+ &gt;/= 600 nM. Furthermore, microinjection of the cADPR antagonist 8-NH2-cADPR caused a reduction in the rate of turgor loss in response to ABA in 54% of cells tested, and nicotinamide, an antagonist of cADPR production, elicited a dose-dependent block of ABA-induced stomatal closure. Our data provide definitive evidence for a physiological role for cADPR and illustrate one mechanism of stimulus-specific Ca2+ mobilization in higher plants. Taken together with other recent data [Wu, Y., Kuzma, J., Marechal, E., Graeff, R., Lee, H. C., Foster, R. &amp; Chua, N.-H. (1997) Science 278, 2126-2130], these results establish cADPR as a key player in ABA signal transduction pathways in plants.","container-title":"Proceedings of the National Academy of Sciences of the United States of America","DOI":"10.1073/pnas.95.26.15837","ISSN":"0027-8424","issue":"26","journalAbbreviation":"Proc Natl Acad Sci U S A","language":"eng","note":"PMID: 9861057\nPMCID: PMC28131","page":"15837-15842","source":"PubMed","title":"Abscisic acid-induced stomatal closure mediated by cyclic ADP-ribose","volume":"95","author":[{"family":"Leckie","given":"C. P."},{"family":"McAinsh","given":"M. R."},{"family":"Allen","given":"G. J."},{"family":"Sanders","given":"D."},{"family":"Hetherington","given":"A. M."}],"issued":{"date-parts":[["1998",12,22]]}}},{"id":1924,"uris":["http://zotero.org/users/9078202/items/V28TBZP3"],"itemData":{"id":1924,"type":"article-journal","abstract":"Abscisic acid (ABA) is the primary hormone that mediates plant responses to stresses such as cold, drought, and salinity. Single-cell microinjection experiments in tomato were used to identify possible intermediates involved in ABA signal transduction. Cyclic ADP-ribose (cADPR) was identified as a signaling molecule in the ABA response and was shown to exert its effects by way of calcium. Bioassay experiments showed that the amounts of cADPR in Arabidopsis thaliana plants increased in response to ABA treatment and before ABA-induced gene expression.","container-title":"Science (New York, N.Y.)","DOI":"10.1126/science.278.5346.2126","ISSN":"0036-8075","issue":"5346","journalAbbreviation":"Science","language":"eng","note":"PMID: 9405349","page":"2126-2130","source":"PubMed","title":"Abscisic acid signaling through cyclic ADP-ribose in plants","volume":"278","author":[{"family":"Wu","given":"Y."},{"family":"Kuzma","given":"J."},{"family":"Maréchal","given":"E."},{"family":"Graeff","given":"R."},{"family":"Lee","given":"H. C."},{"family":"Foster","given":"R."},{"family":"Chua","given":"N. H."}],"issued":{"date-parts":[["1997",12,19]]}}},{"id":1926,"uris":["http://zotero.org/users/9078202/items/63VSYJNB"],"itemData":{"id":1926,"type":"article-journal","abstract":"Calcium mobilization from intracellular pools couples many stimuli to responses in plant cells. Cyclic adenosine 5'-diphosphoribose (cADPR), which interacts with a ryanodine receptor in certain animal cells, was shown to elicit calcium release at the vacuolar membrane of beet storage root. The vacuolar calcium release pathway showed similarities to cADPR-gated calcium release in animal cells, including inhibition by ruthenium red, ryanodine activation, and high affinity for cADPR [Michaelis constant (Km) = 24 +/- 7 nanomolar]. Analysis by patch-clamping demonstrated that the cADPR-gated pathway in beet is voltage-dependent over the physiological range, does not spontaneously desensitize, and is colocalized with an inositol 1,4,5-trisphosphate (InsP3)-gated calcium release pathway in individual vacuoles.","container-title":"Science (New York, N.Y.)","DOI":"10.1126/science.7732384","ISSN":"0036-8075","issue":"5211","journalAbbreviation":"Science","language":"eng","note":"PMID: 7732384","page":"735-737","source":"PubMed","title":"Release of Ca2+ from individual plant vacuoles by both InsP3 and cyclic ADP-ribose","volume":"268","author":[{"family":"Allen","given":"G. J."},{"family":"Muir","given":"S. R."},{"family":"Sanders","given":"D."}],"issued":{"date-parts":[["1995",5,5]]}}}],"schema":"https://github.com/citation-style-language/schema/raw/master/csl-citation.json"} </w:instrText>
      </w:r>
      <w:r w:rsidRPr="00107040">
        <w:rPr>
          <w:sz w:val="28"/>
          <w:szCs w:val="28"/>
          <w:lang w:val="kk-KZ"/>
        </w:rPr>
        <w:fldChar w:fldCharType="separate"/>
      </w:r>
      <w:r w:rsidR="008611DC" w:rsidRPr="008611DC">
        <w:rPr>
          <w:sz w:val="28"/>
          <w:lang w:val="ru-RU"/>
        </w:rPr>
        <w:t>[372–376]</w:t>
      </w:r>
      <w:r w:rsidRPr="00107040">
        <w:rPr>
          <w:sz w:val="28"/>
          <w:szCs w:val="28"/>
          <w:lang w:val="kk-KZ"/>
        </w:rPr>
        <w:fldChar w:fldCharType="end"/>
      </w:r>
      <w:r w:rsidRPr="00107040">
        <w:rPr>
          <w:sz w:val="28"/>
          <w:szCs w:val="28"/>
          <w:lang w:val="kk-KZ"/>
        </w:rPr>
        <w:t>, лежащие в их основе молекулярные механизмы остаются в значительной степени неясными, поскольку в высших растениях отсутствуют присущие животным АДФ-рибозоциклазы и активируемые цАДФР, Ca</w:t>
      </w:r>
      <w:r w:rsidRPr="00107040">
        <w:rPr>
          <w:sz w:val="28"/>
          <w:szCs w:val="28"/>
          <w:vertAlign w:val="superscript"/>
          <w:lang w:val="kk-KZ"/>
        </w:rPr>
        <w:t>2+</w:t>
      </w:r>
      <w:r w:rsidRPr="00107040">
        <w:rPr>
          <w:sz w:val="28"/>
          <w:szCs w:val="28"/>
          <w:lang w:val="kk-KZ"/>
        </w:rPr>
        <w:t xml:space="preserve">-каналы (например, рианодиновые рецепторы) </w:t>
      </w:r>
      <w:r w:rsidRPr="00107040">
        <w:rPr>
          <w:sz w:val="28"/>
          <w:szCs w:val="28"/>
          <w:lang w:val="kk-KZ"/>
        </w:rPr>
        <w:fldChar w:fldCharType="begin"/>
      </w:r>
      <w:r w:rsidR="008611DC">
        <w:rPr>
          <w:sz w:val="28"/>
          <w:szCs w:val="28"/>
          <w:lang w:val="kk-KZ"/>
        </w:rPr>
        <w:instrText xml:space="preserve"> ADDIN ZOTERO_ITEM CSL_CITATION {"citationID":"a67pnn8lvi","properties":{"formattedCitation":"[377]","plainCitation":"[377]","noteIndex":0},"citationItems":[{"id":1788,"uris":["http://zotero.org/users/9078202/items/HNSH7VMN"],"itemData":{"id":1788,"type":"article-journal","abstract":"This review portrays the plant vacuole as both a source and a target of Ca(2+) signals. In plants, the vacuole represents a Ca(2+) store of enormous size and capacity. Total and free Ca(2+) concentrations in the vacuole vary with plant species, cell type, and environment, which is likely to have an impact on vacuolar function and the release of vacuolar Ca(2+). It is known that cytosolic Ca(2+) signals are often generated by release of the ion from internal stores, but in very few cases has a role of the vacuole been directly demonstrated. Biochemical and electrophysical studies have provided evidence for the operation of ligand- and voltage-gated Ca(2+)-permeable channels in the vacuolar membrane. The underlying molecular mechanisms are largely unknown with one exception: the slow vacuolar channel, encoded by TPC1, is the only vacuolar Ca(2+)-permeable channel cloned to date. However, due to its complex regulation and its low selectivity amongst cations, the role of this channel in Ca(2+) signalling is still debated. Many transport proteins at the vacuolar membrane are also targets of Ca(2+) signals, both by direct binding of Ca(2+) and by Ca(2+)-dependent phosphorylation. This enables the operation of feedback mechanisms and integrates vacuolar transport systems in the wider signalling network of the plant cell.","container-title":"Cell Calcium","DOI":"10.1016/j.ceca.2011.02.002","ISSN":"1532-1991","issue":"2","journalAbbreviation":"Cell Calcium","language":"eng","note":"PMID: 21376393","page":"120-128","source":"PubMed","title":"The plant vacuole: emitter and receiver of calcium signals","title-short":"The plant vacuole","volume":"50","author":[{"family":"Peiter","given":"Edgar"}],"issued":{"date-parts":[["2011",8]]}}}],"schema":"https://github.com/citation-style-language/schema/raw/master/csl-citation.json"} </w:instrText>
      </w:r>
      <w:r w:rsidRPr="00107040">
        <w:rPr>
          <w:sz w:val="28"/>
          <w:szCs w:val="28"/>
          <w:lang w:val="kk-KZ"/>
        </w:rPr>
        <w:fldChar w:fldCharType="separate"/>
      </w:r>
      <w:r w:rsidR="008611DC" w:rsidRPr="008611DC">
        <w:rPr>
          <w:sz w:val="28"/>
          <w:lang w:val="ru-RU"/>
        </w:rPr>
        <w:t>[377]</w:t>
      </w:r>
      <w:r w:rsidRPr="00107040">
        <w:rPr>
          <w:sz w:val="28"/>
          <w:szCs w:val="28"/>
          <w:lang w:val="kk-KZ"/>
        </w:rPr>
        <w:fldChar w:fldCharType="end"/>
      </w:r>
      <w:r w:rsidRPr="00107040">
        <w:rPr>
          <w:sz w:val="28"/>
          <w:szCs w:val="28"/>
          <w:lang w:val="kk-KZ"/>
        </w:rPr>
        <w:t xml:space="preserve">. Поэтому проверка этой гипотезы представляет собой сложную задачу. </w:t>
      </w:r>
    </w:p>
    <w:p w14:paraId="2CC7EC96" w14:textId="47234FD0"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lastRenderedPageBreak/>
        <w:t xml:space="preserve">Представление о PARP растений как важных негативных факторах устойчивости к абиотическому стрессу было оспорено недавно опубликованным исследованием, в котором рост мутантов </w:t>
      </w:r>
      <w:r w:rsidRPr="00107040">
        <w:rPr>
          <w:i/>
          <w:sz w:val="28"/>
          <w:szCs w:val="28"/>
          <w:lang w:val="ru-RU"/>
        </w:rPr>
        <w:t>Arabidopsis</w:t>
      </w:r>
      <w:r w:rsidRPr="00107040">
        <w:rPr>
          <w:sz w:val="28"/>
          <w:szCs w:val="28"/>
          <w:lang w:val="ru-RU"/>
        </w:rPr>
        <w:t xml:space="preserve"> с одинарным, двойным и тройным нокаутом по всем трем генам AtPARP не изменился по сравнению с диким типом при воздействии высыхания, солевого, осмотического или окислительного стресса </w:t>
      </w:r>
      <w:r w:rsidRPr="00107040">
        <w:rPr>
          <w:sz w:val="28"/>
          <w:szCs w:val="28"/>
          <w:lang w:val="ru-RU"/>
        </w:rPr>
        <w:fldChar w:fldCharType="begin"/>
      </w:r>
      <w:r w:rsidR="008611DC">
        <w:rPr>
          <w:sz w:val="28"/>
          <w:szCs w:val="28"/>
          <w:lang w:val="ru-RU"/>
        </w:rPr>
        <w:instrText xml:space="preserve"> ADDIN ZOTERO_ITEM CSL_CITATION {"citationID":"aqun9nhkpk","properties":{"formattedCitation":"[327]","plainCitation":"[327]","noteIndex":0},"citationItems":[{"id":1631,"uris":["http://zotero.org/users/9078202/items/YIIMG6YR"],"itemData":{"id":1631,"type":"article-journal","abstract":"Abiotic and biotic stress can have a detrimental impact on plant growth and productivity. Hence, there is a substantial demand for key factors of stress responses to improve yield stability of crops. Members of the poly(ADP-ribose)polymerase (PARP) protein family, which post-translationally modify (PARylate) nuclear proteins, have been suggested as such universal determinants of plant stress responses. A role under abiotic stress has been inferred from studies in which a genetic or, more commonly, pharmacological inhibition of PARP activity improved the performance of stressed plants. To further elucidate the role of PARP proteins under stress, T-DNA knockout mutants for the three Arabidopsis thaliana PARP genes were subjected to drought, osmotic, salt, and oxidative stress. To exclude a functional redundancy, which was indicated by a transcriptional upregulation of the remaining parp genes, a parp triple mutant was generated. Surprisingly, parp mutant plants did not differ from wild type plants in any of these stress experiments, independent from the number of PARP genes mutated. The parp triple mutant was also analyzed for callose formation in response to the pathogenassociated molecular pattern flg22. Unexpectedly, callose formation was unaltered in the mutant, albeit pharmacological PARP inhibition robustly blocked this immune response, confirming previous reports. Evidently, pharmacological inhibition appears to be more robust than the abolition of all PARP genes, indicating the presence of so-far undescribed proteins with PARP activity. This was supported by the finding that protein PARylation was not absent, but even increased in the parp triple mutant. Candidates for novel PARP-inhibitor targets may be found in the SRO protein family. These proteins harbor a catalytic PARP-like domain and are centrally involved in stress responses. Molecular modeling analyses, employing animal PARPs as templates, indeed indicated a capability of the SRO proteins RCD1 and SRO1 to bind nicotinamide-derived inhibitors. Collectively, the results of our study suggest that the stress-related phenotypes of parp mutants are highly conditional, and they call for a reconsideration of PARP inhibitor studies. In the context of this study, we also propose a unifying nomenclature of PARP genes and parp mutants, which is currently highly inconsistent and redundant.","container-title":"Frontiers in Plant Science","DOI":"10.3389/fpls.2017.00059","ISSN":"1664-462X","journalAbbreviation":"Front Plant Sci","language":"eng","note":"PMID: 28220129\nPMCID: PMC5292411","page":"59","source":"PubMed","title":"No Silver Bullet - Canonical Poly(ADP-Ribose) Polymerases (PARPs) Are No Universal Factors of Abiotic and Biotic Stress Resistance of Arabidopsis thaliana","volume":"8","author":[{"family":"Rissel","given":"Dagmar"},{"family":"Heym","given":"Peter P."},{"family":"Thor","given":"Kathrin"},{"family":"Brandt","given":"Wolfgang"},{"family":"Wessjohann","given":"Ludger A."},{"family":"Peiter","given":"Edgar"}],"issued":{"date-parts":[["2017"]]}}}],"schema":"https://github.com/citation-style-language/schema/raw/master/csl-citation.json"} </w:instrText>
      </w:r>
      <w:r w:rsidRPr="00107040">
        <w:rPr>
          <w:sz w:val="28"/>
          <w:szCs w:val="28"/>
          <w:lang w:val="ru-RU"/>
        </w:rPr>
        <w:fldChar w:fldCharType="separate"/>
      </w:r>
      <w:r w:rsidR="008611DC" w:rsidRPr="008611DC">
        <w:rPr>
          <w:sz w:val="28"/>
          <w:lang w:val="ru-RU"/>
        </w:rPr>
        <w:t>[327]</w:t>
      </w:r>
      <w:r w:rsidRPr="00107040">
        <w:rPr>
          <w:sz w:val="28"/>
          <w:szCs w:val="28"/>
          <w:lang w:val="ru-RU"/>
        </w:rPr>
        <w:fldChar w:fldCharType="end"/>
      </w:r>
      <w:r w:rsidRPr="00107040">
        <w:rPr>
          <w:sz w:val="28"/>
          <w:szCs w:val="28"/>
          <w:lang w:val="ru-RU"/>
        </w:rPr>
        <w:t xml:space="preserve">. Эти противоположные результаты приводят к выводу, что фенотип повышенной стрессоустойчивости является условным. Условные фенотипы часто встречаются у мутантов с потерей функции, поскольку растения развили много адаптивных черт, которые позволяют им справляться с изменениями в окружающей среде </w:t>
      </w:r>
      <w:r w:rsidRPr="00107040">
        <w:rPr>
          <w:sz w:val="28"/>
          <w:szCs w:val="28"/>
          <w:lang w:val="ru-RU"/>
        </w:rPr>
        <w:fldChar w:fldCharType="begin"/>
      </w:r>
      <w:r w:rsidR="008611DC">
        <w:rPr>
          <w:sz w:val="28"/>
          <w:szCs w:val="28"/>
          <w:lang w:val="ru-RU"/>
        </w:rPr>
        <w:instrText xml:space="preserve"> ADDIN ZOTERO_ITEM CSL_CITATION {"citationID":"aajupr1754","properties":{"formattedCitation":"[378]","plainCitation":"[378]","noteIndex":0},"citationItems":[{"id":1790,"uris":["http://zotero.org/users/9078202/items/B954M744"],"itemData":{"id":1790,"type":"article-journal","abstract":"Gene knockout is considered to be a major component of the functional genomics toolbox, and is aimed at revealing the function of genes discovered through large-scale sequencing programs. In the past few years, several Arabidopsis populations mutagenized with insertion elements, such as the T-DNA of Agrobacterium or transposons, have been produced. These large populations are routinely screened for insertions into specific genes, allowing mass-isolation of knockout lines. Although many Arabidopsis knockouts have already been obtained, few of them have been reported to present informative phenotypes that provide a direct clue to gene function. Although functional redundancy explains the lack of phenotypical alterations in some cases, it also appears that many mutations are conditional and/or do not alter plant morphology even in the presence of severe physiological defects. Consequently, gene knockout per se is not sufficient to assess gene function and must be integrated into a more global approach for determining biological functions.","container-title":"Current Opinion in Plant Biology","DOI":"10.1016/S1369-5266(00)00145-X","ISSN":"1369-5266","issue":"2","journalAbbreviation":"Current Opinion in Plant Biology","language":"en","page":"111-117","source":"ScienceDirect","title":"Arabidopsis gene knockout: phenotypes wanted","title-short":"Arabidopsis gene knockout","URL":"https://www.sciencedirect.com/science/article/pii/S136952660000145X","volume":"4","author":[{"family":"Bouché","given":"Nicolas"},{"family":"Bouchez","given":"David"}],"accessed":{"date-parts":[["2022",9,7]]},"issued":{"date-parts":[["2001",4,1]]}}}],"schema":"https://github.com/citation-style-language/schema/raw/master/csl-citation.json"} </w:instrText>
      </w:r>
      <w:r w:rsidRPr="00107040">
        <w:rPr>
          <w:sz w:val="28"/>
          <w:szCs w:val="28"/>
          <w:lang w:val="ru-RU"/>
        </w:rPr>
        <w:fldChar w:fldCharType="separate"/>
      </w:r>
      <w:r w:rsidR="008611DC" w:rsidRPr="008611DC">
        <w:rPr>
          <w:sz w:val="28"/>
          <w:lang w:val="ru-RU"/>
        </w:rPr>
        <w:t>[378]</w:t>
      </w:r>
      <w:r w:rsidRPr="00107040">
        <w:rPr>
          <w:sz w:val="28"/>
          <w:szCs w:val="28"/>
          <w:lang w:val="ru-RU"/>
        </w:rPr>
        <w:fldChar w:fldCharType="end"/>
      </w:r>
      <w:r w:rsidRPr="00107040">
        <w:rPr>
          <w:sz w:val="28"/>
          <w:szCs w:val="28"/>
          <w:lang w:val="ru-RU"/>
        </w:rPr>
        <w:t xml:space="preserve">. Факторами, определяющими условные фенотипы, могут быть свет, температура и состояние питания, и между ними возможны взаимодействия </w:t>
      </w:r>
      <w:r w:rsidRPr="00107040">
        <w:rPr>
          <w:sz w:val="28"/>
          <w:szCs w:val="28"/>
          <w:lang w:val="ru-RU"/>
        </w:rPr>
        <w:fldChar w:fldCharType="begin"/>
      </w:r>
      <w:r w:rsidR="008611DC">
        <w:rPr>
          <w:sz w:val="28"/>
          <w:szCs w:val="28"/>
          <w:lang w:val="ru-RU"/>
        </w:rPr>
        <w:instrText xml:space="preserve"> ADDIN ZOTERO_ITEM CSL_CITATION {"citationID":"aub3vo4usv","properties":{"formattedCitation":"[378]","plainCitation":"[378]","noteIndex":0},"citationItems":[{"id":1790,"uris":["http://zotero.org/users/9078202/items/B954M744"],"itemData":{"id":1790,"type":"article-journal","abstract":"Gene knockout is considered to be a major component of the functional genomics toolbox, and is aimed at revealing the function of genes discovered through large-scale sequencing programs. In the past few years, several Arabidopsis populations mutagenized with insertion elements, such as the T-DNA of Agrobacterium or transposons, have been produced. These large populations are routinely screened for insertions into specific genes, allowing mass-isolation of knockout lines. Although many Arabidopsis knockouts have already been obtained, few of them have been reported to present informative phenotypes that provide a direct clue to gene function. Although functional redundancy explains the lack of phenotypical alterations in some cases, it also appears that many mutations are conditional and/or do not alter plant morphology even in the presence of severe physiological defects. Consequently, gene knockout per se is not sufficient to assess gene function and must be integrated into a more global approach for determining biological functions.","container-title":"Current Opinion in Plant Biology","DOI":"10.1016/S1369-5266(00)00145-X","ISSN":"1369-5266","issue":"2","journalAbbreviation":"Current Opinion in Plant Biology","language":"en","page":"111-117","source":"ScienceDirect","title":"Arabidopsis gene knockout: phenotypes wanted","title-short":"Arabidopsis gene knockout","URL":"https://www.sciencedirect.com/science/article/pii/S136952660000145X","volume":"4","author":[{"family":"Bouché","given":"Nicolas"},{"family":"Bouchez","given":"David"}],"accessed":{"date-parts":[["2022",9,7]]},"issued":{"date-parts":[["2001",4,1]]}}}],"schema":"https://github.com/citation-style-language/schema/raw/master/csl-citation.json"} </w:instrText>
      </w:r>
      <w:r w:rsidRPr="00107040">
        <w:rPr>
          <w:sz w:val="28"/>
          <w:szCs w:val="28"/>
          <w:lang w:val="ru-RU"/>
        </w:rPr>
        <w:fldChar w:fldCharType="separate"/>
      </w:r>
      <w:r w:rsidR="008611DC" w:rsidRPr="008611DC">
        <w:rPr>
          <w:sz w:val="28"/>
          <w:lang w:val="ru-RU"/>
        </w:rPr>
        <w:t>[378]</w:t>
      </w:r>
      <w:r w:rsidRPr="00107040">
        <w:rPr>
          <w:sz w:val="28"/>
          <w:szCs w:val="28"/>
          <w:lang w:val="ru-RU"/>
        </w:rPr>
        <w:fldChar w:fldCharType="end"/>
      </w:r>
      <w:r w:rsidRPr="00107040">
        <w:rPr>
          <w:sz w:val="28"/>
          <w:szCs w:val="28"/>
          <w:lang w:val="ru-RU"/>
        </w:rPr>
        <w:t>. Соответственно, у мутантов с потерей функции было описано большое количество условных фенотипов, которые влияют на все аспекты развития растений</w:t>
      </w:r>
      <w:r w:rsidR="00CA7043">
        <w:rPr>
          <w:sz w:val="28"/>
          <w:szCs w:val="28"/>
          <w:lang w:val="ru-RU"/>
        </w:rPr>
        <w:t xml:space="preserve"> </w:t>
      </w:r>
      <w:r w:rsidR="00CA7043">
        <w:rPr>
          <w:sz w:val="28"/>
          <w:szCs w:val="28"/>
          <w:lang w:val="ru-RU"/>
        </w:rPr>
        <w:fldChar w:fldCharType="begin"/>
      </w:r>
      <w:r w:rsidR="008611DC">
        <w:rPr>
          <w:sz w:val="28"/>
          <w:szCs w:val="28"/>
          <w:lang w:val="ru-RU"/>
        </w:rPr>
        <w:instrText xml:space="preserve"> ADDIN ZOTERO_ITEM CSL_CITATION {"citationID":"uH69pX94","properties":{"formattedCitation":"[379]","plainCitation":"[379]","noteIndex":0},"citationItems":[{"id":1921,"uris":["http://zotero.org/users/9078202/items/RERIGWWD"],"itemData":{"id":1921,"type":"article-journal","abstract":"Despite the widespread use of Arabidopsis (Arabidopsis thaliana) as a model plant, a curated dataset of Arabidopsis genes with mutant phenotypes remains to be established. A preliminary list published nine years ago in Plant Physiology is outdated, and genome-wide phenotype information remains difficult to obtain. We describe here a comprehensive dataset of 2,400 genes with a loss-of-function mutant phenotype in Arabidopsis. Phenotype descriptions were gathered primarily from manual curation of the scientific literature. Genes were placed into prioritized groups (essential, morphological, cellular-biochemical, and conditional) based on the documented phenotypes of putative knockout alleles. Phenotype classes (e.g. vegetative, reproductive, and timing, for the morphological group) and subsets (e.g. flowering time, senescence, circadian rhythms, and miscellaneous, for the timing class) were also established. Gene identities were classified as confirmed (through molecular complementation or multiple alleles) or not confirmed. Relationships between mutant phenotype and protein function, genetic redundancy, protein connectivity, and subcellular protein localization were explored. A complementary dataset of 401 genes that exhibit a mutant phenotype only when disrupted in combination with a putative paralog was also compiled. The importance of these genes in confirming functional redundancy and enhancing the value of single gene datasets is discussed. With further input and curation from the Arabidopsis community, these datasets should help to address a variety of important biological questions, provide a foundation for exploring the relationship between genotype and phenotype in angiosperms, enhance the utility of Arabidopsis as a reference plant, and facilitate comparative studies with model genetic organisms.","container-title":"Plant Physiology","DOI":"10.1104/pp.111.192393","ISSN":"1532-2548","issue":"3","journalAbbreviation":"Plant Physiol","language":"eng","note":"PMID: 22247268\nPMCID: PMC3291275","page":"1115-1129","source":"PubMed","title":"A comprehensive dataset of genes with a loss-of-function mutant phenotype in Arabidopsis","volume":"158","author":[{"family":"Lloyd","given":"Johnny"},{"family":"Meinke","given":"David"}],"issued":{"date-parts":[["2012",3]]}}}],"schema":"https://github.com/citation-style-language/schema/raw/master/csl-citation.json"} </w:instrText>
      </w:r>
      <w:r w:rsidR="00CA7043">
        <w:rPr>
          <w:sz w:val="28"/>
          <w:szCs w:val="28"/>
          <w:lang w:val="ru-RU"/>
        </w:rPr>
        <w:fldChar w:fldCharType="separate"/>
      </w:r>
      <w:r w:rsidR="008611DC" w:rsidRPr="008611DC">
        <w:rPr>
          <w:sz w:val="28"/>
          <w:lang w:val="ru-RU"/>
        </w:rPr>
        <w:t>[379]</w:t>
      </w:r>
      <w:r w:rsidR="00CA7043">
        <w:rPr>
          <w:sz w:val="28"/>
          <w:szCs w:val="28"/>
          <w:lang w:val="ru-RU"/>
        </w:rPr>
        <w:fldChar w:fldCharType="end"/>
      </w:r>
      <w:r w:rsidRPr="00107040">
        <w:rPr>
          <w:sz w:val="28"/>
          <w:szCs w:val="28"/>
          <w:lang w:val="ru-RU"/>
        </w:rPr>
        <w:t xml:space="preserve">. Например, мутант </w:t>
      </w:r>
      <w:r w:rsidRPr="00107040">
        <w:rPr>
          <w:i/>
          <w:sz w:val="28"/>
          <w:szCs w:val="28"/>
          <w:lang w:val="ru-RU"/>
        </w:rPr>
        <w:t>quill</w:t>
      </w:r>
      <w:r w:rsidRPr="00107040">
        <w:rPr>
          <w:sz w:val="28"/>
          <w:szCs w:val="28"/>
          <w:lang w:val="ru-RU"/>
        </w:rPr>
        <w:t xml:space="preserve"> с условным расширением корней демонстрирует аналогичный рост корней, как у дикого типа, на 0,5% сахарозе, но резко сниженный рост корней на 4,5% сахарозной среде. В этих условиях рост корней растений дикого типа даже выражен </w:t>
      </w:r>
      <w:r w:rsidRPr="00107040">
        <w:rPr>
          <w:sz w:val="28"/>
          <w:szCs w:val="28"/>
          <w:lang w:val="ru-RU"/>
        </w:rPr>
        <w:fldChar w:fldCharType="begin"/>
      </w:r>
      <w:r w:rsidR="008611DC">
        <w:rPr>
          <w:sz w:val="28"/>
          <w:szCs w:val="28"/>
          <w:lang w:val="ru-RU"/>
        </w:rPr>
        <w:instrText xml:space="preserve"> ADDIN ZOTERO_ITEM CSL_CITATION {"citationID":"a16nt7qcllk","properties":{"formattedCitation":"[380]","plainCitation":"[380]","noteIndex":0},"citationItems":[{"id":1794,"uris":["http://zotero.org/users/9078202/items/DKNGDCYK"],"itemData":{"id":1794,"type":"article-journal","abstract":"Regulation of cell expansion is essential to the formation of plant organs. We have characterized 21 mutations, representing six loci, that cause abnormal cell expansion in the root of Arabidopsis thaliana. The phenotype of these mutants is conditional upon the rate of root growth. Calculation of ce …","container-title":"Development (Cambridge, England)","DOI":"10.1242/dev.121.4.1237","ISSN":"0950-1991","issue":"4","language":"en","note":"publisher: Development\nPMID: 7743935","source":"pubmed.ncbi.nlm.nih.gov","title":"Conditional root expansion mutants of Arabidopsis","URL":"https://pubmed.ncbi.nlm.nih.gov/7743935/","volume":"121","author":[{"family":"Mt","given":"Hauser"},{"family":"A","given":"Morikami"},{"family":"Pn","given":"Benfey"}],"accessed":{"date-parts":[["2022",9,7]]},"issued":{"date-parts":[["1995",4]]}}}],"schema":"https://github.com/citation-style-language/schema/raw/master/csl-citation.json"} </w:instrText>
      </w:r>
      <w:r w:rsidRPr="00107040">
        <w:rPr>
          <w:sz w:val="28"/>
          <w:szCs w:val="28"/>
          <w:lang w:val="ru-RU"/>
        </w:rPr>
        <w:fldChar w:fldCharType="separate"/>
      </w:r>
      <w:r w:rsidR="008611DC" w:rsidRPr="008611DC">
        <w:rPr>
          <w:sz w:val="28"/>
          <w:lang w:val="ru-RU"/>
        </w:rPr>
        <w:t>[380]</w:t>
      </w:r>
      <w:r w:rsidRPr="00107040">
        <w:rPr>
          <w:sz w:val="28"/>
          <w:szCs w:val="28"/>
          <w:lang w:val="ru-RU"/>
        </w:rPr>
        <w:fldChar w:fldCharType="end"/>
      </w:r>
      <w:r w:rsidRPr="00107040">
        <w:rPr>
          <w:sz w:val="28"/>
          <w:szCs w:val="28"/>
          <w:lang w:val="ru-RU"/>
        </w:rPr>
        <w:t xml:space="preserve">. Аналогично, мутант </w:t>
      </w:r>
      <w:r w:rsidRPr="00107040">
        <w:rPr>
          <w:i/>
          <w:sz w:val="28"/>
          <w:szCs w:val="28"/>
          <w:lang w:val="ru-RU"/>
        </w:rPr>
        <w:t>petit1</w:t>
      </w:r>
      <w:r w:rsidRPr="00107040">
        <w:rPr>
          <w:sz w:val="28"/>
          <w:szCs w:val="28"/>
          <w:lang w:val="ru-RU"/>
        </w:rPr>
        <w:t xml:space="preserve"> демонстрирует пониженное удлинение гипокотиля на среде, содержащей сахарозу, но не на среде, не содержащей сахарозу</w:t>
      </w:r>
      <w:r w:rsidR="00CA7043">
        <w:rPr>
          <w:sz w:val="28"/>
          <w:szCs w:val="28"/>
          <w:lang w:val="ru-RU"/>
        </w:rPr>
        <w:t xml:space="preserve"> </w:t>
      </w:r>
      <w:r w:rsidR="00CA7043">
        <w:rPr>
          <w:sz w:val="28"/>
          <w:szCs w:val="28"/>
          <w:lang w:val="ru-RU"/>
        </w:rPr>
        <w:fldChar w:fldCharType="begin"/>
      </w:r>
      <w:r w:rsidR="008611DC">
        <w:rPr>
          <w:sz w:val="28"/>
          <w:szCs w:val="28"/>
          <w:lang w:val="ru-RU"/>
        </w:rPr>
        <w:instrText xml:space="preserve"> ADDIN ZOTERO_ITEM CSL_CITATION {"citationID":"KBI8WMaU","properties":{"formattedCitation":"[381]","plainCitation":"[381]","noteIndex":0},"citationItems":[{"id":1918,"uris":["http://zotero.org/users/9078202/items/HSLJS8K5"],"itemData":{"id":1918,"type":"article-journal","abstract":"The hypocotyl of Arabidopsis is well suited for the analysis of cell elongation because it elongates without cell division. We have isolated a new class of recessive mutants, petit1 (pet1), which are defective in aspects of hypocotyl elongation. The short-hypocotyl phenotype of pet1 is caused by shortened cells. The cells of the elongation zone of the hypocotyl are often deformed. pet1 also shows defects in elongation of the roots, flower stalk, leaves, petals, pedicels, and siliques, and these defects cannot be repaired by the application of auxin, gibberellin, brassinolide, or an inhibitor of ethylene biosynthesis. The short-hypocotyl phenotype of pet1 is pronounced only in growth medium supplemented with sucrose, which has promotive effects on hypocotyl elongation. In pet1 this effect is much reduced, causing the sucrose-dependent short-hypocotyl phenotype of pet1. pet1 accumulates more soluble sugars than the wild type and also shows more intensive iodo-starch staining in the cotyledon and hypocotyl. These results indicate that PETIT1 is involved in a sugar-dependent elongation process that may include correct assembly of expanding cell wall architecture.","container-title":"Plant Physiology","DOI":"10.1104/pp.118.3.793","ISSN":"0032-0889","issue":"3","journalAbbreviation":"Plant Physiol","language":"eng","note":"PMID: 9808723\nPMCID: PMC34789","page":"793-801","source":"PubMed","title":"petit1, a conditional growth mutant of Arabidopsis defective in sucrose-dependent elongation growth","volume":"118","author":[{"family":"Kurata","given":"T."},{"family":"Yamamoto","given":"K. T."}],"issued":{"date-parts":[["1998",11]]}}}],"schema":"https://github.com/citation-style-language/schema/raw/master/csl-citation.json"} </w:instrText>
      </w:r>
      <w:r w:rsidR="00CA7043">
        <w:rPr>
          <w:sz w:val="28"/>
          <w:szCs w:val="28"/>
          <w:lang w:val="ru-RU"/>
        </w:rPr>
        <w:fldChar w:fldCharType="separate"/>
      </w:r>
      <w:r w:rsidR="008611DC" w:rsidRPr="008611DC">
        <w:rPr>
          <w:sz w:val="28"/>
          <w:lang w:val="ru-RU"/>
        </w:rPr>
        <w:t>[381]</w:t>
      </w:r>
      <w:r w:rsidR="00CA7043">
        <w:rPr>
          <w:sz w:val="28"/>
          <w:szCs w:val="28"/>
          <w:lang w:val="ru-RU"/>
        </w:rPr>
        <w:fldChar w:fldCharType="end"/>
      </w:r>
      <w:r w:rsidRPr="00107040">
        <w:rPr>
          <w:sz w:val="28"/>
          <w:szCs w:val="28"/>
          <w:lang w:val="ru-RU"/>
        </w:rPr>
        <w:t xml:space="preserve">. Нечувствительный к фотопериоду раннецветущий 3-мутант </w:t>
      </w:r>
      <w:r w:rsidRPr="00107040">
        <w:rPr>
          <w:i/>
          <w:sz w:val="28"/>
          <w:szCs w:val="28"/>
          <w:lang w:val="ru-RU"/>
        </w:rPr>
        <w:t>elf3</w:t>
      </w:r>
      <w:r w:rsidRPr="00107040">
        <w:rPr>
          <w:sz w:val="28"/>
          <w:szCs w:val="28"/>
          <w:lang w:val="ru-RU"/>
        </w:rPr>
        <w:t xml:space="preserve"> демонстрирует ритмичное движение листьев в темноте и при нескольких режимах свет/темнота, но не при постоянном освещении </w:t>
      </w:r>
      <w:r w:rsidRPr="00107040">
        <w:rPr>
          <w:sz w:val="28"/>
          <w:szCs w:val="28"/>
          <w:lang w:val="ru-RU"/>
        </w:rPr>
        <w:fldChar w:fldCharType="begin"/>
      </w:r>
      <w:r w:rsidR="008611DC">
        <w:rPr>
          <w:sz w:val="28"/>
          <w:szCs w:val="28"/>
          <w:lang w:val="ru-RU"/>
        </w:rPr>
        <w:instrText xml:space="preserve"> ADDIN ZOTERO_ITEM CSL_CITATION {"citationID":"almgbvjfgd","properties":{"formattedCitation":"[382]","plainCitation":"[382]","noteIndex":0},"citationItems":[{"id":1800,"uris":["http://zotero.org/users/9078202/items/4QNVTXED"],"itemData":{"id":1800,"type":"article-journal","abstract":"Photoperiodic responses, such as the daylength-dependent control of reproductive development, are associated with a circadian biological clock. The photoperiod-insensitive early-flowering 3 (elf3) mutant of Arabidopsis thaliana lacks rhythmicity in two distinct circadian-regulated processes. This defect was apparent only when plants were assayed under constant light conditions. elf3 mutants retain rhythmicity in constant dark and anticipate light/dark transitions under most light/dark regimes. The conditional arrhythmic phenotype suggests that the circadian pacemaker is intact in darkness in elf3 mutant plants, but the transduction of light signals to the circadian clock is impaired.","container-title":"Science (New York, N.Y.)","DOI":"10.1126/science.274.5288.790","ISSN":"0036-8075","issue":"5288","journalAbbreviation":"Science","language":"eng","note":"PMID: 8864121","page":"790-792","source":"PubMed","title":"Conditional circadian dysfunction of the Arabidopsis early-flowering 3 mutant","volume":"274","author":[{"family":"Hicks","given":"K. A."},{"family":"Millar","given":"A. J."},{"family":"Carré","given":"I. A."},{"family":"Somers","given":"D. E."},{"family":"Straume","given":"M."},{"family":"Meeks-Wagner","given":"D. R."},{"family":"Kay","given":"S. A."}],"issued":{"date-parts":[["1996",11,1]]}}}],"schema":"https://github.com/citation-style-language/schema/raw/master/csl-citation.json"} </w:instrText>
      </w:r>
      <w:r w:rsidRPr="00107040">
        <w:rPr>
          <w:sz w:val="28"/>
          <w:szCs w:val="28"/>
          <w:lang w:val="ru-RU"/>
        </w:rPr>
        <w:fldChar w:fldCharType="separate"/>
      </w:r>
      <w:r w:rsidR="008611DC" w:rsidRPr="008611DC">
        <w:rPr>
          <w:sz w:val="28"/>
          <w:lang w:val="ru-RU"/>
        </w:rPr>
        <w:t>[382]</w:t>
      </w:r>
      <w:r w:rsidRPr="00107040">
        <w:rPr>
          <w:sz w:val="28"/>
          <w:szCs w:val="28"/>
          <w:lang w:val="ru-RU"/>
        </w:rPr>
        <w:fldChar w:fldCharType="end"/>
      </w:r>
      <w:r w:rsidRPr="00107040">
        <w:rPr>
          <w:sz w:val="28"/>
          <w:szCs w:val="28"/>
          <w:lang w:val="ru-RU"/>
        </w:rPr>
        <w:t xml:space="preserve">. Не только световой режим, но и интенсивность освещения могут влиять на фенотипы растений. Следовательно, мутанты </w:t>
      </w:r>
      <w:r w:rsidRPr="00107040">
        <w:rPr>
          <w:i/>
          <w:sz w:val="28"/>
          <w:szCs w:val="28"/>
        </w:rPr>
        <w:t>vad</w:t>
      </w:r>
      <w:r w:rsidRPr="00107040">
        <w:rPr>
          <w:i/>
          <w:sz w:val="28"/>
          <w:szCs w:val="28"/>
          <w:lang w:val="ru-RU"/>
        </w:rPr>
        <w:t>1</w:t>
      </w:r>
      <w:r w:rsidRPr="00107040">
        <w:rPr>
          <w:sz w:val="28"/>
          <w:szCs w:val="28"/>
          <w:lang w:val="ru-RU"/>
        </w:rPr>
        <w:t xml:space="preserve"> демонстрируют повреждения, вызванные гиперчувствительным ответом, при высокой, но не при низкой интенсивности света </w:t>
      </w:r>
      <w:r w:rsidRPr="00107040">
        <w:rPr>
          <w:sz w:val="28"/>
          <w:szCs w:val="28"/>
          <w:lang w:val="ru-RU"/>
        </w:rPr>
        <w:fldChar w:fldCharType="begin"/>
      </w:r>
      <w:r w:rsidR="008611DC">
        <w:rPr>
          <w:sz w:val="28"/>
          <w:szCs w:val="28"/>
          <w:lang w:val="ru-RU"/>
        </w:rPr>
        <w:instrText xml:space="preserve"> ADDIN ZOTERO_ITEM CSL_CITATION {"citationID":"abk8da03pg","properties":{"formattedCitation":"[383]","plainCitation":"[383]","noteIndex":0},"citationItems":[{"id":1802,"uris":["http://zotero.org/users/9078202/items/W2GEXUDM"],"itemData":{"id":1802,"type":"article-journal","abstract":"The hypersensitive response (HR) is a programmed cell death that is commonly associated with plant disease resistance. A novel lesion mimic mutant, vad1 (for vascular associated death1), that exhibits light conditional appearance of propagative HR-like lesions along the vascular system was identified. Lesion formation is associated with expression of defense genes, production of high levels of salicylic acid (SA), and increased resistance to virulent and avirulent strains of Pseudomonas syringae pv tomato. Analyses of the progeny from crosses between vad1 plants and either nahG transgenic plants, sid1, nonexpressor of PR1 (npr1), enhanced disease susceptibility1 (eds1), or non-race specific disease resistance1 (ndr1) mutants, revealed the vad1 cell death phenotype to be dependent on SA biosynthesis but NPR1 independent; in addition, both EDS1 and NDR1 are necessary for the proper timing and amplification of cell death as well as for increased resistance to Pseudomonas strains. VAD1 encodes a novel putative membrane-associated protein containing a GRAM domain, a lipid or protein binding signaling domain, and is expressed in response to pathogen infection at the vicinity of the hypersensitive lesions. VAD1 might thus represent a new potential function in cell death control associated with cells in the vicinity of vascular bundles.","container-title":"The Plant Cell","DOI":"10.1105/tpc.104.022038","ISSN":"1040-4651","issue":"8","journalAbbreviation":"The Plant Cell","page":"2217-2232","source":"Silverchair","title":"VASCULAR ASSOCIATED DEATH1, a Novel GRAM Domain–Containing Protein, Is a Regulator of Cell Death and Defense Responses in Vascular Tissues","URL":"https://doi.org/10.1105/tpc.104.022038","volume":"16","author":[{"family":"Lorrain","given":"Seéverine"},{"family":"Lin","given":"Baiqing"},{"family":"Auriac","given":"Marie Christine"},{"family":"Kroj","given":"Thomas"},{"family":"Saindrenan","given":"Patrick"},{"family":"Nicole","given":"Michel"},{"family":"Balagueé","given":"Claudine"},{"family":"Roby","given":"Dominique"}],"accessed":{"date-parts":[["2022",9,7]]},"issued":{"date-parts":[["2004",8,4]]}}}],"schema":"https://github.com/citation-style-language/schema/raw/master/csl-citation.json"} </w:instrText>
      </w:r>
      <w:r w:rsidRPr="00107040">
        <w:rPr>
          <w:sz w:val="28"/>
          <w:szCs w:val="28"/>
          <w:lang w:val="ru-RU"/>
        </w:rPr>
        <w:fldChar w:fldCharType="separate"/>
      </w:r>
      <w:r w:rsidR="008611DC" w:rsidRPr="008611DC">
        <w:rPr>
          <w:sz w:val="28"/>
          <w:lang w:val="ru-RU"/>
        </w:rPr>
        <w:t>[383]</w:t>
      </w:r>
      <w:r w:rsidRPr="00107040">
        <w:rPr>
          <w:sz w:val="28"/>
          <w:szCs w:val="28"/>
          <w:lang w:val="ru-RU"/>
        </w:rPr>
        <w:fldChar w:fldCharType="end"/>
      </w:r>
      <w:r w:rsidRPr="00107040">
        <w:rPr>
          <w:sz w:val="28"/>
          <w:szCs w:val="28"/>
          <w:lang w:val="ru-RU"/>
        </w:rPr>
        <w:t>. Напротив, растения, лишенные белков, содержащих домен миелобластоза (MYB) MYB33 и MYB65, демонстрируют мужскую стерильность, особенно в условиях низкой освещенност</w:t>
      </w:r>
      <w:r w:rsidR="00CA7043">
        <w:rPr>
          <w:sz w:val="28"/>
          <w:szCs w:val="28"/>
          <w:lang w:val="kk-KZ"/>
        </w:rPr>
        <w:t xml:space="preserve">и </w:t>
      </w:r>
      <w:r w:rsidR="00CA7043">
        <w:rPr>
          <w:sz w:val="28"/>
          <w:szCs w:val="28"/>
          <w:lang w:val="kk-KZ"/>
        </w:rPr>
        <w:fldChar w:fldCharType="begin"/>
      </w:r>
      <w:r w:rsidR="008611DC">
        <w:rPr>
          <w:sz w:val="28"/>
          <w:szCs w:val="28"/>
          <w:lang w:val="kk-KZ"/>
        </w:rPr>
        <w:instrText xml:space="preserve"> ADDIN ZOTERO_ITEM CSL_CITATION {"citationID":"Jv9aEUwP","properties":{"formattedCitation":"[384]","plainCitation":"[384]","noteIndex":0},"citationItems":[{"id":1915,"uris":["http://zotero.org/users/9078202/items/ZD764QJU"],"itemData":{"id":1915,"type":"article-journal","abstract":"The functions of the vast majority of genes encoding R2R3 MYB domain proteins remain unknown. The closely related MYB33 and MYB65 genes of Arabidopsis thaliana have high sequence similarity to the barley (Hordeum vulgare) GAMYB gene. T-DNA insertional mutants were isolated for both genes, and a myb33 myb65 double mutant was defective in anther development. In myb33 myb65 anthers, the tapetum undergoes hypertrophy at the pollen mother cell stage, resulting in premeiotic abortion of pollen development. However, myb33 myb65 sterility was conditional, where fertility increased both under higher light or lower temperature conditions. Thus, MYB33/MYB65 facilitate, but are not essential for, anther development. Neither single mutant displayed a phenotype, implying that MYB33 and MYB65 are functionally redundant. Consistent with functional redundancy, promoter-beta-glucuronidase (GUS) fusions of MYB33 and MYB65 gave identical expression patterns in flowers (sepals, style, receptacle, anther filaments, and connective but not in anthers themselves), shoot apices, and root tips. By contrast, expression of a MYB33:GUS translational fusion in flowers was solely in young anthers (consistent with the male sterile phenotype), and no staining was seen in shoot meristems or root tips. A microRNA target sequence is present in the MYB genes, and mutating this sequence in the MYB33:GUS fusion results in an expanded expression pattern, in tissues similar to that observed in the promoter-GUS lines, implying that the microRNA target sequence is restricting MYB33 expression. Arabidopsis transformed with MYB33 containing the mutated microRNA target had dramatic pleiotrophic developmental defects, suggesting that restricting MYB33 expression, especially in the shoot apices, is essential for proper plant development.","container-title":"The Plant Cell","DOI":"10.1105/tpc.104.027920","ISSN":"1040-4651","issue":"3","journalAbbreviation":"Plant Cell","language":"eng","note":"PMID: 15722475\nPMCID: PMC1069693","page":"705-721","source":"PubMed","title":"The Arabidopsis GAMYB-like genes, MYB33 and MYB65, are microRNA-regulated genes that redundantly facilitate anther development","volume":"17","author":[{"family":"Millar","given":"Anthony A."},{"family":"Gubler","given":"Frank"}],"issued":{"date-parts":[["2005",3]]}}}],"schema":"https://github.com/citation-style-language/schema/raw/master/csl-citation.json"} </w:instrText>
      </w:r>
      <w:r w:rsidR="00CA7043">
        <w:rPr>
          <w:sz w:val="28"/>
          <w:szCs w:val="28"/>
          <w:lang w:val="kk-KZ"/>
        </w:rPr>
        <w:fldChar w:fldCharType="separate"/>
      </w:r>
      <w:r w:rsidR="008611DC" w:rsidRPr="008611DC">
        <w:rPr>
          <w:sz w:val="28"/>
          <w:lang w:val="ru-RU"/>
        </w:rPr>
        <w:t>[384]</w:t>
      </w:r>
      <w:r w:rsidR="00CA7043">
        <w:rPr>
          <w:sz w:val="28"/>
          <w:szCs w:val="28"/>
          <w:lang w:val="kk-KZ"/>
        </w:rPr>
        <w:fldChar w:fldCharType="end"/>
      </w:r>
      <w:r w:rsidRPr="00107040">
        <w:rPr>
          <w:sz w:val="28"/>
          <w:szCs w:val="28"/>
          <w:lang w:val="ru-RU"/>
        </w:rPr>
        <w:t xml:space="preserve">. Эти примеры иллюстрируют широкий спектр условных фенотипов, выявленных до сих пор в исследованиях растений с использованием мутантных линий с потерей функции. </w:t>
      </w:r>
    </w:p>
    <w:p w14:paraId="0CCBFFB3" w14:textId="2C796310"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По сравнению с генетическим ингибированием PARP, фармакологическое ингибирование PARP широко используется в качестве инструмента для выяснения роли белков PARP в устойчивости растений к стрессу </w:t>
      </w:r>
      <w:r w:rsidRPr="00107040">
        <w:rPr>
          <w:sz w:val="28"/>
          <w:szCs w:val="28"/>
          <w:lang w:val="ru-RU"/>
        </w:rPr>
        <w:fldChar w:fldCharType="begin"/>
      </w:r>
      <w:r w:rsidR="008611DC">
        <w:rPr>
          <w:sz w:val="28"/>
          <w:szCs w:val="28"/>
          <w:lang w:val="ru-RU"/>
        </w:rPr>
        <w:instrText xml:space="preserve"> ADDIN ZOTERO_ITEM CSL_CITATION {"citationID":"aj8e5o2898","properties":{"formattedCitation":"[24,341,360,361,385]","plainCitation":"[24,341,360,361,385]","noteIndex":0},"citationItems":[{"id":1671,"uris":["http://zotero.org/users/9078202/items/MIAT9GXH"],"itemData":{"id":1671,"type":"article-journal","abstract":"Here, we assessed modulation of the poly(ADP-ribosyl)ation (PAR) reaction by an Arabidopsis (Arabidopsis thaliana) ADP-ribose (Rib)/NADH pyrophosphohydrolase, AtNUDX7 (for Arabidopsis Nudix hydrolase 7), in AtNUDX7-overexpressed (Pro(35S):AtNUDX7) or AtNUDX7-disrupted (KO-nudx7) plants under normal conditions and oxidative stress caused by paraquat treatment. Levels of NADH and ADP-Rib were decreased in the Pro(35S):AtNUDX7 plants but increased in the KO-nudx7 plants under normal conditions and oxidative stress compared with the control plants, indicating that AtNUDX7 hydrolyzes both ADP-Rib and NADH as physiological substrates. The Pro(35S):AtNUDX7 and KO-nudx7 plants showed increased and decreased tolerance, respectively, to oxidative stress compared with the control plants. Levels of poly(ADP-Rib) in the Pro(35S):AtNUDX7 and KO-nudx7 plants were markedly higher and lower, respectively, than those in the control plants. Depletion of NAD(+) and ATP resulting from the activation of the PAR reaction under oxidative stress was completely suppressed in the Pro(35S):AtNUDX7 plants. Accumulation of NAD(+) and ATP was observed in the KO-nudx7- and 3-aminobenzamide-treated plants, in which the PAR reaction was suppressed. The expression levels of DNA repair factors, AtXRCC1 and AtXRCC2 (for x-ray repair cross-complementing factors 1 and 2), paralleled that of AtNUDX7 under both normal conditions and oxidative stress, although an inverse correlation was observed between the levels of AtXRCC3, AtRAD51 (for Escherichia coli RecA homolog), AtDMC1 (for disrupted meiotic cDNA), and AtMND1 (for meiotic nuclear divisions) and AtNUDX7. These findings suggest that AtNUDX7 controls the balance between NADH and NAD(+) by NADH turnover under normal conditions. Under oxidative stress, AtNUDX7 serves to maintain NAD(+) levels by supplying ATP via nucleotide recycling from free ADP-Rib molecules and thus regulates the defense mechanisms against oxidative DNA damage via modulation of the PAR reaction.","container-title":"Plant Physiology","DOI":"10.1104/pp.109.140442","ISSN":"0032-0889","issue":"2","journalAbbreviation":"Plant Physiol","language":"eng","note":"PMID: 19656905\nPMCID: PMC2754630","page":"741-754","source":"PubMed","title":"Modulation of the poly(ADP-ribosyl)ation reaction via the Arabidopsis ADP-ribose/NADH pyrophosphohydrolase, AtNUDX7, is involved in the response to oxidative stress","volume":"151","author":[{"family":"Ishikawa","given":"Kazuya"},{"family":"Ogawa","given":"Takahisa"},{"family":"Hirosue","given":"Eisuke"},{"family":"Nakayama","given":"Yasumune"},{"family":"Harada","given":"Kazuo"},{"family":"Fukusaki","given":"Eiichiro"},{"family":"Yoshimura","given":"Kazuya"},{"family":"Shigeoka","given":"Shigeru"}],"issued":{"date-parts":[["2009",10]]}}},{"id":1122,"uris":["http://zotero.org/users/9078202/items/9EX853NA"],"itemData":{"id":1122,"type":"article-journal","abstract":"Poly-ADP-ribose polymerase (PARP) post-translationally modifies proteins through the addition of ADP-ribose polymers, yet its role in modulating plant development and stress responses is only poorly understood. The experiments presented here address some of the gaps in our understanding of its role in stress tolerance and thereby provide new insights into tolerance mechanisms and growth. Using a combination of chemical and genetic approaches, this study characterized phenotypes associated with PARP inhibition at the physiological level. Molecular analyses including gene expression analysis, measurement of primary metabolites and redox metabolites were used to understand the underlying processes. The analysis revealed that PARP inhibition represses anthocyanin and ascorbate accumulation under stress conditions. The reduction in defense is correlated with enhanced biomass production. Even in unstressed conditions protective genes and molecules are repressed by PARP inhibition. The reduced anthocyanin production was shown to be based on the repression of transcription of key regulatory and biosynthesis genes. PARP is a key factor for understanding growth and stress responses of plants. PARP inhibition allows plants to reduce protection such as anthocyanin, ascorbate or Non-Photochemical-Quenching whilst maintaining high energy levels likely enabling the observed enhancement of biomass production under stress, opening interesting perspectives for increasing crop productivity.","container-title":"PLOS ONE","DOI":"10.1371/journal.pone.0037287","ISSN":"1932-6203","issue":"5","journalAbbreviation":"PLOS ONE","language":"en","note":"publisher: Public Library of Science","page":"e37287","source":"PLoS Journals","title":"Chemical PARP Inhibition Enhances Growth of Arabidopsis and Reduces Anthocyanin Accumulation and the Activation of Stress Protective Mechanisms","URL":"https://journals.plos.org/plosone/article?id=10.1371/journal.pone.0037287","volume":"7","author":[{"family":"Schulz","given":"Philipp"},{"family":"Neukermans","given":"Jenny"},{"family":"Kelen","given":"Katrien Van Der"},{"family":"Mühlenbock","given":"Per"},{"family":"Breusegem","given":"Frank Van"},{"family":"Noctor","given":"Graham"},{"family":"Teige","given":"Markus"},{"family":"Metzlaff","given":"Michael"},{"family":"Hannah","given":"Matthew A."}],"accessed":{"date-parts":[["2022",4,19]]},"issued":{"date-parts":[["2012",5,25]]}}},{"id":1125,"uris":["http://zotero.org/users/9078202/items/59BJN3IJ"],"itemData":{"id":1125,"type":"article-journal","abstract":"A changing global environment, rising population and increasing demand for biofuels are challenging agriculture and creating a need for technologies to increase biomass production. Here we demonstrate that the inhibition of poly (ADP-ribose) polymerase activity is a promising technology to achieve this under non-stress conditions. Furthermore, we investigate the basis of this growth enhancement via leaf series and kinematic cell analysis as well as single leaf transcriptomics and plant metabolomics under non-stress conditions. These data indicate a regulatory function of PARP within cell growth and potentially development. PARP inhibition enhances growth of Arabidopsis thaliana by enhancing the cell number. Time course single leaf transcriptomics shows that PARP inhibition regulates a small subset of genes which are related to growth promotion, cell cycle and the control of metabolism. This is supported by metabolite analysis showing overall changes in primary and particularly secondary metabolism. Taken together the results indicate a versatile function of PARP beyond its previously reported roles in controlling plant stress tolerance and thus can be a useful target for enhancing biomass production.","container-title":"PLOS ONE","DOI":"10.1371/journal.pone.0090322","ISSN":"1932-6203","issue":"2","journalAbbreviation":"PLOS ONE","language":"en","note":"publisher: Public Library of Science","page":"e90322","source":"PLoS Journals","title":"Poly(ADP-Ribose)Polymerase Activity Controls Plant Growth by Promoting Leaf Cell Number","URL":"https://journals.plos.org/plosone/article?id=10.1371/journal.pone.0090322","volume":"9","author":[{"family":"Schulz","given":"Philipp"},{"family":"Jansseune","given":"Karel"},{"family":"Degenkolbe","given":"Thomas"},{"family":"Méret","given":"Michaël"},{"family":"Claeys","given":"Hannes"},{"family":"Skirycz","given":"Aleksandra"},{"family":"Teige","given":"Markus"},{"family":"Willmitzer","given":"Lothar"},{"family":"Hannah","given":"Matthew A."}],"accessed":{"date-parts":[["2022",4,19]]},"issued":{"date-parts":[["2014",2,28]]}}},{"id":1278,"uris":["http://zotero.org/users/9078202/items/W6JPRRQR"],"itemData":{"id":1278,"type":"article-journal","abstract":"Plants contain two genes that code for poly(ADP-ribose) polymerase (PARP): parp1 and parp2. Both PARPs are activated by DNA damage caused by, example reactive oxygen species. Upon activation polymers of ADP-ribose are synthesized on a range of nuclear enzymes using NAD(+) as substrate. Here, we show that in plants stresses such as drought, high light and heat activate PARP causing NAD(+) breakdown and ATP consumption. When the PARP activity is reduced by means of chemical inhibitors or by gene silencing, cell death is inhibited and plants become tolerant to a broad range of abiotic stresses like high light, drought and heat. Plant lines with low poly(ADP-ribosyl)ation activity maintain under stress conditions their energy homeostasis by reducing NAD(+) breakdown and consequently energy consumption. The higher energy-use efficiency avoids the need for a too intense mitochondrial respiration and consequently reduces the formation of reactive oxygen species. From these results it can be concluded that breeding or engineering for a high energy-use efficiency under stress conditions is a valuable, but until today nearly unexploited, approach to enhance overall stress tolerance of crops.","container-title":"The Plant Journal: For Cell and Molecular Biology","DOI":"10.1111/j.1365-313X.2004.02277.x","ISSN":"0960-7412","issue":"1","journalAbbreviation":"Plant J","language":"eng","note":"PMID: 15610352","page":"95-106","source":"PubMed","title":"Poly(ADP-ribose) polymerase in plants affects energy homeostasis, cell death and stress tolerance","volume":"41","author":[{"family":"De Block","given":"Marc"},{"family":"Verduyn","given":"Christoph"},{"family":"De Brouwer","given":"Dirk"},{"family":"Cornelissen","given":"Marc"}],"issued":{"date-parts":[["2005",1]]}}},{"id":1807,"uris":["http://zotero.org/users/9078202/items/DQ3KWGP5"],"itemData":{"id":1807,"type":"article-journal","abstract":"The frequency and intensity of extreme weather events and global temperature are rising, which poses a potential threat to life, specifically crops, and therefore food and bioenergy supply. Reduced water availability has the most severe impact on potential grain yield. Negative effects of transient drought stress (dry spells) can be countered by drought tolerance-inducing chemicals. In search for useful compounds, biochemical assays are fast but limited in scope, whereas whole-plant assays are slow, require large amounts of compounds, and are usually not concentration-related. Here we report the development of a fast, concentration-dependent whole-plant assay using the fast growing duckweed Lemna minor L. 4-Amino-1,8-naphthalimide (1) and the imidacloprid metabolite 6-chloronicotinic acid (2) were affirmed as drought stress tolerance enhancers. Both also reduce oxidative stress-induced cell death in Arabidopsis thaliana (L.) Heynh. cell suspension culture but show differences in their mode of action.","container-title":"Journal of Plant Growth Regulation","DOI":"10.1007/s00344-011-9212-1","ISSN":"1435-8107","issue":"4","journalAbbreviation":"J Plant Growth Regul","language":"en","page":"504-511","source":"Springer Link","title":"A Whole-Plant Microtiter Plate Assay for Drought Stress Tolerance-Inducing Effects","URL":"https://doi.org/10.1007/s00344-011-9212-1","volume":"30","author":[{"family":"Geissler","given":"Torsten"},{"family":"Wessjohann","given":"Ludger A."}],"accessed":{"date-parts":[["2022",9,7]]},"issued":{"date-parts":[["2011",12,1]]}}}],"schema":"https://github.com/citation-style-language/schema/raw/master/csl-citation.json"} </w:instrText>
      </w:r>
      <w:r w:rsidRPr="00107040">
        <w:rPr>
          <w:sz w:val="28"/>
          <w:szCs w:val="28"/>
          <w:lang w:val="ru-RU"/>
        </w:rPr>
        <w:fldChar w:fldCharType="separate"/>
      </w:r>
      <w:r w:rsidR="008611DC" w:rsidRPr="008611DC">
        <w:rPr>
          <w:sz w:val="28"/>
          <w:lang w:val="ru-RU"/>
        </w:rPr>
        <w:t>[24,341,360,361,385]</w:t>
      </w:r>
      <w:r w:rsidRPr="00107040">
        <w:rPr>
          <w:sz w:val="28"/>
          <w:szCs w:val="28"/>
          <w:lang w:val="ru-RU"/>
        </w:rPr>
        <w:fldChar w:fldCharType="end"/>
      </w:r>
      <w:r w:rsidRPr="00107040">
        <w:rPr>
          <w:sz w:val="28"/>
          <w:szCs w:val="28"/>
          <w:lang w:val="ru-RU"/>
        </w:rPr>
        <w:t xml:space="preserve">. Энергетический гомеостаз в растениях улучшался за счет ингибирования PARP, опосредованного 3MB. В то время как экспрессия генов, связанных с фотосинтезом, эффективным квантовым выходом фотосинтеза и скоростью транспорта электронов, индуцировалась, маркерные гены низкого энергетического статуса не изменялись у растений арабидопсиса, выращенных в нестрессовых условиях </w:t>
      </w:r>
      <w:r w:rsidRPr="00107040">
        <w:rPr>
          <w:sz w:val="28"/>
          <w:szCs w:val="28"/>
          <w:lang w:val="ru-RU"/>
        </w:rPr>
        <w:fldChar w:fldCharType="begin"/>
      </w:r>
      <w:r w:rsidR="008611DC">
        <w:rPr>
          <w:sz w:val="28"/>
          <w:szCs w:val="28"/>
          <w:lang w:val="ru-RU"/>
        </w:rPr>
        <w:instrText xml:space="preserve"> ADDIN ZOTERO_ITEM CSL_CITATION {"citationID":"a1istlr8jr2","properties":{"formattedCitation":"[361]","plainCitation":"[361]","noteIndex":0},"citationItems":[{"id":1125,"uris":["http://zotero.org/users/9078202/items/59BJN3IJ"],"itemData":{"id":1125,"type":"article-journal","abstract":"A changing global environment, rising population and increasing demand for biofuels are challenging agriculture and creating a need for technologies to increase biomass production. Here we demonstrate that the inhibition of poly (ADP-ribose) polymerase activity is a promising technology to achieve this under non-stress conditions. Furthermore, we investigate the basis of this growth enhancement via leaf series and kinematic cell analysis as well as single leaf transcriptomics and plant metabolomics under non-stress conditions. These data indicate a regulatory function of PARP within cell growth and potentially development. PARP inhibition enhances growth of Arabidopsis thaliana by enhancing the cell number. Time course single leaf transcriptomics shows that PARP inhibition regulates a small subset of genes which are related to growth promotion, cell cycle and the control of metabolism. This is supported by metabolite analysis showing overall changes in primary and particularly secondary metabolism. Taken together the results indicate a versatile function of PARP beyond its previously reported roles in controlling plant stress tolerance and thus can be a useful target for enhancing biomass production.","container-title":"PLOS ONE","DOI":"10.1371/journal.pone.0090322","ISSN":"1932-6203","issue":"2","journalAbbreviation":"PLOS ONE","language":"en","note":"publisher: Public Library of Science","page":"e90322","source":"PLoS Journals","title":"Poly(ADP-Ribose)Polymerase Activity Controls Plant Growth by Promoting Leaf Cell Number","URL":"https://journals.plos.org/plosone/article?id=10.1371/journal.pone.0090322","volume":"9","author":[{"family":"Schulz","given":"Philipp"},{"family":"Jansseune","given":"Karel"},{"family":"Degenkolbe","given":"Thomas"},{"family":"Méret","given":"Michaël"},{"family":"Claeys","given":"Hannes"},{"family":"Skirycz","given":"Aleksandra"},{"family":"Teige","given":"Markus"},{"family":"Willmitzer","given":"Lothar"},{"family":"Hannah","given":"Matthew A."}],"accessed":{"date-parts":[["2022",4,19]]},"issued":{"date-parts":[["2014",2,28]]}}}],"schema":"https://github.com/citation-style-language/schema/raw/master/csl-citation.json"} </w:instrText>
      </w:r>
      <w:r w:rsidRPr="00107040">
        <w:rPr>
          <w:sz w:val="28"/>
          <w:szCs w:val="28"/>
          <w:lang w:val="ru-RU"/>
        </w:rPr>
        <w:fldChar w:fldCharType="separate"/>
      </w:r>
      <w:r w:rsidR="008611DC" w:rsidRPr="008611DC">
        <w:rPr>
          <w:sz w:val="28"/>
          <w:lang w:val="ru-RU"/>
        </w:rPr>
        <w:t>[361]</w:t>
      </w:r>
      <w:r w:rsidRPr="00107040">
        <w:rPr>
          <w:sz w:val="28"/>
          <w:szCs w:val="28"/>
          <w:lang w:val="ru-RU"/>
        </w:rPr>
        <w:fldChar w:fldCharType="end"/>
      </w:r>
      <w:r w:rsidRPr="00107040">
        <w:rPr>
          <w:sz w:val="28"/>
          <w:szCs w:val="28"/>
          <w:lang w:val="ru-RU"/>
        </w:rPr>
        <w:t>, а содержание НАД</w:t>
      </w:r>
      <w:r w:rsidRPr="00107040">
        <w:rPr>
          <w:sz w:val="28"/>
          <w:szCs w:val="28"/>
          <w:vertAlign w:val="superscript"/>
          <w:lang w:val="ru-RU"/>
        </w:rPr>
        <w:t>+</w:t>
      </w:r>
      <w:r w:rsidRPr="00107040">
        <w:rPr>
          <w:sz w:val="28"/>
          <w:szCs w:val="28"/>
          <w:lang w:val="ru-RU"/>
        </w:rPr>
        <w:t xml:space="preserve"> увеличивалось как при состояния без стресса и окислительного стресса </w:t>
      </w:r>
      <w:r w:rsidRPr="00107040">
        <w:rPr>
          <w:sz w:val="28"/>
          <w:szCs w:val="28"/>
          <w:lang w:val="ru-RU"/>
        </w:rPr>
        <w:fldChar w:fldCharType="begin"/>
      </w:r>
      <w:r w:rsidR="008611DC">
        <w:rPr>
          <w:sz w:val="28"/>
          <w:szCs w:val="28"/>
          <w:lang w:val="ru-RU"/>
        </w:rPr>
        <w:instrText xml:space="preserve"> ADDIN ZOTERO_ITEM CSL_CITATION {"citationID":"a12tq41b110","properties":{"formattedCitation":"[360]","plainCitation":"[360]","noteIndex":0},"citationItems":[{"id":1122,"uris":["http://zotero.org/users/9078202/items/9EX853NA"],"itemData":{"id":1122,"type":"article-journal","abstract":"Poly-ADP-ribose polymerase (PARP) post-translationally modifies proteins through the addition of ADP-ribose polymers, yet its role in modulating plant development and stress responses is only poorly understood. The experiments presented here address some of the gaps in our understanding of its role in stress tolerance and thereby provide new insights into tolerance mechanisms and growth. Using a combination of chemical and genetic approaches, this study characterized phenotypes associated with PARP inhibition at the physiological level. Molecular analyses including gene expression analysis, measurement of primary metabolites and redox metabolites were used to understand the underlying processes. The analysis revealed that PARP inhibition represses anthocyanin and ascorbate accumulation under stress conditions. The reduction in defense is correlated with enhanced biomass production. Even in unstressed conditions protective genes and molecules are repressed by PARP inhibition. The reduced anthocyanin production was shown to be based on the repression of transcription of key regulatory and biosynthesis genes. PARP is a key factor for understanding growth and stress responses of plants. PARP inhibition allows plants to reduce protection such as anthocyanin, ascorbate or Non-Photochemical-Quenching whilst maintaining high energy levels likely enabling the observed enhancement of biomass production under stress, opening interesting perspectives for increasing crop productivity.","container-title":"PLOS ONE","DOI":"10.1371/journal.pone.0037287","ISSN":"1932-6203","issue":"5","journalAbbreviation":"PLOS ONE","language":"en","note":"publisher: Public Library of Science","page":"e37287","source":"PLoS Journals","title":"Chemical PARP Inhibition Enhances Growth of Arabidopsis and Reduces Anthocyanin Accumulation and the Activation of Stress Protective Mechanisms","URL":"https://journals.plos.org/plosone/article?id=10.1371/journal.pone.0037287","volume":"7","author":[{"family":"Schulz","given":"Philipp"},{"family":"Neukermans","given":"Jenny"},{"family":"Kelen","given":"Katrien Van Der"},{"family":"Mühlenbock","given":"Per"},{"family":"Breusegem","given":"Frank Van"},{"family":"Noctor","given":"Graham"},{"family":"Teige","given":"Markus"},{"family":"Metzlaff","given":"Michael"},{"family":"Hannah","given":"Matthew A."}],"accessed":{"date-parts":[["2022",4,19]]},"issued":{"date-parts":[["2012",5,25]]}}}],"schema":"https://github.com/citation-style-language/schema/raw/master/csl-citation.json"} </w:instrText>
      </w:r>
      <w:r w:rsidRPr="00107040">
        <w:rPr>
          <w:sz w:val="28"/>
          <w:szCs w:val="28"/>
          <w:lang w:val="ru-RU"/>
        </w:rPr>
        <w:fldChar w:fldCharType="separate"/>
      </w:r>
      <w:r w:rsidR="008611DC" w:rsidRPr="008611DC">
        <w:rPr>
          <w:sz w:val="28"/>
          <w:lang w:val="ru-RU"/>
        </w:rPr>
        <w:t>[360]</w:t>
      </w:r>
      <w:r w:rsidRPr="00107040">
        <w:rPr>
          <w:sz w:val="28"/>
          <w:szCs w:val="28"/>
          <w:lang w:val="ru-RU"/>
        </w:rPr>
        <w:fldChar w:fldCharType="end"/>
      </w:r>
      <w:r w:rsidRPr="00107040">
        <w:rPr>
          <w:sz w:val="28"/>
          <w:szCs w:val="28"/>
          <w:lang w:val="ru-RU"/>
        </w:rPr>
        <w:t xml:space="preserve">. Примечательно, что обработка 3MB дерегулировало экспрессию генов компонентов фенилпропаноидного пути в условиях отсутствия стресса и окислительного стресса </w:t>
      </w:r>
      <w:r w:rsidRPr="00107040">
        <w:rPr>
          <w:sz w:val="28"/>
          <w:szCs w:val="28"/>
          <w:lang w:val="ru-RU"/>
        </w:rPr>
        <w:fldChar w:fldCharType="begin"/>
      </w:r>
      <w:r w:rsidR="008611DC">
        <w:rPr>
          <w:sz w:val="28"/>
          <w:szCs w:val="28"/>
          <w:lang w:val="ru-RU"/>
        </w:rPr>
        <w:instrText xml:space="preserve"> ADDIN ZOTERO_ITEM CSL_CITATION {"citationID":"a19kr2692k0","properties":{"formattedCitation":"[360,361]","plainCitation":"[360,361]","noteIndex":0},"citationItems":[{"id":1122,"uris":["http://zotero.org/users/9078202/items/9EX853NA"],"itemData":{"id":1122,"type":"article-journal","abstract":"Poly-ADP-ribose polymerase (PARP) post-translationally modifies proteins through the addition of ADP-ribose polymers, yet its role in modulating plant development and stress responses is only poorly understood. The experiments presented here address some of the gaps in our understanding of its role in stress tolerance and thereby provide new insights into tolerance mechanisms and growth. Using a combination of chemical and genetic approaches, this study characterized phenotypes associated with PARP inhibition at the physiological level. Molecular analyses including gene expression analysis, measurement of primary metabolites and redox metabolites were used to understand the underlying processes. The analysis revealed that PARP inhibition represses anthocyanin and ascorbate accumulation under stress conditions. The reduction in defense is correlated with enhanced biomass production. Even in unstressed conditions protective genes and molecules are repressed by PARP inhibition. The reduced anthocyanin production was shown to be based on the repression of transcription of key regulatory and biosynthesis genes. PARP is a key factor for understanding growth and stress responses of plants. PARP inhibition allows plants to reduce protection such as anthocyanin, ascorbate or Non-Photochemical-Quenching whilst maintaining high energy levels likely enabling the observed enhancement of biomass production under stress, opening interesting perspectives for increasing crop productivity.","container-title":"PLOS ONE","DOI":"10.1371/journal.pone.0037287","ISSN":"1932-6203","issue":"5","journalAbbreviation":"PLOS ONE","language":"en","note":"publisher: Public Library of Science","page":"e37287","source":"PLoS Journals","title":"Chemical PARP Inhibition Enhances Growth of Arabidopsis and Reduces Anthocyanin Accumulation and the Activation of Stress Protective Mechanisms","URL":"https://journals.plos.org/plosone/article?id=10.1371/journal.pone.0037287","volume":"7","author":[{"family":"Schulz","given":"Philipp"},{"family":"Neukermans","given":"Jenny"},{"family":"Kelen","given":"Katrien Van Der"},{"family":"Mühlenbock","given":"Per"},{"family":"Breusegem","given":"Frank Van"},{"family":"Noctor","given":"Graham"},{"family":"Teige","given":"Markus"},{"family":"Metzlaff","given":"Michael"},{"family":"Hannah","given":"Matthew A."}],"accessed":{"date-parts":[["2022",4,19]]},"issued":{"date-parts":[["2012",5,25]]}}},{"id":1125,"uris":["http://zotero.org/users/9078202/items/59BJN3IJ"],"itemData":{"id":1125,"type":"article-journal","abstract":"A changing global environment, rising population and increasing demand for biofuels are challenging agriculture and creating a need for technologies to increase biomass production. Here we demonstrate that the inhibition of poly (ADP-ribose) polymerase activity is a promising technology to achieve this under non-stress conditions. Furthermore, we investigate the basis of this growth enhancement via leaf series and kinematic cell analysis as well as single leaf transcriptomics and plant metabolomics under non-stress conditions. These data indicate a regulatory function of PARP within cell growth and potentially development. PARP inhibition enhances growth of Arabidopsis thaliana by enhancing the cell number. Time course single leaf transcriptomics shows that PARP inhibition regulates a small subset of genes which are related to growth promotion, cell cycle and the control of metabolism. This is supported by metabolite analysis showing overall changes in primary and particularly secondary metabolism. Taken together the results indicate a versatile function of PARP beyond its previously reported roles in controlling plant stress tolerance and thus can be a useful target for enhancing biomass production.","container-title":"PLOS ONE","DOI":"10.1371/journal.pone.0090322","ISSN":"1932-6203","issue":"2","journalAbbreviation":"PLOS ONE","language":"en","note":"publisher: Public Library of Science","page":"e90322","source":"PLoS Journals","title":"Poly(ADP-Ribose)Polymerase Activity Controls Plant Growth by Promoting Leaf Cell Number","URL":"https://journals.plos.org/plosone/article?id=10.1371/journal.pone.0090322","volume":"9","author":[{"family":"Schulz","given":"Philipp"},{"family":"Jansseune","given":"Karel"},{"family":"Degenkolbe","given":"Thomas"},{"family":"Méret","given":"Michaël"},{"family":"Claeys","given":"Hannes"},{"family":"Skirycz","given":"Aleksandra"},{"family":"Teige","given":"Markus"},{"family":"Willmitzer","given":"Lothar"},{"family":"Hannah","given":"Matthew A."}],"accessed":{"date-parts":[["2022",4,19]]},"issued":{"date-parts":[["2014",2,28]]}}}],"schema":"https://github.com/citation-style-language/schema/raw/master/csl-citation.json"} </w:instrText>
      </w:r>
      <w:r w:rsidRPr="00107040">
        <w:rPr>
          <w:sz w:val="28"/>
          <w:szCs w:val="28"/>
          <w:lang w:val="ru-RU"/>
        </w:rPr>
        <w:fldChar w:fldCharType="separate"/>
      </w:r>
      <w:r w:rsidR="008611DC" w:rsidRPr="008611DC">
        <w:rPr>
          <w:sz w:val="28"/>
          <w:lang w:val="ru-RU"/>
        </w:rPr>
        <w:t>[360,361]</w:t>
      </w:r>
      <w:r w:rsidRPr="00107040">
        <w:rPr>
          <w:sz w:val="28"/>
          <w:szCs w:val="28"/>
          <w:lang w:val="ru-RU"/>
        </w:rPr>
        <w:fldChar w:fldCharType="end"/>
      </w:r>
      <w:r w:rsidRPr="00107040">
        <w:rPr>
          <w:sz w:val="28"/>
          <w:szCs w:val="28"/>
          <w:lang w:val="ru-RU"/>
        </w:rPr>
        <w:t xml:space="preserve">. Количество метаболитов, полученных из фенилпропаноидного пути, таких как флавонолы и лигнины, уменьшалось при обработке 3MB </w:t>
      </w:r>
      <w:r w:rsidRPr="00107040">
        <w:rPr>
          <w:sz w:val="28"/>
          <w:szCs w:val="28"/>
          <w:lang w:val="ru-RU"/>
        </w:rPr>
        <w:fldChar w:fldCharType="begin"/>
      </w:r>
      <w:r w:rsidR="008611DC">
        <w:rPr>
          <w:sz w:val="28"/>
          <w:szCs w:val="28"/>
          <w:lang w:val="ru-RU"/>
        </w:rPr>
        <w:instrText xml:space="preserve"> ADDIN ZOTERO_ITEM CSL_CITATION {"citationID":"a5u8oqqfak","properties":{"formattedCitation":"[361]","plainCitation":"[361]","noteIndex":0},"citationItems":[{"id":1125,"uris":["http://zotero.org/users/9078202/items/59BJN3IJ"],"itemData":{"id":1125,"type":"article-journal","abstract":"A changing global environment, rising population and increasing demand for biofuels are challenging agriculture and creating a need for technologies to increase biomass production. Here we demonstrate that the inhibition of poly (ADP-ribose) polymerase activity is a promising technology to achieve this under non-stress conditions. Furthermore, we investigate the basis of this growth enhancement via leaf series and kinematic cell analysis as well as single leaf transcriptomics and plant metabolomics under non-stress conditions. These data indicate a regulatory function of PARP within cell growth and potentially development. PARP inhibition enhances growth of Arabidopsis thaliana by enhancing the cell number. Time course single leaf transcriptomics shows that PARP inhibition regulates a small subset of genes which are related to growth promotion, cell cycle and the control of metabolism. This is supported by metabolite analysis showing overall changes in primary and particularly secondary metabolism. Taken together the results indicate a versatile function of PARP beyond its previously reported roles in controlling plant stress tolerance and thus can be a useful target for enhancing biomass production.","container-title":"PLOS ONE","DOI":"10.1371/journal.pone.0090322","ISSN":"1932-6203","issue":"2","journalAbbreviation":"PLOS ONE","language":"en","note":"publisher: Public Library of Science","page":"e90322","source":"PLoS Journals","title":"Poly(ADP-Ribose)Polymerase Activity Controls Plant Growth by Promoting Leaf Cell Number","URL":"https://journals.plos.org/plosone/article?id=10.1371/journal.pone.0090322","volume":"9","author":[{"family":"Schulz","given":"Philipp"},{"family":"Jansseune","given":"Karel"},{"family":"Degenkolbe","given":"Thomas"},{"family":"Méret","given":"Michaël"},{"family":"Claeys","given":"Hannes"},{"family":"Skirycz","given":"Aleksandra"},{"family":"Teige","given":"Markus"},{"family":"Willmitzer","given":"Lothar"},{"family":"Hannah","given":"Matthew A."}],"accessed":{"date-parts":[["2022",4,19]]},"issued":{"date-parts":[["2014",2,28]]}}}],"schema":"https://github.com/citation-style-language/schema/raw/master/csl-citation.json"} </w:instrText>
      </w:r>
      <w:r w:rsidRPr="00107040">
        <w:rPr>
          <w:sz w:val="28"/>
          <w:szCs w:val="28"/>
          <w:lang w:val="ru-RU"/>
        </w:rPr>
        <w:fldChar w:fldCharType="separate"/>
      </w:r>
      <w:r w:rsidR="008611DC" w:rsidRPr="008611DC">
        <w:rPr>
          <w:sz w:val="28"/>
          <w:lang w:val="ru-RU"/>
        </w:rPr>
        <w:t>[361]</w:t>
      </w:r>
      <w:r w:rsidRPr="00107040">
        <w:rPr>
          <w:sz w:val="28"/>
          <w:szCs w:val="28"/>
          <w:lang w:val="ru-RU"/>
        </w:rPr>
        <w:fldChar w:fldCharType="end"/>
      </w:r>
      <w:r w:rsidRPr="00107040">
        <w:rPr>
          <w:sz w:val="28"/>
          <w:szCs w:val="28"/>
          <w:lang w:val="ru-RU"/>
        </w:rPr>
        <w:t xml:space="preserve">. Эти результаты могут объяснить снижение пигментации </w:t>
      </w:r>
      <w:r w:rsidRPr="00107040">
        <w:rPr>
          <w:sz w:val="28"/>
          <w:szCs w:val="28"/>
          <w:lang w:val="ru-RU"/>
        </w:rPr>
        <w:lastRenderedPageBreak/>
        <w:t xml:space="preserve">листьев, снижение накопления антоцианов и усиление роста растений, наблюдаемые при обработке 3MB в условиях окислительного стресса, вызванного паракватом </w:t>
      </w:r>
      <w:r w:rsidRPr="00107040">
        <w:rPr>
          <w:sz w:val="28"/>
          <w:szCs w:val="28"/>
          <w:lang w:val="ru-RU"/>
        </w:rPr>
        <w:fldChar w:fldCharType="begin"/>
      </w:r>
      <w:r w:rsidR="008611DC">
        <w:rPr>
          <w:sz w:val="28"/>
          <w:szCs w:val="28"/>
          <w:lang w:val="ru-RU"/>
        </w:rPr>
        <w:instrText xml:space="preserve"> ADDIN ZOTERO_ITEM CSL_CITATION {"citationID":"agn3h3g84v","properties":{"formattedCitation":"[360]","plainCitation":"[360]","noteIndex":0},"citationItems":[{"id":1122,"uris":["http://zotero.org/users/9078202/items/9EX853NA"],"itemData":{"id":1122,"type":"article-journal","abstract":"Poly-ADP-ribose polymerase (PARP) post-translationally modifies proteins through the addition of ADP-ribose polymers, yet its role in modulating plant development and stress responses is only poorly understood. The experiments presented here address some of the gaps in our understanding of its role in stress tolerance and thereby provide new insights into tolerance mechanisms and growth. Using a combination of chemical and genetic approaches, this study characterized phenotypes associated with PARP inhibition at the physiological level. Molecular analyses including gene expression analysis, measurement of primary metabolites and redox metabolites were used to understand the underlying processes. The analysis revealed that PARP inhibition represses anthocyanin and ascorbate accumulation under stress conditions. The reduction in defense is correlated with enhanced biomass production. Even in unstressed conditions protective genes and molecules are repressed by PARP inhibition. The reduced anthocyanin production was shown to be based on the repression of transcription of key regulatory and biosynthesis genes. PARP is a key factor for understanding growth and stress responses of plants. PARP inhibition allows plants to reduce protection such as anthocyanin, ascorbate or Non-Photochemical-Quenching whilst maintaining high energy levels likely enabling the observed enhancement of biomass production under stress, opening interesting perspectives for increasing crop productivity.","container-title":"PLOS ONE","DOI":"10.1371/journal.pone.0037287","ISSN":"1932-6203","issue":"5","journalAbbreviation":"PLOS ONE","language":"en","note":"publisher: Public Library of Science","page":"e37287","source":"PLoS Journals","title":"Chemical PARP Inhibition Enhances Growth of Arabidopsis and Reduces Anthocyanin Accumulation and the Activation of Stress Protective Mechanisms","URL":"https://journals.plos.org/plosone/article?id=10.1371/journal.pone.0037287","volume":"7","author":[{"family":"Schulz","given":"Philipp"},{"family":"Neukermans","given":"Jenny"},{"family":"Kelen","given":"Katrien Van Der"},{"family":"Mühlenbock","given":"Per"},{"family":"Breusegem","given":"Frank Van"},{"family":"Noctor","given":"Graham"},{"family":"Teige","given":"Markus"},{"family":"Metzlaff","given":"Michael"},{"family":"Hannah","given":"Matthew A."}],"accessed":{"date-parts":[["2022",4,19]]},"issued":{"date-parts":[["2012",5,25]]}}}],"schema":"https://github.com/citation-style-language/schema/raw/master/csl-citation.json"} </w:instrText>
      </w:r>
      <w:r w:rsidRPr="00107040">
        <w:rPr>
          <w:sz w:val="28"/>
          <w:szCs w:val="28"/>
          <w:lang w:val="ru-RU"/>
        </w:rPr>
        <w:fldChar w:fldCharType="separate"/>
      </w:r>
      <w:r w:rsidR="008611DC" w:rsidRPr="008611DC">
        <w:rPr>
          <w:sz w:val="28"/>
          <w:lang w:val="ru-RU"/>
        </w:rPr>
        <w:t>[360]</w:t>
      </w:r>
      <w:r w:rsidRPr="00107040">
        <w:rPr>
          <w:sz w:val="28"/>
          <w:szCs w:val="28"/>
          <w:lang w:val="ru-RU"/>
        </w:rPr>
        <w:fldChar w:fldCharType="end"/>
      </w:r>
      <w:r w:rsidRPr="00107040">
        <w:rPr>
          <w:sz w:val="28"/>
          <w:szCs w:val="28"/>
          <w:lang w:val="ru-RU"/>
        </w:rPr>
        <w:t xml:space="preserve">. Снижение накопления антоцианов не было специфичным для 3MB, так как ингибиторы PARP 3-метилбензамид и 3-аминофталгидразид действовали аналогично. Кроме того, ингибиторы снижали концентрацию других связанных со стрессом метаболитов, таких как галактинол или мио-инозитол. Помимо вмешательства в реакцию на окислительный стресс, 3MB усиливал рост растений в ответ на солевой, тепловой и световой стресс [106]. Кроме того, 3MB и никотинамид повышали толерантность эксплантатов гипокотиля </w:t>
      </w:r>
      <w:r w:rsidRPr="00107040">
        <w:rPr>
          <w:i/>
          <w:sz w:val="28"/>
          <w:szCs w:val="28"/>
          <w:lang w:val="ru-RU"/>
        </w:rPr>
        <w:t>Brassica napus</w:t>
      </w:r>
      <w:r w:rsidRPr="00107040">
        <w:rPr>
          <w:sz w:val="28"/>
          <w:szCs w:val="28"/>
          <w:lang w:val="ru-RU"/>
        </w:rPr>
        <w:t xml:space="preserve"> к окислительному стрессу, вызванному ацетилсалициловой кислотой </w:t>
      </w:r>
      <w:r w:rsidRPr="00107040">
        <w:rPr>
          <w:sz w:val="28"/>
          <w:szCs w:val="28"/>
          <w:lang w:val="ru-RU"/>
        </w:rPr>
        <w:fldChar w:fldCharType="begin"/>
      </w:r>
      <w:r>
        <w:rPr>
          <w:sz w:val="28"/>
          <w:szCs w:val="28"/>
          <w:lang w:val="ru-RU"/>
        </w:rPr>
        <w:instrText xml:space="preserve"> ADDIN ZOTERO_ITEM CSL_CITATION {"citationID":"a1h3sb4rqf8","properties":{"formattedCitation":"[24]","plainCitation":"[24]","noteIndex":0},"citationItems":[{"id":1278,"uris":["http://zotero.org/users/9078202/items/W6JPRRQR"],"itemData":{"id":1278,"type":"article-journal","abstract":"Plants contain two genes that code for poly(ADP-ribose) polymerase (PARP): parp1 and parp2. Both PARPs are activated by DNA damage caused by, example reactive oxygen species. Upon activation polymers of ADP-ribose are synthesized on a range of nuclear enzymes using NAD(+) as substrate. Here, we show that in plants stresses such as drought, high light and heat activate PARP causing NAD(+) breakdown and ATP consumption. When the PARP activity is reduced by means of chemical inhibitors or by gene silencing, cell death is inhibited and plants become tolerant to a broad range of abiotic stresses like high light, drought and heat. Plant lines with low poly(ADP-ribosyl)ation activity maintain under stress conditions their energy homeostasis by reducing NAD(+) breakdown and consequently energy consumption. The higher energy-use efficiency avoids the need for a too intense mitochondrial respiration and consequently reduces the formation of reactive oxygen species. From these results it can be concluded that breeding or engineering for a high energy-use efficiency under stress conditions is a valuable, but until today nearly unexploited, approach to enhance overall stress tolerance of crops.","container-title":"The Plant Journal: For Cell and Molecular Biology","DOI":"10.1111/j.1365-313X.2004.02277.x","ISSN":"0960-7412","issue":"1","journalAbbreviation":"Plant J","language":"eng","note":"PMID: 15610352","page":"95-106","source":"PubMed","title":"Poly(ADP-ribose) polymerase in plants affects energy homeostasis, cell death and stress tolerance","volume":"41","author":[{"family":"De Block","given":"Marc"},{"family":"Verduyn","given":"Christoph"},{"family":"De Brouwer","given":"Dirk"},{"family":"Cornelissen","given":"Marc"}],"issued":{"date-parts":[["2005",1]]}}}],"schema":"https://github.com/citation-style-language/schema/raw/master/csl-citation.json"} </w:instrText>
      </w:r>
      <w:r w:rsidRPr="00107040">
        <w:rPr>
          <w:sz w:val="28"/>
          <w:szCs w:val="28"/>
          <w:lang w:val="ru-RU"/>
        </w:rPr>
        <w:fldChar w:fldCharType="separate"/>
      </w:r>
      <w:r w:rsidRPr="00107040">
        <w:rPr>
          <w:sz w:val="28"/>
          <w:lang w:val="ru-RU"/>
        </w:rPr>
        <w:t>[24]</w:t>
      </w:r>
      <w:r w:rsidRPr="00107040">
        <w:rPr>
          <w:sz w:val="28"/>
          <w:szCs w:val="28"/>
          <w:lang w:val="ru-RU"/>
        </w:rPr>
        <w:fldChar w:fldCharType="end"/>
      </w:r>
      <w:r w:rsidRPr="00107040">
        <w:rPr>
          <w:sz w:val="28"/>
          <w:szCs w:val="28"/>
          <w:lang w:val="ru-RU"/>
        </w:rPr>
        <w:t xml:space="preserve">. В другом исследовании 4-амино-1,8-нафталамид, ингибитор PARP, увеличивал скорость роста </w:t>
      </w:r>
      <w:r w:rsidRPr="00107040">
        <w:rPr>
          <w:i/>
          <w:sz w:val="28"/>
          <w:szCs w:val="28"/>
          <w:lang w:val="ru-RU"/>
        </w:rPr>
        <w:t>Lemna minor</w:t>
      </w:r>
      <w:r w:rsidRPr="00107040">
        <w:rPr>
          <w:sz w:val="28"/>
          <w:szCs w:val="28"/>
          <w:lang w:val="ru-RU"/>
        </w:rPr>
        <w:t xml:space="preserve">, сталкивающихся с осмотическим стрессом, при обработке полиэтиленгликолем (-0,3 МПа) и повышал толерантность культуры клеток </w:t>
      </w:r>
      <w:r w:rsidRPr="00107040">
        <w:rPr>
          <w:i/>
          <w:sz w:val="28"/>
          <w:szCs w:val="28"/>
          <w:lang w:val="ru-RU"/>
        </w:rPr>
        <w:t>Arabidopsis</w:t>
      </w:r>
      <w:r w:rsidRPr="00107040">
        <w:rPr>
          <w:sz w:val="28"/>
          <w:szCs w:val="28"/>
          <w:lang w:val="ru-RU"/>
        </w:rPr>
        <w:t xml:space="preserve"> к H</w:t>
      </w:r>
      <w:r w:rsidRPr="00107040">
        <w:rPr>
          <w:sz w:val="28"/>
          <w:szCs w:val="28"/>
          <w:vertAlign w:val="subscript"/>
          <w:lang w:val="ru-RU"/>
        </w:rPr>
        <w:t>2</w:t>
      </w:r>
      <w:r w:rsidRPr="00107040">
        <w:rPr>
          <w:sz w:val="28"/>
          <w:szCs w:val="28"/>
          <w:lang w:val="ru-RU"/>
        </w:rPr>
        <w:t>O</w:t>
      </w:r>
      <w:r w:rsidRPr="00107040">
        <w:rPr>
          <w:sz w:val="28"/>
          <w:szCs w:val="28"/>
          <w:vertAlign w:val="subscript"/>
          <w:lang w:val="ru-RU"/>
        </w:rPr>
        <w:t>2</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{"citationID":"ah4e01pduj","properties":{"formattedCitation":"[385]","plainCitation":"[385]","noteIndex":0},"citationItems":[{"id":1807,"uris":["http://zotero.org/users/9078202/items/DQ3KWGP5"],"itemData":{"id":1807,"type":"article-journal","abstract":"The frequency and intensity of extreme weather events and global temperature are rising, which poses a potential threat to life, specifically crops, and therefore food and bioenergy supply. Reduced water availability has the most severe impact on potential grain yield. Negative effects of transient drought stress (dry spells) can be countered by drought tolerance-inducing chemicals. In search for useful compounds, biochemical assays are fast but limited in scope, whereas whole-plant assays are slow, require large amounts of compounds, and are usually not concentration-related. Here we report the development of a fast, concentration-dependent whole-plant assay using the fast growing duckweed Lemna minor L. 4-Amino-1,8-naphthalimide (1) and the imidacloprid metabolite 6-chloronicotinic acid (2) were affirmed as drought stress tolerance enhancers. Both also reduce oxidative stress-induced cell death in Arabidopsis thaliana (L.) Heynh. cell suspension culture but show differences in their mode of action.","container-title":"Journal of Plant Growth Regulation","DOI":"10.1007/s00344-011-9212-1","ISSN":"1435-8107","issue":"4","journalAbbreviation":"J Plant Growth Regul","language":"en","page":"504-511","source":"Springer Link","title":"A Whole-Plant Microtiter Plate Assay for Drought Stress Tolerance-Inducing Effects","URL":"https://doi.org/10.1007/s00344-011-9212-1","volume":"30","author":[{"family":"Geissler","given":"Torsten"},{"family":"Wessjohann","given":"Ludger A."}],"accessed":{"date-parts":[["2022",9,7]]},"issued":{"date-parts":[["2011",12,1]]}}}],"schema":"https://github.com/citation-style-language/schema/raw/master/csl-citation.json"} </w:instrText>
      </w:r>
      <w:r w:rsidRPr="00107040">
        <w:rPr>
          <w:sz w:val="28"/>
          <w:szCs w:val="28"/>
          <w:lang w:val="ru-RU"/>
        </w:rPr>
        <w:fldChar w:fldCharType="separate"/>
      </w:r>
      <w:r w:rsidR="008611DC" w:rsidRPr="008611DC">
        <w:rPr>
          <w:sz w:val="28"/>
          <w:lang w:val="ru-RU"/>
        </w:rPr>
        <w:t>[385]</w:t>
      </w:r>
      <w:r w:rsidRPr="00107040">
        <w:rPr>
          <w:sz w:val="28"/>
          <w:szCs w:val="28"/>
          <w:lang w:val="ru-RU"/>
        </w:rPr>
        <w:fldChar w:fldCharType="end"/>
      </w:r>
      <w:r w:rsidRPr="00107040">
        <w:rPr>
          <w:sz w:val="28"/>
          <w:szCs w:val="28"/>
          <w:lang w:val="ru-RU"/>
        </w:rPr>
        <w:t xml:space="preserve">. В отличие от данных о том, что фармакологическое ингибирование PARP снижает чувствительность растений к обработке паракватом </w:t>
      </w:r>
      <w:r w:rsidRPr="00107040">
        <w:rPr>
          <w:sz w:val="28"/>
          <w:szCs w:val="28"/>
          <w:lang w:val="ru-RU"/>
        </w:rPr>
        <w:fldChar w:fldCharType="begin"/>
      </w:r>
      <w:r>
        <w:rPr>
          <w:sz w:val="28"/>
          <w:szCs w:val="28"/>
          <w:lang w:val="ru-RU"/>
        </w:rPr>
        <w:instrText xml:space="preserve"> ADDIN ZOTERO_ITEM CSL_CITATION {"citationID":"a4n4r2tla4","properties":{"formattedCitation":"[24]","plainCitation":"[24]","noteIndex":0},"citationItems":[{"id":1278,"uris":["http://zotero.org/users/9078202/items/W6JPRRQR"],"itemData":{"id":1278,"type":"article-journal","abstract":"Plants contain two genes that code for poly(ADP-ribose) polymerase (PARP): parp1 and parp2. Both PARPs are activated by DNA damage caused by, example reactive oxygen species. Upon activation polymers of ADP-ribose are synthesized on a range of nuclear enzymes using NAD(+) as substrate. Here, we show that in plants stresses such as drought, high light and heat activate PARP causing NAD(+) breakdown and ATP consumption. When the PARP activity is reduced by means of chemical inhibitors or by gene silencing, cell death is inhibited and plants become tolerant to a broad range of abiotic stresses like high light, drought and heat. Plant lines with low poly(ADP-ribosyl)ation activity maintain under stress conditions their energy homeostasis by reducing NAD(+) breakdown and consequently energy consumption. The higher energy-use efficiency avoids the need for a too intense mitochondrial respiration and consequently reduces the formation of reactive oxygen species. From these results it can be concluded that breeding or engineering for a high energy-use efficiency under stress conditions is a valuable, but until today nearly unexploited, approach to enhance overall stress tolerance of crops.","container-title":"The Plant Journal: For Cell and Molecular Biology","DOI":"10.1111/j.1365-313X.2004.02277.x","ISSN":"0960-7412","issue":"1","journalAbbreviation":"Plant J","language":"eng","note":"PMID: 15610352","page":"95-106","source":"PubMed","title":"Poly(ADP-ribose) polymerase in plants affects energy homeostasis, cell death and stress tolerance","volume":"41","author":[{"family":"De Block","given":"Marc"},{"family":"Verduyn","given":"Christoph"},{"family":"De Brouwer","given":"Dirk"},{"family":"Cornelissen","given":"Marc"}],"issued":{"date-parts":[["2005",1]]}}}],"schema":"https://github.com/citation-style-language/schema/raw/master/csl-citation.json"} </w:instrText>
      </w:r>
      <w:r w:rsidRPr="00107040">
        <w:rPr>
          <w:sz w:val="28"/>
          <w:szCs w:val="28"/>
          <w:lang w:val="ru-RU"/>
        </w:rPr>
        <w:fldChar w:fldCharType="separate"/>
      </w:r>
      <w:r w:rsidRPr="00107040">
        <w:rPr>
          <w:sz w:val="28"/>
          <w:lang w:val="ru-RU"/>
        </w:rPr>
        <w:t>[24]</w:t>
      </w:r>
      <w:r w:rsidRPr="00107040">
        <w:rPr>
          <w:sz w:val="28"/>
          <w:szCs w:val="28"/>
          <w:lang w:val="ru-RU"/>
        </w:rPr>
        <w:fldChar w:fldCharType="end"/>
      </w:r>
      <w:r w:rsidRPr="00107040">
        <w:rPr>
          <w:sz w:val="28"/>
          <w:szCs w:val="28"/>
          <w:lang w:val="ru-RU"/>
        </w:rPr>
        <w:t xml:space="preserve">, другие авторы обнаружили, что обработка проростков арабидопсиса 3AB повышала чувствительность к длительной обработке паракватом </w:t>
      </w:r>
      <w:r w:rsidRPr="00107040">
        <w:rPr>
          <w:sz w:val="28"/>
          <w:szCs w:val="28"/>
          <w:lang w:val="ru-RU"/>
        </w:rPr>
        <w:fldChar w:fldCharType="begin"/>
      </w:r>
      <w:r w:rsidR="008611DC">
        <w:rPr>
          <w:sz w:val="28"/>
          <w:szCs w:val="28"/>
          <w:lang w:val="ru-RU"/>
        </w:rPr>
        <w:instrText xml:space="preserve"> ADDIN ZOTERO_ITEM CSL_CITATION {"citationID":"a2i7a83lpe4","properties":{"formattedCitation":"[341]","plainCitation":"[341]","noteIndex":0},"citationItems":[{"id":1671,"uris":["http://zotero.org/users/9078202/items/MIAT9GXH"],"itemData":{"id":1671,"type":"article-journal","abstract":"Here, we assessed modulation of the poly(ADP-ribosyl)ation (PAR) reaction by an Arabidopsis (Arabidopsis thaliana) ADP-ribose (Rib)/NADH pyrophosphohydrolase, AtNUDX7 (for Arabidopsis Nudix hydrolase 7), in AtNUDX7-overexpressed (Pro(35S):AtNUDX7) or AtNUDX7-disrupted (KO-nudx7) plants under normal conditions and oxidative stress caused by paraquat treatment. Levels of NADH and ADP-Rib were decreased in the Pro(35S):AtNUDX7 plants but increased in the KO-nudx7 plants under normal conditions and oxidative stress compared with the control plants, indicating that AtNUDX7 hydrolyzes both ADP-Rib and NADH as physiological substrates. The Pro(35S):AtNUDX7 and KO-nudx7 plants showed increased and decreased tolerance, respectively, to oxidative stress compared with the control plants. Levels of poly(ADP-Rib) in the Pro(35S):AtNUDX7 and KO-nudx7 plants were markedly higher and lower, respectively, than those in the control plants. Depletion of NAD(+) and ATP resulting from the activation of the PAR reaction under oxidative stress was completely suppressed in the Pro(35S):AtNUDX7 plants. Accumulation of NAD(+) and ATP was observed in the KO-nudx7- and 3-aminobenzamide-treated plants, in which the PAR reaction was suppressed. The expression levels of DNA repair factors, AtXRCC1 and AtXRCC2 (for x-ray repair cross-complementing factors 1 and 2), paralleled that of AtNUDX7 under both normal conditions and oxidative stress, although an inverse correlation was observed between the levels of AtXRCC3, AtRAD51 (for Escherichia coli RecA homolog), AtDMC1 (for disrupted meiotic cDNA), and AtMND1 (for meiotic nuclear divisions) and AtNUDX7. These findings suggest that AtNUDX7 controls the balance between NADH and NAD(+) by NADH turnover under normal conditions. Under oxidative stress, AtNUDX7 serves to maintain NAD(+) levels by supplying ATP via nucleotide recycling from free ADP-Rib molecules and thus regulates the defense mechanisms against oxidative DNA damage via modulation of the PAR reaction.","container-title":"Plant Physiology","DOI":"10.1104/pp.109.140442","ISSN":"0032-0889","issue":"2","journalAbbreviation":"Plant Physiol","language":"eng","note":"PMID: 19656905\nPMCID: PMC2754630","page":"741-754","source":"PubMed","title":"Modulation of the poly(ADP-ribosyl)ation reaction via the Arabidopsis ADP-ribose/NADH pyrophosphohydrolase, AtNUDX7, is involved in the response to oxidative stress","volume":"151","author":[{"family":"Ishikawa","given":"Kazuya"},{"family":"Ogawa","given":"Takahisa"},{"family":"Hirosue","given":"Eisuke"},{"family":"Nakayama","given":"Yasumune"},{"family":"Harada","given":"Kazuo"},{"family":"Fukusaki","given":"Eiichiro"},{"family":"Yoshimura","given":"Kazuya"},{"family":"Shigeoka","given":"Shigeru"}],"issued":{"date-parts":[["2009",10]]}}}],"schema":"https://github.com/citation-style-language/schema/raw/master/csl-citation.json"} </w:instrText>
      </w:r>
      <w:r w:rsidRPr="00107040">
        <w:rPr>
          <w:sz w:val="28"/>
          <w:szCs w:val="28"/>
          <w:lang w:val="ru-RU"/>
        </w:rPr>
        <w:fldChar w:fldCharType="separate"/>
      </w:r>
      <w:r w:rsidR="008611DC" w:rsidRPr="008611DC">
        <w:rPr>
          <w:sz w:val="28"/>
          <w:lang w:val="ru-RU"/>
        </w:rPr>
        <w:t>[341]</w:t>
      </w:r>
      <w:r w:rsidRPr="00107040">
        <w:rPr>
          <w:sz w:val="28"/>
          <w:szCs w:val="28"/>
          <w:lang w:val="ru-RU"/>
        </w:rPr>
        <w:fldChar w:fldCharType="end"/>
      </w:r>
      <w:r w:rsidRPr="00107040">
        <w:rPr>
          <w:sz w:val="28"/>
          <w:szCs w:val="28"/>
          <w:lang w:val="ru-RU"/>
        </w:rPr>
        <w:t xml:space="preserve">. Это несоответствие можно объяснить разным уровнем стресса и, как следствие, степенью активации PARP. </w:t>
      </w:r>
    </w:p>
    <w:p w14:paraId="091D3B44"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p>
    <w:p w14:paraId="41774CE3" w14:textId="77777777" w:rsidR="00107040" w:rsidRPr="00107040" w:rsidRDefault="00107040" w:rsidP="00107040">
      <w:pPr>
        <w:pStyle w:val="p"/>
        <w:shd w:val="clear" w:color="auto" w:fill="FFFFFF"/>
        <w:spacing w:before="0" w:beforeAutospacing="0" w:after="0" w:afterAutospacing="0"/>
        <w:ind w:firstLine="567"/>
        <w:jc w:val="both"/>
        <w:rPr>
          <w:b/>
          <w:sz w:val="28"/>
          <w:szCs w:val="28"/>
          <w:lang w:val="ru-RU"/>
        </w:rPr>
      </w:pPr>
      <w:bookmarkStart w:id="52" w:name="_Hlk113268607"/>
      <w:r w:rsidRPr="00107040">
        <w:rPr>
          <w:b/>
          <w:sz w:val="28"/>
          <w:szCs w:val="28"/>
          <w:lang w:val="ru-RU"/>
        </w:rPr>
        <w:t>1.12 Поли(АДФ-рибозил)ирование и реакция растений на биотический стресс</w:t>
      </w:r>
    </w:p>
    <w:bookmarkEnd w:id="52"/>
    <w:p w14:paraId="18CD6840" w14:textId="3FC228E5"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Патоген-ассоциированные молекулярные паттерны (</w:t>
      </w:r>
      <w:r w:rsidRPr="00107040">
        <w:rPr>
          <w:sz w:val="28"/>
          <w:szCs w:val="28"/>
        </w:rPr>
        <w:t>PAMP</w:t>
      </w:r>
      <w:r w:rsidRPr="00107040">
        <w:rPr>
          <w:sz w:val="28"/>
          <w:szCs w:val="28"/>
          <w:lang w:val="ru-RU"/>
        </w:rPr>
        <w:t xml:space="preserve">) представляют собой структурные или функциональные единицы микроба, которые распознаются иммунной системой растений и вызывают защитные реакции. Такими </w:t>
      </w:r>
      <w:r w:rsidRPr="00107040">
        <w:rPr>
          <w:sz w:val="28"/>
          <w:szCs w:val="28"/>
        </w:rPr>
        <w:t>PAMP</w:t>
      </w:r>
      <w:r w:rsidRPr="00107040">
        <w:rPr>
          <w:sz w:val="28"/>
          <w:szCs w:val="28"/>
          <w:lang w:val="ru-RU"/>
        </w:rPr>
        <w:t xml:space="preserve"> являются </w:t>
      </w:r>
      <w:r w:rsidRPr="00107040">
        <w:rPr>
          <w:sz w:val="28"/>
          <w:szCs w:val="28"/>
        </w:rPr>
        <w:t>N</w:t>
      </w:r>
      <w:r w:rsidRPr="00107040">
        <w:rPr>
          <w:sz w:val="28"/>
          <w:szCs w:val="28"/>
          <w:lang w:val="ru-RU"/>
        </w:rPr>
        <w:t>-концевые 22 аминокислоты флагеллина (</w:t>
      </w:r>
      <w:r w:rsidRPr="00107040">
        <w:rPr>
          <w:sz w:val="28"/>
          <w:szCs w:val="28"/>
        </w:rPr>
        <w:t>flg</w:t>
      </w:r>
      <w:r w:rsidRPr="00107040">
        <w:rPr>
          <w:sz w:val="28"/>
          <w:szCs w:val="28"/>
          <w:lang w:val="ru-RU"/>
        </w:rPr>
        <w:t xml:space="preserve">22) из бактерий </w:t>
      </w:r>
      <w:r w:rsidRPr="00107040">
        <w:rPr>
          <w:i/>
          <w:sz w:val="28"/>
          <w:szCs w:val="28"/>
        </w:rPr>
        <w:t>Pseudomonas</w:t>
      </w:r>
      <w:r w:rsidRPr="00107040">
        <w:rPr>
          <w:i/>
          <w:sz w:val="28"/>
          <w:szCs w:val="28"/>
          <w:lang w:val="ru-RU"/>
        </w:rPr>
        <w:t xml:space="preserve"> </w:t>
      </w:r>
      <w:r w:rsidRPr="00107040">
        <w:rPr>
          <w:sz w:val="28"/>
          <w:szCs w:val="28"/>
          <w:lang w:val="ru-RU"/>
        </w:rPr>
        <w:t xml:space="preserve">и </w:t>
      </w:r>
      <w:r w:rsidRPr="00107040">
        <w:rPr>
          <w:sz w:val="28"/>
          <w:szCs w:val="28"/>
        </w:rPr>
        <w:t>N</w:t>
      </w:r>
      <w:r w:rsidRPr="00107040">
        <w:rPr>
          <w:sz w:val="28"/>
          <w:szCs w:val="28"/>
          <w:lang w:val="ru-RU"/>
        </w:rPr>
        <w:t xml:space="preserve">-концевые 18 аминокислот </w:t>
      </w:r>
      <w:r w:rsidRPr="00107040">
        <w:rPr>
          <w:sz w:val="28"/>
          <w:szCs w:val="28"/>
        </w:rPr>
        <w:t>EF</w:t>
      </w:r>
      <w:r w:rsidRPr="00107040">
        <w:rPr>
          <w:sz w:val="28"/>
          <w:szCs w:val="28"/>
          <w:lang w:val="ru-RU"/>
        </w:rPr>
        <w:t>-</w:t>
      </w:r>
      <w:r w:rsidRPr="00107040">
        <w:rPr>
          <w:sz w:val="28"/>
          <w:szCs w:val="28"/>
        </w:rPr>
        <w:t>Tu</w:t>
      </w:r>
      <w:r w:rsidRPr="00107040">
        <w:rPr>
          <w:sz w:val="28"/>
          <w:szCs w:val="28"/>
          <w:lang w:val="ru-RU"/>
        </w:rPr>
        <w:t xml:space="preserve"> (</w:t>
      </w:r>
      <w:r w:rsidRPr="00107040">
        <w:rPr>
          <w:sz w:val="28"/>
          <w:szCs w:val="28"/>
        </w:rPr>
        <w:t>elf</w:t>
      </w:r>
      <w:r w:rsidRPr="00107040">
        <w:rPr>
          <w:sz w:val="28"/>
          <w:szCs w:val="28"/>
          <w:lang w:val="ru-RU"/>
        </w:rPr>
        <w:t xml:space="preserve">18) из </w:t>
      </w:r>
      <w:r w:rsidRPr="00107040">
        <w:rPr>
          <w:i/>
          <w:sz w:val="28"/>
          <w:szCs w:val="28"/>
        </w:rPr>
        <w:t>Escherichia</w:t>
      </w:r>
      <w:r w:rsidRPr="00107040">
        <w:rPr>
          <w:i/>
          <w:sz w:val="28"/>
          <w:szCs w:val="28"/>
          <w:lang w:val="ru-RU"/>
        </w:rPr>
        <w:t xml:space="preserve"> </w:t>
      </w:r>
      <w:r w:rsidRPr="00107040">
        <w:rPr>
          <w:i/>
          <w:sz w:val="28"/>
          <w:szCs w:val="28"/>
        </w:rPr>
        <w:t>coli</w:t>
      </w:r>
      <w:r w:rsidR="00FB5E68" w:rsidRPr="00FB5E68">
        <w:rPr>
          <w:i/>
          <w:sz w:val="28"/>
          <w:szCs w:val="28"/>
          <w:lang w:val="ru-RU"/>
        </w:rPr>
        <w:t xml:space="preserve"> </w:t>
      </w:r>
      <w:r w:rsidR="00CA7043">
        <w:rPr>
          <w:sz w:val="28"/>
          <w:szCs w:val="28"/>
          <w:lang w:val="ru-RU"/>
        </w:rPr>
        <w:fldChar w:fldCharType="begin"/>
      </w:r>
      <w:r w:rsidR="008611DC">
        <w:rPr>
          <w:sz w:val="28"/>
          <w:szCs w:val="28"/>
          <w:lang w:val="ru-RU"/>
        </w:rPr>
        <w:instrText xml:space="preserve"> ADDIN ZOTERO_ITEM CSL_CITATION {"citationID":"mQR7jnk0","properties":{"formattedCitation":"[386]","plainCitation":"[386]","noteIndex":0},"citationItems":[{"id":1912,"uris":["http://zotero.org/users/9078202/items/874NRNXT"],"itemData":{"id":1912,"type":"article-journal","abstract":"Innate immunity is based on the recognition of pathogen-associated molecular patterns (PAMPs). Here, we show that elongation factor Tu (EF-Tu), the most abundant bacterial protein, acts as a PAMP in Arabidopsis thaliana and other Brassicaceae. EF-Tu is highly conserved in all bacteria and is known to be N-acetylated in Escherichia coli. Arabidopsis plants specifically recognize the N terminus of the protein, and an N-acetylated peptide comprising the first 18 amino acids, termed elf18, is fully active as inducer of defense responses. The shorter peptide, elf12, comprising the acetyl group and the first 12 N-terminal amino acids, is inactive as elicitor but acts as a specific antagonist for EF-Tu-related elicitors. In leaves of Arabidopsis plants, elf18 induces an oxidative burst and biosynthesis of ethylene, and it triggers resistance to subsequent infection with pathogenic bacteria.","container-title":"The Plant Cell","DOI":"10.1105/tpc.104.026765","ISSN":"1040-4651","issue":"12","journalAbbreviation":"Plant Cell","language":"eng","note":"PMID: 15548740\nPMCID: PMC535888","page":"3496-3507","source":"PubMed","title":"The N terminus of bacterial elongation factor Tu elicits innate immunity in Arabidopsis plants","volume":"16","author":[{"family":"Kunze","given":"Gernot"},{"family":"Zipfel","given":"Cyril"},{"family":"Robatzek","given":"Silke"},{"family":"Niehaus","given":"Karsten"},{"family":"Boller","given":"Thomas"},{"family":"Felix","given":"Georg"}],"issued":{"date-parts":[["2004",12]]}}}],"schema":"https://github.com/citation-style-language/schema/raw/master/csl-citation.json"} </w:instrText>
      </w:r>
      <w:r w:rsidR="00CA7043">
        <w:rPr>
          <w:sz w:val="28"/>
          <w:szCs w:val="28"/>
          <w:lang w:val="ru-RU"/>
        </w:rPr>
        <w:fldChar w:fldCharType="separate"/>
      </w:r>
      <w:r w:rsidR="008611DC" w:rsidRPr="008611DC">
        <w:rPr>
          <w:sz w:val="28"/>
          <w:lang w:val="ru-RU"/>
        </w:rPr>
        <w:t>[386]</w:t>
      </w:r>
      <w:r w:rsidR="00CA7043">
        <w:rPr>
          <w:sz w:val="28"/>
          <w:szCs w:val="28"/>
          <w:lang w:val="ru-RU"/>
        </w:rPr>
        <w:fldChar w:fldCharType="end"/>
      </w:r>
      <w:r w:rsidR="00FB5E68" w:rsidRPr="00FB5E68">
        <w:rPr>
          <w:sz w:val="28"/>
          <w:szCs w:val="28"/>
          <w:lang w:val="ru-RU"/>
        </w:rPr>
        <w:t>.</w:t>
      </w:r>
      <w:r w:rsidRPr="00107040">
        <w:rPr>
          <w:sz w:val="28"/>
          <w:szCs w:val="28"/>
          <w:lang w:val="ru-RU"/>
        </w:rPr>
        <w:t xml:space="preserve"> Они вызывают иммунные реакции, такие как окислительный взрыв, повышение уровня свободного Са</w:t>
      </w:r>
      <w:r w:rsidRPr="00107040">
        <w:rPr>
          <w:sz w:val="28"/>
          <w:szCs w:val="28"/>
          <w:vertAlign w:val="superscript"/>
          <w:lang w:val="ru-RU"/>
        </w:rPr>
        <w:t>2+</w:t>
      </w:r>
      <w:r w:rsidRPr="00107040">
        <w:rPr>
          <w:sz w:val="28"/>
          <w:szCs w:val="28"/>
          <w:lang w:val="ru-RU"/>
        </w:rPr>
        <w:t xml:space="preserve"> в цитозоле, усиление клеточной стенки каллозой и лигнином и индукцию транскрипции защитных генов </w:t>
      </w:r>
      <w:r w:rsidRPr="00107040">
        <w:rPr>
          <w:sz w:val="28"/>
          <w:szCs w:val="28"/>
          <w:lang w:val="ru-RU"/>
        </w:rPr>
        <w:fldChar w:fldCharType="begin"/>
      </w:r>
      <w:r w:rsidR="00FB5E68">
        <w:rPr>
          <w:sz w:val="28"/>
          <w:szCs w:val="28"/>
          <w:lang w:val="ru-RU"/>
        </w:rPr>
        <w:instrText xml:space="preserve"> ADDIN ZOTERO_ITEM CSL_CITATION {"citationID":"6asCXfkv","properties":{"formattedCitation":"[387,388]","plainCitation":"[387,388]","noteIndex":0},"citationItems":[{"id":1809,"uris":["http://zotero.org/users/9078202/items/38CZ947U"],"itemData":{"id":1809,"type":"article-journal","abstract":"The flagellum is an important virulence factor for bacteria pathogenic to animals and plants. Here we demonstrate that plants have a highly sensitive chemoperception system for eubacterial flagellins, specifically targeted to the most highly conserved domain within its N terminus. Synthetic peptides comprising 15-22 amino acids of this domain acted as elicitors of defence responses at sub-nanomolar concentrations in cells of tomato and several other plant species. Peptides comprising only the central 8 to 11 amino acids of the active domain had no elicitor activity but acted as specific, competitive inhibitors in tomato cells. These antagonists suppressed the plant's response to flagellin, crude bacterial extracts and living bacterial cells. Thus, plants have a highly sensitive and selective perception system for the flagellin of motile eubacteria.","container-title":"The Plant Journal: For Cell and Molecular Biology","DOI":"10.1046/j.1365-313x.1999.00265.x","ISSN":"0960-7412","issue":"3","journalAbbreviation":"Plant J","language":"eng","note":"PMID: 10377992","page":"265-276","source":"PubMed","title":"Plants have a sensitive perception system for the most conserved domain of bacterial flagellin","volume":"18","author":[{"family":"Felix","given":"G."},{"family":"Duran","given":"J. D."},{"family":"Volko","given":"S."},{"family":"Boller","given":"T."}],"issued":{"date-parts":[["1999",5]]}}},{"id":1814,"uris":["http://zotero.org/users/9078202/items/5GICHGWL"],"itemData":{"id":1814,"type":"article-journal","abstract":"Changes in cytosolic free calcium ([Ca(2+)]cyt) are an early and essential element of signalling networks activated by the perception of pathogen-associated molecular patterns (PAMPs), such as flg22. The flg22-induced calcium signal has been described on whole-plant, but not on single-cell scale so far. Also, the Ca(2+) sources and channels contributing to its generation are still obscure. Ratiometric fluorescence imaging employing the calcium reporter Yellow Cameleon 3.6 was performed to analyse the flg22-induced calcium signature in single guard cells of Arabidopsis thaliana. Calcium stores and channel types involved in its generation were determined by a pharmacological approach. In contrast to the calcium signal determined on whole-plant level, the signature on single-cell level is not characterized by one sustained response, but by oscillations in [Ca(2+)]cyt. These oscillations were abolished by EGTA and lanthanum, as well as by U73122, neomycin and TMB-8, but only partially or not at all affected by inhibitors of glutamate receptor-like channels and cyclic nucleotide-gated channels. Our analyses suggest that the response observed on whole-plant level is the summary of oscillations occurring in single cells. Parallel to external calcium, influx via channels located at internal stores contributes to the signal.","container-title":"The New Phytologist","DOI":"10.1111/nph.13064","ISSN":"1469-8137","issue":"4","journalAbbreviation":"New Phytol","language":"eng","note":"PMID: 25243759","page":"873-881","source":"PubMed","title":"Cytosolic calcium signals elicited by the pathogen-associated molecular pattern flg22 in stomatal guard cells are of an oscillatory nature","volume":"204","author":[{"family":"Thor","given":"Kathrin"},{"family":"Peiter","given":"Edgar"}],"issued":{"date-parts":[["2014",12]]}}}],"schema":"https://github.com/citation-style-language/schema/raw/master/csl-citation.json"} </w:instrText>
      </w:r>
      <w:r w:rsidRPr="00107040">
        <w:rPr>
          <w:sz w:val="28"/>
          <w:szCs w:val="28"/>
          <w:lang w:val="ru-RU"/>
        </w:rPr>
        <w:fldChar w:fldCharType="separate"/>
      </w:r>
      <w:r w:rsidR="00FB5E68" w:rsidRPr="00FB5E68">
        <w:rPr>
          <w:sz w:val="28"/>
          <w:lang w:val="ru-RU"/>
        </w:rPr>
        <w:t>[387,388]</w:t>
      </w:r>
      <w:r w:rsidRPr="00107040">
        <w:rPr>
          <w:sz w:val="28"/>
          <w:szCs w:val="28"/>
          <w:lang w:val="ru-RU"/>
        </w:rPr>
        <w:fldChar w:fldCharType="end"/>
      </w:r>
      <w:r w:rsidRPr="00107040">
        <w:rPr>
          <w:sz w:val="28"/>
          <w:szCs w:val="28"/>
          <w:lang w:val="ru-RU"/>
        </w:rPr>
        <w:t>.</w:t>
      </w:r>
      <w:r w:rsidRPr="00107040">
        <w:rPr>
          <w:sz w:val="28"/>
          <w:szCs w:val="28"/>
          <w:lang w:val="kk-KZ"/>
        </w:rPr>
        <w:t xml:space="preserve"> Ингибиторы PARP 3AB и 6-(5H)-фенантридинон блокируют индуцированное flg22 и elf18 отложение каллозы в проростках арабидопсиса </w:t>
      </w:r>
      <w:r w:rsidRPr="00107040">
        <w:rPr>
          <w:sz w:val="28"/>
          <w:szCs w:val="28"/>
          <w:lang w:val="kk-KZ"/>
        </w:rPr>
        <w:fldChar w:fldCharType="begin"/>
      </w:r>
      <w:r w:rsidR="00FB5E68">
        <w:rPr>
          <w:sz w:val="28"/>
          <w:szCs w:val="28"/>
          <w:lang w:val="kk-KZ"/>
        </w:rPr>
        <w:instrText xml:space="preserve"> ADDIN ZOTERO_ITEM CSL_CITATION {"citationID":"a1mq8mirr4h","properties":{"formattedCitation":"[327,350,362,389]","plainCitation":"[327,350,362,389]","noteIndex":0},"citationItems":[{"id":1631,"uris":["http://zotero.org/users/9078202/items/YIIMG6YR"],"itemData":{"id":1631,"type":"article-journal","abstract":"Abiotic and biotic stress can have a detrimental impact on plant growth and productivity. Hence, there is a substantial demand for key factors of stress responses to improve yield stability of crops. Members of the poly(ADP-ribose)polymerase (PARP) protein family, which post-translationally modify (PARylate) nuclear proteins, have been suggested as such universal determinants of plant stress responses. A role under abiotic stress has been inferred from studies in which a genetic or, more commonly, pharmacological inhibition of PARP activity improved the performance of stressed plants. To further elucidate the role of PARP proteins under stress, T-DNA knockout mutants for the three Arabidopsis thaliana PARP genes were subjected to drought, osmotic, salt, and oxidative stress. To exclude a functional redundancy, which was indicated by a transcriptional upregulation of the remaining parp genes, a parp triple mutant was generated. Surprisingly, parp mutant plants did not differ from wild type plants in any of these stress experiments, independent from the number of PARP genes mutated. The parp triple mutant was also analyzed for callose formation in response to the pathogenassociated molecular pattern flg22. Unexpectedly, callose formation was unaltered in the mutant, albeit pharmacological PARP inhibition robustly blocked this immune response, confirming previous reports. Evidently, pharmacological inhibition appears to be more robust than the abolition of all PARP genes, indicating the presence of so-far undescribed proteins with PARP activity. This was supported by the finding that protein PARylation was not absent, but even increased in the parp triple mutant. Candidates for novel PARP-inhibitor targets may be found in the SRO protein family. These proteins harbor a catalytic PARP-like domain and are centrally involved in stress responses. Molecular modeling analyses, employing animal PARPs as templates, indeed indicated a capability of the SRO proteins RCD1 and SRO1 to bind nicotinamide-derived inhibitors. Collectively, the results of our study suggest that the stress-related phenotypes of parp mutants are highly conditional, and they call for a reconsideration of PARP inhibitor studies. In the context of this study, we also propose a unifying nomenclature of PARP genes and parp mutants, which is currently highly inconsistent and redundant.","container-title":"Frontiers in Plant Science","DOI":"10.3389/fpls.2017.00059","ISSN":"1664-462X","journalAbbreviation":"Front Plant Sci","language":"eng","note":"PMID: 28220129\nPMCID: PMC5292411","page":"59","source":"PubMed","title":"No Silver Bullet - Canonical Poly(ADP-Ribose) Polymerases (PARPs) Are No Universal Factors of Abiotic and Biotic Stress Resistance of Arabidopsis thaliana","volume":"8","author":[{"family":"Rissel","given":"Dagmar"},{"family":"Heym","given":"Peter P."},{"family":"Thor","given":"Kathrin"},{"family":"Brandt","given":"Wolfgang"},{"family":"Wessjohann","given":"Ludger A."},{"family":"Peiter","given":"Edgar"}],"issued":{"date-parts":[["2017"]]}}},{"id":1817,"uris":["http://zotero.org/users/9078202/items/UYQYZEMR"],"itemData":{"id":1817,"type":"article-journal","abstract":"Cell wall reinforcement with callose is a frequent plant response to infection. Poly(ADP-ribosyl)ation is a protein post-translational modification mediated by poly(ADP-ribose) polymerases (PARPs). Poly(ADP-ribosyl)ation has well-known roles in DNA damage repair and has more recently been shown to contribute to plant immune responses. 3-aminobenzamide (3AB) is an established PARP inhibitor and it blocks the callose deposition elicited by flg22 or elf18, two microbe-associated molecular patterns (MAMPs). However, we report that an Arabidopsis parp1parp2parp3 triple mutant does not exhibit loss of flg22-induced callose deposition. Additionally, the more specific PARP inhibitors PJ-34 and INH2BP inhibit PARP activity in Arabidopsis but do not block MAMP-induced callose deposition. These data demonstrate off-target activity of 3AB and indicate that 3AB inhibits callose deposition through a mechanism other than poly(ADP-ribosyl)ation. POWDERY MILDEW RESISTANT 4 (PMR4) is the callose synthase responsible for the majority of MAMP- and wound-induced callose deposition in Arabidopsis. 3AB does not block wound-induced callose deposition, and 3AB does not reduce the PMR4 mRNA abundance increase in response to flg22. Levels of PMR4-HA protein increase in response to flg22, and increase even more in flg22 + 3AB despite no callose being produced. The callose synthase inhibitor 2-deoxy-D-glucose does not cause similar impacts on PMR4-HA protein levels. Beyond MAMPs, we find that 3AB also reduces callose deposition induced by powdery mildew (Golovinomyces cichoracearum) and impairs the penetration resistance of a PMR4 overexpression line. 3AB thus reveals pathogenesis-associated pathways that activate callose synthase enzymatic activity distinct from those that elevate PMR4 mRNA and protein abundance.","container-title":"Frontiers in Plant Science","ISSN":"1664-462X","source":"Frontiers","title":"3-Aminobenzamide Blocks MAMP-Induced Callose Deposition Independently of Its Poly(ADPribosyl)ation Inhibiting Activity","URL":"https://www.frontiersin.org/articles/10.3389/fpls.2018.01907","volume":"9","author":[{"family":"Keppler","given":"Brian D."},{"family":"Song","given":"Junqi"},{"family":"Nyman","given":"Jackson"},{"family":"Voigt","given":"Christian A."},{"family":"Bent","given":"Andrew F."}],"accessed":{"date-parts":[["2022",9,7]]},"issued":{"date-parts":[["2018"]]}}},{"id":240,"uris":["http://zotero.org/users/9078202/items/VTBIQATV"],"itemData":{"id":240,"type":"article-journal","abstract":"Poly(ADP-ribosyl)ation is a posttranslational protein modification in which ADP-ribose (ADP-Rib) units derived from NAD(+) are attached to proteins by poly(ADP-Rib) polymerase (PARP) enzymes. ADP-Rib groups are removed from these polymer chains by the enzyme poly(ADP-Rib) glycohydrolase (PARG). In animals, poly(ADP-ribosyl)ation is associated with DNA damage responses and programmed cell death. Previously, we hypothesized a role for poly(ADP-ribosyl)ation in plant defense responses when we detected defense-associated expression of the poly(ADP-ribosyl)ation-related genes PARG2 and NUDT7 and observed altered callose deposition in the presence of a chemical PARP inhibitor. The role of poly(ADP-ribosyl)ation in plant defenses was more extensively investigated in this study, using Arabidopsis (Arabidopsis thaliana). Pharmacological inhibition of PARP using 3-aminobenzamide perturbs certain innate immune responses to microbe-associated molecular patterns (flg22 and elf18), including callose deposition, lignin deposition, pigment accumulation, and phenylalanine ammonia lyase activity, but does not disrupt other responses, such as the initial oxidative burst and expression of some early defense-associated genes. Mutant parg1 seedlings exhibit exaggerated seedling growth inhibition and pigment accumulation in response to elf18 and are hypersensitive to the DNA-damaging agent mitomycin C. Both parg1 and parg2 knockout plants show accelerated onset of disease symptoms when infected with Botrytis cinerea. Cellular levels of ADP-Rib polymer increase after infection with avirulent Pseudomonas syringae pv tomato DC3000 avrRpt2(+), and pathogen-dependent changes in the poly(ADP-ribosyl)ation of discrete proteins were also observed. We conclude that poly(ADP-ribosyl)ation is a functional component in plant responses to biotic stress.","container-title":"Plant Physiology","DOI":"10.1104/pp.109.148049","ISSN":"1532-2548","issue":"1","journalAbbreviation":"Plant Physiol","language":"eng","note":"PMID: 19889874\nPMCID: PMC2799362","page":"267-280","source":"PubMed","title":"Disruption of poly(ADP-ribosyl)ation mechanisms alters responses of Arabidopsis to biotic stress","volume":"152","author":[{"family":"Adams-Phillips","given":"Lori"},{"family":"Briggs","given":"Amy G."},{"family":"Bent","given":"Andrew F."}],"issued":{"date-parts":[["2010",1]]}}},{"id":"MPjqK5ng/UIMnMGh9","uris":["http://zotero.org/users/9078202/items/JC3RNLBC"],"itemData":{"id":241,"type":"article-journal","abstract":"A dissection of plant defense pathways was initiated through gene expression profiling of the responses of a single Arabidopsis thaliana genotype to isogenic Pseudomonas syringae strains expressing one of four different cloned avirulence (avr) genes. Differences in the expression profiles elicited by different resistance (R)-avr interactions were observed. A role for poly(ADP-ribosyl)ation in plant defense responses was suggested initially by the upregulated expression of genes encoding NUDT7 and poly(ADP-ribose) glycohydrolase in multiple R-avr interactions. Gene knockout plant lines were tested for 20 candidate genes identified by the expression profiling, and Arabidopsis NUDT7 mutants allowed less growth of virulent P. syringae (as previously reported) but also exhibited a reduced hypersensitive-response phenotype. Inhibitors of poly(ADP-ribose) polymerase (PARP) disrupted FLS2-mediated basal defense responses such as callose deposition. EIN2 (ethylene response) and IXR1 and IXR2 (cellulose synthase) mutants impacted the FLS2-mediated responses that occur during PARP inhibition, whereas no impacts were observed for NPR1, PAD4, or NDR1 mutants. In the expression profiling work, false-positive selection and grouping of genes was reduced by requiring simultaneous satisfaction of statistical significance criteria for each of three separate analysis methods, and by clustering genes based on statistical confidence values for each gene rather than on average fold-change of transcript abundance.","container-title":"Molecular plant-microbe interactions: MPMI","DOI":"10.1094/MPMI-21-5-0646","ISSN":"0894-0282","issue":"5","journalAbbreviation":"Mol Plant Microbe Interact","language":"eng","note":"PMID: 18393624","page":"646-657","source":"PubMed","title":"Discovery of ADP-ribosylation and other plant defense pathway elements through expression profiling of four different Arabidopsis-Pseudomonas R-avr interactions","volume":"21","author":[{"family":"Adams-Phillips","given":"Lori"},{"family":"Wan","given":"Jinrong"},{"family":"Tan","given":"Xiaoping"},{"family":"Dunning","given":"F. Mark"},{"family":"Meyers","given":"Blake C."},{"family":"Michelmore","given":"Richard W."},{"family":"Bent","given":"Andrew F."}],"issued":{"date-parts":[["2008",5]]}}}],"schema":"https://github.com/citation-style-language/schema/raw/master/csl-citation.json"} </w:instrText>
      </w:r>
      <w:r w:rsidRPr="00107040">
        <w:rPr>
          <w:sz w:val="28"/>
          <w:szCs w:val="28"/>
          <w:lang w:val="kk-KZ"/>
        </w:rPr>
        <w:fldChar w:fldCharType="separate"/>
      </w:r>
      <w:r w:rsidR="00FB5E68" w:rsidRPr="00FB5E68">
        <w:rPr>
          <w:sz w:val="28"/>
          <w:lang w:val="ru-RU"/>
        </w:rPr>
        <w:t>[327,350,362,389]</w:t>
      </w:r>
      <w:r w:rsidRPr="00107040">
        <w:rPr>
          <w:sz w:val="28"/>
          <w:szCs w:val="28"/>
          <w:lang w:val="kk-KZ"/>
        </w:rPr>
        <w:fldChar w:fldCharType="end"/>
      </w:r>
      <w:r w:rsidRPr="00107040">
        <w:rPr>
          <w:sz w:val="28"/>
          <w:szCs w:val="28"/>
          <w:lang w:val="kk-KZ"/>
        </w:rPr>
        <w:t xml:space="preserve">, хотя индукция транскрипта и белка гена каллозосинтазы не затрагивается </w:t>
      </w:r>
      <w:r w:rsidRPr="00107040">
        <w:rPr>
          <w:sz w:val="28"/>
          <w:szCs w:val="28"/>
          <w:lang w:val="kk-KZ"/>
        </w:rPr>
        <w:fldChar w:fldCharType="begin"/>
      </w:r>
      <w:r w:rsidR="00FB5E68">
        <w:rPr>
          <w:sz w:val="28"/>
          <w:szCs w:val="28"/>
          <w:lang w:val="kk-KZ"/>
        </w:rPr>
        <w:instrText xml:space="preserve"> ADDIN ZOTERO_ITEM CSL_CITATION {"citationID":"a1p09enb2db","properties":{"formattedCitation":"[389]","plainCitation":"[389]","noteIndex":0},"citationItems":[{"id":1817,"uris":["http://zotero.org/users/9078202/items/UYQYZEMR"],"itemData":{"id":1817,"type":"article-journal","abstract":"Cell wall reinforcement with callose is a frequent plant response to infection. Poly(ADP-ribosyl)ation is a protein post-translational modification mediated by poly(ADP-ribose) polymerases (PARPs). Poly(ADP-ribosyl)ation has well-known roles in DNA damage repair and has more recently been shown to contribute to plant immune responses. 3-aminobenzamide (3AB) is an established PARP inhibitor and it blocks the callose deposition elicited by flg22 or elf18, two microbe-associated molecular patterns (MAMPs). However, we report that an Arabidopsis parp1parp2parp3 triple mutant does not exhibit loss of flg22-induced callose deposition. Additionally, the more specific PARP inhibitors PJ-34 and INH2BP inhibit PARP activity in Arabidopsis but do not block MAMP-induced callose deposition. These data demonstrate off-target activity of 3AB and indicate that 3AB inhibits callose deposition through a mechanism other than poly(ADP-ribosyl)ation. POWDERY MILDEW RESISTANT 4 (PMR4) is the callose synthase responsible for the majority of MAMP- and wound-induced callose deposition in Arabidopsis. 3AB does not block wound-induced callose deposition, and 3AB does not reduce the PMR4 mRNA abundance increase in response to flg22. Levels of PMR4-HA protein increase in response to flg22, and increase even more in flg22 + 3AB despite no callose being produced. The callose synthase inhibitor 2-deoxy-D-glucose does not cause similar impacts on PMR4-HA protein levels. Beyond MAMPs, we find that 3AB also reduces callose deposition induced by powdery mildew (Golovinomyces cichoracearum) and impairs the penetration resistance of a PMR4 overexpression line. 3AB thus reveals pathogenesis-associated pathways that activate callose synthase enzymatic activity distinct from those that elevate PMR4 mRNA and protein abundance.","container-title":"Frontiers in Plant Science","ISSN":"1664-462X","source":"Frontiers","title":"3-Aminobenzamide Blocks MAMP-Induced Callose Deposition Independently of Its Poly(ADPribosyl)ation Inhibiting Activity","URL":"https://www.frontiersin.org/articles/10.3389/fpls.2018.01907","volume":"9","author":[{"family":"Keppler","given":"Brian D."},{"family":"Song","given":"Junqi"},{"family":"Nyman","given":"Jackson"},{"family":"Voigt","given":"Christian A."},{"family":"Bent","given":"Andrew F."}],"accessed":{"date-parts":[["2022",9,7]]},"issued":{"date-parts":[["2018"]]}}}],"schema":"https://github.com/citation-style-language/schema/raw/master/csl-citation.json"} </w:instrText>
      </w:r>
      <w:r w:rsidRPr="00107040">
        <w:rPr>
          <w:sz w:val="28"/>
          <w:szCs w:val="28"/>
          <w:lang w:val="kk-KZ"/>
        </w:rPr>
        <w:fldChar w:fldCharType="separate"/>
      </w:r>
      <w:r w:rsidR="00FB5E68" w:rsidRPr="00FB5E68">
        <w:rPr>
          <w:sz w:val="28"/>
          <w:lang w:val="ru-RU"/>
        </w:rPr>
        <w:t>[389]</w:t>
      </w:r>
      <w:r w:rsidRPr="00107040">
        <w:rPr>
          <w:sz w:val="28"/>
          <w:szCs w:val="28"/>
          <w:lang w:val="kk-KZ"/>
        </w:rPr>
        <w:fldChar w:fldCharType="end"/>
      </w:r>
      <w:r w:rsidRPr="00107040">
        <w:rPr>
          <w:sz w:val="28"/>
          <w:szCs w:val="28"/>
          <w:lang w:val="kk-KZ"/>
        </w:rPr>
        <w:t xml:space="preserve">. Этот эффект можно обойти салициловой кислотой </w:t>
      </w:r>
      <w:r w:rsidRPr="00107040">
        <w:rPr>
          <w:sz w:val="28"/>
          <w:szCs w:val="28"/>
          <w:lang w:val="kk-KZ"/>
        </w:rPr>
        <w:fldChar w:fldCharType="begin"/>
      </w:r>
      <w:r w:rsidR="008611DC">
        <w:rPr>
          <w:sz w:val="28"/>
          <w:szCs w:val="28"/>
          <w:lang w:val="kk-KZ"/>
        </w:rPr>
        <w:instrText xml:space="preserve"> ADDIN ZOTERO_ITEM CSL_CITATION {"citationID":"a9u97i7cvv","properties":{"formattedCitation":"[350]","plainCitation":"[350]","noteIndex":0},"citationItems":[{"id":240,"uris":["http://zotero.org/users/9078202/items/VTBIQATV"],"itemData":{"id":240,"type":"article-journal","abstract":"Poly(ADP-ribosyl)ation is a posttranslational protein modification in which ADP-ribose (ADP-Rib) units derived from NAD(+) are attached to proteins by poly(ADP-Rib) polymerase (PARP) enzymes. ADP-Rib groups are removed from these polymer chains by the enzyme poly(ADP-Rib) glycohydrolase (PARG). In animals, poly(ADP-ribosyl)ation is associated with DNA damage responses and programmed cell death. Previously, we hypothesized a role for poly(ADP-ribosyl)ation in plant defense responses when we detected defense-associated expression of the poly(ADP-ribosyl)ation-related genes PARG2 and NUDT7 and observed altered callose deposition in the presence of a chemical PARP inhibitor. The role of poly(ADP-ribosyl)ation in plant defenses was more extensively investigated in this study, using Arabidopsis (Arabidopsis thaliana). Pharmacological inhibition of PARP using 3-aminobenzamide perturbs certain innate immune responses to microbe-associated molecular patterns (flg22 and elf18), including callose deposition, lignin deposition, pigment accumulation, and phenylalanine ammonia lyase activity, but does not disrupt other responses, such as the initial oxidative burst and expression of some early defense-associated genes. Mutant parg1 seedlings exhibit exaggerated seedling growth inhibition and pigment accumulation in response to elf18 and are hypersensitive to the DNA-damaging agent mitomycin C. Both parg1 and parg2 knockout plants show accelerated onset of disease symptoms when infected with Botrytis cinerea. Cellular levels of ADP-Rib polymer increase after infection with avirulent Pseudomonas syringae pv tomato DC3000 avrRpt2(+), and pathogen-dependent changes in the poly(ADP-ribosyl)ation of discrete proteins were also observed. We conclude that poly(ADP-ribosyl)ation is a functional component in plant responses to biotic stress.","container-title":"Plant Physiology","DOI":"10.1104/pp.109.148049","ISSN":"1532-2548","issue":"1","journalAbbreviation":"Plant Physiol","language":"eng","note":"PMID: 19889874\nPMCID: PMC2799362","page":"267-280","source":"PubMed","title":"Disruption of poly(ADP-ribosyl)ation mechanisms alters responses of Arabidopsis to biotic stress","volume":"152","author":[{"family":"Adams-Phillips","given":"Lori"},{"family":"Briggs","given":"Amy G."},{"family":"Bent","given":"Andrew F."}],"issued":{"date-parts":[["2010",1]]}}}],"schema":"https://github.com/citation-style-language/schema/raw/master/csl-citation.json"} </w:instrText>
      </w:r>
      <w:r w:rsidRPr="00107040">
        <w:rPr>
          <w:sz w:val="28"/>
          <w:szCs w:val="28"/>
          <w:lang w:val="kk-KZ"/>
        </w:rPr>
        <w:fldChar w:fldCharType="separate"/>
      </w:r>
      <w:r w:rsidR="008611DC" w:rsidRPr="008611DC">
        <w:rPr>
          <w:sz w:val="28"/>
          <w:lang w:val="ru-RU"/>
        </w:rPr>
        <w:t>[350]</w:t>
      </w:r>
      <w:r w:rsidRPr="00107040">
        <w:rPr>
          <w:sz w:val="28"/>
          <w:szCs w:val="28"/>
          <w:lang w:val="kk-KZ"/>
        </w:rPr>
        <w:fldChar w:fldCharType="end"/>
      </w:r>
      <w:r w:rsidRPr="00107040">
        <w:rPr>
          <w:sz w:val="28"/>
          <w:szCs w:val="28"/>
          <w:lang w:val="kk-KZ"/>
        </w:rPr>
        <w:t xml:space="preserve">. Никаких изменений при обработке ингибитором PARP не было обнаружено в ранних ответах PAMP, таких как всплеск АФК, и в индуцированном ранами отложении каллозы </w:t>
      </w:r>
      <w:r w:rsidRPr="00107040">
        <w:rPr>
          <w:sz w:val="28"/>
          <w:szCs w:val="28"/>
          <w:lang w:val="kk-KZ"/>
        </w:rPr>
        <w:fldChar w:fldCharType="begin"/>
      </w:r>
      <w:r w:rsidR="00FB5E68">
        <w:rPr>
          <w:sz w:val="28"/>
          <w:szCs w:val="28"/>
          <w:lang w:val="kk-KZ"/>
        </w:rPr>
        <w:instrText xml:space="preserve"> ADDIN ZOTERO_ITEM CSL_CITATION {"citationID":"ae0va95m9n","properties":{"formattedCitation":"[350,389]","plainCitation":"[350,389]","noteIndex":0},"citationItems":[{"id":240,"uris":["http://zotero.org/users/9078202/items/VTBIQATV"],"itemData":{"id":240,"type":"article-journal","abstract":"Poly(ADP-ribosyl)ation is a posttranslational protein modification in which ADP-ribose (ADP-Rib) units derived from NAD(+) are attached to proteins by poly(ADP-Rib) polymerase (PARP) enzymes. ADP-Rib groups are removed from these polymer chains by the enzyme poly(ADP-Rib) glycohydrolase (PARG). In animals, poly(ADP-ribosyl)ation is associated with DNA damage responses and programmed cell death. Previously, we hypothesized a role for poly(ADP-ribosyl)ation in plant defense responses when we detected defense-associated expression of the poly(ADP-ribosyl)ation-related genes PARG2 and NUDT7 and observed altered callose deposition in the presence of a chemical PARP inhibitor. The role of poly(ADP-ribosyl)ation in plant defenses was more extensively investigated in this study, using Arabidopsis (Arabidopsis thaliana). Pharmacological inhibition of PARP using 3-aminobenzamide perturbs certain innate immune responses to microbe-associated molecular patterns (flg22 and elf18), including callose deposition, lignin deposition, pigment accumulation, and phenylalanine ammonia lyase activity, but does not disrupt other responses, such as the initial oxidative burst and expression of some early defense-associated genes. Mutant parg1 seedlings exhibit exaggerated seedling growth inhibition and pigment accumulation in response to elf18 and are hypersensitive to the DNA-damaging agent mitomycin C. Both parg1 and parg2 knockout plants show accelerated onset of disease symptoms when infected with Botrytis cinerea. Cellular levels of ADP-Rib polymer increase after infection with avirulent Pseudomonas syringae pv tomato DC3000 avrRpt2(+), and pathogen-dependent changes in the poly(ADP-ribosyl)ation of discrete proteins were also observed. We conclude that poly(ADP-ribosyl)ation is a functional component in plant responses to biotic stress.","container-title":"Plant Physiology","DOI":"10.1104/pp.109.148049","ISSN":"1532-2548","issue":"1","journalAbbreviation":"Plant Physiol","language":"eng","note":"PMID: 19889874\nPMCID: PMC2799362","page":"267-280","source":"PubMed","title":"Disruption of poly(ADP-ribosyl)ation mechanisms alters responses of Arabidopsis to biotic stress","volume":"152","author":[{"family":"Adams-Phillips","given":"Lori"},{"family":"Briggs","given":"Amy G."},{"family":"Bent","given":"Andrew F."}],"issued":{"date-parts":[["2010",1]]}}},{"id":1817,"uris":["http://zotero.org/users/9078202/items/UYQYZEMR"],"itemData":{"id":1817,"type":"article-journal","abstract":"Cell wall reinforcement with callose is a frequent plant response to infection. Poly(ADP-ribosyl)ation is a protein post-translational modification mediated by poly(ADP-ribose) polymerases (PARPs). Poly(ADP-ribosyl)ation has well-known roles in DNA damage repair and has more recently been shown to contribute to plant immune responses. 3-aminobenzamide (3AB) is an established PARP inhibitor and it blocks the callose deposition elicited by flg22 or elf18, two microbe-associated molecular patterns (MAMPs). However, we report that an Arabidopsis parp1parp2parp3 triple mutant does not exhibit loss of flg22-induced callose deposition. Additionally, the more specific PARP inhibitors PJ-34 and INH2BP inhibit PARP activity in Arabidopsis but do not block MAMP-induced callose deposition. These data demonstrate off-target activity of 3AB and indicate that 3AB inhibits callose deposition through a mechanism other than poly(ADP-ribosyl)ation. POWDERY MILDEW RESISTANT 4 (PMR4) is the callose synthase responsible for the majority of MAMP- and wound-induced callose deposition in Arabidopsis. 3AB does not block wound-induced callose deposition, and 3AB does not reduce the PMR4 mRNA abundance increase in response to flg22. Levels of PMR4-HA protein increase in response to flg22, and increase even more in flg22 + 3AB despite no callose being produced. The callose synthase inhibitor 2-deoxy-D-glucose does not cause similar impacts on PMR4-HA protein levels. Beyond MAMPs, we find that 3AB also reduces callose deposition induced by powdery mildew (Golovinomyces cichoracearum) and impairs the penetration resistance of a PMR4 overexpression line. 3AB thus reveals pathogenesis-associated pathways that activate callose synthase enzymatic activity distinct from those that elevate PMR4 mRNA and protein abundance.","container-title":"Frontiers in Plant Science","ISSN":"1664-462X","source":"Frontiers","title":"3-Aminobenzamide Blocks MAMP-Induced Callose Deposition Independently of Its Poly(ADPribosyl)ation Inhibiting Activity","URL":"https://www.frontiersin.org/articles/10.3389/fpls.2018.01907","volume":"9","author":[{"family":"Keppler","given":"Brian D."},{"family":"Song","given":"Junqi"},{"family":"Nyman","given":"Jackson"},{"family":"Voigt","given":"Christian A."},{"family":"Bent","given":"Andrew F."}],"accessed":{"date-parts":[["2022",9,7]]},"issued":{"date-parts":[["2018"]]}}}],"schema":"https://github.com/citation-style-language/schema/raw/master/csl-citation.json"} </w:instrText>
      </w:r>
      <w:r w:rsidRPr="00107040">
        <w:rPr>
          <w:sz w:val="28"/>
          <w:szCs w:val="28"/>
          <w:lang w:val="kk-KZ"/>
        </w:rPr>
        <w:fldChar w:fldCharType="separate"/>
      </w:r>
      <w:r w:rsidR="00FB5E68" w:rsidRPr="00FB5E68">
        <w:rPr>
          <w:sz w:val="28"/>
          <w:lang w:val="ru-RU"/>
        </w:rPr>
        <w:t>[350,389]</w:t>
      </w:r>
      <w:r w:rsidRPr="00107040">
        <w:rPr>
          <w:sz w:val="28"/>
          <w:szCs w:val="28"/>
          <w:lang w:val="kk-KZ"/>
        </w:rPr>
        <w:fldChar w:fldCharType="end"/>
      </w:r>
      <w:r w:rsidRPr="00107040">
        <w:rPr>
          <w:sz w:val="28"/>
          <w:szCs w:val="28"/>
          <w:lang w:val="kk-KZ"/>
        </w:rPr>
        <w:t xml:space="preserve">. В отличие от 3AB и 6(5H)-фенантридинона, мощные ингибиторы PARP PJ-34, INH2BP и 4ANI не блокировали PAMP-индуцированное отложение каллозы </w:t>
      </w:r>
      <w:r w:rsidRPr="00107040">
        <w:rPr>
          <w:sz w:val="28"/>
          <w:szCs w:val="28"/>
          <w:lang w:val="kk-KZ"/>
        </w:rPr>
        <w:fldChar w:fldCharType="begin"/>
      </w:r>
      <w:r w:rsidR="00FB5E68">
        <w:rPr>
          <w:sz w:val="28"/>
          <w:szCs w:val="28"/>
          <w:lang w:val="kk-KZ"/>
        </w:rPr>
        <w:instrText xml:space="preserve"> ADDIN ZOTERO_ITEM CSL_CITATION {"citationID":"a4h6asq59h","properties":{"formattedCitation":"[327,389]","plainCitation":"[327,389]","noteIndex":0},"citationItems":[{"id":1817,"uris":["http://zotero.org/users/9078202/items/UYQYZEMR"],"itemData":{"id":1817,"type":"article-journal","abstract":"Cell wall reinforcement with callose is a frequent plant response to infection. Poly(ADP-ribosyl)ation is a protein post-translational modification mediated by poly(ADP-ribose) polymerases (PARPs). Poly(ADP-ribosyl)ation has well-known roles in DNA damage repair and has more recently been shown to contribute to plant immune responses. 3-aminobenzamide (3AB) is an established PARP inhibitor and it blocks the callose deposition elicited by flg22 or elf18, two microbe-associated molecular patterns (MAMPs). However, we report that an Arabidopsis parp1parp2parp3 triple mutant does not exhibit loss of flg22-induced callose deposition. Additionally, the more specific PARP inhibitors PJ-34 and INH2BP inhibit PARP activity in Arabidopsis but do not block MAMP-induced callose deposition. These data demonstrate off-target activity of 3AB and indicate that 3AB inhibits callose deposition through a mechanism other than poly(ADP-ribosyl)ation. POWDERY MILDEW RESISTANT 4 (PMR4) is the callose synthase responsible for the majority of MAMP- and wound-induced callose deposition in Arabidopsis. 3AB does not block wound-induced callose deposition, and 3AB does not reduce the PMR4 mRNA abundance increase in response to flg22. Levels of PMR4-HA protein increase in response to flg22, and increase even more in flg22 + 3AB despite no callose being produced. The callose synthase inhibitor 2-deoxy-D-glucose does not cause similar impacts on PMR4-HA protein levels. Beyond MAMPs, we find that 3AB also reduces callose deposition induced by powdery mildew (Golovinomyces cichoracearum) and impairs the penetration resistance of a PMR4 overexpression line. 3AB thus reveals pathogenesis-associated pathways that activate callose synthase enzymatic activity distinct from those that elevate PMR4 mRNA and protein abundance.","container-title":"Frontiers in Plant Science","ISSN":"1664-462X","source":"Frontiers","title":"3-Aminobenzamide Blocks MAMP-Induced Callose Deposition Independently of Its Poly(ADPribosyl)ation Inhibiting Activity","URL":"https://www.frontiersin.org/articles/10.3389/fpls.2018.01907","volume":"9","author":[{"family":"Keppler","given":"Brian D."},{"family":"Song","given":"Junqi"},{"family":"Nyman","given":"Jackson"},{"family":"Voigt","given":"Christian A."},{"family":"Bent","given":"Andrew F."}],"accessed":{"date-parts":[["2022",9,7]]},"issued":{"date-parts":[["2018"]]}}},{"id":1631,"uris":["http://zotero.org/users/9078202/items/YIIMG6YR"],"itemData":{"id":1631,"type":"article-journal","abstract":"Abiotic and biotic stress can have a detrimental impact on plant growth and productivity. Hence, there is a substantial demand for key factors of stress responses to improve yield stability of crops. Members of the poly(ADP-ribose)polymerase (PARP) protein family, which post-translationally modify (PARylate) nuclear proteins, have been suggested as such universal determinants of plant stress responses. A role under abiotic stress has been inferred from studies in which a genetic or, more commonly, pharmacological inhibition of PARP activity improved the performance of stressed plants. To further elucidate the role of PARP proteins under stress, T-DNA knockout mutants for the three Arabidopsis thaliana PARP genes were subjected to drought, osmotic, salt, and oxidative stress. To exclude a functional redundancy, which was indicated by a transcriptional upregulation of the remaining parp genes, a parp triple mutant was generated. Surprisingly, parp mutant plants did not differ from wild type plants in any of these stress experiments, independent from the number of PARP genes mutated. The parp triple mutant was also analyzed for callose formation in response to the pathogenassociated molecular pattern flg22. Unexpectedly, callose formation was unaltered in the mutant, albeit pharmacological PARP inhibition robustly blocked this immune response, confirming previous reports. Evidently, pharmacological inhibition appears to be more robust than the abolition of all PARP genes, indicating the presence of so-far undescribed proteins with PARP activity. This was supported by the finding that protein PARylation was not absent, but even increased in the parp triple mutant. Candidates for novel PARP-inhibitor targets may be found in the SRO protein family. These proteins harbor a catalytic PARP-like domain and are centrally involved in stress responses. Molecular modeling analyses, employing animal PARPs as templates, indeed indicated a capability of the SRO proteins RCD1 and SRO1 to bind nicotinamide-derived inhibitors. Collectively, the results of our study suggest that the stress-related phenotypes of parp mutants are highly conditional, and they call for a reconsideration of PARP inhibitor studies. In the context of this study, we also propose a unifying nomenclature of PARP genes and parp mutants, which is currently highly inconsistent and redundant.","container-title":"Frontiers in Plant Science","DOI":"10.3389/fpls.2017.00059","ISSN":"1664-462X","journalAbbreviation":"Front Plant Sci","language":"eng","note":"PMID: 28220129\nPMCID: PMC5292411","page":"59","source":"PubMed","title":"No Silver Bullet - Canonical Poly(ADP-Ribose) Polymerases (PARPs) Are No Universal Factors of Abiotic and Biotic Stress Resistance of Arabidopsis thaliana","volume":"8","author":[{"family":"Rissel","given":"Dagmar"},{"family":"Heym","given":"Peter P."},{"family":"Thor","given":"Kathrin"},{"family":"Brandt","given":"Wolfgang"},{"family":"Wessjohann","given":"Ludger A."},{"family":"Peiter","given":"Edgar"}],"issued":{"date-parts":[["2017"]]}}}],"schema":"https://github.com/citation-style-language/schema/raw/master/csl-citation.json"} </w:instrText>
      </w:r>
      <w:r w:rsidRPr="00107040">
        <w:rPr>
          <w:sz w:val="28"/>
          <w:szCs w:val="28"/>
          <w:lang w:val="kk-KZ"/>
        </w:rPr>
        <w:fldChar w:fldCharType="separate"/>
      </w:r>
      <w:r w:rsidR="00FB5E68" w:rsidRPr="00FB5E68">
        <w:rPr>
          <w:sz w:val="28"/>
          <w:lang w:val="ru-RU"/>
        </w:rPr>
        <w:t>[327,389]</w:t>
      </w:r>
      <w:r w:rsidRPr="00107040">
        <w:rPr>
          <w:sz w:val="28"/>
          <w:szCs w:val="28"/>
          <w:lang w:val="kk-KZ"/>
        </w:rPr>
        <w:fldChar w:fldCharType="end"/>
      </w:r>
      <w:r w:rsidRPr="00107040">
        <w:rPr>
          <w:sz w:val="28"/>
          <w:szCs w:val="28"/>
          <w:lang w:val="kk-KZ"/>
        </w:rPr>
        <w:t xml:space="preserve">, что можно объяснить нецелевыми эффектами препаратов. </w:t>
      </w:r>
    </w:p>
    <w:p w14:paraId="1B25132E" w14:textId="74CABDA6" w:rsidR="00107040" w:rsidRPr="00107040" w:rsidRDefault="00107040" w:rsidP="00107040">
      <w:pPr>
        <w:pStyle w:val="afa"/>
        <w:shd w:val="clear" w:color="auto" w:fill="FFFFFF"/>
        <w:spacing w:before="0" w:beforeAutospacing="0" w:after="0" w:afterAutospacing="0"/>
        <w:ind w:firstLine="567"/>
        <w:jc w:val="both"/>
        <w:rPr>
          <w:sz w:val="28"/>
          <w:szCs w:val="28"/>
          <w:lang w:val="kk-KZ"/>
        </w:rPr>
      </w:pPr>
      <w:r w:rsidRPr="00107040">
        <w:rPr>
          <w:sz w:val="28"/>
          <w:szCs w:val="28"/>
          <w:lang w:val="ru-RU"/>
        </w:rPr>
        <w:t xml:space="preserve">В ряде других фармакологических исследований </w:t>
      </w:r>
      <w:r w:rsidRPr="00107040">
        <w:rPr>
          <w:sz w:val="28"/>
          <w:szCs w:val="28"/>
        </w:rPr>
        <w:t>PARP</w:t>
      </w:r>
      <w:r w:rsidRPr="00107040">
        <w:rPr>
          <w:sz w:val="28"/>
          <w:szCs w:val="28"/>
          <w:lang w:val="ru-RU"/>
        </w:rPr>
        <w:t xml:space="preserve"> отводится роль регуляторов ответа патогенов. Например, было показано, что ингибитор </w:t>
      </w:r>
      <w:r w:rsidRPr="00107040">
        <w:rPr>
          <w:sz w:val="28"/>
          <w:szCs w:val="28"/>
        </w:rPr>
        <w:t>PARP</w:t>
      </w:r>
      <w:r w:rsidRPr="00107040">
        <w:rPr>
          <w:sz w:val="28"/>
          <w:szCs w:val="28"/>
          <w:lang w:val="ru-RU"/>
        </w:rPr>
        <w:t xml:space="preserve"> 3</w:t>
      </w:r>
      <w:r w:rsidRPr="00107040">
        <w:rPr>
          <w:sz w:val="28"/>
          <w:szCs w:val="28"/>
        </w:rPr>
        <w:t>MB</w:t>
      </w:r>
      <w:r w:rsidRPr="00107040">
        <w:rPr>
          <w:sz w:val="28"/>
          <w:szCs w:val="28"/>
          <w:lang w:val="ru-RU"/>
        </w:rPr>
        <w:t>, который структурно очень похож на 3</w:t>
      </w:r>
      <w:r w:rsidRPr="00107040">
        <w:rPr>
          <w:sz w:val="28"/>
          <w:szCs w:val="28"/>
        </w:rPr>
        <w:t>AB</w:t>
      </w:r>
      <w:r w:rsidRPr="00107040">
        <w:rPr>
          <w:sz w:val="28"/>
          <w:szCs w:val="28"/>
          <w:lang w:val="ru-RU"/>
        </w:rPr>
        <w:t xml:space="preserve">, отрицательно влияет на фенилпропаноидный путь </w:t>
      </w:r>
      <w:r w:rsidRPr="00107040">
        <w:rPr>
          <w:sz w:val="28"/>
          <w:szCs w:val="28"/>
          <w:lang w:val="ru-RU"/>
        </w:rPr>
        <w:fldChar w:fldCharType="begin"/>
      </w:r>
      <w:r w:rsidR="008611DC">
        <w:rPr>
          <w:sz w:val="28"/>
          <w:szCs w:val="28"/>
          <w:lang w:val="ru-RU"/>
        </w:rPr>
        <w:instrText xml:space="preserve"> ADDIN ZOTERO_ITEM CSL_CITATION {"citationID":"a1m343ulvqp","properties":{"formattedCitation":"[360,361]","plainCitation":"[360,361]","noteIndex":0},"citationItems":[{"id":1122,"uris":["http://zotero.org/users/9078202/items/9EX853NA"],"itemData":{"id":1122,"type":"article-journal","abstract":"Poly-ADP-ribose polymerase (PARP) post-translationally modifies proteins through the addition of ADP-ribose polymers, yet its role in modulating plant development and stress responses is only poorly understood. The experiments presented here address some of the gaps in our understanding of its role in stress tolerance and thereby provide new insights into tolerance mechanisms and growth. Using a combination of chemical and genetic approaches, this study characterized phenotypes associated with PARP inhibition at the physiological level. Molecular analyses including gene expression analysis, measurement of primary metabolites and redox metabolites were used to understand the underlying processes. The analysis revealed that PARP inhibition represses anthocyanin and ascorbate accumulation under stress conditions. The reduction in defense is correlated with enhanced biomass production. Even in unstressed conditions protective genes and molecules are repressed by PARP inhibition. The reduced anthocyanin production was shown to be based on the repression of transcription of key regulatory and biosynthesis genes. PARP is a key factor for understanding growth and stress responses of plants. PARP inhibition allows plants to reduce protection such as anthocyanin, ascorbate or Non-Photochemical-Quenching whilst maintaining high energy levels likely enabling the observed enhancement of biomass production under stress, opening interesting perspectives for increasing crop productivity.","container-title":"PLOS ONE","DOI":"10.1371/journal.pone.0037287","ISSN":"1932-6203","issue":"5","journalAbbreviation":"PLOS ONE","language":"en","note":"publisher: Public Library of Science","page":"e37287","source":"PLoS Journals","title":"Chemical PARP Inhibition Enhances Growth of Arabidopsis and Reduces Anthocyanin Accumulation and the Activation of Stress Protective Mechanisms","URL":"https://journals.plos.org/plosone/article?id=10.1371/journal.pone.0037287","volume":"7","author":[{"family":"Schulz","given":"Philipp"},{"family":"Neukermans","given":"Jenny"},{"family":"Kelen","given":"Katrien Van Der"},{"family":"Mühlenbock","given":"Per"},{"family":"Breusegem","given":"Frank Van"},{"family":"Noctor","given":"Graham"},{"family":"Teige","given":"Markus"},{"family":"Metzlaff","given":"Michael"},{"family":"Hannah","given":"Matthew A."}],"accessed":{"date-parts":[["2022",4,19]]},"issued":{"date-parts":[["2012",5,25]]}}},{"id":1125,"uris":["http://zotero.org/users/9078202/items/59BJN3IJ"],"itemData":{"id":1125,"type":"article-journal","abstract":"A changing global environment, rising population and increasing demand for biofuels are challenging agriculture and creating a need for technologies to increase biomass production. Here we demonstrate that the inhibition of poly (ADP-ribose) polymerase activity is a promising technology to achieve this under non-stress conditions. Furthermore, we investigate the basis of this growth enhancement via leaf series and kinematic cell analysis as well as single leaf transcriptomics and plant metabolomics under non-stress conditions. These data indicate a regulatory function of PARP within cell growth and potentially development. PARP inhibition enhances growth of Arabidopsis thaliana by enhancing the cell number. Time course single leaf transcriptomics shows that PARP inhibition regulates a small subset of genes which are related to growth promotion, cell cycle and the control of metabolism. This is supported by metabolite analysis showing overall changes in primary and particularly secondary metabolism. Taken together the results indicate a versatile function of PARP beyond its previously reported roles in controlling plant stress tolerance and thus can be a useful target for enhancing biomass production.","container-title":"PLOS ONE","DOI":"10.1371/journal.pone.0090322","ISSN":"1932-6203","issue":"2","journalAbbreviation":"PLOS ONE","language":"en","note":"publisher: Public Library of Science","page":"e90322","source":"PLoS Journals","title":"Poly(ADP-Ribose)Polymerase Activity Controls Plant Growth by Promoting Leaf Cell Number","URL":"https://journals.plos.org/plosone/article?id=10.1371/journal.pone.0090322","volume":"9","author":[{"family":"Schulz","given":"Philipp"},{"family":"Jansseune","given":"Karel"},{"family":"Degenkolbe","given":"Thomas"},{"family":"Méret","given":"Michaël"},{"family":"Claeys","given":"Hannes"},{"family":"Skirycz","given":"Aleksandra"},{"family":"Teige","given":"Markus"},{"family":"Willmitzer","given":"Lothar"},{"family":"Hannah","given":"Matthew A."}],"accessed":{"date-parts":[["2022",4,19]]},"issued":{"date-parts":[["2014",2,28]]}}}],"schema":"https://github.com/citation-style-language/schema/raw/master/csl-citation.json"} </w:instrText>
      </w:r>
      <w:r w:rsidRPr="00107040">
        <w:rPr>
          <w:sz w:val="28"/>
          <w:szCs w:val="28"/>
          <w:lang w:val="ru-RU"/>
        </w:rPr>
        <w:fldChar w:fldCharType="separate"/>
      </w:r>
      <w:r w:rsidR="008611DC" w:rsidRPr="008611DC">
        <w:rPr>
          <w:sz w:val="28"/>
          <w:lang w:val="ru-RU"/>
        </w:rPr>
        <w:t>[360,361]</w:t>
      </w:r>
      <w:r w:rsidRPr="00107040">
        <w:rPr>
          <w:sz w:val="28"/>
          <w:szCs w:val="28"/>
          <w:lang w:val="ru-RU"/>
        </w:rPr>
        <w:fldChar w:fldCharType="end"/>
      </w:r>
      <w:r w:rsidRPr="00107040">
        <w:rPr>
          <w:sz w:val="28"/>
          <w:szCs w:val="28"/>
          <w:lang w:val="ru-RU"/>
        </w:rPr>
        <w:t>. Подобные наблюдения были также сделаны для 3</w:t>
      </w:r>
      <w:r w:rsidRPr="00107040">
        <w:rPr>
          <w:sz w:val="28"/>
          <w:szCs w:val="28"/>
        </w:rPr>
        <w:t>AB</w:t>
      </w:r>
      <w:r w:rsidRPr="00107040">
        <w:rPr>
          <w:sz w:val="28"/>
          <w:szCs w:val="28"/>
          <w:lang w:val="ru-RU"/>
        </w:rPr>
        <w:t xml:space="preserve">, который ингибирует фенилаланин-аммоний-лиазу, компонент </w:t>
      </w:r>
      <w:r w:rsidRPr="00107040">
        <w:rPr>
          <w:sz w:val="28"/>
          <w:szCs w:val="28"/>
          <w:lang w:val="ru-RU"/>
        </w:rPr>
        <w:lastRenderedPageBreak/>
        <w:t xml:space="preserve">фенилпропаноидного пути </w:t>
      </w:r>
      <w:r w:rsidRPr="00107040">
        <w:rPr>
          <w:sz w:val="28"/>
          <w:szCs w:val="28"/>
          <w:lang w:val="ru-RU"/>
        </w:rPr>
        <w:fldChar w:fldCharType="begin"/>
      </w:r>
      <w:r w:rsidR="00FB5E68">
        <w:rPr>
          <w:sz w:val="28"/>
          <w:szCs w:val="28"/>
          <w:lang w:val="ru-RU"/>
        </w:rPr>
        <w:instrText xml:space="preserve"> ADDIN ZOTERO_ITEM CSL_CITATION {"citationID":"a2iu83k7pv8","properties":{"formattedCitation":"[390]","plainCitation":"[390]","noteIndex":0},"citationItems":[{"id":1823,"uris":["http://zotero.org/users/9078202/items/D3D8YZM9"],"itemData":{"id":1823,"type":"article-journal","abstract":"Nicotinamide and trigonelline contents increased in Catharanthus roseus tissue culture after exposure to 2,2′azobis(2-amidinopropane) dihydrochloride (AAPH) or vanadylsulfate and in Pisum sativum leaves after exposure to UV-B radiation. Vanadylsulfate increased phenylalanine ammonia-lyase (PAL) activity and the content of reduced and oxidized glutathione in C. roseus tissue culture. The increases in PAL activity caused by 2 mM AAPH or 0.2 mM vanadylsulfate were prevented by 0.1 mM 3-aminobenzamide (3-AB), an inhibitor of poly(ADP-ribose)polymerase. Present results support the hypothesis [Berglund T., FEBS Lett. (1994) 351, 145–149] that nicotinamide and/or its metabolites may function as signal transmittors in the response to oxidative stress in plants and that poly(ADP-ribose)polymerase has a function in the induction of defensive metabolism.","container-title":"FEBS Letters","DOI":"10.1016/0014-5793(96)00027-0","ISSN":"1873-3468","issue":"1-2","language":"en","license":"FEBS Letters 380 (1996) 1873-3468 © 2015 Federation of European Biochemical Societies","note":"_eprint: https://onlinelibrary.wiley.com/doi/pdf/10.1016/0014-5793%2896%2900027-0","page":"188-193","source":"Wiley Online Library","title":"UV-B- and oxidative stress-induced increase in nicotinamide and trigonelline and inhibition of defensive metabolism induction by poly(ADP-ribose)polymerase inhibitor in plant tissue","URL":"https://onlinelibrary.wiley.com/doi/abs/10.1016/0014-5793%2896%2900027-0","volume":"380","author":[{"family":"Berglund","given":"Torkel"},{"family":"Kalbin","given":"Georgi"},{"family":"Strid","given":"Åke"},{"family":"Rydström","given":"Jan"},{"family":"Ohlsson","given":"Anna B."}],"accessed":{"date-parts":[["2022",9,7]]},"issued":{"date-parts":[["1996"]]}}}],"schema":"https://github.com/citation-style-language/schema/raw/master/csl-citation.json"} </w:instrText>
      </w:r>
      <w:r w:rsidRPr="00107040">
        <w:rPr>
          <w:sz w:val="28"/>
          <w:szCs w:val="28"/>
          <w:lang w:val="ru-RU"/>
        </w:rPr>
        <w:fldChar w:fldCharType="separate"/>
      </w:r>
      <w:r w:rsidR="00FB5E68" w:rsidRPr="00FB5E68">
        <w:rPr>
          <w:sz w:val="28"/>
          <w:lang w:val="ru-RU"/>
        </w:rPr>
        <w:t>[390]</w:t>
      </w:r>
      <w:r w:rsidRPr="00107040">
        <w:rPr>
          <w:sz w:val="28"/>
          <w:szCs w:val="28"/>
          <w:lang w:val="ru-RU"/>
        </w:rPr>
        <w:fldChar w:fldCharType="end"/>
      </w:r>
      <w:r w:rsidRPr="00107040">
        <w:rPr>
          <w:sz w:val="28"/>
          <w:szCs w:val="28"/>
          <w:lang w:val="ru-RU"/>
        </w:rPr>
        <w:t xml:space="preserve">. Аналогичным образом индуцированное </w:t>
      </w:r>
      <w:r w:rsidRPr="00107040">
        <w:rPr>
          <w:sz w:val="28"/>
          <w:szCs w:val="28"/>
        </w:rPr>
        <w:t>elf</w:t>
      </w:r>
      <w:r w:rsidRPr="00107040">
        <w:rPr>
          <w:sz w:val="28"/>
          <w:szCs w:val="28"/>
          <w:lang w:val="ru-RU"/>
        </w:rPr>
        <w:t>18 накопление гваяцил-лигнина блокировалось при обработке 3</w:t>
      </w:r>
      <w:r w:rsidRPr="00107040">
        <w:rPr>
          <w:sz w:val="28"/>
          <w:szCs w:val="28"/>
        </w:rPr>
        <w:t>AB</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{"citationID":"a1a07lh8mgr","properties":{"formattedCitation":"[350]","plainCitation":"[350]","noteIndex":0},"citationItems":[{"id":240,"uris":["http://zotero.org/users/9078202/items/VTBIQATV"],"itemData":{"id":240,"type":"article-journal","abstract":"Poly(ADP-ribosyl)ation is a posttranslational protein modification in which ADP-ribose (ADP-Rib) units derived from NAD(+) are attached to proteins by poly(ADP-Rib) polymerase (PARP) enzymes. ADP-Rib groups are removed from these polymer chains by the enzyme poly(ADP-Rib) glycohydrolase (PARG). In animals, poly(ADP-ribosyl)ation is associated with DNA damage responses and programmed cell death. Previously, we hypothesized a role for poly(ADP-ribosyl)ation in plant defense responses when we detected defense-associated expression of the poly(ADP-ribosyl)ation-related genes PARG2 and NUDT7 and observed altered callose deposition in the presence of a chemical PARP inhibitor. The role of poly(ADP-ribosyl)ation in plant defenses was more extensively investigated in this study, using Arabidopsis (Arabidopsis thaliana). Pharmacological inhibition of PARP using 3-aminobenzamide perturbs certain innate immune responses to microbe-associated molecular patterns (flg22 and elf18), including callose deposition, lignin deposition, pigment accumulation, and phenylalanine ammonia lyase activity, but does not disrupt other responses, such as the initial oxidative burst and expression of some early defense-associated genes. Mutant parg1 seedlings exhibit exaggerated seedling growth inhibition and pigment accumulation in response to elf18 and are hypersensitive to the DNA-damaging agent mitomycin C. Both parg1 and parg2 knockout plants show accelerated onset of disease symptoms when infected with Botrytis cinerea. Cellular levels of ADP-Rib polymer increase after infection with avirulent Pseudomonas syringae pv tomato DC3000 avrRpt2(+), and pathogen-dependent changes in the poly(ADP-ribosyl)ation of discrete proteins were also observed. We conclude that poly(ADP-ribosyl)ation is a functional component in plant responses to biotic stress.","container-title":"Plant Physiology","DOI":"10.1104/pp.109.148049","ISSN":"1532-2548","issue":"1","journalAbbreviation":"Plant Physiol","language":"eng","note":"PMID: 19889874\nPMCID: PMC2799362","page":"267-280","source":"PubMed","title":"Disruption of poly(ADP-ribosyl)ation mechanisms alters responses of Arabidopsis to biotic stress","volume":"152","author":[{"family":"Adams-Phillips","given":"Lori"},{"family":"Briggs","given":"Amy G."},{"family":"Bent","given":"Andrew F."}],"issued":{"date-parts":[["2010",1]]}}}],"schema":"https://github.com/citation-style-language/schema/raw/master/csl-citation.json"} </w:instrText>
      </w:r>
      <w:r w:rsidRPr="00107040">
        <w:rPr>
          <w:sz w:val="28"/>
          <w:szCs w:val="28"/>
          <w:lang w:val="ru-RU"/>
        </w:rPr>
        <w:fldChar w:fldCharType="separate"/>
      </w:r>
      <w:r w:rsidR="008611DC" w:rsidRPr="008611DC">
        <w:rPr>
          <w:sz w:val="28"/>
          <w:lang w:val="ru-RU"/>
        </w:rPr>
        <w:t>[350]</w:t>
      </w:r>
      <w:r w:rsidRPr="00107040">
        <w:rPr>
          <w:sz w:val="28"/>
          <w:szCs w:val="28"/>
          <w:lang w:val="ru-RU"/>
        </w:rPr>
        <w:fldChar w:fldCharType="end"/>
      </w:r>
      <w:r w:rsidRPr="00107040">
        <w:rPr>
          <w:sz w:val="28"/>
          <w:szCs w:val="28"/>
          <w:lang w:val="ru-RU"/>
        </w:rPr>
        <w:t xml:space="preserve">. Транскриптомный анализ также показал, что фармакологическое ингибирование </w:t>
      </w:r>
      <w:r w:rsidRPr="00107040">
        <w:rPr>
          <w:sz w:val="28"/>
          <w:szCs w:val="28"/>
        </w:rPr>
        <w:t>PARP</w:t>
      </w:r>
      <w:r w:rsidRPr="00107040">
        <w:rPr>
          <w:sz w:val="28"/>
          <w:szCs w:val="28"/>
          <w:lang w:val="ru-RU"/>
        </w:rPr>
        <w:t xml:space="preserve"> с помощью 3</w:t>
      </w:r>
      <w:r w:rsidRPr="00107040">
        <w:rPr>
          <w:sz w:val="28"/>
          <w:szCs w:val="28"/>
        </w:rPr>
        <w:t>AB</w:t>
      </w:r>
      <w:r w:rsidRPr="00107040">
        <w:rPr>
          <w:sz w:val="28"/>
          <w:szCs w:val="28"/>
          <w:lang w:val="ru-RU"/>
        </w:rPr>
        <w:t xml:space="preserve"> дерегулирует </w:t>
      </w:r>
      <w:r w:rsidRPr="00107040">
        <w:rPr>
          <w:sz w:val="28"/>
          <w:szCs w:val="28"/>
        </w:rPr>
        <w:t>PAMP</w:t>
      </w:r>
      <w:r w:rsidRPr="00107040">
        <w:rPr>
          <w:sz w:val="28"/>
          <w:szCs w:val="28"/>
          <w:lang w:val="ru-RU"/>
        </w:rPr>
        <w:t xml:space="preserve">-индуцированные транскрипционные ответы у арабидопсиса </w:t>
      </w:r>
      <w:r w:rsidRPr="00107040">
        <w:rPr>
          <w:sz w:val="28"/>
          <w:szCs w:val="28"/>
          <w:lang w:val="ru-RU"/>
        </w:rPr>
        <w:fldChar w:fldCharType="begin"/>
      </w:r>
      <w:r w:rsidR="008611DC">
        <w:rPr>
          <w:sz w:val="28"/>
          <w:szCs w:val="28"/>
          <w:lang w:val="ru-RU"/>
        </w:rPr>
        <w:instrText xml:space="preserve"> ADDIN ZOTERO_ITEM CSL_CITATION {"citationID":"a27ibrd1q82","properties":{"formattedCitation":"[351]","plainCitation":"[351]","noteIndex":0},"citationItems":[{"id":1707,"uris":["http://zotero.org/users/9078202/items/5NVYT3UP"],"itemData":{"id":1707,"type":"article-journal","abstract":"Pharmacological inhibition of poly(ADP-ribose) polymerase (PARP) or loss of Arabidopsis thaliana PARG1 (poly(ADP-ribose) glycohydrolase) disrupt a subset of plant defenses. In the present study we examined the impact of altered poly(ADP-ribosyl)ation on early gene expression induced by the microbe-associate molecular patterns (MAMPs) flagellin (flg22) and EF-Tu (elf18). Stringent statistical analyses and filtering identified 178 genes having MAMP-induced mRNA abundance patterns that were altered by either PARP inhibitor 3-aminobenzamide (3AB) or PARG1 knockout. From the identified set of 178 genes, over fifty Arabidopsis T-DNA insertion lines were chosen and screened for altered basal defense responses. Subtle alterations in callose deposition and/or seedling growth in response to those MAMPs were observed in knockouts of At3g55630 (FPGS3, a cytosolic folylpolyglutamate synthetase), At5g15660 (containing an F-box domain), At1g47370 (a TIR-X (Toll-Interleukin Receptor domain)), and At5g64060 (a predicted pectin methylesterase inhibitor). Over-represented GO terms for the gene expression study included \"innate immune response\" for elf18/parg1, highlighting a subset of elf18-activated defense-associated genes whose expression is altered in parg1 plants. The study also allowed a tightly controlled comparison of early mRNA abundance responses to flg22 and elf18 in wild-type Arabidopsis, which revealed many differences. The PARP inhibitor 3-methoxybenzamide (3MB) was also used in the gene expression profiling, but pleiotropic impacts of this inhibitor were observed. This transcriptomics study revealed targets for further dissection of MAMP-induced plant immune responses, impacts of PARP inhibitors, and the molecular mechanisms by which poly(ADP-ribosyl)ation regulates plant responses to MAMPs.","container-title":"PloS One","DOI":"10.1371/journal.pone.0190268","ISSN":"1932-6203","issue":"12","journalAbbreviation":"PLoS One","language":"eng","note":"PMID: 29284022\nPMCID: PMC5746271","page":"e0190268","source":"PubMed","title":"A transcriptomics approach uncovers novel roles for poly(ADP-ribosyl)ation in the basal defense response in Arabidopsis thaliana","volume":"12","author":[{"family":"Briggs","given":"Amy G."},{"family":"Adams-Phillips","given":"Lori C."},{"family":"Keppler","given":"Brian D."},{"family":"Zebell","given":"Sophia G."},{"family":"Arend","given":"Kyle C."},{"family":"Apfelbaum","given":"April A."},{"family":"Smith","given":"Joshua A."},{"family":"Bent","given":"Andrew F."}],"issued":{"date-parts":[["2017"]]}}}],"schema":"https://github.com/citation-style-language/schema/raw/master/csl-citation.json"} </w:instrText>
      </w:r>
      <w:r w:rsidRPr="00107040">
        <w:rPr>
          <w:sz w:val="28"/>
          <w:szCs w:val="28"/>
          <w:lang w:val="ru-RU"/>
        </w:rPr>
        <w:fldChar w:fldCharType="separate"/>
      </w:r>
      <w:r w:rsidR="008611DC" w:rsidRPr="008611DC">
        <w:rPr>
          <w:sz w:val="28"/>
          <w:lang w:val="ru-RU"/>
        </w:rPr>
        <w:t>[351]</w:t>
      </w:r>
      <w:r w:rsidRPr="00107040">
        <w:rPr>
          <w:sz w:val="28"/>
          <w:szCs w:val="28"/>
          <w:lang w:val="ru-RU"/>
        </w:rPr>
        <w:fldChar w:fldCharType="end"/>
      </w:r>
      <w:r w:rsidRPr="00107040">
        <w:rPr>
          <w:sz w:val="28"/>
          <w:szCs w:val="28"/>
          <w:lang w:val="ru-RU"/>
        </w:rPr>
        <w:t>.</w:t>
      </w:r>
      <w:r w:rsidRPr="00107040">
        <w:rPr>
          <w:sz w:val="28"/>
          <w:szCs w:val="28"/>
          <w:lang w:val="kk-KZ"/>
        </w:rPr>
        <w:t xml:space="preserve"> </w:t>
      </w:r>
    </w:p>
    <w:p w14:paraId="785D7A77" w14:textId="32EC81CC"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t xml:space="preserve">Вопреки фармакологическому ингибированию </w:t>
      </w:r>
      <w:r w:rsidRPr="00107040">
        <w:rPr>
          <w:sz w:val="28"/>
          <w:szCs w:val="28"/>
        </w:rPr>
        <w:t>PARP</w:t>
      </w:r>
      <w:r w:rsidRPr="00107040">
        <w:rPr>
          <w:sz w:val="28"/>
          <w:szCs w:val="28"/>
          <w:lang w:val="ru-RU"/>
        </w:rPr>
        <w:t xml:space="preserve"> 3</w:t>
      </w:r>
      <w:r w:rsidRPr="00107040">
        <w:rPr>
          <w:sz w:val="28"/>
          <w:szCs w:val="28"/>
        </w:rPr>
        <w:t>AB</w:t>
      </w:r>
      <w:r w:rsidRPr="00107040">
        <w:rPr>
          <w:sz w:val="28"/>
          <w:szCs w:val="28"/>
          <w:lang w:val="ru-RU"/>
        </w:rPr>
        <w:t xml:space="preserve"> и 6-(5</w:t>
      </w:r>
      <w:r w:rsidRPr="00107040">
        <w:rPr>
          <w:sz w:val="28"/>
          <w:szCs w:val="28"/>
        </w:rPr>
        <w:t>H</w:t>
      </w:r>
      <w:r w:rsidRPr="00107040">
        <w:rPr>
          <w:sz w:val="28"/>
          <w:szCs w:val="28"/>
          <w:lang w:val="ru-RU"/>
        </w:rPr>
        <w:t xml:space="preserve">)-фенантридиноном, генетическая отмена </w:t>
      </w:r>
      <w:r w:rsidRPr="00107040">
        <w:rPr>
          <w:i/>
          <w:sz w:val="28"/>
          <w:szCs w:val="28"/>
        </w:rPr>
        <w:t>AtPARP</w:t>
      </w:r>
      <w:r w:rsidRPr="00107040">
        <w:rPr>
          <w:i/>
          <w:sz w:val="28"/>
          <w:szCs w:val="28"/>
          <w:lang w:val="ru-RU"/>
        </w:rPr>
        <w:t>1</w:t>
      </w:r>
      <w:r w:rsidRPr="00107040">
        <w:rPr>
          <w:sz w:val="28"/>
          <w:szCs w:val="28"/>
          <w:lang w:val="ru-RU"/>
        </w:rPr>
        <w:t xml:space="preserve"> или </w:t>
      </w:r>
      <w:r w:rsidRPr="00107040">
        <w:rPr>
          <w:i/>
          <w:sz w:val="28"/>
          <w:szCs w:val="28"/>
        </w:rPr>
        <w:t>AtPARP</w:t>
      </w:r>
      <w:r w:rsidRPr="00107040">
        <w:rPr>
          <w:i/>
          <w:sz w:val="28"/>
          <w:szCs w:val="28"/>
          <w:lang w:val="ru-RU"/>
        </w:rPr>
        <w:t>2</w:t>
      </w:r>
      <w:r w:rsidRPr="00107040">
        <w:rPr>
          <w:sz w:val="28"/>
          <w:szCs w:val="28"/>
          <w:lang w:val="ru-RU"/>
        </w:rPr>
        <w:t xml:space="preserve"> в линиях с одиночным нокаутом Т-ДНК не изменяла индуцированное </w:t>
      </w:r>
      <w:r w:rsidRPr="00107040">
        <w:rPr>
          <w:sz w:val="28"/>
          <w:szCs w:val="28"/>
        </w:rPr>
        <w:t>flg</w:t>
      </w:r>
      <w:r w:rsidRPr="00107040">
        <w:rPr>
          <w:sz w:val="28"/>
          <w:szCs w:val="28"/>
          <w:lang w:val="ru-RU"/>
        </w:rPr>
        <w:t xml:space="preserve">22 отложение каллозы, тогда как в двух исследованиях линии двойных мутантов </w:t>
      </w:r>
      <w:r w:rsidRPr="00107040">
        <w:rPr>
          <w:i/>
          <w:sz w:val="28"/>
          <w:szCs w:val="28"/>
        </w:rPr>
        <w:t>parp</w:t>
      </w:r>
      <w:r w:rsidRPr="00107040">
        <w:rPr>
          <w:i/>
          <w:sz w:val="28"/>
          <w:szCs w:val="28"/>
          <w:lang w:val="ru-RU"/>
        </w:rPr>
        <w:t>1</w:t>
      </w:r>
      <w:r w:rsidRPr="00107040">
        <w:rPr>
          <w:sz w:val="28"/>
          <w:szCs w:val="28"/>
          <w:lang w:val="ru-RU"/>
        </w:rPr>
        <w:t xml:space="preserve"> и </w:t>
      </w:r>
      <w:r w:rsidRPr="00107040">
        <w:rPr>
          <w:i/>
          <w:sz w:val="28"/>
          <w:szCs w:val="28"/>
        </w:rPr>
        <w:t>parp</w:t>
      </w:r>
      <w:r w:rsidRPr="00107040">
        <w:rPr>
          <w:i/>
          <w:sz w:val="28"/>
          <w:szCs w:val="28"/>
          <w:lang w:val="ru-RU"/>
        </w:rPr>
        <w:t xml:space="preserve">2 </w:t>
      </w:r>
      <w:r w:rsidRPr="00107040">
        <w:rPr>
          <w:sz w:val="28"/>
          <w:szCs w:val="28"/>
          <w:lang w:val="ru-RU"/>
        </w:rPr>
        <w:t xml:space="preserve">демонстрировали усиленные или снижение отложения каллозы в зависимости от возраста растения и/или применяемой концентрации </w:t>
      </w:r>
      <w:r w:rsidRPr="00107040">
        <w:rPr>
          <w:sz w:val="28"/>
          <w:szCs w:val="28"/>
        </w:rPr>
        <w:t>flg</w:t>
      </w:r>
      <w:r w:rsidRPr="00107040">
        <w:rPr>
          <w:sz w:val="28"/>
          <w:szCs w:val="28"/>
          <w:lang w:val="ru-RU"/>
        </w:rPr>
        <w:t xml:space="preserve">22 </w:t>
      </w:r>
      <w:r w:rsidRPr="00107040">
        <w:rPr>
          <w:sz w:val="28"/>
          <w:szCs w:val="28"/>
          <w:lang w:val="ru-RU"/>
        </w:rPr>
        <w:fldChar w:fldCharType="begin"/>
      </w:r>
      <w:r w:rsidR="00FB5E68">
        <w:rPr>
          <w:sz w:val="28"/>
          <w:szCs w:val="28"/>
          <w:lang w:val="ru-RU"/>
        </w:rPr>
        <w:instrText xml:space="preserve"> ADDIN ZOTERO_ITEM CSL_CITATION {"citationID":"a1b9t2ktshs","properties":{"formattedCitation":"[317,391]","plainCitation":"[317,391]","noteIndex":0},"citationItems":[{"id":1603,"uris":["http://zotero.org/users/9078202/items/7ULQ9USS"],"itemData":{"id":1603,"type":"article-journal","abstract":"Poly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F."}],"accessed":{"date-parts":[["2022",9,5]]},"issued":{"date-parts":[["2015",5,7]]}}},{"id":1828,"uris":["http://zotero.org/users/9078202/items/SACPZ24G"],"itemData":{"id":1828,"type":"article-journal","abstract":"Protein poly(ADP-ribosyl)ation (PARylation) primarily catalyzed by poly(ADP-ribose) polymerases (PARPs) plays a crucial role in controlling various cellular responses. However, PARylation targets and their functions remain largely elusive. Here, we deployed an Arabidopsis protein microarray coupled with in vitro PARylation assays to globally identify PARylation targets in plants. Consistent with the essential role of PARylation in plant immunity, the forkhead-associated (FHA) domain protein DAWDLE (DDL), one of PARP2 targets, positively regulates plant defense to both adapted and non-adapted pathogens. Arabidopsis PARP2 interacts with and PARylates DDL, which was enhanced upon treatment of bacterial flagellin. Mass spectrometry and mutagenesis analysis identified multiple PARylation sites of DDL by PARP2. Genetic complementation assays indicate that DDL PARylation is required for its function in plant immunity. In contrast, DDL PARylation appears to be dispensable for its previously reported function in plant development partially mediated by the regulation of microRNA biogenesis. Our study uncovers many previously unknown PARylation targets and points to the distinct functions of DDL in plant immunity and development mediated by protein PARylation and small RNA biogenesis, respectively.","container-title":"EMBO reports","DOI":"10.15252/embr.201642486","ISSN":"1469-3178","issue":"12","journalAbbreviation":"EMBO Rep","language":"eng","note":"PMID: 27797852\nPMCID: PMC5283580","page":"1799-1813","source":"PubMed","title":"PARylation of the forkhead-associated domain protein DAWDLE regulates plant immunity","volume":"17","author":[{"family":"Feng","given":"Baomin"},{"family":"Ma","given":"Shisong"},{"family":"Chen","given":"Sixue"},{"family":"Zhu","given":"Ning"},{"family":"Zhang","given":"Shuxin"},{"family":"Yu","given":"Bin"},{"family":"Yu","given":"Yu"},{"family":"Le","given":"Brandon"},{"family":"Chen","given":"Xuemei"},{"family":"Dinesh-Kumar","given":"Savithramma P."},{"family":"Shan","given":"Libo"},{"family":"He","given":"Ping"}],"issued":{"date-parts":[["2016",12]]}}}],"schema":"https://github.com/citation-style-language/schema/raw/master/csl-citation.json"} </w:instrText>
      </w:r>
      <w:r w:rsidRPr="00107040">
        <w:rPr>
          <w:sz w:val="28"/>
          <w:szCs w:val="28"/>
          <w:lang w:val="ru-RU"/>
        </w:rPr>
        <w:fldChar w:fldCharType="separate"/>
      </w:r>
      <w:r w:rsidR="00FB5E68" w:rsidRPr="00FB5E68">
        <w:rPr>
          <w:sz w:val="28"/>
          <w:lang w:val="ru-RU"/>
        </w:rPr>
        <w:t>[317,391]</w:t>
      </w:r>
      <w:r w:rsidRPr="00107040">
        <w:rPr>
          <w:sz w:val="28"/>
          <w:szCs w:val="28"/>
          <w:lang w:val="ru-RU"/>
        </w:rPr>
        <w:fldChar w:fldCharType="end"/>
      </w:r>
      <w:r w:rsidRPr="00107040">
        <w:rPr>
          <w:sz w:val="28"/>
          <w:szCs w:val="28"/>
          <w:lang w:val="ru-RU"/>
        </w:rPr>
        <w:t xml:space="preserve">: перенос пятидневных проростков в жидкую среду, содержащую 1 мкМ </w:t>
      </w:r>
      <w:r w:rsidRPr="00107040">
        <w:rPr>
          <w:sz w:val="28"/>
          <w:szCs w:val="28"/>
        </w:rPr>
        <w:t>flg</w:t>
      </w:r>
      <w:r w:rsidRPr="00107040">
        <w:rPr>
          <w:sz w:val="28"/>
          <w:szCs w:val="28"/>
          <w:lang w:val="ru-RU"/>
        </w:rPr>
        <w:t xml:space="preserve">22, усиливал отложение каллозы (но не всплеск АФК) </w:t>
      </w:r>
      <w:r w:rsidRPr="00107040">
        <w:rPr>
          <w:sz w:val="28"/>
          <w:szCs w:val="28"/>
          <w:lang w:val="ru-RU"/>
        </w:rPr>
        <w:fldChar w:fldCharType="begin"/>
      </w:r>
      <w:r w:rsidR="008611DC">
        <w:rPr>
          <w:sz w:val="28"/>
          <w:szCs w:val="28"/>
          <w:lang w:val="ru-RU"/>
        </w:rPr>
        <w:instrText xml:space="preserve"> ADDIN ZOTERO_ITEM CSL_CITATION {"citationID":"a1i7m5aba9a","properties":{"formattedCitation":"[317]","plainCitation":"[317]","noteIndex":0},"citationItems":[{"id":1603,"uris":["http://zotero.org/users/9078202/items/7ULQ9USS"],"itemData":{"id":1603,"type":"article-journal","abstract":"Poly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F."}],"accessed":{"date-parts":[["2022",9,5]]},"issued":{"date-parts":[["2015",5,7]]}}}],"schema":"https://github.com/citation-style-language/schema/raw/master/csl-citation.json"} </w:instrText>
      </w:r>
      <w:r w:rsidRPr="00107040">
        <w:rPr>
          <w:sz w:val="28"/>
          <w:szCs w:val="28"/>
          <w:lang w:val="ru-RU"/>
        </w:rPr>
        <w:fldChar w:fldCharType="separate"/>
      </w:r>
      <w:r w:rsidR="008611DC" w:rsidRPr="008611DC">
        <w:rPr>
          <w:sz w:val="28"/>
          <w:lang w:val="ru-RU"/>
        </w:rPr>
        <w:t>[317]</w:t>
      </w:r>
      <w:r w:rsidRPr="00107040">
        <w:rPr>
          <w:sz w:val="28"/>
          <w:szCs w:val="28"/>
          <w:lang w:val="ru-RU"/>
        </w:rPr>
        <w:fldChar w:fldCharType="end"/>
      </w:r>
      <w:r w:rsidRPr="00107040">
        <w:rPr>
          <w:sz w:val="28"/>
          <w:szCs w:val="28"/>
          <w:lang w:val="ru-RU"/>
        </w:rPr>
        <w:t xml:space="preserve">, в то время как инфильтрация листьев четырехнедельных растений 0,5 мкМ </w:t>
      </w:r>
      <w:r w:rsidRPr="00107040">
        <w:rPr>
          <w:sz w:val="28"/>
          <w:szCs w:val="28"/>
        </w:rPr>
        <w:t>flg</w:t>
      </w:r>
      <w:r w:rsidRPr="00107040">
        <w:rPr>
          <w:sz w:val="28"/>
          <w:szCs w:val="28"/>
          <w:lang w:val="ru-RU"/>
        </w:rPr>
        <w:t xml:space="preserve">22 снижала этот ответ </w:t>
      </w:r>
      <w:r w:rsidRPr="00107040">
        <w:rPr>
          <w:sz w:val="28"/>
          <w:szCs w:val="28"/>
          <w:lang w:val="ru-RU"/>
        </w:rPr>
        <w:fldChar w:fldCharType="begin"/>
      </w:r>
      <w:r w:rsidR="00FB5E68">
        <w:rPr>
          <w:sz w:val="28"/>
          <w:szCs w:val="28"/>
          <w:lang w:val="ru-RU"/>
        </w:rPr>
        <w:instrText xml:space="preserve"> ADDIN ZOTERO_ITEM CSL_CITATION {"citationID":"a29hglhpf7p","properties":{"formattedCitation":"[391]","plainCitation":"[391]","noteIndex":0},"citationItems":[{"id":1828,"uris":["http://zotero.org/users/9078202/items/SACPZ24G"],"itemData":{"id":1828,"type":"article-journal","abstract":"Protein poly(ADP-ribosyl)ation (PARylation) primarily catalyzed by poly(ADP-ribose) polymerases (PARPs) plays a crucial role in controlling various cellular responses. However, PARylation targets and their functions remain largely elusive. Here, we deployed an Arabidopsis protein microarray coupled with in vitro PARylation assays to globally identify PARylation targets in plants. Consistent with the essential role of PARylation in plant immunity, the forkhead-associated (FHA) domain protein DAWDLE (DDL), one of PARP2 targets, positively regulates plant defense to both adapted and non-adapted pathogens. Arabidopsis PARP2 interacts with and PARylates DDL, which was enhanced upon treatment of bacterial flagellin. Mass spectrometry and mutagenesis analysis identified multiple PARylation sites of DDL by PARP2. Genetic complementation assays indicate that DDL PARylation is required for its function in plant immunity. In contrast, DDL PARylation appears to be dispensable for its previously reported function in plant development partially mediated by the regulation of microRNA biogenesis. Our study uncovers many previously unknown PARylation targets and points to the distinct functions of DDL in plant immunity and development mediated by protein PARylation and small RNA biogenesis, respectively.","container-title":"EMBO reports","DOI":"10.15252/embr.201642486","ISSN":"1469-3178","issue":"12","journalAbbreviation":"EMBO Rep","language":"eng","note":"PMID: 27797852\nPMCID: PMC5283580","page":"1799-1813","source":"PubMed","title":"PARylation of the forkhead-associated domain protein DAWDLE regulates plant immunity","volume":"17","author":[{"family":"Feng","given":"Baomin"},{"family":"Ma","given":"Shisong"},{"family":"Chen","given":"Sixue"},{"family":"Zhu","given":"Ning"},{"family":"Zhang","given":"Shuxin"},{"family":"Yu","given":"Bin"},{"family":"Yu","given":"Yu"},{"family":"Le","given":"Brandon"},{"family":"Chen","given":"Xuemei"},{"family":"Dinesh-Kumar","given":"Savithramma P."},{"family":"Shan","given":"Libo"},{"family":"He","given":"Ping"}],"issued":{"date-parts":[["2016",12]]}}}],"schema":"https://github.com/citation-style-language/schema/raw/master/csl-citation.json"} </w:instrText>
      </w:r>
      <w:r w:rsidRPr="00107040">
        <w:rPr>
          <w:sz w:val="28"/>
          <w:szCs w:val="28"/>
          <w:lang w:val="ru-RU"/>
        </w:rPr>
        <w:fldChar w:fldCharType="separate"/>
      </w:r>
      <w:r w:rsidR="00FB5E68" w:rsidRPr="00FB5E68">
        <w:rPr>
          <w:sz w:val="28"/>
          <w:lang w:val="ru-RU"/>
        </w:rPr>
        <w:t>[391]</w:t>
      </w:r>
      <w:r w:rsidRPr="00107040">
        <w:rPr>
          <w:sz w:val="28"/>
          <w:szCs w:val="28"/>
          <w:lang w:val="ru-RU"/>
        </w:rPr>
        <w:fldChar w:fldCharType="end"/>
      </w:r>
      <w:r w:rsidRPr="00107040">
        <w:rPr>
          <w:sz w:val="28"/>
          <w:szCs w:val="28"/>
          <w:lang w:val="ru-RU"/>
        </w:rPr>
        <w:t xml:space="preserve">. Тем не менее, мутантные растения </w:t>
      </w:r>
      <w:r w:rsidRPr="00107040">
        <w:rPr>
          <w:i/>
          <w:sz w:val="28"/>
          <w:szCs w:val="28"/>
        </w:rPr>
        <w:t>parp</w:t>
      </w:r>
      <w:r w:rsidRPr="00107040">
        <w:rPr>
          <w:i/>
          <w:sz w:val="28"/>
          <w:szCs w:val="28"/>
          <w:lang w:val="ru-RU"/>
        </w:rPr>
        <w:t>2</w:t>
      </w:r>
      <w:r w:rsidRPr="00107040">
        <w:rPr>
          <w:sz w:val="28"/>
          <w:szCs w:val="28"/>
          <w:lang w:val="ru-RU"/>
        </w:rPr>
        <w:t xml:space="preserve"> и двойные мутантные растения </w:t>
      </w:r>
      <w:r w:rsidRPr="00107040">
        <w:rPr>
          <w:i/>
          <w:sz w:val="28"/>
          <w:szCs w:val="28"/>
        </w:rPr>
        <w:t>parp</w:t>
      </w:r>
      <w:r w:rsidRPr="00107040">
        <w:rPr>
          <w:i/>
          <w:sz w:val="28"/>
          <w:szCs w:val="28"/>
          <w:lang w:val="ru-RU"/>
        </w:rPr>
        <w:t xml:space="preserve">1 </w:t>
      </w:r>
      <w:r w:rsidRPr="00107040">
        <w:rPr>
          <w:i/>
          <w:sz w:val="28"/>
          <w:szCs w:val="28"/>
        </w:rPr>
        <w:t>parp</w:t>
      </w:r>
      <w:r w:rsidRPr="00107040">
        <w:rPr>
          <w:i/>
          <w:sz w:val="28"/>
          <w:szCs w:val="28"/>
          <w:lang w:val="ru-RU"/>
        </w:rPr>
        <w:t>2</w:t>
      </w:r>
      <w:r w:rsidRPr="00107040">
        <w:rPr>
          <w:sz w:val="28"/>
          <w:szCs w:val="28"/>
          <w:lang w:val="ru-RU"/>
        </w:rPr>
        <w:t xml:space="preserve"> проявляли повышенную чувствительность к штамму </w:t>
      </w:r>
      <w:r w:rsidRPr="00107040">
        <w:rPr>
          <w:i/>
          <w:sz w:val="28"/>
          <w:szCs w:val="28"/>
        </w:rPr>
        <w:t>Pst</w:t>
      </w:r>
      <w:r w:rsidRPr="00107040">
        <w:rPr>
          <w:sz w:val="28"/>
          <w:szCs w:val="28"/>
          <w:lang w:val="ru-RU"/>
        </w:rPr>
        <w:t xml:space="preserve"> </w:t>
      </w:r>
      <w:r w:rsidRPr="00107040">
        <w:rPr>
          <w:sz w:val="28"/>
          <w:szCs w:val="28"/>
        </w:rPr>
        <w:t>DC</w:t>
      </w:r>
      <w:r w:rsidRPr="00107040">
        <w:rPr>
          <w:sz w:val="28"/>
          <w:szCs w:val="28"/>
          <w:lang w:val="ru-RU"/>
        </w:rPr>
        <w:t xml:space="preserve">3000 </w:t>
      </w:r>
      <w:r w:rsidRPr="00107040">
        <w:rPr>
          <w:sz w:val="28"/>
          <w:szCs w:val="28"/>
          <w:lang w:val="ru-RU"/>
        </w:rPr>
        <w:fldChar w:fldCharType="begin"/>
      </w:r>
      <w:r w:rsidR="00FB5E68">
        <w:rPr>
          <w:sz w:val="28"/>
          <w:szCs w:val="28"/>
          <w:lang w:val="ru-RU"/>
        </w:rPr>
        <w:instrText xml:space="preserve"> ADDIN ZOTERO_ITEM CSL_CITATION {"citationID":"a2fga9l0aok","properties":{"formattedCitation":"[317,322]","plainCitation":"[317,322]","noteIndex":0},"citationItems":[{"id":1603,"uris":["http://zotero.org/users/9078202/items/7ULQ9USS"],"itemData":{"id":1603,"type":"article-journal","abstract":"Poly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F."}],"accessed":{"date-parts":[["2022",9,5]]},"issued":{"date-parts":[["2015",5,7]]}}},{"id":"MPjqK5ng/v6qLSWfx","uris":["http://zotero.org/users/9078202/items/PX5WSTDM"],"itemData":{"id":251,"type":"article-journal","abstract":"Perception of microbe-associated molecular patterns (MAMPs) elicits transcriptional reprogramming in hosts and activates defense to pathogen attacks. The molecular mechanisms underlying plant pattern-triggered immunity remain elusive. A genetic screen identified Arabidopsis poly(ADP-ribose) glycohydrolase 1 (atparg1) mutant with elevated immune gene expression upon multiple MAMP and pathogen treatments. Poly(ADP-ribose) glycohydrolase (PARG) is predicted to remove poly(ADP-ribose) polymers on acceptor proteins modified by poly(ADP-ribose) polymerases (PARPs) with three PARPs and two PARGs in Arabidopsis genome. AtPARP1 and AtPARP2 possess poly(ADP-ribose) polymerase activity, and the activity of AtPARP2 was enhanced by MAMP treatment. AtPARG1, but not AtPARG2, carries glycohydrolase activity in vivo and in vitro. Importantly, mutation (G450R) in atparg1 blocks its activity and the corresponding residue is highly conserved and essential for human HsPARG activity. Consistently, mutant atparp1atparp2 plants exhibited compromised immune gene activation and enhanced susceptibility to pathogen infections. Our study indicates that protein poly(ADP-ribosyl)ation plays critical roles in plant immune gene expression and defense to pathogen attacks.","container-title":"PLOS Genetics","DOI":"10.1371/journal.pgen.1004936","ISSN":"1553-7404","issue":"1","journalAbbreviation":"PLOS Genetics","language":"en","note":"publisher: Public Library of Science","page":"e1004936","source":"PLoS Journals","title":"Protein Poly(ADP-ribosyl)ation Regulates Arabidopsis Immune Gene Expression and Defense Responses","URL":"https://journals.plos.org/plosgenetics/article?id=10.1371/journal.pgen.1004936","volume":"11","author":[{"family":"Feng","given":"Baomin"},{"family":"Liu","given":"Chenglong"},{"family":"Oliveira","given":"Marcos V. V.","dropping-particle":"de"},{"family":"Intorne","given":"Aline C."},{"family":"Li","given":"Bo"},{"family":"Babilonia","given":"Kevin"},{"family":"Filho","given":"Gonçalo A. de Souza"},{"family":"Shan","given":"Libo"},{"family":"He","given":"Ping"}],"accessed":{"date-parts":[["2022",4,11]]},"issued":{"date-parts":[["2015",1,8]]}}}],"schema":"https://github.com/citation-style-language/schema/raw/master/csl-citation.json"} </w:instrText>
      </w:r>
      <w:r w:rsidRPr="00107040">
        <w:rPr>
          <w:sz w:val="28"/>
          <w:szCs w:val="28"/>
          <w:lang w:val="ru-RU"/>
        </w:rPr>
        <w:fldChar w:fldCharType="separate"/>
      </w:r>
      <w:r w:rsidR="008611DC" w:rsidRPr="008611DC">
        <w:rPr>
          <w:sz w:val="28"/>
          <w:lang w:val="ru-RU"/>
        </w:rPr>
        <w:t>[317,322]</w:t>
      </w:r>
      <w:r w:rsidRPr="00107040">
        <w:rPr>
          <w:sz w:val="28"/>
          <w:szCs w:val="28"/>
          <w:lang w:val="ru-RU"/>
        </w:rPr>
        <w:fldChar w:fldCharType="end"/>
      </w:r>
      <w:r w:rsidRPr="00107040">
        <w:rPr>
          <w:sz w:val="28"/>
          <w:szCs w:val="28"/>
          <w:lang w:val="ru-RU"/>
        </w:rPr>
        <w:t>.</w:t>
      </w:r>
      <w:r w:rsidRPr="00107040">
        <w:rPr>
          <w:sz w:val="28"/>
          <w:szCs w:val="28"/>
          <w:lang w:val="kk-KZ"/>
        </w:rPr>
        <w:t xml:space="preserve"> Этот штамм также индуцировал активацию PARP в растениях арабидопсиса, о чем свидетельствует снижение уровня НАД</w:t>
      </w:r>
      <w:r w:rsidRPr="00107040">
        <w:rPr>
          <w:sz w:val="28"/>
          <w:szCs w:val="28"/>
          <w:vertAlign w:val="superscript"/>
          <w:lang w:val="kk-KZ"/>
        </w:rPr>
        <w:t>+</w:t>
      </w:r>
      <w:r w:rsidRPr="00107040">
        <w:rPr>
          <w:sz w:val="28"/>
          <w:szCs w:val="28"/>
          <w:lang w:val="kk-KZ"/>
        </w:rPr>
        <w:t xml:space="preserve"> в клетках и увеличение содержания поли(АДФ-рибозы) в листьях </w:t>
      </w:r>
      <w:r w:rsidRPr="00107040">
        <w:rPr>
          <w:sz w:val="28"/>
          <w:szCs w:val="28"/>
          <w:lang w:val="kk-KZ"/>
        </w:rPr>
        <w:fldChar w:fldCharType="begin"/>
      </w:r>
      <w:r w:rsidR="008611DC">
        <w:rPr>
          <w:sz w:val="28"/>
          <w:szCs w:val="28"/>
          <w:lang w:val="kk-KZ"/>
        </w:rPr>
        <w:instrText xml:space="preserve"> ADDIN ZOTERO_ITEM CSL_CITATION {"citationID":"anv9v1o4rr","properties":{"formattedCitation":"[350]","plainCitation":"[350]","noteIndex":0},"citationItems":[{"id":240,"uris":["http://zotero.org/users/9078202/items/VTBIQATV"],"itemData":{"id":240,"type":"article-journal","abstract":"Poly(ADP-ribosyl)ation is a posttranslational protein modification in which ADP-ribose (ADP-Rib) units derived from NAD(+) are attached to proteins by poly(ADP-Rib) polymerase (PARP) enzymes. ADP-Rib groups are removed from these polymer chains by the enzyme poly(ADP-Rib) glycohydrolase (PARG). In animals, poly(ADP-ribosyl)ation is associated with DNA damage responses and programmed cell death. Previously, we hypothesized a role for poly(ADP-ribosyl)ation in plant defense responses when we detected defense-associated expression of the poly(ADP-ribosyl)ation-related genes PARG2 and NUDT7 and observed altered callose deposition in the presence of a chemical PARP inhibitor. The role of poly(ADP-ribosyl)ation in plant defenses was more extensively investigated in this study, using Arabidopsis (Arabidopsis thaliana). Pharmacological inhibition of PARP using 3-aminobenzamide perturbs certain innate immune responses to microbe-associated molecular patterns (flg22 and elf18), including callose deposition, lignin deposition, pigment accumulation, and phenylalanine ammonia lyase activity, but does not disrupt other responses, such as the initial oxidative burst and expression of some early defense-associated genes. Mutant parg1 seedlings exhibit exaggerated seedling growth inhibition and pigment accumulation in response to elf18 and are hypersensitive to the DNA-damaging agent mitomycin C. Both parg1 and parg2 knockout plants show accelerated onset of disease symptoms when infected with Botrytis cinerea. Cellular levels of ADP-Rib polymer increase after infection with avirulent Pseudomonas syringae pv tomato DC3000 avrRpt2(+), and pathogen-dependent changes in the poly(ADP-ribosyl)ation of discrete proteins were also observed. We conclude that poly(ADP-ribosyl)ation is a functional component in plant responses to biotic stress.","container-title":"Plant Physiology","DOI":"10.1104/pp.109.148049","ISSN":"1532-2548","issue":"1","journalAbbreviation":"Plant Physiol","language":"eng","note":"PMID: 19889874\nPMCID: PMC2799362","page":"267-280","source":"PubMed","title":"Disruption of poly(ADP-ribosyl)ation mechanisms alters responses of Arabidopsis to biotic stress","volume":"152","author":[{"family":"Adams-Phillips","given":"Lori"},{"family":"Briggs","given":"Amy G."},{"family":"Bent","given":"Andrew F."}],"issued":{"date-parts":[["2010",1]]}}}],"schema":"https://github.com/citation-style-language/schema/raw/master/csl-citation.json"} </w:instrText>
      </w:r>
      <w:r w:rsidRPr="00107040">
        <w:rPr>
          <w:sz w:val="28"/>
          <w:szCs w:val="28"/>
          <w:lang w:val="kk-KZ"/>
        </w:rPr>
        <w:fldChar w:fldCharType="separate"/>
      </w:r>
      <w:r w:rsidR="008611DC" w:rsidRPr="008611DC">
        <w:rPr>
          <w:sz w:val="28"/>
          <w:lang w:val="ru-RU"/>
        </w:rPr>
        <w:t>[350]</w:t>
      </w:r>
      <w:r w:rsidRPr="00107040">
        <w:rPr>
          <w:sz w:val="28"/>
          <w:szCs w:val="28"/>
          <w:lang w:val="kk-KZ"/>
        </w:rPr>
        <w:fldChar w:fldCharType="end"/>
      </w:r>
      <w:r w:rsidRPr="00107040">
        <w:rPr>
          <w:sz w:val="28"/>
          <w:szCs w:val="28"/>
          <w:lang w:val="kk-KZ"/>
        </w:rPr>
        <w:t xml:space="preserve">. В совокупности эти данные указывают на роль белков PARP, особенно PARP2, в качестве регуляторных компонентов базального иммунного ответа. Однако в двух независимых недавних исследованиях индуцированное flg22 отложение каллозы не было изменено в проростках с тройным нокаутом </w:t>
      </w:r>
      <w:r w:rsidRPr="00107040">
        <w:rPr>
          <w:i/>
          <w:sz w:val="28"/>
          <w:szCs w:val="28"/>
          <w:lang w:val="kk-KZ"/>
        </w:rPr>
        <w:t>parp1</w:t>
      </w:r>
      <w:r w:rsidRPr="00107040">
        <w:rPr>
          <w:sz w:val="28"/>
          <w:szCs w:val="28"/>
          <w:lang w:val="kk-KZ"/>
        </w:rPr>
        <w:t xml:space="preserve">, </w:t>
      </w:r>
      <w:r w:rsidRPr="00107040">
        <w:rPr>
          <w:i/>
          <w:sz w:val="28"/>
          <w:szCs w:val="28"/>
          <w:lang w:val="kk-KZ"/>
        </w:rPr>
        <w:t>parp2</w:t>
      </w:r>
      <w:r w:rsidRPr="00107040">
        <w:rPr>
          <w:sz w:val="28"/>
          <w:szCs w:val="28"/>
          <w:lang w:val="kk-KZ"/>
        </w:rPr>
        <w:t xml:space="preserve">, </w:t>
      </w:r>
      <w:r w:rsidRPr="00107040">
        <w:rPr>
          <w:i/>
          <w:sz w:val="28"/>
          <w:szCs w:val="28"/>
          <w:lang w:val="kk-KZ"/>
        </w:rPr>
        <w:t>parp3</w:t>
      </w:r>
      <w:r w:rsidRPr="00107040">
        <w:rPr>
          <w:sz w:val="28"/>
          <w:szCs w:val="28"/>
          <w:lang w:val="kk-KZ"/>
        </w:rPr>
        <w:t xml:space="preserve"> </w:t>
      </w:r>
      <w:r w:rsidRPr="00107040">
        <w:rPr>
          <w:sz w:val="28"/>
          <w:szCs w:val="28"/>
          <w:lang w:val="kk-KZ"/>
        </w:rPr>
        <w:fldChar w:fldCharType="begin"/>
      </w:r>
      <w:r w:rsidR="00FB5E68">
        <w:rPr>
          <w:sz w:val="28"/>
          <w:szCs w:val="28"/>
          <w:lang w:val="kk-KZ"/>
        </w:rPr>
        <w:instrText xml:space="preserve"> ADDIN ZOTERO_ITEM CSL_CITATION {"citationID":"ap5v71ga5p","properties":{"formattedCitation":"[327,389]","plainCitation":"[327,389]","noteIndex":0},"citationItems":[{"id":1631,"uris":["http://zotero.org/users/9078202/items/YIIMG6YR"],"itemData":{"id":1631,"type":"article-journal","abstract":"Abiotic and biotic stress can have a detrimental impact on plant growth and productivity. Hence, there is a substantial demand for key factors of stress responses to improve yield stability of crops. Members of the poly(ADP-ribose)polymerase (PARP) protein family, which post-translationally modify (PARylate) nuclear proteins, have been suggested as such universal determinants of plant stress responses. A role under abiotic stress has been inferred from studies in which a genetic or, more commonly, pharmacological inhibition of PARP activity improved the performance of stressed plants. To further elucidate the role of PARP proteins under stress, T-DNA knockout mutants for the three Arabidopsis thaliana PARP genes were subjected to drought, osmotic, salt, and oxidative stress. To exclude a functional redundancy, which was indicated by a transcriptional upregulation of the remaining parp genes, a parp triple mutant was generated. Surprisingly, parp mutant plants did not differ from wild type plants in any of these stress experiments, independent from the number of PARP genes mutated. The parp triple mutant was also analyzed for callose formation in response to the pathogenassociated molecular pattern flg22. Unexpectedly, callose formation was unaltered in the mutant, albeit pharmacological PARP inhibition robustly blocked this immune response, confirming previous reports. Evidently, pharmacological inhibition appears to be more robust than the abolition of all PARP genes, indicating the presence of so-far undescribed proteins with PARP activity. This was supported by the finding that protein PARylation was not absent, but even increased in the parp triple mutant. Candidates for novel PARP-inhibitor targets may be found in the SRO protein family. These proteins harbor a catalytic PARP-like domain and are centrally involved in stress responses. Molecular modeling analyses, employing animal PARPs as templates, indeed indicated a capability of the SRO proteins RCD1 and SRO1 to bind nicotinamide-derived inhibitors. Collectively, the results of our study suggest that the stress-related phenotypes of parp mutants are highly conditional, and they call for a reconsideration of PARP inhibitor studies. In the context of this study, we also propose a unifying nomenclature of PARP genes and parp mutants, which is currently highly inconsistent and redundant.","container-title":"Frontiers in Plant Science","DOI":"10.3389/fpls.2017.00059","ISSN":"1664-462X","journalAbbreviation":"Front Plant Sci","language":"eng","note":"PMID: 28220129\nPMCID: PMC5292411","page":"59","source":"PubMed","title":"No Silver Bullet - Canonical Poly(ADP-Ribose) Polymerases (PARPs) Are No Universal Factors of Abiotic and Biotic Stress Resistance of Arabidopsis thaliana","volume":"8","author":[{"family":"Rissel","given":"Dagmar"},{"family":"Heym","given":"Peter P."},{"family":"Thor","given":"Kathrin"},{"family":"Brandt","given":"Wolfgang"},{"family":"Wessjohann","given":"Ludger A."},{"family":"Peiter","given":"Edgar"}],"issued":{"date-parts":[["2017"]]}}},{"id":1817,"uris":["http://zotero.org/users/9078202/items/UYQYZEMR"],"itemData":{"id":1817,"type":"article-journal","abstract":"Cell wall reinforcement with callose is a frequent plant response to infection. Poly(ADP-ribosyl)ation is a protein post-translational modification mediated by poly(ADP-ribose) polymerases (PARPs). Poly(ADP-ribosyl)ation has well-known roles in DNA damage repair and has more recently been shown to contribute to plant immune responses. 3-aminobenzamide (3AB) is an established PARP inhibitor and it blocks the callose deposition elicited by flg22 or elf18, two microbe-associated molecular patterns (MAMPs). However, we report that an Arabidopsis parp1parp2parp3 triple mutant does not exhibit loss of flg22-induced callose deposition. Additionally, the more specific PARP inhibitors PJ-34 and INH2BP inhibit PARP activity in Arabidopsis but do not block MAMP-induced callose deposition. These data demonstrate off-target activity of 3AB and indicate that 3AB inhibits callose deposition through a mechanism other than poly(ADP-ribosyl)ation. POWDERY MILDEW RESISTANT 4 (PMR4) is the callose synthase responsible for the majority of MAMP- and wound-induced callose deposition in Arabidopsis. 3AB does not block wound-induced callose deposition, and 3AB does not reduce the PMR4 mRNA abundance increase in response to flg22. Levels of PMR4-HA protein increase in response to flg22, and increase even more in flg22 + 3AB despite no callose being produced. The callose synthase inhibitor 2-deoxy-D-glucose does not cause similar impacts on PMR4-HA protein levels. Beyond MAMPs, we find that 3AB also reduces callose deposition induced by powdery mildew (Golovinomyces cichoracearum) and impairs the penetration resistance of a PMR4 overexpression line. 3AB thus reveals pathogenesis-associated pathways that activate callose synthase enzymatic activity distinct from those that elevate PMR4 mRNA and protein abundance.","container-title":"Frontiers in Plant Science","ISSN":"1664-462X","source":"Frontiers","title":"3-Aminobenzamide Blocks MAMP-Induced Callose Deposition Independently of Its Poly(ADPribosyl)ation Inhibiting Activity","URL":"https://www.frontiersin.org/articles/10.3389/fpls.2018.01907","volume":"9","author":[{"family":"Keppler","given":"Brian D."},{"family":"Song","given":"Junqi"},{"family":"Nyman","given":"Jackson"},{"family":"Voigt","given":"Christian A."},{"family":"Bent","given":"Andrew F."}],"accessed":{"date-parts":[["2022",9,7]]},"issued":{"date-parts":[["2018"]]}}}],"schema":"https://github.com/citation-style-language/schema/raw/master/csl-citation.json"} </w:instrText>
      </w:r>
      <w:r w:rsidRPr="00107040">
        <w:rPr>
          <w:sz w:val="28"/>
          <w:szCs w:val="28"/>
          <w:lang w:val="kk-KZ"/>
        </w:rPr>
        <w:fldChar w:fldCharType="separate"/>
      </w:r>
      <w:r w:rsidR="00FB5E68" w:rsidRPr="00FB5E68">
        <w:rPr>
          <w:sz w:val="28"/>
          <w:lang w:val="ru-RU"/>
        </w:rPr>
        <w:t>[327,389]</w:t>
      </w:r>
      <w:r w:rsidRPr="00107040">
        <w:rPr>
          <w:sz w:val="28"/>
          <w:szCs w:val="28"/>
          <w:lang w:val="kk-KZ"/>
        </w:rPr>
        <w:fldChar w:fldCharType="end"/>
      </w:r>
      <w:r w:rsidRPr="00107040">
        <w:rPr>
          <w:sz w:val="28"/>
          <w:szCs w:val="28"/>
          <w:lang w:val="kk-KZ"/>
        </w:rPr>
        <w:t xml:space="preserve">. В двух исследованиях растения различались по стадии развития и условиям роста во время применения flg22. Следовательно, эти противоречивые данные дополнительно подтверждают выдвинутые выше представления об обусловленности фенотипов мутаций </w:t>
      </w:r>
      <w:r w:rsidRPr="00107040">
        <w:rPr>
          <w:i/>
          <w:sz w:val="28"/>
          <w:szCs w:val="28"/>
          <w:lang w:val="kk-KZ"/>
        </w:rPr>
        <w:t>parp</w:t>
      </w:r>
      <w:r w:rsidRPr="00107040">
        <w:rPr>
          <w:sz w:val="28"/>
          <w:szCs w:val="28"/>
          <w:lang w:val="kk-KZ"/>
        </w:rPr>
        <w:t xml:space="preserve"> и нецелевых эффектов ингибиторов PARP, которые еще предстоит проверить экспериментально. </w:t>
      </w:r>
    </w:p>
    <w:p w14:paraId="35300E42" w14:textId="6A6B3FBA"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t xml:space="preserve">Недавно был идентифицирован новый участник </w:t>
      </w:r>
      <w:r w:rsidRPr="00107040">
        <w:rPr>
          <w:sz w:val="28"/>
          <w:szCs w:val="28"/>
        </w:rPr>
        <w:t>PARP</w:t>
      </w:r>
      <w:r w:rsidRPr="00107040">
        <w:rPr>
          <w:sz w:val="28"/>
          <w:szCs w:val="28"/>
          <w:lang w:val="ru-RU"/>
        </w:rPr>
        <w:t xml:space="preserve">-опосредованного иммунитета растений. Мутантные растения, лишенные </w:t>
      </w:r>
      <w:r w:rsidRPr="00107040">
        <w:rPr>
          <w:sz w:val="28"/>
          <w:szCs w:val="28"/>
        </w:rPr>
        <w:t>AtPARP</w:t>
      </w:r>
      <w:r w:rsidRPr="00107040">
        <w:rPr>
          <w:sz w:val="28"/>
          <w:szCs w:val="28"/>
          <w:lang w:val="ru-RU"/>
        </w:rPr>
        <w:t xml:space="preserve">2-поли(АДФ-рибозил)ированного белка </w:t>
      </w:r>
      <w:r w:rsidRPr="00107040">
        <w:rPr>
          <w:sz w:val="28"/>
          <w:szCs w:val="28"/>
        </w:rPr>
        <w:t>DWADLE</w:t>
      </w:r>
      <w:r w:rsidRPr="00107040">
        <w:rPr>
          <w:sz w:val="28"/>
          <w:szCs w:val="28"/>
          <w:lang w:val="ru-RU"/>
        </w:rPr>
        <w:t xml:space="preserve"> (</w:t>
      </w:r>
      <w:r w:rsidRPr="00107040">
        <w:rPr>
          <w:sz w:val="28"/>
          <w:szCs w:val="28"/>
        </w:rPr>
        <w:t>DDL</w:t>
      </w:r>
      <w:r w:rsidRPr="00107040">
        <w:rPr>
          <w:sz w:val="28"/>
          <w:szCs w:val="28"/>
          <w:lang w:val="ru-RU"/>
        </w:rPr>
        <w:t xml:space="preserve">), проявляли повышенную чувствительность к </w:t>
      </w:r>
      <w:r w:rsidRPr="00107040">
        <w:rPr>
          <w:i/>
          <w:sz w:val="28"/>
          <w:szCs w:val="28"/>
        </w:rPr>
        <w:t>Pst</w:t>
      </w:r>
      <w:r w:rsidRPr="00107040">
        <w:rPr>
          <w:sz w:val="28"/>
          <w:szCs w:val="28"/>
          <w:lang w:val="ru-RU"/>
        </w:rPr>
        <w:t xml:space="preserve"> </w:t>
      </w:r>
      <w:r w:rsidRPr="00107040">
        <w:rPr>
          <w:sz w:val="28"/>
          <w:szCs w:val="28"/>
        </w:rPr>
        <w:t>DC</w:t>
      </w:r>
      <w:r w:rsidRPr="00107040">
        <w:rPr>
          <w:sz w:val="28"/>
          <w:szCs w:val="28"/>
          <w:lang w:val="ru-RU"/>
        </w:rPr>
        <w:t xml:space="preserve">3000, </w:t>
      </w:r>
      <w:r w:rsidRPr="00107040">
        <w:rPr>
          <w:i/>
          <w:sz w:val="28"/>
          <w:szCs w:val="28"/>
        </w:rPr>
        <w:t>P</w:t>
      </w:r>
      <w:r w:rsidRPr="00107040">
        <w:rPr>
          <w:i/>
          <w:sz w:val="28"/>
          <w:szCs w:val="28"/>
          <w:lang w:val="ru-RU"/>
        </w:rPr>
        <w:t xml:space="preserve">. </w:t>
      </w:r>
      <w:r w:rsidRPr="00107040">
        <w:rPr>
          <w:i/>
          <w:sz w:val="28"/>
          <w:szCs w:val="28"/>
        </w:rPr>
        <w:t>syringae</w:t>
      </w:r>
      <w:r w:rsidRPr="00107040">
        <w:rPr>
          <w:i/>
          <w:sz w:val="28"/>
          <w:szCs w:val="28"/>
          <w:lang w:val="ru-RU"/>
        </w:rPr>
        <w:t xml:space="preserve"> </w:t>
      </w:r>
      <w:r w:rsidRPr="00107040">
        <w:rPr>
          <w:i/>
          <w:sz w:val="28"/>
          <w:szCs w:val="28"/>
        </w:rPr>
        <w:t>pv</w:t>
      </w:r>
      <w:r w:rsidRPr="00107040">
        <w:rPr>
          <w:i/>
          <w:sz w:val="28"/>
          <w:szCs w:val="28"/>
          <w:lang w:val="ru-RU"/>
        </w:rPr>
        <w:t xml:space="preserve">. </w:t>
      </w:r>
      <w:r w:rsidRPr="00107040">
        <w:rPr>
          <w:i/>
          <w:sz w:val="28"/>
          <w:szCs w:val="28"/>
        </w:rPr>
        <w:t>maculicola</w:t>
      </w:r>
      <w:r w:rsidRPr="00107040">
        <w:rPr>
          <w:sz w:val="28"/>
          <w:szCs w:val="28"/>
          <w:lang w:val="ru-RU"/>
        </w:rPr>
        <w:t xml:space="preserve">, непатогенный </w:t>
      </w:r>
      <w:r w:rsidRPr="00107040">
        <w:rPr>
          <w:i/>
          <w:sz w:val="28"/>
          <w:szCs w:val="28"/>
        </w:rPr>
        <w:t>Pst</w:t>
      </w:r>
      <w:r w:rsidRPr="00107040">
        <w:rPr>
          <w:sz w:val="28"/>
          <w:szCs w:val="28"/>
          <w:lang w:val="ru-RU"/>
        </w:rPr>
        <w:t xml:space="preserve"> </w:t>
      </w:r>
      <w:r w:rsidRPr="00107040">
        <w:rPr>
          <w:sz w:val="28"/>
          <w:szCs w:val="28"/>
        </w:rPr>
        <w:t>DC</w:t>
      </w:r>
      <w:r w:rsidRPr="00107040">
        <w:rPr>
          <w:sz w:val="28"/>
          <w:szCs w:val="28"/>
          <w:lang w:val="ru-RU"/>
        </w:rPr>
        <w:t xml:space="preserve">3000 </w:t>
      </w:r>
      <w:r w:rsidRPr="00107040">
        <w:rPr>
          <w:sz w:val="28"/>
          <w:szCs w:val="28"/>
        </w:rPr>
        <w:t>hrcC</w:t>
      </w:r>
      <w:r w:rsidRPr="00107040">
        <w:rPr>
          <w:sz w:val="28"/>
          <w:szCs w:val="28"/>
          <w:lang w:val="ru-RU"/>
        </w:rPr>
        <w:t xml:space="preserve"> (секреционный мутант </w:t>
      </w:r>
      <w:r w:rsidRPr="00107040">
        <w:rPr>
          <w:i/>
          <w:sz w:val="28"/>
          <w:szCs w:val="28"/>
        </w:rPr>
        <w:t>Pst</w:t>
      </w:r>
      <w:r w:rsidRPr="00107040">
        <w:rPr>
          <w:sz w:val="28"/>
          <w:szCs w:val="28"/>
          <w:lang w:val="ru-RU"/>
        </w:rPr>
        <w:t xml:space="preserve"> </w:t>
      </w:r>
      <w:r w:rsidRPr="00107040">
        <w:rPr>
          <w:sz w:val="28"/>
          <w:szCs w:val="28"/>
        </w:rPr>
        <w:t>DC</w:t>
      </w:r>
      <w:r w:rsidRPr="00107040">
        <w:rPr>
          <w:sz w:val="28"/>
          <w:szCs w:val="28"/>
          <w:lang w:val="ru-RU"/>
        </w:rPr>
        <w:t xml:space="preserve">3000 типа </w:t>
      </w:r>
      <w:r w:rsidRPr="00107040">
        <w:rPr>
          <w:sz w:val="28"/>
          <w:szCs w:val="28"/>
        </w:rPr>
        <w:t>III</w:t>
      </w:r>
      <w:r w:rsidRPr="00107040">
        <w:rPr>
          <w:sz w:val="28"/>
          <w:szCs w:val="28"/>
          <w:lang w:val="ru-RU"/>
        </w:rPr>
        <w:t xml:space="preserve">) и неадаптивный патоген </w:t>
      </w:r>
      <w:r w:rsidRPr="00107040">
        <w:rPr>
          <w:i/>
          <w:sz w:val="28"/>
          <w:szCs w:val="28"/>
        </w:rPr>
        <w:t>P</w:t>
      </w:r>
      <w:r w:rsidRPr="00107040">
        <w:rPr>
          <w:i/>
          <w:sz w:val="28"/>
          <w:szCs w:val="28"/>
          <w:lang w:val="ru-RU"/>
        </w:rPr>
        <w:t xml:space="preserve">. </w:t>
      </w:r>
      <w:r w:rsidRPr="00107040">
        <w:rPr>
          <w:i/>
          <w:sz w:val="28"/>
          <w:szCs w:val="28"/>
        </w:rPr>
        <w:t>syringae</w:t>
      </w:r>
      <w:r w:rsidRPr="00107040">
        <w:rPr>
          <w:i/>
          <w:sz w:val="28"/>
          <w:szCs w:val="28"/>
          <w:lang w:val="ru-RU"/>
        </w:rPr>
        <w:t xml:space="preserve"> </w:t>
      </w:r>
      <w:r w:rsidRPr="00107040">
        <w:rPr>
          <w:i/>
          <w:sz w:val="28"/>
          <w:szCs w:val="28"/>
        </w:rPr>
        <w:t>pv</w:t>
      </w:r>
      <w:r w:rsidRPr="00107040">
        <w:rPr>
          <w:i/>
          <w:sz w:val="28"/>
          <w:szCs w:val="28"/>
          <w:lang w:val="ru-RU"/>
        </w:rPr>
        <w:t>.</w:t>
      </w:r>
      <w:r w:rsidRPr="00107040">
        <w:rPr>
          <w:sz w:val="28"/>
          <w:szCs w:val="28"/>
          <w:lang w:val="ru-RU"/>
        </w:rPr>
        <w:t xml:space="preserve"> </w:t>
      </w:r>
      <w:r w:rsidRPr="00107040">
        <w:rPr>
          <w:rStyle w:val="a7"/>
          <w:sz w:val="28"/>
          <w:szCs w:val="28"/>
        </w:rPr>
        <w:t>phaseolicola</w:t>
      </w:r>
      <w:r w:rsidRPr="00107040">
        <w:rPr>
          <w:sz w:val="28"/>
          <w:szCs w:val="28"/>
          <w:lang w:val="ru-RU"/>
        </w:rPr>
        <w:t xml:space="preserve"> </w:t>
      </w:r>
      <w:r w:rsidRPr="00107040">
        <w:rPr>
          <w:sz w:val="28"/>
          <w:szCs w:val="28"/>
          <w:lang w:val="ru-RU"/>
        </w:rPr>
        <w:fldChar w:fldCharType="begin"/>
      </w:r>
      <w:r w:rsidR="00FB5E68">
        <w:rPr>
          <w:sz w:val="28"/>
          <w:szCs w:val="28"/>
          <w:lang w:val="ru-RU"/>
        </w:rPr>
        <w:instrText xml:space="preserve"> ADDIN ZOTERO_ITEM CSL_CITATION {"citationID":"ac0iugmivl","properties":{"formattedCitation":"[391]","plainCitation":"[391]","noteIndex":0},"citationItems":[{"id":1828,"uris":["http://zotero.org/users/9078202/items/SACPZ24G"],"itemData":{"id":1828,"type":"article-journal","abstract":"Protein poly(ADP-ribosyl)ation (PARylation) primarily catalyzed by poly(ADP-ribose) polymerases (PARPs) plays a crucial role in controlling various cellular responses. However, PARylation targets and their functions remain largely elusive. Here, we deployed an Arabidopsis protein microarray coupled with in vitro PARylation assays to globally identify PARylation targets in plants. Consistent with the essential role of PARylation in plant immunity, the forkhead-associated (FHA) domain protein DAWDLE (DDL), one of PARP2 targets, positively regulates plant defense to both adapted and non-adapted pathogens. Arabidopsis PARP2 interacts with and PARylates DDL, which was enhanced upon treatment of bacterial flagellin. Mass spectrometry and mutagenesis analysis identified multiple PARylation sites of DDL by PARP2. Genetic complementation assays indicate that DDL PARylation is required for its function in plant immunity. In contrast, DDL PARylation appears to be dispensable for its previously reported function in plant development partially mediated by the regulation of microRNA biogenesis. Our study uncovers many previously unknown PARylation targets and points to the distinct functions of DDL in plant immunity and development mediated by protein PARylation and small RNA biogenesis, respectively.","container-title":"EMBO reports","DOI":"10.15252/embr.201642486","ISSN":"1469-3178","issue":"12","journalAbbreviation":"EMBO Rep","language":"eng","note":"PMID: 27797852\nPMCID: PMC5283580","page":"1799-1813","source":"PubMed","title":"PARylation of the forkhead-associated domain protein DAWDLE regulates plant immunity","volume":"17","author":[{"family":"Feng","given":"Baomin"},{"family":"Ma","given":"Shisong"},{"family":"Chen","given":"Sixue"},{"family":"Zhu","given":"Ning"},{"family":"Zhang","given":"Shuxin"},{"family":"Yu","given":"Bin"},{"family":"Yu","given":"Yu"},{"family":"Le","given":"Brandon"},{"family":"Chen","given":"Xuemei"},{"family":"Dinesh-Kumar","given":"Savithramma P."},{"family":"Shan","given":"Libo"},{"family":"He","given":"Ping"}],"issued":{"date-parts":[["2016",12]]}}}],"schema":"https://github.com/citation-style-language/schema/raw/master/csl-citation.json"} </w:instrText>
      </w:r>
      <w:r w:rsidRPr="00107040">
        <w:rPr>
          <w:sz w:val="28"/>
          <w:szCs w:val="28"/>
          <w:lang w:val="ru-RU"/>
        </w:rPr>
        <w:fldChar w:fldCharType="separate"/>
      </w:r>
      <w:r w:rsidR="00FB5E68" w:rsidRPr="00FB5E68">
        <w:rPr>
          <w:sz w:val="28"/>
          <w:lang w:val="ru-RU"/>
        </w:rPr>
        <w:t>[391]</w:t>
      </w:r>
      <w:r w:rsidRPr="00107040">
        <w:rPr>
          <w:sz w:val="28"/>
          <w:szCs w:val="28"/>
          <w:lang w:val="ru-RU"/>
        </w:rPr>
        <w:fldChar w:fldCharType="end"/>
      </w:r>
      <w:r w:rsidRPr="00107040">
        <w:rPr>
          <w:sz w:val="28"/>
          <w:szCs w:val="28"/>
          <w:lang w:val="ru-RU"/>
        </w:rPr>
        <w:t xml:space="preserve">. Сходным образом мутанты </w:t>
      </w:r>
      <w:r w:rsidRPr="00107040">
        <w:rPr>
          <w:i/>
          <w:sz w:val="28"/>
          <w:szCs w:val="28"/>
        </w:rPr>
        <w:t>ddl</w:t>
      </w:r>
      <w:r w:rsidRPr="00107040">
        <w:rPr>
          <w:sz w:val="28"/>
          <w:szCs w:val="28"/>
          <w:lang w:val="ru-RU"/>
        </w:rPr>
        <w:t xml:space="preserve"> показали пониженное отложение каллозы в ответ на </w:t>
      </w:r>
      <w:r w:rsidRPr="00107040">
        <w:rPr>
          <w:sz w:val="28"/>
          <w:szCs w:val="28"/>
        </w:rPr>
        <w:t>flg</w:t>
      </w:r>
      <w:r w:rsidRPr="00107040">
        <w:rPr>
          <w:sz w:val="28"/>
          <w:szCs w:val="28"/>
          <w:lang w:val="ru-RU"/>
        </w:rPr>
        <w:t xml:space="preserve">22 и </w:t>
      </w:r>
      <w:r w:rsidRPr="00107040">
        <w:rPr>
          <w:i/>
          <w:sz w:val="28"/>
          <w:szCs w:val="28"/>
        </w:rPr>
        <w:t>Pst</w:t>
      </w:r>
      <w:r w:rsidRPr="00107040">
        <w:rPr>
          <w:sz w:val="28"/>
          <w:szCs w:val="28"/>
          <w:lang w:val="ru-RU"/>
        </w:rPr>
        <w:t xml:space="preserve"> </w:t>
      </w:r>
      <w:r w:rsidRPr="00107040">
        <w:rPr>
          <w:sz w:val="28"/>
          <w:szCs w:val="28"/>
        </w:rPr>
        <w:t>DC</w:t>
      </w:r>
      <w:r w:rsidRPr="00107040">
        <w:rPr>
          <w:sz w:val="28"/>
          <w:szCs w:val="28"/>
          <w:lang w:val="ru-RU"/>
        </w:rPr>
        <w:t xml:space="preserve">3000 </w:t>
      </w:r>
      <w:r w:rsidRPr="00107040">
        <w:rPr>
          <w:sz w:val="28"/>
          <w:szCs w:val="28"/>
        </w:rPr>
        <w:t>hrcC</w:t>
      </w:r>
      <w:r w:rsidRPr="00107040">
        <w:rPr>
          <w:sz w:val="28"/>
          <w:szCs w:val="28"/>
          <w:lang w:val="ru-RU"/>
        </w:rPr>
        <w:t xml:space="preserve">. В отличие от фармакологического ингибирования </w:t>
      </w:r>
      <w:r w:rsidRPr="00107040">
        <w:rPr>
          <w:sz w:val="28"/>
          <w:szCs w:val="28"/>
        </w:rPr>
        <w:t>PARP</w:t>
      </w:r>
      <w:r w:rsidRPr="00107040">
        <w:rPr>
          <w:sz w:val="28"/>
          <w:szCs w:val="28"/>
          <w:lang w:val="ru-RU"/>
        </w:rPr>
        <w:t xml:space="preserve">, ранняя </w:t>
      </w:r>
      <w:r w:rsidRPr="00107040">
        <w:rPr>
          <w:sz w:val="28"/>
          <w:szCs w:val="28"/>
        </w:rPr>
        <w:t>PAMP</w:t>
      </w:r>
      <w:r w:rsidRPr="00107040">
        <w:rPr>
          <w:sz w:val="28"/>
          <w:szCs w:val="28"/>
          <w:lang w:val="ru-RU"/>
        </w:rPr>
        <w:t xml:space="preserve">-индуцированная экспрессия генов была снижена у мутантов </w:t>
      </w:r>
      <w:r w:rsidRPr="00107040">
        <w:rPr>
          <w:i/>
          <w:sz w:val="28"/>
          <w:szCs w:val="28"/>
        </w:rPr>
        <w:t>parp</w:t>
      </w:r>
      <w:r w:rsidRPr="00107040">
        <w:rPr>
          <w:i/>
          <w:sz w:val="28"/>
          <w:szCs w:val="28"/>
          <w:lang w:val="ru-RU"/>
        </w:rPr>
        <w:t>1</w:t>
      </w:r>
      <w:r w:rsidRPr="00107040">
        <w:rPr>
          <w:sz w:val="28"/>
          <w:szCs w:val="28"/>
          <w:lang w:val="ru-RU"/>
        </w:rPr>
        <w:t xml:space="preserve"> и </w:t>
      </w:r>
      <w:r w:rsidRPr="00107040">
        <w:rPr>
          <w:i/>
          <w:sz w:val="28"/>
          <w:szCs w:val="28"/>
        </w:rPr>
        <w:t>parp</w:t>
      </w:r>
      <w:r w:rsidRPr="00107040">
        <w:rPr>
          <w:i/>
          <w:sz w:val="28"/>
          <w:szCs w:val="28"/>
          <w:lang w:val="ru-RU"/>
        </w:rPr>
        <w:t>2</w:t>
      </w:r>
      <w:r w:rsidRPr="00107040">
        <w:rPr>
          <w:sz w:val="28"/>
          <w:szCs w:val="28"/>
          <w:lang w:val="ru-RU"/>
        </w:rPr>
        <w:t xml:space="preserve">, но не у </w:t>
      </w:r>
      <w:r w:rsidRPr="00107040">
        <w:rPr>
          <w:i/>
          <w:sz w:val="28"/>
          <w:szCs w:val="28"/>
        </w:rPr>
        <w:t>ddl</w:t>
      </w:r>
      <w:r w:rsidRPr="00107040">
        <w:rPr>
          <w:sz w:val="28"/>
          <w:szCs w:val="28"/>
          <w:lang w:val="ru-RU"/>
        </w:rPr>
        <w:t xml:space="preserve"> </w:t>
      </w:r>
      <w:r w:rsidRPr="00107040">
        <w:rPr>
          <w:sz w:val="28"/>
          <w:szCs w:val="28"/>
          <w:lang w:val="ru-RU"/>
        </w:rPr>
        <w:fldChar w:fldCharType="begin"/>
      </w:r>
      <w:r w:rsidR="00FB5E68">
        <w:rPr>
          <w:sz w:val="28"/>
          <w:szCs w:val="28"/>
          <w:lang w:val="ru-RU"/>
        </w:rPr>
        <w:instrText xml:space="preserve"> ADDIN ZOTERO_ITEM CSL_CITATION {"citationID":"a2hj102o88h","properties":{"formattedCitation":"[322,391]","plainCitation":"[322,391]","noteIndex":0},"citationItems":[{"id":1828,"uris":["http://zotero.org/users/9078202/items/SACPZ24G"],"itemData":{"id":1828,"type":"article-journal","abstract":"Protein poly(ADP-ribosyl)ation (PARylation) primarily catalyzed by poly(ADP-ribose) polymerases (PARPs) plays a crucial role in controlling various cellular responses. However, PARylation targets and their functions remain largely elusive. Here, we deployed an Arabidopsis protein microarray coupled with in vitro PARylation assays to globally identify PARylation targets in plants. Consistent with the essential role of PARylation in plant immunity, the forkhead-associated (FHA) domain protein DAWDLE (DDL), one of PARP2 targets, positively regulates plant defense to both adapted and non-adapted pathogens. Arabidopsis PARP2 interacts with and PARylates DDL, which was enhanced upon treatment of bacterial flagellin. Mass spectrometry and mutagenesis analysis identified multiple PARylation sites of DDL by PARP2. Genetic complementation assays indicate that DDL PARylation is required for its function in plant immunity. In contrast, DDL PARylation appears to be dispensable for its previously reported function in plant development partially mediated by the regulation of microRNA biogenesis. Our study uncovers many previously unknown PARylation targets and points to the distinct functions of DDL in plant immunity and development mediated by protein PARylation and small RNA biogenesis, respectively.","container-title":"EMBO reports","DOI":"10.15252/embr.201642486","ISSN":"1469-3178","issue":"12","journalAbbreviation":"EMBO Rep","language":"eng","note":"PMID: 27797852\nPMCID: PMC5283580","page":"1799-1813","source":"PubMed","title":"PARylation of the forkhead-associated domain protein DAWDLE regulates plant immunity","volume":"17","author":[{"family":"Feng","given":"Baomin"},{"family":"Ma","given":"Shisong"},{"family":"Chen","given":"Sixue"},{"family":"Zhu","given":"Ning"},{"family":"Zhang","given":"Shuxin"},{"family":"Yu","given":"Bin"},{"family":"Yu","given":"Yu"},{"family":"Le","given":"Brandon"},{"family":"Chen","given":"Xuemei"},{"family":"Dinesh-Kumar","given":"Savithramma P."},{"family":"Shan","given":"Libo"},{"family":"He","given":"Ping"}],"issued":{"date-parts":[["2016",12]]}}},{"id":"MPjqK5ng/v6qLSWfx","uris":["http://zotero.org/users/9078202/items/PX5WSTDM"],"itemData":{"id":251,"type":"article-journal","abstract":"Perception of microbe-associated molecular patterns (MAMPs) elicits transcriptional reprogramming in hosts and activates defense to pathogen attacks. The molecular mechanisms underlying plant pattern-triggered immunity remain elusive. A genetic screen identified Arabidopsis poly(ADP-ribose) glycohydrolase 1 (atparg1) mutant with elevated immune gene expression upon multiple MAMP and pathogen treatments. Poly(ADP-ribose) glycohydrolase (PARG) is predicted to remove poly(ADP-ribose) polymers on acceptor proteins modified by poly(ADP-ribose) polymerases (PARPs) with three PARPs and two PARGs in Arabidopsis genome. AtPARP1 and AtPARP2 possess poly(ADP-ribose) polymerase activity, and the activity of AtPARP2 was enhanced by MAMP treatment. AtPARG1, but not AtPARG2, carries glycohydrolase activity in vivo and in vitro. Importantly, mutation (G450R) in atparg1 blocks its activity and the corresponding residue is highly conserved and essential for human HsPARG activity. Consistently, mutant atparp1atparp2 plants exhibited compromised immune gene activation and enhanced susceptibility to pathogen infections. Our study indicates that protein poly(ADP-ribosyl)ation plays critical roles in plant immune gene expression and defense to pathogen attacks.","container-title":"PLOS Genetics","DOI":"10.1371/journal.pgen.1004936","ISSN":"1553-7404","issue":"1","journalAbbreviation":"PLOS Genetics","language":"en","note":"publisher: Public Library of Science","page":"e1004936","source":"PLoS Journals","title":"Protein Poly(ADP-ribosyl)ation Regulates Arabidopsis Immune Gene Expression and Defense Responses","URL":"https://journals.plos.org/plosgenetics/article?id=10.1371/journal.pgen.1004936","volume":"11","author":[{"family":"Feng","given":"Baomin"},{"family":"Liu","given":"Chenglong"},{"family":"Oliveira","given":"Marcos V. V.","dropping-particle":"de"},{"family":"Intorne","given":"Aline C."},{"family":"Li","given":"Bo"},{"family":"Babilonia","given":"Kevin"},{"family":"Filho","given":"Gonçalo A. de Souza"},{"family":"Shan","given":"Libo"},{"family":"He","given":"Ping"}],"accessed":{"date-parts":[["2022",4,11]]},"issued":{"date-parts":[["2015",1,8]]}}}],"schema":"https://github.com/citation-style-language/schema/raw/master/csl-citation.json"} </w:instrText>
      </w:r>
      <w:r w:rsidRPr="00107040">
        <w:rPr>
          <w:sz w:val="28"/>
          <w:szCs w:val="28"/>
          <w:lang w:val="ru-RU"/>
        </w:rPr>
        <w:fldChar w:fldCharType="separate"/>
      </w:r>
      <w:r w:rsidR="00FB5E68" w:rsidRPr="00FB5E68">
        <w:rPr>
          <w:sz w:val="28"/>
          <w:lang w:val="ru-RU"/>
        </w:rPr>
        <w:t>[322,391]</w:t>
      </w:r>
      <w:r w:rsidRPr="00107040">
        <w:rPr>
          <w:sz w:val="28"/>
          <w:szCs w:val="28"/>
          <w:lang w:val="ru-RU"/>
        </w:rPr>
        <w:fldChar w:fldCharType="end"/>
      </w:r>
      <w:r w:rsidRPr="00107040">
        <w:rPr>
          <w:sz w:val="28"/>
          <w:szCs w:val="28"/>
          <w:lang w:val="ru-RU"/>
        </w:rPr>
        <w:t xml:space="preserve">; поздние транскрипционные ответы на обработку </w:t>
      </w:r>
      <w:r w:rsidRPr="00107040">
        <w:rPr>
          <w:sz w:val="28"/>
          <w:szCs w:val="28"/>
        </w:rPr>
        <w:t>PAMP</w:t>
      </w:r>
      <w:r w:rsidRPr="00107040">
        <w:rPr>
          <w:sz w:val="28"/>
          <w:szCs w:val="28"/>
          <w:lang w:val="ru-RU"/>
        </w:rPr>
        <w:t xml:space="preserve"> были снижены как у </w:t>
      </w:r>
      <w:r w:rsidRPr="00107040">
        <w:rPr>
          <w:i/>
          <w:sz w:val="28"/>
          <w:szCs w:val="28"/>
        </w:rPr>
        <w:t>parp</w:t>
      </w:r>
      <w:r w:rsidRPr="00107040">
        <w:rPr>
          <w:i/>
          <w:sz w:val="28"/>
          <w:szCs w:val="28"/>
          <w:lang w:val="ru-RU"/>
        </w:rPr>
        <w:t>1</w:t>
      </w:r>
      <w:r w:rsidRPr="00107040">
        <w:rPr>
          <w:sz w:val="28"/>
          <w:szCs w:val="28"/>
          <w:lang w:val="ru-RU"/>
        </w:rPr>
        <w:t xml:space="preserve">, </w:t>
      </w:r>
      <w:r w:rsidRPr="00107040">
        <w:rPr>
          <w:i/>
          <w:sz w:val="28"/>
          <w:szCs w:val="28"/>
        </w:rPr>
        <w:t>parp</w:t>
      </w:r>
      <w:r w:rsidRPr="00107040">
        <w:rPr>
          <w:i/>
          <w:sz w:val="28"/>
          <w:szCs w:val="28"/>
          <w:lang w:val="ru-RU"/>
        </w:rPr>
        <w:t>2</w:t>
      </w:r>
      <w:r w:rsidRPr="00107040">
        <w:rPr>
          <w:sz w:val="28"/>
          <w:szCs w:val="28"/>
          <w:lang w:val="ru-RU"/>
        </w:rPr>
        <w:t xml:space="preserve">, так и у </w:t>
      </w:r>
      <w:r w:rsidRPr="00107040">
        <w:rPr>
          <w:i/>
          <w:sz w:val="28"/>
          <w:szCs w:val="28"/>
        </w:rPr>
        <w:t>ddl</w:t>
      </w:r>
      <w:r w:rsidRPr="00107040">
        <w:rPr>
          <w:i/>
          <w:sz w:val="28"/>
          <w:szCs w:val="28"/>
          <w:lang w:val="ru-RU"/>
        </w:rPr>
        <w:t xml:space="preserve"> </w:t>
      </w:r>
      <w:r w:rsidRPr="00107040">
        <w:rPr>
          <w:i/>
          <w:sz w:val="28"/>
          <w:szCs w:val="28"/>
          <w:lang w:val="ru-RU"/>
        </w:rPr>
        <w:fldChar w:fldCharType="begin"/>
      </w:r>
      <w:r w:rsidR="00FB5E68">
        <w:rPr>
          <w:i/>
          <w:sz w:val="28"/>
          <w:szCs w:val="28"/>
          <w:lang w:val="ru-RU"/>
        </w:rPr>
        <w:instrText xml:space="preserve"> ADDIN ZOTERO_ITEM CSL_CITATION {"citationID":"avdtuno5c1","properties":{"formattedCitation":"[391]","plainCitation":"[391]","noteIndex":0},"citationItems":[{"id":1828,"uris":["http://zotero.org/users/9078202/items/SACPZ24G"],"itemData":{"id":1828,"type":"article-journal","abstract":"Protein poly(ADP-ribosyl)ation (PARylation) primarily catalyzed by poly(ADP-ribose) polymerases (PARPs) plays a crucial role in controlling various cellular responses. However, PARylation targets and their functions remain largely elusive. Here, we deployed an Arabidopsis protein microarray coupled with in vitro PARylation assays to globally identify PARylation targets in plants. Consistent with the essential role of PARylation in plant immunity, the forkhead-associated (FHA) domain protein DAWDLE (DDL), one of PARP2 targets, positively regulates plant defense to both adapted and non-adapted pathogens. Arabidopsis PARP2 interacts with and PARylates DDL, which was enhanced upon treatment of bacterial flagellin. Mass spectrometry and mutagenesis analysis identified multiple PARylation sites of DDL by PARP2. Genetic complementation assays indicate that DDL PARylation is required for its function in plant immunity. In contrast, DDL PARylation appears to be dispensable for its previously reported function in plant development partially mediated by the regulation of microRNA biogenesis. Our study uncovers many previously unknown PARylation targets and points to the distinct functions of DDL in plant immunity and development mediated by protein PARylation and small RNA biogenesis, respectively.","container-title":"EMBO reports","DOI":"10.15252/embr.201642486","ISSN":"1469-3178","issue":"12","journalAbbreviation":"EMBO Rep","language":"eng","note":"PMID: 27797852\nPMCID: PMC5283580","page":"1799-1813","source":"PubMed","title":"PARylation of the forkhead-associated domain protein DAWDLE regulates plant immunity","volume":"17","author":[{"family":"Feng","given":"Baomin"},{"family":"Ma","given":"Shisong"},{"family":"Chen","given":"Sixue"},{"family":"Zhu","given":"Ning"},{"family":"Zhang","given":"Shuxin"},{"family":"Yu","given":"Bin"},{"family":"Yu","given":"Yu"},{"family":"Le","given":"Brandon"},{"family":"Chen","given":"Xuemei"},{"family":"Dinesh-Kumar","given":"Savithramma P."},{"family":"Shan","given":"Libo"},{"family":"He","given":"Ping"}],"issued":{"date-parts":[["2016",12]]}}}],"schema":"https://github.com/citation-style-language/schema/raw/master/csl-citation.json"} </w:instrText>
      </w:r>
      <w:r w:rsidRPr="00107040">
        <w:rPr>
          <w:i/>
          <w:sz w:val="28"/>
          <w:szCs w:val="28"/>
          <w:lang w:val="ru-RU"/>
        </w:rPr>
        <w:fldChar w:fldCharType="separate"/>
      </w:r>
      <w:r w:rsidR="00FB5E68" w:rsidRPr="00FB5E68">
        <w:rPr>
          <w:sz w:val="28"/>
          <w:lang w:val="ru-RU"/>
        </w:rPr>
        <w:t>[391]</w:t>
      </w:r>
      <w:r w:rsidRPr="00107040">
        <w:rPr>
          <w:i/>
          <w:sz w:val="28"/>
          <w:szCs w:val="28"/>
          <w:lang w:val="ru-RU"/>
        </w:rPr>
        <w:fldChar w:fldCharType="end"/>
      </w:r>
      <w:r w:rsidRPr="00107040">
        <w:rPr>
          <w:sz w:val="28"/>
          <w:szCs w:val="28"/>
          <w:lang w:val="ru-RU"/>
        </w:rPr>
        <w:t>.</w:t>
      </w:r>
      <w:r w:rsidRPr="00107040">
        <w:rPr>
          <w:sz w:val="28"/>
          <w:szCs w:val="28"/>
          <w:lang w:val="kk-KZ"/>
        </w:rPr>
        <w:t xml:space="preserve"> Эти частично перекрывающиеся фенотипы </w:t>
      </w:r>
      <w:r w:rsidRPr="00107040">
        <w:rPr>
          <w:i/>
          <w:sz w:val="28"/>
          <w:szCs w:val="28"/>
          <w:lang w:val="kk-KZ"/>
        </w:rPr>
        <w:t>parp1</w:t>
      </w:r>
      <w:r w:rsidRPr="00107040">
        <w:rPr>
          <w:sz w:val="28"/>
          <w:szCs w:val="28"/>
          <w:lang w:val="kk-KZ"/>
        </w:rPr>
        <w:t xml:space="preserve">, </w:t>
      </w:r>
      <w:r w:rsidRPr="00107040">
        <w:rPr>
          <w:i/>
          <w:sz w:val="28"/>
          <w:szCs w:val="28"/>
          <w:lang w:val="kk-KZ"/>
        </w:rPr>
        <w:t>parp2</w:t>
      </w:r>
      <w:r w:rsidRPr="00107040">
        <w:rPr>
          <w:sz w:val="28"/>
          <w:szCs w:val="28"/>
          <w:lang w:val="kk-KZ"/>
        </w:rPr>
        <w:t xml:space="preserve"> и </w:t>
      </w:r>
      <w:r w:rsidRPr="00107040">
        <w:rPr>
          <w:i/>
          <w:sz w:val="28"/>
          <w:szCs w:val="28"/>
          <w:lang w:val="kk-KZ"/>
        </w:rPr>
        <w:t>ddl</w:t>
      </w:r>
      <w:r w:rsidRPr="00107040">
        <w:rPr>
          <w:sz w:val="28"/>
          <w:szCs w:val="28"/>
          <w:lang w:val="kk-KZ"/>
        </w:rPr>
        <w:t xml:space="preserve"> дополнительно указывают на взаимодействие этих белков в ответ на PAMP. Фактически, взаимодействие AtPARP2 и DDL было подтверждено анализами иммунопреципитации и биомолекулярной флуоресценции, и было обнаружено, что оно усиливается с помощью flg22. Прямое взаимодействие обоих белков было заметно сильнее при поли(АДФ-рибозил)ировании. В дополнение к AtPARP2 было показано, что AtPARP1 также </w:t>
      </w:r>
      <w:r w:rsidRPr="00107040">
        <w:rPr>
          <w:sz w:val="28"/>
          <w:szCs w:val="28"/>
          <w:lang w:val="kk-KZ"/>
        </w:rPr>
        <w:lastRenderedPageBreak/>
        <w:t xml:space="preserve">поли(АДФ-рибозил)ируют DDL, но в меньшей степени, чем AtPARP2. Белок DDL, в котором отсутствуют сайты поли(АДФ-рибозил)ирования, не может компенсировать чувствительность к обработке PAMP, что указывает на то, что поли(АДФ-рибозил)ирование DDL необходимо для правильного иммунного ответа растений. Поскольку DDL усиливает экспрессию генов, индуцированную поздним PAMP, и поскольку предполагалось, что он взаимодействует с ацетилтрансферазами гистонов у арабидопсиса, </w:t>
      </w:r>
      <w:r w:rsidRPr="00107040">
        <w:rPr>
          <w:sz w:val="28"/>
          <w:szCs w:val="28"/>
        </w:rPr>
        <w:t>Feng</w:t>
      </w:r>
      <w:r w:rsidRPr="00107040">
        <w:rPr>
          <w:sz w:val="28"/>
          <w:szCs w:val="28"/>
          <w:lang w:val="kk-KZ"/>
        </w:rPr>
        <w:t xml:space="preserve"> и его коллеги пришли к выводу, что DDL участвует в ремоделировании хроматина, опосредованном поли(АДФ-рибозил)ированием, чтобы обеспечить доступ к промоторам генов-мишеней при иммунитете растений </w:t>
      </w:r>
      <w:r w:rsidRPr="00107040">
        <w:rPr>
          <w:sz w:val="28"/>
          <w:szCs w:val="28"/>
          <w:lang w:val="kk-KZ"/>
        </w:rPr>
        <w:fldChar w:fldCharType="begin"/>
      </w:r>
      <w:r w:rsidR="00FB5E68">
        <w:rPr>
          <w:sz w:val="28"/>
          <w:szCs w:val="28"/>
          <w:lang w:val="kk-KZ"/>
        </w:rPr>
        <w:instrText xml:space="preserve"> ADDIN ZOTERO_ITEM CSL_CITATION {"citationID":"aoqihhc5uk","properties":{"formattedCitation":"[391]","plainCitation":"[391]","noteIndex":0},"citationItems":[{"id":1828,"uris":["http://zotero.org/users/9078202/items/SACPZ24G"],"itemData":{"id":1828,"type":"article-journal","abstract":"Protein poly(ADP-ribosyl)ation (PARylation) primarily catalyzed by poly(ADP-ribose) polymerases (PARPs) plays a crucial role in controlling various cellular responses. However, PARylation targets and their functions remain largely elusive. Here, we deployed an Arabidopsis protein microarray coupled with in vitro PARylation assays to globally identify PARylation targets in plants. Consistent with the essential role of PARylation in plant immunity, the forkhead-associated (FHA) domain protein DAWDLE (DDL), one of PARP2 targets, positively regulates plant defense to both adapted and non-adapted pathogens. Arabidopsis PARP2 interacts with and PARylates DDL, which was enhanced upon treatment of bacterial flagellin. Mass spectrometry and mutagenesis analysis identified multiple PARylation sites of DDL by PARP2. Genetic complementation assays indicate that DDL PARylation is required for its function in plant immunity. In contrast, DDL PARylation appears to be dispensable for its previously reported function in plant development partially mediated by the regulation of microRNA biogenesis. Our study uncovers many previously unknown PARylation targets and points to the distinct functions of DDL in plant immunity and development mediated by protein PARylation and small RNA biogenesis, respectively.","container-title":"EMBO reports","DOI":"10.15252/embr.201642486","ISSN":"1469-3178","issue":"12","journalAbbreviation":"EMBO Rep","language":"eng","note":"PMID: 27797852\nPMCID: PMC5283580","page":"1799-1813","source":"PubMed","title":"PARylation of the forkhead-associated domain protein DAWDLE regulates plant immunity","volume":"17","author":[{"family":"Feng","given":"Baomin"},{"family":"Ma","given":"Shisong"},{"family":"Chen","given":"Sixue"},{"family":"Zhu","given":"Ning"},{"family":"Zhang","given":"Shuxin"},{"family":"Yu","given":"Bin"},{"family":"Yu","given":"Yu"},{"family":"Le","given":"Brandon"},{"family":"Chen","given":"Xuemei"},{"family":"Dinesh-Kumar","given":"Savithramma P."},{"family":"Shan","given":"Libo"},{"family":"He","given":"Ping"}],"issued":{"date-parts":[["2016",12]]}}}],"schema":"https://github.com/citation-style-language/schema/raw/master/csl-citation.json"} </w:instrText>
      </w:r>
      <w:r w:rsidRPr="00107040">
        <w:rPr>
          <w:sz w:val="28"/>
          <w:szCs w:val="28"/>
          <w:lang w:val="kk-KZ"/>
        </w:rPr>
        <w:fldChar w:fldCharType="separate"/>
      </w:r>
      <w:r w:rsidR="00FB5E68" w:rsidRPr="00FB5E68">
        <w:rPr>
          <w:sz w:val="28"/>
          <w:lang w:val="ru-RU"/>
        </w:rPr>
        <w:t>[391]</w:t>
      </w:r>
      <w:r w:rsidRPr="00107040">
        <w:rPr>
          <w:sz w:val="28"/>
          <w:szCs w:val="28"/>
          <w:lang w:val="kk-KZ"/>
        </w:rPr>
        <w:fldChar w:fldCharType="end"/>
      </w:r>
      <w:r w:rsidRPr="00107040">
        <w:rPr>
          <w:sz w:val="28"/>
          <w:szCs w:val="28"/>
          <w:lang w:val="kk-KZ"/>
        </w:rPr>
        <w:t>.</w:t>
      </w:r>
      <w:r w:rsidRPr="00107040">
        <w:rPr>
          <w:sz w:val="28"/>
          <w:szCs w:val="28"/>
          <w:lang w:val="ru-RU"/>
        </w:rPr>
        <w:t xml:space="preserve"> </w:t>
      </w:r>
    </w:p>
    <w:p w14:paraId="0F9FCA87" w14:textId="2FA0F306"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Поскольку </w:t>
      </w:r>
      <w:r w:rsidRPr="00107040">
        <w:rPr>
          <w:sz w:val="28"/>
          <w:szCs w:val="28"/>
        </w:rPr>
        <w:t>PARG</w:t>
      </w:r>
      <w:r w:rsidRPr="00107040">
        <w:rPr>
          <w:sz w:val="28"/>
          <w:szCs w:val="28"/>
          <w:lang w:val="ru-RU"/>
        </w:rPr>
        <w:t xml:space="preserve"> противодействуют действию </w:t>
      </w:r>
      <w:r w:rsidRPr="00107040">
        <w:rPr>
          <w:sz w:val="28"/>
          <w:szCs w:val="28"/>
        </w:rPr>
        <w:t>PARP</w:t>
      </w:r>
      <w:r w:rsidRPr="00107040">
        <w:rPr>
          <w:sz w:val="28"/>
          <w:szCs w:val="28"/>
          <w:lang w:val="ru-RU"/>
        </w:rPr>
        <w:t xml:space="preserve">, мутанты </w:t>
      </w:r>
      <w:r w:rsidRPr="00107040">
        <w:rPr>
          <w:i/>
          <w:sz w:val="28"/>
          <w:szCs w:val="28"/>
        </w:rPr>
        <w:t>parg</w:t>
      </w:r>
      <w:r w:rsidRPr="00107040">
        <w:rPr>
          <w:sz w:val="28"/>
          <w:szCs w:val="28"/>
          <w:lang w:val="ru-RU"/>
        </w:rPr>
        <w:t xml:space="preserve"> также должны демонстрировать измененные ответы на биотически</w:t>
      </w:r>
      <w:r w:rsidRPr="00107040">
        <w:rPr>
          <w:sz w:val="28"/>
          <w:szCs w:val="28"/>
          <w:lang w:val="kk-KZ"/>
        </w:rPr>
        <w:t>й стресс</w:t>
      </w:r>
      <w:r w:rsidRPr="00107040">
        <w:rPr>
          <w:sz w:val="28"/>
          <w:szCs w:val="28"/>
          <w:lang w:val="ru-RU"/>
        </w:rPr>
        <w:t xml:space="preserve">. Соответственно, мутанты </w:t>
      </w:r>
      <w:r w:rsidRPr="00107040">
        <w:rPr>
          <w:i/>
          <w:sz w:val="28"/>
          <w:szCs w:val="28"/>
        </w:rPr>
        <w:t>parg</w:t>
      </w:r>
      <w:r w:rsidRPr="00107040">
        <w:rPr>
          <w:i/>
          <w:sz w:val="28"/>
          <w:szCs w:val="28"/>
          <w:lang w:val="ru-RU"/>
        </w:rPr>
        <w:t>1</w:t>
      </w:r>
      <w:r w:rsidRPr="00107040">
        <w:rPr>
          <w:sz w:val="28"/>
          <w:szCs w:val="28"/>
          <w:lang w:val="ru-RU"/>
        </w:rPr>
        <w:t xml:space="preserve">, но не </w:t>
      </w:r>
      <w:r w:rsidRPr="00107040">
        <w:rPr>
          <w:i/>
          <w:sz w:val="28"/>
          <w:szCs w:val="28"/>
        </w:rPr>
        <w:t>parg</w:t>
      </w:r>
      <w:r w:rsidRPr="00107040">
        <w:rPr>
          <w:i/>
          <w:sz w:val="28"/>
          <w:szCs w:val="28"/>
          <w:lang w:val="ru-RU"/>
        </w:rPr>
        <w:t>2</w:t>
      </w:r>
      <w:r w:rsidRPr="00107040">
        <w:rPr>
          <w:sz w:val="28"/>
          <w:szCs w:val="28"/>
          <w:lang w:val="ru-RU"/>
        </w:rPr>
        <w:t xml:space="preserve">, демонстрировали более сильное ингибирование роста при обработке </w:t>
      </w:r>
      <w:r w:rsidRPr="00107040">
        <w:rPr>
          <w:sz w:val="28"/>
          <w:szCs w:val="28"/>
        </w:rPr>
        <w:t>elf</w:t>
      </w:r>
      <w:r w:rsidRPr="00107040">
        <w:rPr>
          <w:sz w:val="28"/>
          <w:szCs w:val="28"/>
          <w:lang w:val="ru-RU"/>
        </w:rPr>
        <w:t xml:space="preserve">18, что сопровождалось повышенным накоплением пигмента </w:t>
      </w:r>
      <w:r w:rsidRPr="00107040">
        <w:rPr>
          <w:sz w:val="28"/>
          <w:szCs w:val="28"/>
          <w:lang w:val="ru-RU"/>
        </w:rPr>
        <w:fldChar w:fldCharType="begin"/>
      </w:r>
      <w:r w:rsidR="008611DC">
        <w:rPr>
          <w:sz w:val="28"/>
          <w:szCs w:val="28"/>
          <w:lang w:val="ru-RU"/>
        </w:rPr>
        <w:instrText xml:space="preserve"> ADDIN ZOTERO_ITEM CSL_CITATION {"citationID":"ap466m9h32","properties":{"formattedCitation":"[350]","plainCitation":"[350]","noteIndex":0},"citationItems":[{"id":240,"uris":["http://zotero.org/users/9078202/items/VTBIQATV"],"itemData":{"id":240,"type":"article-journal","abstract":"Poly(ADP-ribosyl)ation is a posttranslational protein modification in which ADP-ribose (ADP-Rib) units derived from NAD(+) are attached to proteins by poly(ADP-Rib) polymerase (PARP) enzymes. ADP-Rib groups are removed from these polymer chains by the enzyme poly(ADP-Rib) glycohydrolase (PARG). In animals, poly(ADP-ribosyl)ation is associated with DNA damage responses and programmed cell death. Previously, we hypothesized a role for poly(ADP-ribosyl)ation in plant defense responses when we detected defense-associated expression of the poly(ADP-ribosyl)ation-related genes PARG2 and NUDT7 and observed altered callose deposition in the presence of a chemical PARP inhibitor. The role of poly(ADP-ribosyl)ation in plant defenses was more extensively investigated in this study, using Arabidopsis (Arabidopsis thaliana). Pharmacological inhibition of PARP using 3-aminobenzamide perturbs certain innate immune responses to microbe-associated molecular patterns (flg22 and elf18), including callose deposition, lignin deposition, pigment accumulation, and phenylalanine ammonia lyase activity, but does not disrupt other responses, such as the initial oxidative burst and expression of some early defense-associated genes. Mutant parg1 seedlings exhibit exaggerated seedling growth inhibition and pigment accumulation in response to elf18 and are hypersensitive to the DNA-damaging agent mitomycin C. Both parg1 and parg2 knockout plants show accelerated onset of disease symptoms when infected with Botrytis cinerea. Cellular levels of ADP-Rib polymer increase after infection with avirulent Pseudomonas syringae pv tomato DC3000 avrRpt2(+), and pathogen-dependent changes in the poly(ADP-ribosyl)ation of discrete proteins were also observed. We conclude that poly(ADP-ribosyl)ation is a functional component in plant responses to biotic stress.","container-title":"Plant Physiology","DOI":"10.1104/pp.109.148049","ISSN":"1532-2548","issue":"1","journalAbbreviation":"Plant Physiol","language":"eng","note":"PMID: 19889874\nPMCID: PMC2799362","page":"267-280","source":"PubMed","title":"Disruption of poly(ADP-ribosyl)ation mechanisms alters responses of Arabidopsis to biotic stress","volume":"152","author":[{"family":"Adams-Phillips","given":"Lori"},{"family":"Briggs","given":"Amy G."},{"family":"Bent","given":"Andrew F."}],"issued":{"date-parts":[["2010",1]]}}}],"schema":"https://github.com/citation-style-language/schema/raw/master/csl-citation.json"} </w:instrText>
      </w:r>
      <w:r w:rsidRPr="00107040">
        <w:rPr>
          <w:sz w:val="28"/>
          <w:szCs w:val="28"/>
          <w:lang w:val="ru-RU"/>
        </w:rPr>
        <w:fldChar w:fldCharType="separate"/>
      </w:r>
      <w:r w:rsidR="008611DC" w:rsidRPr="008611DC">
        <w:rPr>
          <w:sz w:val="28"/>
          <w:lang w:val="ru-RU"/>
        </w:rPr>
        <w:t>[350]</w:t>
      </w:r>
      <w:r w:rsidRPr="00107040">
        <w:rPr>
          <w:sz w:val="28"/>
          <w:szCs w:val="28"/>
          <w:lang w:val="ru-RU"/>
        </w:rPr>
        <w:fldChar w:fldCharType="end"/>
      </w:r>
      <w:r w:rsidRPr="00107040">
        <w:rPr>
          <w:sz w:val="28"/>
          <w:szCs w:val="28"/>
          <w:lang w:val="ru-RU"/>
        </w:rPr>
        <w:t xml:space="preserve">. Зрелые растения </w:t>
      </w:r>
      <w:r w:rsidRPr="00107040">
        <w:rPr>
          <w:i/>
          <w:sz w:val="28"/>
          <w:szCs w:val="28"/>
        </w:rPr>
        <w:t>parg</w:t>
      </w:r>
      <w:r w:rsidRPr="00107040">
        <w:rPr>
          <w:i/>
          <w:sz w:val="28"/>
          <w:szCs w:val="28"/>
          <w:lang w:val="ru-RU"/>
        </w:rPr>
        <w:t>1</w:t>
      </w:r>
      <w:r w:rsidRPr="00107040">
        <w:rPr>
          <w:sz w:val="28"/>
          <w:szCs w:val="28"/>
          <w:lang w:val="ru-RU"/>
        </w:rPr>
        <w:t xml:space="preserve"> также демонстрировали усиленное отложение каллозы, индуцированное </w:t>
      </w:r>
      <w:r w:rsidRPr="00107040">
        <w:rPr>
          <w:sz w:val="28"/>
          <w:szCs w:val="28"/>
        </w:rPr>
        <w:t>flg</w:t>
      </w:r>
      <w:r w:rsidRPr="00107040">
        <w:rPr>
          <w:sz w:val="28"/>
          <w:szCs w:val="28"/>
          <w:lang w:val="ru-RU"/>
        </w:rPr>
        <w:t xml:space="preserve">22, и повышенную экспрессию генов, регулируемых </w:t>
      </w:r>
      <w:r w:rsidRPr="00107040">
        <w:rPr>
          <w:sz w:val="28"/>
          <w:szCs w:val="28"/>
        </w:rPr>
        <w:t>flg</w:t>
      </w:r>
      <w:r w:rsidRPr="00107040">
        <w:rPr>
          <w:sz w:val="28"/>
          <w:szCs w:val="28"/>
          <w:lang w:val="ru-RU"/>
        </w:rPr>
        <w:t xml:space="preserve">22 </w:t>
      </w:r>
      <w:r w:rsidRPr="00107040">
        <w:rPr>
          <w:sz w:val="28"/>
          <w:szCs w:val="28"/>
          <w:lang w:val="ru-RU"/>
        </w:rPr>
        <w:fldChar w:fldCharType="begin"/>
      </w:r>
      <w:r w:rsidR="00FB5E68">
        <w:rPr>
          <w:sz w:val="28"/>
          <w:szCs w:val="28"/>
          <w:lang w:val="ru-RU"/>
        </w:rPr>
        <w:instrText xml:space="preserve"> ADDIN ZOTERO_ITEM CSL_CITATION {"citationID":"aulcr24amf","properties":{"formattedCitation":"[322]","plainCitation":"[322]","noteIndex":0},"citationItems":[{"id":"MPjqK5ng/v6qLSWfx","uris":["http://zotero.org/users/9078202/items/PX5WSTDM"],"itemData":{"id":251,"type":"article-journal","abstract":"Perception of microbe-associated molecular patterns (MAMPs) elicits transcriptional reprogramming in hosts and activates defense to pathogen attacks. The molecular mechanisms underlying plant pattern-triggered immunity remain elusive. A genetic screen identified Arabidopsis poly(ADP-ribose) glycohydrolase 1 (atparg1) mutant with elevated immune gene expression upon multiple MAMP and pathogen treatments. Poly(ADP-ribose) glycohydrolase (PARG) is predicted to remove poly(ADP-ribose) polymers on acceptor proteins modified by poly(ADP-ribose) polymerases (PARPs) with three PARPs and two PARGs in Arabidopsis genome. AtPARP1 and AtPARP2 possess poly(ADP-ribose) polymerase activity, and the activity of AtPARP2 was enhanced by MAMP treatment. AtPARG1, but not AtPARG2, carries glycohydrolase activity in vivo and in vitro. Importantly, mutation (G450R) in atparg1 blocks its activity and the corresponding residue is highly conserved and essential for human HsPARG activity. Consistently, mutant atparp1atparp2 plants exhibited compromised immune gene activation and enhanced susceptibility to pathogen infections. Our study indicates that protein poly(ADP-ribosyl)ation plays critical roles in plant immune gene expression and defense to pathogen attacks.","container-title":"PLOS Genetics","DOI":"10.1371/journal.pgen.1004936","ISSN":"1553-7404","issue":"1","journalAbbreviation":"PLOS Genetics","language":"en","note":"publisher: Public Library of Science","page":"e1004936","source":"PLoS Journals","title":"Protein Poly(ADP-ribosyl)ation Regulates Arabidopsis Immune Gene Expression and Defense Responses","URL":"https://journals.plos.org/plosgenetics/article?id=10.1371/journal.pgen.1004936","volume":"11","author":[{"family":"Feng","given":"Baomin"},{"family":"Liu","given":"Chenglong"},{"family":"Oliveira","given":"Marcos V. V.","dropping-particle":"de"},{"family":"Intorne","given":"Aline C."},{"family":"Li","given":"Bo"},{"family":"Babilonia","given":"Kevin"},{"family":"Filho","given":"Gonçalo A. de Souza"},{"family":"Shan","given":"Libo"},{"family":"He","given":"Ping"}],"accessed":{"date-parts":[["2022",4,11]]},"issued":{"date-parts":[["2015",1,8]]}}}],"schema":"https://github.com/citation-style-language/schema/raw/master/csl-citation.json"} </w:instrText>
      </w:r>
      <w:r w:rsidRPr="00107040">
        <w:rPr>
          <w:sz w:val="28"/>
          <w:szCs w:val="28"/>
          <w:lang w:val="ru-RU"/>
        </w:rPr>
        <w:fldChar w:fldCharType="separate"/>
      </w:r>
      <w:r w:rsidR="008611DC" w:rsidRPr="008611DC">
        <w:rPr>
          <w:sz w:val="28"/>
          <w:lang w:val="ru-RU"/>
        </w:rPr>
        <w:t>[322]</w:t>
      </w:r>
      <w:r w:rsidRPr="00107040">
        <w:rPr>
          <w:sz w:val="28"/>
          <w:szCs w:val="28"/>
          <w:lang w:val="ru-RU"/>
        </w:rPr>
        <w:fldChar w:fldCharType="end"/>
      </w:r>
      <w:r w:rsidRPr="00107040">
        <w:rPr>
          <w:sz w:val="28"/>
          <w:szCs w:val="28"/>
          <w:lang w:val="ru-RU"/>
        </w:rPr>
        <w:t xml:space="preserve">. Подобно мутантным растениям </w:t>
      </w:r>
      <w:r w:rsidRPr="00107040">
        <w:rPr>
          <w:i/>
          <w:sz w:val="28"/>
          <w:szCs w:val="28"/>
        </w:rPr>
        <w:t>parp</w:t>
      </w:r>
      <w:r w:rsidRPr="00107040">
        <w:rPr>
          <w:sz w:val="28"/>
          <w:szCs w:val="28"/>
          <w:lang w:val="ru-RU"/>
        </w:rPr>
        <w:t xml:space="preserve"> и фармакологическому ингибированию </w:t>
      </w:r>
      <w:r w:rsidRPr="00107040">
        <w:rPr>
          <w:sz w:val="28"/>
          <w:szCs w:val="28"/>
        </w:rPr>
        <w:t>PARP</w:t>
      </w:r>
      <w:r w:rsidRPr="00107040">
        <w:rPr>
          <w:sz w:val="28"/>
          <w:szCs w:val="28"/>
          <w:lang w:val="ru-RU"/>
        </w:rPr>
        <w:t xml:space="preserve">, ранняя </w:t>
      </w:r>
      <w:r w:rsidRPr="00107040">
        <w:rPr>
          <w:sz w:val="28"/>
          <w:szCs w:val="28"/>
        </w:rPr>
        <w:t>PAMP</w:t>
      </w:r>
      <w:r w:rsidRPr="00107040">
        <w:rPr>
          <w:sz w:val="28"/>
          <w:szCs w:val="28"/>
          <w:lang w:val="ru-RU"/>
        </w:rPr>
        <w:t xml:space="preserve">-индуцированная продукция </w:t>
      </w:r>
      <w:r w:rsidRPr="00107040">
        <w:rPr>
          <w:sz w:val="28"/>
          <w:szCs w:val="28"/>
        </w:rPr>
        <w:t>ROS</w:t>
      </w:r>
      <w:r w:rsidRPr="00107040">
        <w:rPr>
          <w:sz w:val="28"/>
          <w:szCs w:val="28"/>
          <w:lang w:val="ru-RU"/>
        </w:rPr>
        <w:t xml:space="preserve"> не изменялась у мутантных растений </w:t>
      </w:r>
      <w:r w:rsidRPr="00107040">
        <w:rPr>
          <w:i/>
          <w:sz w:val="28"/>
          <w:szCs w:val="28"/>
        </w:rPr>
        <w:t>parg</w:t>
      </w:r>
      <w:r w:rsidRPr="00107040">
        <w:rPr>
          <w:i/>
          <w:sz w:val="28"/>
          <w:szCs w:val="28"/>
          <w:lang w:val="ru-RU"/>
        </w:rPr>
        <w:t>1</w:t>
      </w:r>
      <w:r w:rsidRPr="00107040">
        <w:rPr>
          <w:sz w:val="28"/>
          <w:szCs w:val="28"/>
          <w:lang w:val="ru-RU"/>
        </w:rPr>
        <w:t xml:space="preserve">. Тем не менее, этот мутант демонстрировал транскрипционные изменения в экспрессии защитных генов </w:t>
      </w:r>
      <w:r w:rsidRPr="00107040">
        <w:rPr>
          <w:sz w:val="28"/>
          <w:szCs w:val="28"/>
          <w:lang w:val="ru-RU"/>
        </w:rPr>
        <w:fldChar w:fldCharType="begin"/>
      </w:r>
      <w:r w:rsidR="008611DC">
        <w:rPr>
          <w:sz w:val="28"/>
          <w:szCs w:val="28"/>
          <w:lang w:val="ru-RU"/>
        </w:rPr>
        <w:instrText xml:space="preserve"> ADDIN ZOTERO_ITEM CSL_CITATION {"citationID":"a229l42l3l4","properties":{"formattedCitation":"[351]","plainCitation":"[351]","noteIndex":0},"citationItems":[{"id":1707,"uris":["http://zotero.org/users/9078202/items/5NVYT3UP"],"itemData":{"id":1707,"type":"article-journal","abstract":"Pharmacological inhibition of poly(ADP-ribose) polymerase (PARP) or loss of Arabidopsis thaliana PARG1 (poly(ADP-ribose) glycohydrolase) disrupt a subset of plant defenses. In the present study we examined the impact of altered poly(ADP-ribosyl)ation on early gene expression induced by the microbe-associate molecular patterns (MAMPs) flagellin (flg22) and EF-Tu (elf18). Stringent statistical analyses and filtering identified 178 genes having MAMP-induced mRNA abundance patterns that were altered by either PARP inhibitor 3-aminobenzamide (3AB) or PARG1 knockout. From the identified set of 178 genes, over fifty Arabidopsis T-DNA insertion lines were chosen and screened for altered basal defense responses. Subtle alterations in callose deposition and/or seedling growth in response to those MAMPs were observed in knockouts of At3g55630 (FPGS3, a cytosolic folylpolyglutamate synthetase), At5g15660 (containing an F-box domain), At1g47370 (a TIR-X (Toll-Interleukin Receptor domain)), and At5g64060 (a predicted pectin methylesterase inhibitor). Over-represented GO terms for the gene expression study included \"innate immune response\" for elf18/parg1, highlighting a subset of elf18-activated defense-associated genes whose expression is altered in parg1 plants. The study also allowed a tightly controlled comparison of early mRNA abundance responses to flg22 and elf18 in wild-type Arabidopsis, which revealed many differences. The PARP inhibitor 3-methoxybenzamide (3MB) was also used in the gene expression profiling, but pleiotropic impacts of this inhibitor were observed. This transcriptomics study revealed targets for further dissection of MAMP-induced plant immune responses, impacts of PARP inhibitors, and the molecular mechanisms by which poly(ADP-ribosyl)ation regulates plant responses to MAMPs.","container-title":"PloS One","DOI":"10.1371/journal.pone.0190268","ISSN":"1932-6203","issue":"12","journalAbbreviation":"PLoS One","language":"eng","note":"PMID: 29284022\nPMCID: PMC5746271","page":"e0190268","source":"PubMed","title":"A transcriptomics approach uncovers novel roles for poly(ADP-ribosyl)ation in the basal defense response in Arabidopsis thaliana","volume":"12","author":[{"family":"Briggs","given":"Amy G."},{"family":"Adams-Phillips","given":"Lori C."},{"family":"Keppler","given":"Brian D."},{"family":"Zebell","given":"Sophia G."},{"family":"Arend","given":"Kyle C."},{"family":"Apfelbaum","given":"April A."},{"family":"Smith","given":"Joshua A."},{"family":"Bent","given":"Andrew F."}],"issued":{"date-parts":[["2017"]]}}}],"schema":"https://github.com/citation-style-language/schema/raw/master/csl-citation.json"} </w:instrText>
      </w:r>
      <w:r w:rsidRPr="00107040">
        <w:rPr>
          <w:sz w:val="28"/>
          <w:szCs w:val="28"/>
          <w:lang w:val="ru-RU"/>
        </w:rPr>
        <w:fldChar w:fldCharType="separate"/>
      </w:r>
      <w:r w:rsidR="008611DC" w:rsidRPr="008611DC">
        <w:rPr>
          <w:sz w:val="28"/>
          <w:lang w:val="ru-RU"/>
        </w:rPr>
        <w:t>[351]</w:t>
      </w:r>
      <w:r w:rsidRPr="00107040">
        <w:rPr>
          <w:sz w:val="28"/>
          <w:szCs w:val="28"/>
          <w:lang w:val="ru-RU"/>
        </w:rPr>
        <w:fldChar w:fldCharType="end"/>
      </w:r>
      <w:r w:rsidRPr="00107040">
        <w:rPr>
          <w:sz w:val="28"/>
          <w:szCs w:val="28"/>
          <w:lang w:val="ru-RU"/>
        </w:rPr>
        <w:t xml:space="preserve">. Эти изменения не могут быть отнесены к конкретным сигнальным путям, индуцированным патогеном, что позволяет сделать вывод, что AtPARG1 действует как регуляторный элемент в узлах путей ответа </w:t>
      </w:r>
      <w:r w:rsidRPr="00107040">
        <w:rPr>
          <w:sz w:val="28"/>
          <w:szCs w:val="28"/>
          <w:lang w:val="ru-RU"/>
        </w:rPr>
        <w:fldChar w:fldCharType="begin"/>
      </w:r>
      <w:r w:rsidR="008611DC">
        <w:rPr>
          <w:sz w:val="28"/>
          <w:szCs w:val="28"/>
          <w:lang w:val="ru-RU"/>
        </w:rPr>
        <w:instrText xml:space="preserve"> ADDIN ZOTERO_ITEM CSL_CITATION {"citationID":"a15nejdprtk","properties":{"formattedCitation":"[351]","plainCitation":"[351]","noteIndex":0},"citationItems":[{"id":1707,"uris":["http://zotero.org/users/9078202/items/5NVYT3UP"],"itemData":{"id":1707,"type":"article-journal","abstract":"Pharmacological inhibition of poly(ADP-ribose) polymerase (PARP) or loss of Arabidopsis thaliana PARG1 (poly(ADP-ribose) glycohydrolase) disrupt a subset of plant defenses. In the present study we examined the impact of altered poly(ADP-ribosyl)ation on early gene expression induced by the microbe-associate molecular patterns (MAMPs) flagellin (flg22) and EF-Tu (elf18). Stringent statistical analyses and filtering identified 178 genes having MAMP-induced mRNA abundance patterns that were altered by either PARP inhibitor 3-aminobenzamide (3AB) or PARG1 knockout. From the identified set of 178 genes, over fifty Arabidopsis T-DNA insertion lines were chosen and screened for altered basal defense responses. Subtle alterations in callose deposition and/or seedling growth in response to those MAMPs were observed in knockouts of At3g55630 (FPGS3, a cytosolic folylpolyglutamate synthetase), At5g15660 (containing an F-box domain), At1g47370 (a TIR-X (Toll-Interleukin Receptor domain)), and At5g64060 (a predicted pectin methylesterase inhibitor). Over-represented GO terms for the gene expression study included \"innate immune response\" for elf18/parg1, highlighting a subset of elf18-activated defense-associated genes whose expression is altered in parg1 plants. The study also allowed a tightly controlled comparison of early mRNA abundance responses to flg22 and elf18 in wild-type Arabidopsis, which revealed many differences. The PARP inhibitor 3-methoxybenzamide (3MB) was also used in the gene expression profiling, but pleiotropic impacts of this inhibitor were observed. This transcriptomics study revealed targets for further dissection of MAMP-induced plant immune responses, impacts of PARP inhibitors, and the molecular mechanisms by which poly(ADP-ribosyl)ation regulates plant responses to MAMPs.","container-title":"PloS One","DOI":"10.1371/journal.pone.0190268","ISSN":"1932-6203","issue":"12","journalAbbreviation":"PLoS One","language":"eng","note":"PMID: 29284022\nPMCID: PMC5746271","page":"e0190268","source":"PubMed","title":"A transcriptomics approach uncovers novel roles for poly(ADP-ribosyl)ation in the basal defense response in Arabidopsis thaliana","volume":"12","author":[{"family":"Briggs","given":"Amy G."},{"family":"Adams-Phillips","given":"Lori C."},{"family":"Keppler","given":"Brian D."},{"family":"Zebell","given":"Sophia G."},{"family":"Arend","given":"Kyle C."},{"family":"Apfelbaum","given":"April A."},{"family":"Smith","given":"Joshua A."},{"family":"Bent","given":"Andrew F."}],"issued":{"date-parts":[["2017"]]}}}],"schema":"https://github.com/citation-style-language/schema/raw/master/csl-citation.json"} </w:instrText>
      </w:r>
      <w:r w:rsidRPr="00107040">
        <w:rPr>
          <w:sz w:val="28"/>
          <w:szCs w:val="28"/>
          <w:lang w:val="ru-RU"/>
        </w:rPr>
        <w:fldChar w:fldCharType="separate"/>
      </w:r>
      <w:r w:rsidR="008611DC" w:rsidRPr="008611DC">
        <w:rPr>
          <w:sz w:val="28"/>
          <w:lang w:val="ru-RU"/>
        </w:rPr>
        <w:t>[351]</w:t>
      </w:r>
      <w:r w:rsidRPr="00107040">
        <w:rPr>
          <w:sz w:val="28"/>
          <w:szCs w:val="28"/>
          <w:lang w:val="ru-RU"/>
        </w:rPr>
        <w:fldChar w:fldCharType="end"/>
      </w:r>
      <w:r w:rsidRPr="00107040">
        <w:rPr>
          <w:sz w:val="28"/>
          <w:szCs w:val="28"/>
          <w:lang w:val="ru-RU"/>
        </w:rPr>
        <w:t xml:space="preserve">. Кроме того, появление симптомов инфекции </w:t>
      </w:r>
      <w:r w:rsidRPr="00107040">
        <w:rPr>
          <w:i/>
          <w:sz w:val="28"/>
          <w:szCs w:val="28"/>
          <w:lang w:val="ru-RU"/>
        </w:rPr>
        <w:t>B. cinerea</w:t>
      </w:r>
      <w:r w:rsidRPr="00107040">
        <w:rPr>
          <w:sz w:val="28"/>
          <w:szCs w:val="28"/>
          <w:lang w:val="ru-RU"/>
        </w:rPr>
        <w:t xml:space="preserve"> ускорялось как у мутантных растений </w:t>
      </w:r>
      <w:r w:rsidRPr="00107040">
        <w:rPr>
          <w:i/>
          <w:sz w:val="28"/>
          <w:szCs w:val="28"/>
          <w:lang w:val="ru-RU"/>
        </w:rPr>
        <w:t>parg1</w:t>
      </w:r>
      <w:r w:rsidRPr="00107040">
        <w:rPr>
          <w:sz w:val="28"/>
          <w:szCs w:val="28"/>
          <w:lang w:val="ru-RU"/>
        </w:rPr>
        <w:t xml:space="preserve">, так и у </w:t>
      </w:r>
      <w:r w:rsidRPr="00107040">
        <w:rPr>
          <w:i/>
          <w:sz w:val="28"/>
          <w:szCs w:val="28"/>
          <w:lang w:val="ru-RU"/>
        </w:rPr>
        <w:t>parg2</w:t>
      </w:r>
      <w:r w:rsidRPr="00107040">
        <w:rPr>
          <w:sz w:val="28"/>
          <w:szCs w:val="28"/>
          <w:lang w:val="ru-RU"/>
        </w:rPr>
        <w:t xml:space="preserve"> </w:t>
      </w:r>
      <w:r w:rsidRPr="00107040">
        <w:rPr>
          <w:sz w:val="28"/>
          <w:szCs w:val="28"/>
          <w:lang w:val="ru-RU"/>
        </w:rPr>
        <w:fldChar w:fldCharType="begin"/>
      </w:r>
      <w:r w:rsidR="008611DC">
        <w:rPr>
          <w:sz w:val="28"/>
          <w:szCs w:val="28"/>
          <w:lang w:val="ru-RU"/>
        </w:rPr>
        <w:instrText xml:space="preserve"> ADDIN ZOTERO_ITEM CSL_CITATION {"citationID":"aqo7u2ak8v","properties":{"formattedCitation":"[350]","plainCitation":"[350]","noteIndex":0},"citationItems":[{"id":240,"uris":["http://zotero.org/users/9078202/items/VTBIQATV"],"itemData":{"id":240,"type":"article-journal","abstract":"Poly(ADP-ribosyl)ation is a posttranslational protein modification in which ADP-ribose (ADP-Rib) units derived from NAD(+) are attached to proteins by poly(ADP-Rib) polymerase (PARP) enzymes. ADP-Rib groups are removed from these polymer chains by the enzyme poly(ADP-Rib) glycohydrolase (PARG). In animals, poly(ADP-ribosyl)ation is associated with DNA damage responses and programmed cell death. Previously, we hypothesized a role for poly(ADP-ribosyl)ation in plant defense responses when we detected defense-associated expression of the poly(ADP-ribosyl)ation-related genes PARG2 and NUDT7 and observed altered callose deposition in the presence of a chemical PARP inhibitor. The role of poly(ADP-ribosyl)ation in plant defenses was more extensively investigated in this study, using Arabidopsis (Arabidopsis thaliana). Pharmacological inhibition of PARP using 3-aminobenzamide perturbs certain innate immune responses to microbe-associated molecular patterns (flg22 and elf18), including callose deposition, lignin deposition, pigment accumulation, and phenylalanine ammonia lyase activity, but does not disrupt other responses, such as the initial oxidative burst and expression of some early defense-associated genes. Mutant parg1 seedlings exhibit exaggerated seedling growth inhibition and pigment accumulation in response to elf18 and are hypersensitive to the DNA-damaging agent mitomycin C. Both parg1 and parg2 knockout plants show accelerated onset of disease symptoms when infected with Botrytis cinerea. Cellular levels of ADP-Rib polymer increase after infection with avirulent Pseudomonas syringae pv tomato DC3000 avrRpt2(+), and pathogen-dependent changes in the poly(ADP-ribosyl)ation of discrete proteins were also observed. We conclude that poly(ADP-ribosyl)ation is a functional component in plant responses to biotic stress.","container-title":"Plant Physiology","DOI":"10.1104/pp.109.148049","ISSN":"1532-2548","issue":"1","journalAbbreviation":"Plant Physiol","language":"eng","note":"PMID: 19889874\nPMCID: PMC2799362","page":"267-280","source":"PubMed","title":"Disruption of poly(ADP-ribosyl)ation mechanisms alters responses of Arabidopsis to biotic stress","volume":"152","author":[{"family":"Adams-Phillips","given":"Lori"},{"family":"Briggs","given":"Amy G."},{"family":"Bent","given":"Andrew F."}],"issued":{"date-parts":[["2010",1]]}}}],"schema":"https://github.com/citation-style-language/schema/raw/master/csl-citation.json"} </w:instrText>
      </w:r>
      <w:r w:rsidRPr="00107040">
        <w:rPr>
          <w:sz w:val="28"/>
          <w:szCs w:val="28"/>
          <w:lang w:val="ru-RU"/>
        </w:rPr>
        <w:fldChar w:fldCharType="separate"/>
      </w:r>
      <w:r w:rsidR="008611DC" w:rsidRPr="008611DC">
        <w:rPr>
          <w:sz w:val="28"/>
          <w:lang w:val="ru-RU"/>
        </w:rPr>
        <w:t>[350]</w:t>
      </w:r>
      <w:r w:rsidRPr="00107040">
        <w:rPr>
          <w:sz w:val="28"/>
          <w:szCs w:val="28"/>
          <w:lang w:val="ru-RU"/>
        </w:rPr>
        <w:fldChar w:fldCharType="end"/>
      </w:r>
      <w:r w:rsidRPr="00107040">
        <w:rPr>
          <w:sz w:val="28"/>
          <w:szCs w:val="28"/>
          <w:lang w:val="ru-RU"/>
        </w:rPr>
        <w:t xml:space="preserve">. Следовательно, в частности, AtPARG1 может быть описан как положительный регулятор ответов на биотический стресс. На этом фоне удивительно, что экспрессия </w:t>
      </w:r>
      <w:r w:rsidRPr="00107040">
        <w:rPr>
          <w:i/>
          <w:sz w:val="28"/>
          <w:szCs w:val="28"/>
          <w:lang w:val="ru-RU"/>
        </w:rPr>
        <w:t>AtPARG2</w:t>
      </w:r>
      <w:r w:rsidRPr="00107040">
        <w:rPr>
          <w:sz w:val="28"/>
          <w:szCs w:val="28"/>
          <w:lang w:val="ru-RU"/>
        </w:rPr>
        <w:t xml:space="preserve"> повышалась в ответ на инфекцию </w:t>
      </w:r>
      <w:r w:rsidRPr="00107040">
        <w:rPr>
          <w:i/>
          <w:sz w:val="28"/>
          <w:szCs w:val="28"/>
          <w:lang w:val="ru-RU"/>
        </w:rPr>
        <w:t>Pst</w:t>
      </w:r>
      <w:r w:rsidRPr="00107040">
        <w:rPr>
          <w:sz w:val="28"/>
          <w:szCs w:val="28"/>
          <w:lang w:val="ru-RU"/>
        </w:rPr>
        <w:t xml:space="preserve"> и </w:t>
      </w:r>
      <w:r w:rsidRPr="00107040">
        <w:rPr>
          <w:i/>
          <w:sz w:val="28"/>
          <w:szCs w:val="28"/>
          <w:lang w:val="ru-RU"/>
        </w:rPr>
        <w:t>Botrytis cinerea</w:t>
      </w:r>
      <w:r w:rsidRPr="00107040">
        <w:rPr>
          <w:sz w:val="28"/>
          <w:szCs w:val="28"/>
          <w:lang w:val="ru-RU"/>
        </w:rPr>
        <w:t xml:space="preserve"> и обработку flg22, в то время как </w:t>
      </w:r>
      <w:r w:rsidRPr="00107040">
        <w:rPr>
          <w:i/>
          <w:sz w:val="28"/>
          <w:szCs w:val="28"/>
          <w:lang w:val="ru-RU"/>
        </w:rPr>
        <w:t>AtPARG1</w:t>
      </w:r>
      <w:r w:rsidRPr="00107040">
        <w:rPr>
          <w:sz w:val="28"/>
          <w:szCs w:val="28"/>
          <w:lang w:val="ru-RU"/>
        </w:rPr>
        <w:t xml:space="preserve"> лишь временно индуцировалась обработкой flg22 и elf18 </w:t>
      </w:r>
      <w:r w:rsidRPr="00107040">
        <w:rPr>
          <w:sz w:val="28"/>
          <w:szCs w:val="28"/>
          <w:lang w:val="ru-RU"/>
        </w:rPr>
        <w:fldChar w:fldCharType="begin"/>
      </w:r>
      <w:r w:rsidR="00FB5E68">
        <w:rPr>
          <w:sz w:val="28"/>
          <w:szCs w:val="28"/>
          <w:lang w:val="ru-RU"/>
        </w:rPr>
        <w:instrText xml:space="preserve"> ADDIN ZOTERO_ITEM CSL_CITATION {"citationID":"a20gn1m029p","properties":{"formattedCitation":"[317,350,362]","plainCitation":"[317,350,362]","noteIndex":0},"citationItems":[{"id":1603,"uris":["http://zotero.org/users/9078202/items/7ULQ9USS"],"itemData":{"id":1603,"type":"article-journal","abstract":"Poly (ADP-ribose) polymerases (PARPs) catalyze the transfer of multiple poly(ADP-ribose) units onto target proteins. Poly(ADP-ribosyl)ation plays a crucial role in a variety of cellular processes including, most prominently, auto-activation of PARP at sites of DNA breaks to activate DNA repair processes. In humans, PARP1 (the founding and most characterized member of the PARP family) accounts for more than 90% of overall cellular PARP activity in response to DNA damage. We have found that, in contrast with animals, in Arabidopsis thaliana PARP2 (At4g02390), rather than PARP1 (At2g31320), makes the greatest contribution to PARP activity and organismal viability in response to genotoxic stresses caused by bleomycin, mitomycin C or gamma-radiation. Plant PARP2 proteins carry SAP DNA binding motifs rather than the zinc finger domains common in plant and animal PARP1 proteins. PARP2 also makes stronger contributions than PARP1 to plant immune responses including restriction of pathogenic Pseudomonas syringae pv. tomato growth and reduction of infection-associated DNA double-strand break abundance. For poly(ADP-ribose) glycohydrolase (PARG) enzymes, we find that Arabidopsis PARG1 and not PARG2 is the major contributor to poly(ADP-ribose) removal from acceptor proteins. The activity or abundance of PARP2 is influenced by PARP1 and PARG1. PARP2 and PARP1 physically interact with each other, and with PARG1 and PARG2, suggesting relatively direct regulatory interactions among these mediators of the balance of poly(ADP-ribosyl)ation. As with plant PARP2, plant PARG proteins are also structurally distinct from their animal counterparts. Hence core aspects of plant poly(ADP-ribosyl)ation are mediated by substantially different enzymes than in animals, suggesting the likelihood of substantial differences in regulation.","container-title":"PLOS Genetics","DOI":"10.1371/journal.pgen.1005200","ISSN":"1553-7404","issue":"5","journalAbbreviation":"PLOS Genetics","language":"en","note":"publisher: Public Library of Science","page":"e1005200","source":"PLoS Journals","title":"PARP2 Is the Predominant Poly(ADP-Ribose) Polymerase in Arabidopsis DNA Damage and Immune Responses","URL":"https://journals.plos.org/plosgenetics/article?id=10.1371/journal.pgen.1005200","volume":"11","author":[{"family":"Song","given":"Junqi"},{"family":"Keppler","given":"Brian D."},{"family":"Wise","given":"Robert R."},{"family":"Bent","given":"Andrew F."}],"accessed":{"date-parts":[["2022",9,5]]},"issued":{"date-parts":[["2015",5,7]]}}},{"id":240,"uris":["http://zotero.org/users/9078202/items/VTBIQATV"],"itemData":{"id":240,"type":"article-journal","abstract":"Poly(ADP-ribosyl)ation is a posttranslational protein modification in which ADP-ribose (ADP-Rib) units derived from NAD(+) are attached to proteins by poly(ADP-Rib) polymerase (PARP) enzymes. ADP-Rib groups are removed from these polymer chains by the enzyme poly(ADP-Rib) glycohydrolase (PARG). In animals, poly(ADP-ribosyl)ation is associated with DNA damage responses and programmed cell death. Previously, we hypothesized a role for poly(ADP-ribosyl)ation in plant defense responses when we detected defense-associated expression of the poly(ADP-ribosyl)ation-related genes PARG2 and NUDT7 and observed altered callose deposition in the presence of a chemical PARP inhibitor. The role of poly(ADP-ribosyl)ation in plant defenses was more extensively investigated in this study, using Arabidopsis (Arabidopsis thaliana). Pharmacological inhibition of PARP using 3-aminobenzamide perturbs certain innate immune responses to microbe-associated molecular patterns (flg22 and elf18), including callose deposition, lignin deposition, pigment accumulation, and phenylalanine ammonia lyase activity, but does not disrupt other responses, such as the initial oxidative burst and expression of some early defense-associated genes. Mutant parg1 seedlings exhibit exaggerated seedling growth inhibition and pigment accumulation in response to elf18 and are hypersensitive to the DNA-damaging agent mitomycin C. Both parg1 and parg2 knockout plants show accelerated onset of disease symptoms when infected with Botrytis cinerea. Cellular levels of ADP-Rib polymer increase after infection with avirulent Pseudomonas syringae pv tomato DC3000 avrRpt2(+), and pathogen-dependent changes in the poly(ADP-ribosyl)ation of discrete proteins were also observed. We conclude that poly(ADP-ribosyl)ation is a functional component in plant responses to biotic stress.","container-title":"Plant Physiology","DOI":"10.1104/pp.109.148049","ISSN":"1532-2548","issue":"1","journalAbbreviation":"Plant Physiol","language":"eng","note":"PMID: 19889874\nPMCID: PMC2799362","page":"267-280","source":"PubMed","title":"Disruption of poly(ADP-ribosyl)ation mechanisms alters responses of Arabidopsis to biotic stress","volume":"152","author":[{"family":"Adams-Phillips","given":"Lori"},{"family":"Briggs","given":"Amy G."},{"family":"Bent","given":"Andrew F."}],"issued":{"date-parts":[["2010",1]]}}},{"id":"MPjqK5ng/UIMnMGh9","uris":["http://zotero.org/users/9078202/items/JC3RNLBC"],"itemData":{"id":241,"type":"article-journal","abstract":"A dissection of plant defense pathways was initiated through gene expression profiling of the responses of a single Arabidopsis thaliana genotype to isogenic Pseudomonas syringae strains expressing one of four different cloned avirulence (avr) genes. Differences in the expression profiles elicited by different resistance (R)-avr interactions were observed. A role for poly(ADP-ribosyl)ation in plant defense responses was suggested initially by the upregulated expression of genes encoding NUDT7 and poly(ADP-ribose) glycohydrolase in multiple R-avr interactions. Gene knockout plant lines were tested for 20 candidate genes identified by the expression profiling, and Arabidopsis NUDT7 mutants allowed less growth of virulent P. syringae (as previously reported) but also exhibited a reduced hypersensitive-response phenotype. Inhibitors of poly(ADP-ribose) polymerase (PARP) disrupted FLS2-mediated basal defense responses such as callose deposition. EIN2 (ethylene response) and IXR1 and IXR2 (cellulose synthase) mutants impacted the FLS2-mediated responses that occur during PARP inhibition, whereas no impacts were observed for NPR1, PAD4, or NDR1 mutants. In the expression profiling work, false-positive selection and grouping of genes was reduced by requiring simultaneous satisfaction of statistical significance criteria for each of three separate analysis methods, and by clustering genes based on statistical confidence values for each gene rather than on average fold-change of transcript abundance.","container-title":"Molecular plant-microbe interactions: MPMI","DOI":"10.1094/MPMI-21-5-0646","ISSN":"0894-0282","issue":"5","journalAbbreviation":"Mol Plant Microbe Interact","language":"eng","note":"PMID: 18393624","page":"646-657","source":"PubMed","title":"Discovery of ADP-ribosylation and other plant defense pathway elements through expression profiling of four different Arabidopsis-Pseudomonas R-avr interactions","volume":"21","author":[{"family":"Adams-Phillips","given":"Lori"},{"family":"Wan","given":"Jinrong"},{"family":"Tan","given":"Xiaoping"},{"family":"Dunning","given":"F. Mark"},{"family":"Meyers","given":"Blake C."},{"family":"Michelmore","given":"Richard W."},{"family":"Bent","given":"Andrew F."}],"issued":{"date-parts":[["2008",5]]}}}],"schema":"https://github.com/citation-style-language/schema/raw/master/csl-citation.json"} </w:instrText>
      </w:r>
      <w:r w:rsidRPr="00107040">
        <w:rPr>
          <w:sz w:val="28"/>
          <w:szCs w:val="28"/>
          <w:lang w:val="ru-RU"/>
        </w:rPr>
        <w:fldChar w:fldCharType="separate"/>
      </w:r>
      <w:r w:rsidR="008611DC" w:rsidRPr="008611DC">
        <w:rPr>
          <w:sz w:val="28"/>
          <w:lang w:val="ru-RU"/>
        </w:rPr>
        <w:t>[317,350,362]</w:t>
      </w:r>
      <w:r w:rsidRPr="00107040">
        <w:rPr>
          <w:sz w:val="28"/>
          <w:szCs w:val="28"/>
          <w:lang w:val="ru-RU"/>
        </w:rPr>
        <w:fldChar w:fldCharType="end"/>
      </w:r>
      <w:r w:rsidRPr="00107040">
        <w:rPr>
          <w:sz w:val="28"/>
          <w:szCs w:val="28"/>
          <w:lang w:val="ru-RU"/>
        </w:rPr>
        <w:t>. Это несоответствие необходимо разъяснить.</w:t>
      </w:r>
      <w:r w:rsidRPr="00107040">
        <w:rPr>
          <w:sz w:val="28"/>
          <w:szCs w:val="28"/>
          <w:lang w:val="kk-KZ"/>
        </w:rPr>
        <w:t xml:space="preserve"> </w:t>
      </w:r>
    </w:p>
    <w:p w14:paraId="00295AA3" w14:textId="77777777" w:rsidR="00107040" w:rsidRPr="00107040" w:rsidRDefault="00107040" w:rsidP="00107040">
      <w:pPr>
        <w:pStyle w:val="p"/>
        <w:shd w:val="clear" w:color="auto" w:fill="FFFFFF"/>
        <w:spacing w:before="0" w:beforeAutospacing="0" w:after="0" w:afterAutospacing="0"/>
        <w:ind w:firstLine="567"/>
        <w:jc w:val="both"/>
        <w:rPr>
          <w:sz w:val="28"/>
          <w:szCs w:val="28"/>
          <w:lang w:val="ru-RU"/>
        </w:rPr>
      </w:pPr>
    </w:p>
    <w:p w14:paraId="4D86DE87" w14:textId="01AE5273" w:rsidR="00107040" w:rsidRPr="00107040" w:rsidRDefault="00107040" w:rsidP="00107040">
      <w:pPr>
        <w:pStyle w:val="p"/>
        <w:shd w:val="clear" w:color="auto" w:fill="FFFFFF"/>
        <w:spacing w:before="0" w:beforeAutospacing="0" w:after="0" w:afterAutospacing="0"/>
        <w:ind w:firstLine="567"/>
        <w:jc w:val="both"/>
        <w:rPr>
          <w:b/>
          <w:sz w:val="28"/>
          <w:szCs w:val="28"/>
          <w:lang w:val="ru-RU"/>
        </w:rPr>
      </w:pPr>
      <w:bookmarkStart w:id="53" w:name="_Hlk113268630"/>
      <w:r w:rsidRPr="00107040">
        <w:rPr>
          <w:b/>
          <w:sz w:val="28"/>
          <w:szCs w:val="28"/>
          <w:lang w:val="ru-RU"/>
        </w:rPr>
        <w:t xml:space="preserve">1.13 Неканонические белки домена </w:t>
      </w:r>
      <w:r w:rsidRPr="00107040">
        <w:rPr>
          <w:b/>
          <w:sz w:val="28"/>
          <w:szCs w:val="28"/>
        </w:rPr>
        <w:t>PARP</w:t>
      </w:r>
      <w:r w:rsidRPr="00107040">
        <w:rPr>
          <w:b/>
          <w:sz w:val="28"/>
          <w:szCs w:val="28"/>
          <w:lang w:val="ru-RU"/>
        </w:rPr>
        <w:t xml:space="preserve"> в </w:t>
      </w:r>
      <w:r w:rsidR="0067118F">
        <w:rPr>
          <w:b/>
          <w:sz w:val="28"/>
          <w:szCs w:val="28"/>
          <w:lang w:val="ru-RU"/>
        </w:rPr>
        <w:t>ответ</w:t>
      </w:r>
      <w:r w:rsidRPr="00107040">
        <w:rPr>
          <w:b/>
          <w:sz w:val="28"/>
          <w:szCs w:val="28"/>
          <w:lang w:val="ru-RU"/>
        </w:rPr>
        <w:t xml:space="preserve"> на стресс</w:t>
      </w:r>
      <w:r w:rsidR="0067118F">
        <w:rPr>
          <w:b/>
          <w:sz w:val="28"/>
          <w:szCs w:val="28"/>
          <w:lang w:val="ru-RU"/>
        </w:rPr>
        <w:t xml:space="preserve"> у растений</w:t>
      </w:r>
    </w:p>
    <w:bookmarkEnd w:id="53"/>
    <w:p w14:paraId="4A13CD8A" w14:textId="46027F25"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В дополнение к каноническим белкам </w:t>
      </w:r>
      <w:r w:rsidRPr="00107040">
        <w:rPr>
          <w:sz w:val="28"/>
          <w:szCs w:val="28"/>
        </w:rPr>
        <w:t>PARP</w:t>
      </w:r>
      <w:r w:rsidRPr="00107040">
        <w:rPr>
          <w:sz w:val="28"/>
          <w:szCs w:val="28"/>
          <w:lang w:val="ru-RU"/>
        </w:rPr>
        <w:t xml:space="preserve"> члены семейства </w:t>
      </w:r>
      <w:r w:rsidRPr="00107040">
        <w:rPr>
          <w:sz w:val="28"/>
          <w:szCs w:val="28"/>
        </w:rPr>
        <w:t>SRO</w:t>
      </w:r>
      <w:r w:rsidRPr="00107040">
        <w:rPr>
          <w:sz w:val="28"/>
          <w:szCs w:val="28"/>
          <w:lang w:val="ru-RU"/>
        </w:rPr>
        <w:t xml:space="preserve"> (</w:t>
      </w:r>
      <w:r w:rsidRPr="00107040">
        <w:rPr>
          <w:sz w:val="28"/>
          <w:szCs w:val="28"/>
        </w:rPr>
        <w:t>Similar</w:t>
      </w:r>
      <w:r w:rsidRPr="00107040">
        <w:rPr>
          <w:sz w:val="28"/>
          <w:szCs w:val="28"/>
          <w:lang w:val="ru-RU"/>
        </w:rPr>
        <w:t xml:space="preserve"> </w:t>
      </w:r>
      <w:r w:rsidRPr="00107040">
        <w:rPr>
          <w:sz w:val="28"/>
          <w:szCs w:val="28"/>
        </w:rPr>
        <w:t>to</w:t>
      </w:r>
      <w:r w:rsidRPr="00107040">
        <w:rPr>
          <w:sz w:val="28"/>
          <w:szCs w:val="28"/>
          <w:lang w:val="ru-RU"/>
        </w:rPr>
        <w:t xml:space="preserve"> </w:t>
      </w:r>
      <w:r w:rsidRPr="00107040">
        <w:rPr>
          <w:sz w:val="28"/>
          <w:szCs w:val="28"/>
        </w:rPr>
        <w:t>RCD</w:t>
      </w:r>
      <w:r w:rsidRPr="00107040">
        <w:rPr>
          <w:sz w:val="28"/>
          <w:szCs w:val="28"/>
          <w:lang w:val="ru-RU"/>
        </w:rPr>
        <w:t xml:space="preserve"> </w:t>
      </w:r>
      <w:r w:rsidRPr="00107040">
        <w:rPr>
          <w:sz w:val="28"/>
          <w:szCs w:val="28"/>
        </w:rPr>
        <w:t>One</w:t>
      </w:r>
      <w:r w:rsidRPr="00107040">
        <w:rPr>
          <w:sz w:val="28"/>
          <w:szCs w:val="28"/>
          <w:lang w:val="ru-RU"/>
        </w:rPr>
        <w:t xml:space="preserve">) обладают каталитическим доменом </w:t>
      </w:r>
      <w:r w:rsidRPr="00107040">
        <w:rPr>
          <w:sz w:val="28"/>
          <w:szCs w:val="28"/>
        </w:rPr>
        <w:t>PARP</w:t>
      </w:r>
      <w:r w:rsidRPr="00107040">
        <w:rPr>
          <w:sz w:val="28"/>
          <w:szCs w:val="28"/>
          <w:lang w:val="ru-RU"/>
        </w:rPr>
        <w:t xml:space="preserve">, хотя и с необычным каталитическим мотивом триады </w:t>
      </w:r>
      <w:r w:rsidRPr="00107040">
        <w:rPr>
          <w:sz w:val="28"/>
          <w:szCs w:val="28"/>
          <w:lang w:val="ru-RU"/>
        </w:rPr>
        <w:fldChar w:fldCharType="begin"/>
      </w:r>
      <w:r w:rsidR="00FB5E68">
        <w:rPr>
          <w:sz w:val="28"/>
          <w:szCs w:val="28"/>
          <w:lang w:val="ru-RU"/>
        </w:rPr>
        <w:instrText xml:space="preserve"> ADDIN ZOTERO_ITEM CSL_CITATION {"citationID":"a2klhco6i0r","properties":{"formattedCitation":"[392,393]","plainCitation":"[392,393]","noteIndex":0},"citationItems":[{"id":1165,"uris":["http://zotero.org/users/9078202/items/8QDTFUDS"],"itemData":{"id":1165,"type":"article-journal","abstract":"Experiments with several Arabidopsis thaliana mutants have revealed a web of interactions between hormonal signaling. Here, we show that the Arabidopsis mutant radical-induced cell death1 (rcd1), although hypersensitive to apoplastic superoxide and ozone, is more resistant to chloroplastic superoxide formation, exhibits reduced sensitivity to abscisic acid, ethylene, and methyl jasmonate, and has altered expression of several hormonally regulated genes. Furthermore, rcd1 has higher stomatal conductance than the wild type. The rcd1-1 mutation was mapped to the gene At1g32230 where it disrupts an intron splice site resulting in a truncated protein. RCD1 belongs to the (ADP-ribosyl)transferase domain-containing subfamily of the WWE protein-protein interaction domain protein family. The results suggest that RCD1 could act as an integrative node in hormonal signaling and in the regulation of several stress-responsive genes.","container-title":"The Plant Cell","DOI":"10.1105/tpc.021832","ISSN":"1040-4651","issue":"7","journalAbbreviation":"Plant Cell","language":"eng","note":"PMID: 15208394\nPMCID: PMC514171","page":"1925-1937","source":"PubMed","title":"Arabidopsis RADICAL-INDUCED CELL DEATH1 belongs to the WWE protein-protein interaction domain protein family and modulates abscisic acid, ethylene, and methyl jasmonate responses","volume":"16","author":[{"family":"Ahlfors","given":"Reetta"},{"family":"Lång","given":"Saara"},{"family":"Overmyer","given":"Kirk"},{"family":"Jaspers","given":"Pinja"},{"family":"Brosché","given":"Mikael"},{"family":"Tauriainen","given":"Airi"},{"family":"Kollist","given":"Hannes"},{"family":"Tuominen","given":"Hannele"},{"family":"Belles-Boix","given":"Enric"},{"family":"Piippo","given":"Mirva"},{"family":"Inzé","given":"Dirk"},{"family":"Palva","given":"E. Tapio"},{"family":"Kangasjärvi","given":"Jaakko"}],"issued":{"date-parts":[["2004",7]]}}},{"id":264,"uris":["http://zotero.org/users/9078202/items/MI2KU2P7"],"itemData":{"id":264,"type":"article-journal","abstract":"Background\nThe SROs (SIMILAR TO RCD-ONE) are a group of plant-specific proteins which have important functions in stress adaptation and development. They contain the catalytic core of the poly(ADP-ribose) polymerase (PARP) domain and a C-terminal RST (RCD-SRO-TAF4) domain. In addition to these domains, several, but not all, SROs contain an N-terminal WWE domain.\n\nResults\nSROs are present in all analyzed land plants and sequence analysis differentiates between two structurally distinct groups; cryptogams and monocots possess only group I SROs whereas eudicots also contain group II. Group I SROs possess an N-terminal WWE domain (PS50918) but the WWE domain is lacking in group II SROs. Group I domain structure is widely represented in organisms as distant as humans (for example, HsPARP11). We propose a unified nomenclature for the SRO family. The SROs are able to interact with transcription factors through the C-terminal RST domain but themselves are generally not regulated at the transcriptional level. The most conserved feature of the SROs is the catalytic core of the poly(ADP-ribose) polymerase (PS51059) domain. However, bioinformatic analysis of the SRO PARP domain fold-structure and biochemical assays of AtRCD1 suggested that SROs do not possess ADP-ribosyl transferase activity.\n\nConclusions\nThe SROs are a highly conserved family of plant specific proteins. Sequence analysis of the RST domain implicates a highly preserved protein structure in that region. This might have implications for functional conservation. We suggest that, despite the presence of the catalytic core of the PARP domain, the SROs do not possess ADP-ribosyl transferase activity. Nevertheless, the function of SROs is critical for plants and might be related to transcription factor regulation and complex formation.","container-title":"BMC Genomics","DOI":"10.1186/1471-2164-11-170","ISSN":"1471-2164","journalAbbreviation":"BMC Genomics","note":"PMID: 20226034\nPMCID: PMC2848248","page":"170","source":"PubMed Central","title":"The RST and PARP-like domain containing SRO protein family: analysis of protein structure, function and conservation in land plants","title-short":"The RST and PARP-like domain containing SRO protein family","URL":"https://www.ncbi.nlm.nih.gov/pmc/articles/PMC2848248/","volume":"11","author":[{"family":"Jaspers","given":"Pinja"},{"family":"Overmyer","given":"Kirk"},{"family":"Wrzaczek","given":"Michael"},{"family":"Vainonen","given":"Julia P"},{"family":"Blomster","given":"Tiina"},{"family":"Salojärvi","given":"Jarkko"},{"family":"Reddy","given":"Ramesha A"},{"family":"Kangasjärvi","given":"Jaakko"}],"accessed":{"date-parts":[["2022",4,11]]},"issued":{"date-parts":[["2010",3,12]]}}}],"schema":"https://github.com/citation-style-language/schema/raw/master/csl-citation.json"} </w:instrText>
      </w:r>
      <w:r w:rsidRPr="00107040">
        <w:rPr>
          <w:sz w:val="28"/>
          <w:szCs w:val="28"/>
          <w:lang w:val="ru-RU"/>
        </w:rPr>
        <w:fldChar w:fldCharType="separate"/>
      </w:r>
      <w:r w:rsidR="00FB5E68" w:rsidRPr="00FB5E68">
        <w:rPr>
          <w:sz w:val="28"/>
          <w:lang w:val="ru-RU"/>
        </w:rPr>
        <w:t>[392,393]</w:t>
      </w:r>
      <w:r w:rsidRPr="00107040">
        <w:rPr>
          <w:sz w:val="28"/>
          <w:szCs w:val="28"/>
          <w:lang w:val="ru-RU"/>
        </w:rPr>
        <w:fldChar w:fldCharType="end"/>
      </w:r>
      <w:r w:rsidRPr="00107040">
        <w:rPr>
          <w:sz w:val="28"/>
          <w:szCs w:val="28"/>
          <w:lang w:val="ru-RU"/>
        </w:rPr>
        <w:t xml:space="preserve">. Таким образом, </w:t>
      </w:r>
      <w:r w:rsidRPr="00107040">
        <w:rPr>
          <w:sz w:val="28"/>
          <w:szCs w:val="28"/>
        </w:rPr>
        <w:t>SRO</w:t>
      </w:r>
      <w:r w:rsidRPr="00107040">
        <w:rPr>
          <w:sz w:val="28"/>
          <w:szCs w:val="28"/>
          <w:lang w:val="ru-RU"/>
        </w:rPr>
        <w:t xml:space="preserve">-белки можно рассматривать как часть растительного семейства </w:t>
      </w:r>
      <w:r w:rsidRPr="00107040">
        <w:rPr>
          <w:sz w:val="28"/>
          <w:szCs w:val="28"/>
        </w:rPr>
        <w:t>PARP</w:t>
      </w:r>
      <w:r w:rsidRPr="00107040">
        <w:rPr>
          <w:sz w:val="28"/>
          <w:szCs w:val="28"/>
          <w:lang w:val="ru-RU"/>
        </w:rPr>
        <w:t xml:space="preserve"> </w:t>
      </w:r>
      <w:r w:rsidRPr="00107040">
        <w:rPr>
          <w:sz w:val="28"/>
          <w:szCs w:val="28"/>
        </w:rPr>
        <w:t>sensu</w:t>
      </w:r>
      <w:r w:rsidRPr="00107040">
        <w:rPr>
          <w:sz w:val="28"/>
          <w:szCs w:val="28"/>
          <w:lang w:val="ru-RU"/>
        </w:rPr>
        <w:t xml:space="preserve"> </w:t>
      </w:r>
      <w:r w:rsidRPr="00107040">
        <w:rPr>
          <w:sz w:val="28"/>
          <w:szCs w:val="28"/>
        </w:rPr>
        <w:t>lato</w:t>
      </w:r>
      <w:r w:rsidRPr="00107040">
        <w:rPr>
          <w:sz w:val="28"/>
          <w:szCs w:val="28"/>
          <w:lang w:val="ru-RU"/>
        </w:rPr>
        <w:t xml:space="preserve">. Гены </w:t>
      </w:r>
      <w:r w:rsidRPr="00107040">
        <w:rPr>
          <w:sz w:val="28"/>
          <w:szCs w:val="28"/>
        </w:rPr>
        <w:t>SRO</w:t>
      </w:r>
      <w:r w:rsidRPr="00107040">
        <w:rPr>
          <w:sz w:val="28"/>
          <w:szCs w:val="28"/>
          <w:lang w:val="ru-RU"/>
        </w:rPr>
        <w:t xml:space="preserve"> присутствуют во всех секвенированных геномах наземных растений со значительными различиями в составе между секвенированными видами растений </w:t>
      </w:r>
      <w:r w:rsidRPr="00107040">
        <w:rPr>
          <w:sz w:val="28"/>
          <w:szCs w:val="28"/>
          <w:lang w:val="ru-RU"/>
        </w:rPr>
        <w:fldChar w:fldCharType="begin"/>
      </w:r>
      <w:r w:rsidR="00FB5E68">
        <w:rPr>
          <w:sz w:val="28"/>
          <w:szCs w:val="28"/>
          <w:lang w:val="ru-RU"/>
        </w:rPr>
        <w:instrText xml:space="preserve"> ADDIN ZOTERO_ITEM CSL_CITATION {"citationID":"cJToNVXl","properties":{"formattedCitation":"[393,394]","plainCitation":"[393,394]","noteIndex":0},"citationItems":[{"id":264,"uris":["http://zotero.org/users/9078202/items/MI2KU2P7"],"itemData":{"id":264,"type":"article-journal","abstract":"Background\nThe SROs (SIMILAR TO RCD-ONE) are a group of plant-specific proteins which have important functions in stress adaptation and development. They contain the catalytic core of the poly(ADP-ribose) polymerase (PARP) domain and a C-terminal RST (RCD-SRO-TAF4) domain. In addition to these domains, several, but not all, SROs contain an N-terminal WWE domain.\n\nResults\nSROs are present in all analyzed land plants and sequence analysis differentiates between two structurally distinct groups; cryptogams and monocots possess only group I SROs whereas eudicots also contain group II. Group I SROs possess an N-terminal WWE domain (PS50918) but the WWE domain is lacking in group II SROs. Group I domain structure is widely represented in organisms as distant as humans (for example, HsPARP11). We propose a unified nomenclature for the SRO family. The SROs are able to interact with transcription factors through the C-terminal RST domain but themselves are generally not regulated at the transcriptional level. The most conserved feature of the SROs is the catalytic core of the poly(ADP-ribose) polymerase (PS51059) domain. However, bioinformatic analysis of the SRO PARP domain fold-structure and biochemical assays of AtRCD1 suggested that SROs do not possess ADP-ribosyl transferase activity.\n\nConclusions\nThe SROs are a highly conserved family of plant specific proteins. Sequence analysis of the RST domain implicates a highly preserved protein structure in that region. This might have implications for functional conservation. We suggest that, despite the presence of the catalytic core of the PARP domain, the SROs do not possess ADP-ribosyl transferase activity. Nevertheless, the function of SROs is critical for plants and might be related to transcription factor regulation and complex formation.","container-title":"BMC Genomics","DOI":"10.1186/1471-2164-11-170","ISSN":"1471-2164","journalAbbreviation":"BMC Genomics","note":"PMID: 20226034\nPMCID: PMC2848248","page":"170","source":"PubMed Central","title":"The RST and PARP-like domain containing SRO protein family: analysis of protein structure, function and conservation in land plants","title-short":"The RST and PARP-like domain containing SRO protein family","URL":"https://www.ncbi.nlm.nih.gov/pmc/articles/PMC2848248/","volume":"11","author":[{"family":"Jaspers","given":"Pinja"},{"family":"Overmyer","given":"Kirk"},{"family":"Wrzaczek","given":"Michael"},{"family":"Vainonen","given":"Julia P"},{"family":"Blomster","given":"Tiina"},{"family":"Salojärvi","given":"Jarkko"},{"family":"Reddy","given":"Ramesha A"},{"family":"Kangasjärvi","given":"Jaakko"}],"accessed":{"date-parts":[["2022",4,11]]},"issued":{"date-parts":[["2010",3,12]]}}},{"id":1154,"uris":["http://zotero.org/users/9078202/items/ZXE83HF2"],"itemData":{"id":1154,"type":"article-journal","abstract":"SIMILAR TO RCD ONE (SRO) is a plant-specific gene family involved in development and abiotic stress responses. SRO proteins are characterized by containing poly (ADP-ribose) polymerase catalytic (PARP) and C-terminal RCD1-SRO-TAF4 domains, and can be classified into two groups and five subgroups on the basis of their PARP domain. Expression analysis of rice SRO genes in response to various abiotic stresses showed that OsSRO1c, a rice SRO gene which functions downstream of the stress-responsive transcription factor SNAC1, is the major stress-responsive gene in the rice SRO family. The ossro1c-1 mutant showed resistance not only to chloroplastic oxidative stress, but also to apoplastic oxidative stress. However, the ossro1c-1 mutant and artificial microRNA-OsSRO1c transgenic rice were significantly impaired in cold tolerance. When compared with the well-characterized Arabidopsis SRO protein radical-induced cell death 1 (RCD1), OsSRO1c has considerable variation in the protein sequence, and the two genes exhibit different expression profiles under abiotic stresses. Furthermore, ossro1c-1 and rcd1 showed different responses to multiple abiotic stresses. By screening an Arabidopsis transcription factor library, 29 transcription factors interacted with OsSRO1c in yeast, but only two of these transcription factors were reported to interact with RCD1, which may partly explain the different responses of the two mutants under various stresses. The data presented in this report provide important clues for further elucidating the molecular and biochemical mechanisms of OsSRO1c in mediating responses to multiple abiotic stresses.","container-title":"Plant molecular biology","ISSN":"0167-4412","language":"English","note":"publisher: Springer-Verlag","source":"agris.fao.org","title":"special member of the rice SRO family, OsSRO1c, mediates responses to multiple abiotic stresses through interaction with various transcription factors","URL":"http://dx.doi.org/10.1007/s11103-013-0163-8","author":[{"family":"You","given":"Jun"},{"family":"Zong","given":"Wei"},{"family":"Du","given":"Hao"},{"family":"Hu","given":"Honghong"},{"family":"Xiong","given":"Lizhong"}],"accessed":{"date-parts":[["2022",4,19]]},"issued":{"date-parts":[["2014"]]}}}],"schema":"https://github.com/citation-style-language/schema/raw/master/csl-citation.json"} </w:instrText>
      </w:r>
      <w:r w:rsidRPr="00107040">
        <w:rPr>
          <w:sz w:val="28"/>
          <w:szCs w:val="28"/>
          <w:lang w:val="ru-RU"/>
        </w:rPr>
        <w:fldChar w:fldCharType="separate"/>
      </w:r>
      <w:r w:rsidR="00FB5E68" w:rsidRPr="00FB5E68">
        <w:rPr>
          <w:sz w:val="28"/>
          <w:lang w:val="ru-RU"/>
        </w:rPr>
        <w:t>[393,394]</w:t>
      </w:r>
      <w:r w:rsidRPr="00107040">
        <w:rPr>
          <w:sz w:val="28"/>
          <w:szCs w:val="28"/>
          <w:lang w:val="ru-RU"/>
        </w:rPr>
        <w:fldChar w:fldCharType="end"/>
      </w:r>
      <w:r w:rsidRPr="00107040">
        <w:rPr>
          <w:sz w:val="28"/>
          <w:szCs w:val="28"/>
          <w:lang w:val="ru-RU"/>
        </w:rPr>
        <w:t xml:space="preserve">. У арабидопсиса это семейство включает белки </w:t>
      </w:r>
      <w:r w:rsidRPr="00107040">
        <w:rPr>
          <w:sz w:val="28"/>
          <w:szCs w:val="28"/>
        </w:rPr>
        <w:t>Radical</w:t>
      </w:r>
      <w:r w:rsidRPr="00107040">
        <w:rPr>
          <w:sz w:val="28"/>
          <w:szCs w:val="28"/>
          <w:lang w:val="ru-RU"/>
        </w:rPr>
        <w:t>-</w:t>
      </w:r>
      <w:r w:rsidRPr="00107040">
        <w:rPr>
          <w:sz w:val="28"/>
          <w:szCs w:val="28"/>
        </w:rPr>
        <w:t>Induced</w:t>
      </w:r>
      <w:r w:rsidRPr="00107040">
        <w:rPr>
          <w:sz w:val="28"/>
          <w:szCs w:val="28"/>
          <w:lang w:val="ru-RU"/>
        </w:rPr>
        <w:t xml:space="preserve"> </w:t>
      </w:r>
      <w:r w:rsidRPr="00107040">
        <w:rPr>
          <w:sz w:val="28"/>
          <w:szCs w:val="28"/>
        </w:rPr>
        <w:t>Cell</w:t>
      </w:r>
      <w:r w:rsidRPr="00107040">
        <w:rPr>
          <w:sz w:val="28"/>
          <w:szCs w:val="28"/>
          <w:lang w:val="ru-RU"/>
        </w:rPr>
        <w:t xml:space="preserve"> </w:t>
      </w:r>
      <w:r w:rsidRPr="00107040">
        <w:rPr>
          <w:sz w:val="28"/>
          <w:szCs w:val="28"/>
        </w:rPr>
        <w:t>Death</w:t>
      </w:r>
      <w:r w:rsidRPr="00107040">
        <w:rPr>
          <w:sz w:val="28"/>
          <w:szCs w:val="28"/>
          <w:lang w:val="ru-RU"/>
        </w:rPr>
        <w:t>1 (</w:t>
      </w:r>
      <w:r w:rsidRPr="00107040">
        <w:rPr>
          <w:sz w:val="28"/>
          <w:szCs w:val="28"/>
        </w:rPr>
        <w:t>RCD</w:t>
      </w:r>
      <w:r w:rsidRPr="00107040">
        <w:rPr>
          <w:sz w:val="28"/>
          <w:szCs w:val="28"/>
          <w:lang w:val="ru-RU"/>
        </w:rPr>
        <w:t xml:space="preserve">1) и его гомологи от </w:t>
      </w:r>
      <w:r w:rsidRPr="00107040">
        <w:rPr>
          <w:sz w:val="28"/>
          <w:szCs w:val="28"/>
        </w:rPr>
        <w:t>SRO</w:t>
      </w:r>
      <w:r w:rsidRPr="00107040">
        <w:rPr>
          <w:sz w:val="28"/>
          <w:szCs w:val="28"/>
          <w:lang w:val="ru-RU"/>
        </w:rPr>
        <w:t xml:space="preserve">1 до </w:t>
      </w:r>
      <w:r w:rsidRPr="00107040">
        <w:rPr>
          <w:sz w:val="28"/>
          <w:szCs w:val="28"/>
        </w:rPr>
        <w:t>SRO</w:t>
      </w:r>
      <w:r w:rsidRPr="00107040">
        <w:rPr>
          <w:sz w:val="28"/>
          <w:szCs w:val="28"/>
          <w:lang w:val="ru-RU"/>
        </w:rPr>
        <w:t xml:space="preserve">5 </w:t>
      </w:r>
      <w:r w:rsidRPr="00107040">
        <w:rPr>
          <w:sz w:val="28"/>
          <w:szCs w:val="28"/>
          <w:lang w:val="ru-RU"/>
        </w:rPr>
        <w:fldChar w:fldCharType="begin"/>
      </w:r>
      <w:r w:rsidR="00FB5E68">
        <w:rPr>
          <w:sz w:val="28"/>
          <w:szCs w:val="28"/>
          <w:lang w:val="ru-RU"/>
        </w:rPr>
        <w:instrText xml:space="preserve"> ADDIN ZOTERO_ITEM CSL_CITATION {"citationID":"a2qpipjpcp1","properties":{"formattedCitation":"[393,395]","plainCitation":"[393,395]","noteIndex":0},"citationItems":[{"id":264,"uris":["http://zotero.org/users/9078202/items/MI2KU2P7"],"itemData":{"id":264,"type":"article-journal","abstract":"Background\nThe SROs (SIMILAR TO RCD-ONE) are a group of plant-specific proteins which have important functions in stress adaptation and development. They contain the catalytic core of the poly(ADP-ribose) polymerase (PARP) domain and a C-terminal RST (RCD-SRO-TAF4) domain. In addition to these domains, several, but not all, SROs contain an N-terminal WWE domain.\n\nResults\nSROs are present in all analyzed land plants and sequence analysis differentiates between two structurally distinct groups; cryptogams and monocots possess only group I SROs whereas eudicots also contain group II. Group I SROs possess an N-terminal WWE domain (PS50918) but the WWE domain is lacking in group II SROs. Group I domain structure is widely represented in organisms as distant as humans (for example, HsPARP11). We propose a unified nomenclature for the SRO family. The SROs are able to interact with transcription factors through the C-terminal RST domain but themselves are generally not regulated at the transcriptional level. The most conserved feature of the SROs is the catalytic core of the poly(ADP-ribose) polymerase (PS51059) domain. However, bioinformatic analysis of the SRO PARP domain fold-structure and biochemical assays of AtRCD1 suggested that SROs do not possess ADP-ribosyl transferase activity.\n\nConclusions\nThe SROs are a highly conserved family of plant specific proteins. Sequence analysis of the RST domain implicates a highly preserved protein structure in that region. This might have implications for functional conservation. We suggest that, despite the presence of the catalytic core of the PARP domain, the SROs do not possess ADP-ribosyl transferase activity. Nevertheless, the function of SROs is critical for plants and might be related to transcription factor regulation and complex formation.","container-title":"BMC Genomics","DOI":"10.1186/1471-2164-11-170","ISSN":"1471-2164","journalAbbreviation":"BMC Genomics","note":"PMID: 20226034\nPMCID: PMC2848248","page":"170","source":"PubMed Central","title":"The RST and PARP-like domain containing SRO protein family: analysis of protein structure, function and conservation in land plants","title-short":"The RST and PARP-like domain containing SRO protein family","URL":"https://www.ncbi.nlm.nih.gov/pmc/articles/PMC2848248/","volume":"11","author":[{"family":"Jaspers","given":"Pinja"},{"family":"Overmyer","given":"Kirk"},{"family":"Wrzaczek","given":"Michael"},{"family":"Vainonen","given":"Julia P"},{"family":"Blomster","given":"Tiina"},{"family":"Salojärvi","given":"Jarkko"},{"family":"Reddy","given":"Ramesha A"},{"family":"Kangasjärvi","given":"Jaakko"}],"accessed":{"date-parts":[["2022",4,11]]},"issued":{"date-parts":[["2010",3,12]]}}},{"id":1834,"uris":["http://zotero.org/users/9078202/items/AW3KW3IN"],"itemData":{"id":1834,"type":"article-journal","abstract":"The Saccharomyces cerevisiae strain WYT, deficient in the YAP1 transcription factor, was used in a molecular screen to identify genes from Arabidopsis thaliana that could overcome the oxidative stress-sensitive phenotype of these yeast cells. A cDNA named CEO1 increased the tolerance to oxidative damage caused by tert-butylhydroperoxide of both the Yap1− mutant and the wild-type yeast. Additionally, in Yap1− yeast, CEO1 also induced cross-tolerance to oxidative damage caused by hydrogen peroxide and diamide. CEO1 was assigned as being part of a small gene family that, until now, is exclusively restricted to plants. In Arabidopsis, CEO1 was produced in all organs, especially in roots and stems. By using the yeast two-hybrid system, proteins that specifically interact with CEO1 in yeast were identified, and putative DNA-binding proteins were consistently recovered.","container-title":"FEBS Letters","DOI":"10.1016/S0014-5793(00)02016-0","ISSN":"1873-3468","issue":"1-2","language":"en","license":"FEBS Letters 482 (2000) 1873-3468 © 2015 Federation of European Biochemical Societies","note":"_eprint: https://onlinelibrary.wiley.com/doi/pdf/10.1016/S0014-5793%2800%2902016-0","page":"19-24","source":"Wiley Online Library","title":"CEO1, a new protein from Arabidopsis thaliana, protects yeast against oxidative damage 1","URL":"https://onlinelibrary.wiley.com/doi/abs/10.1016/S0014-5793%2800%2902016-0","volume":"482","author":[{"family":"Belles-Boix","given":"Enric"},{"family":"Babiychuk","given":"Elena"},{"family":"Van Montagu","given":"Marc"},{"family":"Inzé","given":"Dirk"},{"family":"Kushnir","given":"Sergei"}],"accessed":{"date-parts":[["2022",9,8]]},"issued":{"date-parts":[["2000"]]}}}],"schema":"https://github.com/citation-style-language/schema/raw/master/csl-citation.json"} </w:instrText>
      </w:r>
      <w:r w:rsidRPr="00107040">
        <w:rPr>
          <w:sz w:val="28"/>
          <w:szCs w:val="28"/>
          <w:lang w:val="ru-RU"/>
        </w:rPr>
        <w:fldChar w:fldCharType="separate"/>
      </w:r>
      <w:r w:rsidR="00FB5E68" w:rsidRPr="00FB5E68">
        <w:rPr>
          <w:sz w:val="28"/>
          <w:lang w:val="ru-RU"/>
        </w:rPr>
        <w:t>[393,395]</w:t>
      </w:r>
      <w:r w:rsidRPr="00107040">
        <w:rPr>
          <w:sz w:val="28"/>
          <w:szCs w:val="28"/>
          <w:lang w:val="ru-RU"/>
        </w:rPr>
        <w:fldChar w:fldCharType="end"/>
      </w:r>
      <w:r w:rsidRPr="00107040">
        <w:rPr>
          <w:sz w:val="28"/>
          <w:szCs w:val="28"/>
          <w:lang w:val="ru-RU"/>
        </w:rPr>
        <w:t xml:space="preserve">. В отличие от канонических белков </w:t>
      </w:r>
      <w:r w:rsidRPr="00107040">
        <w:rPr>
          <w:sz w:val="28"/>
          <w:szCs w:val="28"/>
        </w:rPr>
        <w:t>PARP</w:t>
      </w:r>
      <w:r w:rsidRPr="00107040">
        <w:rPr>
          <w:sz w:val="28"/>
          <w:szCs w:val="28"/>
          <w:lang w:val="ru-RU"/>
        </w:rPr>
        <w:t xml:space="preserve">, близкие гомологи </w:t>
      </w:r>
      <w:r w:rsidRPr="00107040">
        <w:rPr>
          <w:sz w:val="28"/>
          <w:szCs w:val="28"/>
        </w:rPr>
        <w:t>RCD</w:t>
      </w:r>
      <w:r w:rsidRPr="00107040">
        <w:rPr>
          <w:sz w:val="28"/>
          <w:szCs w:val="28"/>
          <w:lang w:val="ru-RU"/>
        </w:rPr>
        <w:t xml:space="preserve">1 и </w:t>
      </w:r>
      <w:r w:rsidRPr="00107040">
        <w:rPr>
          <w:sz w:val="28"/>
          <w:szCs w:val="28"/>
        </w:rPr>
        <w:t>SRO</w:t>
      </w:r>
      <w:r w:rsidRPr="00107040">
        <w:rPr>
          <w:sz w:val="28"/>
          <w:szCs w:val="28"/>
          <w:lang w:val="ru-RU"/>
        </w:rPr>
        <w:t xml:space="preserve">1 содержат центральный каталитический домен </w:t>
      </w:r>
      <w:r w:rsidRPr="00107040">
        <w:rPr>
          <w:sz w:val="28"/>
          <w:szCs w:val="28"/>
        </w:rPr>
        <w:t>PARP</w:t>
      </w:r>
      <w:r w:rsidRPr="00107040">
        <w:rPr>
          <w:sz w:val="28"/>
          <w:szCs w:val="28"/>
          <w:lang w:val="ru-RU"/>
        </w:rPr>
        <w:t xml:space="preserve">, который окружен </w:t>
      </w:r>
      <w:r w:rsidRPr="00107040">
        <w:rPr>
          <w:sz w:val="28"/>
          <w:szCs w:val="28"/>
        </w:rPr>
        <w:t>N</w:t>
      </w:r>
      <w:r w:rsidRPr="00107040">
        <w:rPr>
          <w:sz w:val="28"/>
          <w:szCs w:val="28"/>
          <w:lang w:val="ru-RU"/>
        </w:rPr>
        <w:t xml:space="preserve">-концевым доменом </w:t>
      </w:r>
      <w:r w:rsidRPr="00107040">
        <w:rPr>
          <w:sz w:val="28"/>
          <w:szCs w:val="28"/>
        </w:rPr>
        <w:t>WWE</w:t>
      </w:r>
      <w:r w:rsidRPr="00107040">
        <w:rPr>
          <w:sz w:val="28"/>
          <w:szCs w:val="28"/>
          <w:lang w:val="ru-RU"/>
        </w:rPr>
        <w:t xml:space="preserve"> и </w:t>
      </w:r>
      <w:r w:rsidRPr="00107040">
        <w:rPr>
          <w:sz w:val="28"/>
          <w:szCs w:val="28"/>
        </w:rPr>
        <w:t>C</w:t>
      </w:r>
      <w:r w:rsidRPr="00107040">
        <w:rPr>
          <w:sz w:val="28"/>
          <w:szCs w:val="28"/>
          <w:lang w:val="ru-RU"/>
        </w:rPr>
        <w:t xml:space="preserve">-концевым доменом </w:t>
      </w:r>
      <w:r w:rsidRPr="00107040">
        <w:rPr>
          <w:sz w:val="28"/>
          <w:szCs w:val="28"/>
        </w:rPr>
        <w:t>RST</w:t>
      </w:r>
      <w:r w:rsidRPr="00107040">
        <w:rPr>
          <w:sz w:val="28"/>
          <w:szCs w:val="28"/>
          <w:lang w:val="ru-RU"/>
        </w:rPr>
        <w:t xml:space="preserve">, в то время как от </w:t>
      </w:r>
      <w:r w:rsidRPr="00107040">
        <w:rPr>
          <w:sz w:val="28"/>
          <w:szCs w:val="28"/>
        </w:rPr>
        <w:t>SRO</w:t>
      </w:r>
      <w:r w:rsidRPr="00107040">
        <w:rPr>
          <w:sz w:val="28"/>
          <w:szCs w:val="28"/>
          <w:lang w:val="ru-RU"/>
        </w:rPr>
        <w:t xml:space="preserve">2 до </w:t>
      </w:r>
      <w:r w:rsidRPr="00107040">
        <w:rPr>
          <w:sz w:val="28"/>
          <w:szCs w:val="28"/>
        </w:rPr>
        <w:t>SRO</w:t>
      </w:r>
      <w:r w:rsidRPr="00107040">
        <w:rPr>
          <w:sz w:val="28"/>
          <w:szCs w:val="28"/>
          <w:lang w:val="ru-RU"/>
        </w:rPr>
        <w:t xml:space="preserve">5 домен </w:t>
      </w:r>
      <w:r w:rsidRPr="00107040">
        <w:rPr>
          <w:sz w:val="28"/>
          <w:szCs w:val="28"/>
        </w:rPr>
        <w:t>WWE</w:t>
      </w:r>
      <w:r w:rsidRPr="00107040">
        <w:rPr>
          <w:sz w:val="28"/>
          <w:szCs w:val="28"/>
          <w:lang w:val="ru-RU"/>
        </w:rPr>
        <w:t xml:space="preserve"> отсутствует (</w:t>
      </w:r>
      <w:r w:rsidRPr="0067118F">
        <w:rPr>
          <w:sz w:val="28"/>
          <w:szCs w:val="28"/>
          <w:lang w:val="ru-RU"/>
        </w:rPr>
        <w:t xml:space="preserve">рисунок </w:t>
      </w:r>
      <w:r w:rsidRPr="00107040">
        <w:rPr>
          <w:sz w:val="28"/>
          <w:szCs w:val="28"/>
          <w:lang w:val="ru-RU"/>
        </w:rPr>
        <w:t xml:space="preserve">8) </w:t>
      </w:r>
      <w:r w:rsidRPr="00107040">
        <w:rPr>
          <w:sz w:val="28"/>
          <w:szCs w:val="28"/>
          <w:lang w:val="ru-RU"/>
        </w:rPr>
        <w:fldChar w:fldCharType="begin"/>
      </w:r>
      <w:r w:rsidR="00FB5E68">
        <w:rPr>
          <w:sz w:val="28"/>
          <w:szCs w:val="28"/>
          <w:lang w:val="ru-RU"/>
        </w:rPr>
        <w:instrText xml:space="preserve"> ADDIN ZOTERO_ITEM CSL_CITATION {"citationID":"a1dinhmnakj","properties":{"formattedCitation":"[392,396]","plainCitation":"[392,396]","noteIndex":0},"citationItems":[{"id":1165,"uris":["http://zotero.org/users/9078202/items/8QDTFUDS"],"itemData":{"id":1165,"type":"article-journal","abstract":"Experiments with several Arabidopsis thaliana mutants have revealed a web of interactions between hormonal signaling. Here, we show that the Arabidopsis mutant radical-induced cell death1 (rcd1), although hypersensitive to apoplastic superoxide and ozone, is more resistant to chloroplastic superoxide formation, exhibits reduced sensitivity to abscisic acid, ethylene, and methyl jasmonate, and has altered expression of several hormonally regulated genes. Furthermore, rcd1 has higher stomatal conductance than the wild type. The rcd1-1 mutation was mapped to the gene At1g32230 where it disrupts an intron splice site resulting in a truncated protein. RCD1 belongs to the (ADP-ribosyl)transferase domain-containing subfamily of the WWE protein-protein interaction domain protein family. The results suggest that RCD1 could act as an integrative node in hormonal signaling and in the regulation of several stress-responsive genes.","container-title":"The Plant Cell","DOI":"10.1105/tpc.021832","ISSN":"1040-4651","issue":"7","journalAbbreviation":"Plant Cell","language":"eng","note":"PMID: 15208394\nPMCID: PMC514171","page":"1925-1937","source":"PubMed","title":"Arabidopsis RADICAL-INDUCED CELL DEATH1 belongs to the WWE protein-protein interaction domain protein family and modulates abscisic acid, ethylene, and methyl jasmonate responses","volume":"16","author":[{"family":"Ahlfors","given":"Reetta"},{"family":"Lång","given":"Saara"},{"family":"Overmyer","given":"Kirk"},{"family":"Jaspers","given":"Pinja"},{"family":"Brosché","given":"Mikael"},{"family":"Tauriainen","given":"Airi"},{"family":"Kollist","given":"Hannes"},{"family":"Tuominen","given":"Hannele"},{"family":"Belles-Boix","given":"Enric"},{"family":"Piippo","given":"Mirva"},{"family":"Inzé","given":"Dirk"},{"family":"Palva","given":"E. Tapio"},{"family":"Kangasjärvi","given":"Jaakko"}],"issued":{"date-parts":[["2004",7]]}}},{"id":1152,"uris":["http://zotero.org/users/9078202/items/WSZQGHKD"],"itemData":{"id":1152,"type":"article-journal","container-title":"Plant Journal","DOI":"10.1111/j.1365-313X.2009.03951.x","ISSN":"0960-7412","issue":"2","page":"268-279","source":"University of Helsinki","title":"Unequally redundant RCD1 and SRO1 mediate stress and developmental responses and interact with transcription factors","volume":"60","author":[{"family":"Jaspers","given":"Pinja"},{"family":"Blomster","given":"Tiina"},{"family":"Brosche","given":"Mikael"},{"family":"Salojarvi","given":"Jarkko"},{"family":"Ahlfors","given":"Reetta"},{"family":"Vainonen","given":"Julia P."},{"family":"Reddy","given":"Ramesha A."},{"family":"Immink","given":"Richard"},{"family":"Angenent","given":"Gerco"},{"family":"Turck","given":"Franziska"},{"family":"Overmyer","given":"Kirk"},{"family":"Kangasjarvi","given":"Jaakko"}],"issued":{"date-parts":[["2009"]]}}}],"schema":"https://github.com/citation-style-language/schema/raw/master/csl-citation.json"} </w:instrText>
      </w:r>
      <w:r w:rsidRPr="00107040">
        <w:rPr>
          <w:sz w:val="28"/>
          <w:szCs w:val="28"/>
          <w:lang w:val="ru-RU"/>
        </w:rPr>
        <w:fldChar w:fldCharType="separate"/>
      </w:r>
      <w:r w:rsidR="00FB5E68" w:rsidRPr="00FB5E68">
        <w:rPr>
          <w:sz w:val="28"/>
        </w:rPr>
        <w:t>[392,396]</w:t>
      </w:r>
      <w:r w:rsidRPr="00107040">
        <w:rPr>
          <w:sz w:val="28"/>
          <w:szCs w:val="28"/>
          <w:lang w:val="ru-RU"/>
        </w:rPr>
        <w:fldChar w:fldCharType="end"/>
      </w:r>
      <w:r w:rsidRPr="00107040">
        <w:rPr>
          <w:sz w:val="28"/>
          <w:szCs w:val="28"/>
          <w:lang w:val="ru-RU"/>
        </w:rPr>
        <w:t xml:space="preserve">. В исследованиях </w:t>
      </w:r>
      <w:r w:rsidRPr="00107040">
        <w:rPr>
          <w:i/>
          <w:sz w:val="28"/>
          <w:szCs w:val="28"/>
        </w:rPr>
        <w:t>in</w:t>
      </w:r>
      <w:r w:rsidRPr="00107040">
        <w:rPr>
          <w:i/>
          <w:sz w:val="28"/>
          <w:szCs w:val="28"/>
          <w:lang w:val="ru-RU"/>
        </w:rPr>
        <w:t xml:space="preserve"> </w:t>
      </w:r>
      <w:r w:rsidRPr="00107040">
        <w:rPr>
          <w:i/>
          <w:sz w:val="28"/>
          <w:szCs w:val="28"/>
        </w:rPr>
        <w:t>vitro</w:t>
      </w:r>
      <w:r w:rsidRPr="00107040">
        <w:rPr>
          <w:sz w:val="28"/>
          <w:szCs w:val="28"/>
          <w:lang w:val="ru-RU"/>
        </w:rPr>
        <w:t xml:space="preserve"> </w:t>
      </w:r>
      <w:r w:rsidRPr="00107040">
        <w:rPr>
          <w:sz w:val="28"/>
          <w:szCs w:val="28"/>
        </w:rPr>
        <w:t>RCD</w:t>
      </w:r>
      <w:r w:rsidRPr="00107040">
        <w:rPr>
          <w:sz w:val="28"/>
          <w:szCs w:val="28"/>
          <w:lang w:val="ru-RU"/>
        </w:rPr>
        <w:t xml:space="preserve">1 не проявляет ферментативной активности </w:t>
      </w:r>
      <w:r w:rsidRPr="00107040">
        <w:rPr>
          <w:sz w:val="28"/>
          <w:szCs w:val="28"/>
          <w:lang w:val="ru-RU"/>
        </w:rPr>
        <w:fldChar w:fldCharType="begin"/>
      </w:r>
      <w:r w:rsidR="00FB5E68">
        <w:rPr>
          <w:sz w:val="28"/>
          <w:szCs w:val="28"/>
          <w:lang w:val="ru-RU"/>
        </w:rPr>
        <w:instrText xml:space="preserve"> ADDIN ZOTERO_ITEM CSL_CITATION {"citationID":"a1ci4iv20hb","properties":{"formattedCitation":"[393]","plainCitation":"[393]","noteIndex":0},"citationItems":[{"id":264,"uris":["http://zotero.org/users/9078202/items/MI2KU2P7"],"itemData":{"id":264,"type":"article-journal","abstract":"Background\nThe SROs (SIMILAR TO RCD-ONE) are a group of plant-specific proteins which have important functions in stress adaptation and development. They contain the catalytic core of the poly(ADP-ribose) polymerase (PARP) domain and a C-terminal RST (RCD-SRO-TAF4) domain. In addition to these domains, several, but not all, SROs contain an N-terminal WWE domain.\n\nResults\nSROs are present in all analyzed land plants and sequence analysis differentiates between two structurally distinct groups; cryptogams and monocots possess only group I SROs whereas eudicots also contain group II. Group I SROs possess an N-terminal WWE domain (PS50918) but the WWE domain is lacking in group II SROs. Group I domain structure is widely represented in organisms as distant as humans (for example, HsPARP11). We propose a unified nomenclature for the SRO family. The SROs are able to interact with transcription factors through the C-terminal RST domain but themselves are generally not regulated at the transcriptional level. The most conserved feature of the SROs is the catalytic core of the poly(ADP-ribose) polymerase (PS51059) domain. However, bioinformatic analysis of the SRO PARP domain fold-structure and biochemical assays of AtRCD1 suggested that SROs do not possess ADP-ribosyl transferase activity.\n\nConclusions\nThe SROs are a highly conserved family of plant specific proteins. Sequence analysis of the RST domain implicates a highly preserved protein structure in that region. This might have implications for functional conservation. We suggest that, despite the presence of the catalytic core of the PARP domain, the SROs do not possess ADP-ribosyl transferase activity. Nevertheless, the function of SROs is critical for plants and might be related to transcription factor regulation and complex formation.","container-title":"BMC Genomics","DOI":"10.1186/1471-2164-11-170","ISSN":"1471-2164","journalAbbreviation":"BMC Genomics","note":"PMID: 20226034\nPMCID: PMC2848248","page":"170","source":"PubMed Central","title":"The RST and PARP-like domain containing SRO protein family: analysis of protein structure, function and conservation in land plants","title-short":"The RST and PARP-like domain containing SRO protein family","URL":"https://www.ncbi.nlm.nih.gov/pmc/articles/PMC2848248/","volume":"11","author":[{"family":"Jaspers","given":"Pinja"},{"family":"Overmyer","given":"Kirk"},{"family":"Wrzaczek","given":"Michael"},{"family":"Vainonen","given":"Julia P"},{"family":"Blomster","given":"Tiina"},{"family":"Salojärvi","given":"Jarkko"},{"family":"Reddy","given":"Ramesha A"},{"family":"Kangasjärvi","given":"Jaakko"}],"accessed":{"date-parts":[["2022",4,11]]},"issued":{"date-parts":[["2010",3,12]]}}}],"schema":"https://github.com/citation-style-language/schema/raw/master/csl-citation.json"} </w:instrText>
      </w:r>
      <w:r w:rsidRPr="00107040">
        <w:rPr>
          <w:sz w:val="28"/>
          <w:szCs w:val="28"/>
          <w:lang w:val="ru-RU"/>
        </w:rPr>
        <w:fldChar w:fldCharType="separate"/>
      </w:r>
      <w:r w:rsidR="00FB5E68" w:rsidRPr="00FB5E68">
        <w:rPr>
          <w:sz w:val="28"/>
          <w:lang w:val="ru-RU"/>
        </w:rPr>
        <w:t>[393]</w:t>
      </w:r>
      <w:r w:rsidRPr="00107040">
        <w:rPr>
          <w:sz w:val="28"/>
          <w:szCs w:val="28"/>
          <w:lang w:val="ru-RU"/>
        </w:rPr>
        <w:fldChar w:fldCharType="end"/>
      </w:r>
      <w:r w:rsidRPr="00107040">
        <w:rPr>
          <w:sz w:val="28"/>
          <w:szCs w:val="28"/>
          <w:lang w:val="ru-RU"/>
        </w:rPr>
        <w:t xml:space="preserve">, тогда как активность </w:t>
      </w:r>
      <w:r w:rsidRPr="00107040">
        <w:rPr>
          <w:sz w:val="28"/>
          <w:szCs w:val="28"/>
        </w:rPr>
        <w:lastRenderedPageBreak/>
        <w:t>PARP</w:t>
      </w:r>
      <w:r w:rsidRPr="00107040">
        <w:rPr>
          <w:sz w:val="28"/>
          <w:szCs w:val="28"/>
          <w:lang w:val="ru-RU"/>
        </w:rPr>
        <w:t xml:space="preserve"> была продемонстрирована </w:t>
      </w:r>
      <w:r w:rsidRPr="00107040">
        <w:rPr>
          <w:i/>
          <w:sz w:val="28"/>
          <w:szCs w:val="28"/>
        </w:rPr>
        <w:t>in</w:t>
      </w:r>
      <w:r w:rsidRPr="00107040">
        <w:rPr>
          <w:i/>
          <w:sz w:val="28"/>
          <w:szCs w:val="28"/>
          <w:lang w:val="ru-RU"/>
        </w:rPr>
        <w:t xml:space="preserve"> </w:t>
      </w:r>
      <w:r w:rsidRPr="00107040">
        <w:rPr>
          <w:i/>
          <w:sz w:val="28"/>
          <w:szCs w:val="28"/>
        </w:rPr>
        <w:t>vitro</w:t>
      </w:r>
      <w:r w:rsidRPr="00107040">
        <w:rPr>
          <w:sz w:val="28"/>
          <w:szCs w:val="28"/>
          <w:lang w:val="ru-RU"/>
        </w:rPr>
        <w:t xml:space="preserve"> и </w:t>
      </w:r>
      <w:r w:rsidRPr="00107040">
        <w:rPr>
          <w:i/>
          <w:sz w:val="28"/>
          <w:szCs w:val="28"/>
        </w:rPr>
        <w:t>in</w:t>
      </w:r>
      <w:r w:rsidRPr="00107040">
        <w:rPr>
          <w:i/>
          <w:sz w:val="28"/>
          <w:szCs w:val="28"/>
          <w:lang w:val="ru-RU"/>
        </w:rPr>
        <w:t xml:space="preserve"> </w:t>
      </w:r>
      <w:r w:rsidRPr="00107040">
        <w:rPr>
          <w:i/>
          <w:sz w:val="28"/>
          <w:szCs w:val="28"/>
        </w:rPr>
        <w:t>vivo</w:t>
      </w:r>
      <w:r w:rsidRPr="00107040">
        <w:rPr>
          <w:sz w:val="28"/>
          <w:szCs w:val="28"/>
          <w:lang w:val="ru-RU"/>
        </w:rPr>
        <w:t xml:space="preserve"> для гомологичного белка пшеницы </w:t>
      </w:r>
      <w:r w:rsidRPr="00107040">
        <w:rPr>
          <w:sz w:val="28"/>
          <w:szCs w:val="28"/>
          <w:lang w:val="ru-RU"/>
        </w:rPr>
        <w:fldChar w:fldCharType="begin"/>
      </w:r>
      <w:r w:rsidR="00FB5E68">
        <w:rPr>
          <w:sz w:val="28"/>
          <w:szCs w:val="28"/>
          <w:lang w:val="ru-RU"/>
        </w:rPr>
        <w:instrText xml:space="preserve"> ADDIN ZOTERO_ITEM CSL_CITATION {"citationID":"a1l2mc864k","properties":{"formattedCitation":"[397]","plainCitation":"[397]","noteIndex":0},"citationItems":[{"id":1133,"uris":["http://zotero.org/users/9078202/items/Y8FRX8TA"],"itemData":{"id":1133,"type":"article-journal","abstract":"This work reports that sro1 (for allelic variation of a wheat SRO gene SRO1) showed higher poly(ADP ribose) polymerase activity than SRO1 due to two residue substitutions and that this protein is involved in both seedling vigor and tolerance to abiotic stress by modulating redox homoeostasis and maintaining genome stability., Plant growth inhibition is a common response to salinity. Under saline conditions, Shanrong No. 3 (), a bread wheat (Triticum aestivum) introgression line, performs better than its parent wheat variety Jinan 177 () with respect to both seedling growth and abiotic stress tolerance. Furthermore, the endogenous reactive oxygen species () was also elevated in  relative to . The  allele of sro1, a gene encoding a poly(ADP ribose) polymerase () domain protein, was identified to be crucial for both aspects of its superior performance. Unlike RADICAL-INDUCED CELL DEATH1 and other Arabidopsis thaliana SIMILAR TO RCD-ONE (SRO) proteins, sro1 has  activity. Both the overexpression of Ta-sro1 in wheat and its heterologous expression in Arabidopsis promote the accumulation of , mainly by enhancing the activity of NADPH oxidase and the expression of NAD(P)H dehydrogenase, in conjunction with the suppression of alternative oxidase expression. Moreover, it promotes the activity of ascorbate-GSH cycle enzymes and GSH peroxidase cycle enzymes, which regulate  content and cellular redox homeostasis. sro1 is also found to be involved in the maintenance of genomic integrity. We show here that the wheat SRO has  activity; such activity could be manipulated to improve the growth of seedlings exposed to salinity stress by modulating redox homeostasis and maintaining genomic stability.","container-title":"The Plant Cell","DOI":"10.1105/tpc.113.118687","ISSN":"1040-4651","issue":"1","journalAbbreviation":"Plant Cell","note":"PMID: 24443520\nPMCID: PMC3963566","page":"164-180","source":"PubMed Central","title":"A Wheat SIMILAR TO RCD-ONE Gene Enhances Seedling Growth and Abiotic Stress Resistance by Modulating Redox Homeostasis and Maintaining Genomic Integrity[C][W]","URL":"https://www.ncbi.nlm.nih.gov/pmc/articles/PMC3963566/","volume":"26","author":[{"family":"Liu","given":"Shuantao"},{"family":"Liu","given":"Shuwei"},{"family":"Wang","given":"Mei"},{"family":"Wei","given":"Tiandi"},{"family":"Meng","given":"Chen"},{"family":"Wang","given":"Meng"},{"family":"Xia","given":"Guangmin"}],"accessed":{"date-parts":[["2022",4,19]]},"issued":{"date-parts":[["2014",1]]}}}],"schema":"https://github.com/citation-style-language/schema/raw/master/csl-citation.json"} </w:instrText>
      </w:r>
      <w:r w:rsidRPr="00107040">
        <w:rPr>
          <w:sz w:val="28"/>
          <w:szCs w:val="28"/>
          <w:lang w:val="ru-RU"/>
        </w:rPr>
        <w:fldChar w:fldCharType="separate"/>
      </w:r>
      <w:r w:rsidR="00FB5E68" w:rsidRPr="00FB5E68">
        <w:rPr>
          <w:sz w:val="28"/>
          <w:lang w:val="ru-RU"/>
        </w:rPr>
        <w:t>[397]</w:t>
      </w:r>
      <w:r w:rsidRPr="00107040">
        <w:rPr>
          <w:sz w:val="28"/>
          <w:szCs w:val="28"/>
          <w:lang w:val="ru-RU"/>
        </w:rPr>
        <w:fldChar w:fldCharType="end"/>
      </w:r>
      <w:r w:rsidRPr="00107040">
        <w:rPr>
          <w:sz w:val="28"/>
          <w:szCs w:val="28"/>
          <w:lang w:val="ru-RU"/>
        </w:rPr>
        <w:t>.</w:t>
      </w:r>
      <w:r w:rsidRPr="00107040">
        <w:rPr>
          <w:sz w:val="28"/>
          <w:szCs w:val="28"/>
          <w:lang w:val="kk-KZ"/>
        </w:rPr>
        <w:t xml:space="preserve"> </w:t>
      </w:r>
    </w:p>
    <w:p w14:paraId="74C10FF4" w14:textId="16F9003F"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rPr>
        <w:t>RCD</w:t>
      </w:r>
      <w:r w:rsidRPr="00107040">
        <w:rPr>
          <w:sz w:val="28"/>
          <w:szCs w:val="28"/>
          <w:lang w:val="ru-RU"/>
        </w:rPr>
        <w:t xml:space="preserve">1 является первым признанным членом этого семейства белков. Первоначально он был идентифицирован во время скрининга чувствительности к озону у арабидопсиса и регуляторов окислительного стресса у дрожжей </w:t>
      </w:r>
      <w:r w:rsidRPr="00107040">
        <w:rPr>
          <w:sz w:val="28"/>
          <w:szCs w:val="28"/>
          <w:lang w:val="ru-RU"/>
        </w:rPr>
        <w:fldChar w:fldCharType="begin"/>
      </w:r>
      <w:r w:rsidR="00FB5E68">
        <w:rPr>
          <w:sz w:val="28"/>
          <w:szCs w:val="28"/>
          <w:lang w:val="ru-RU"/>
        </w:rPr>
        <w:instrText xml:space="preserve"> ADDIN ZOTERO_ITEM CSL_CITATION {"citationID":"a1nmaku2ldq","properties":{"formattedCitation":"[395,398]","plainCitation":"[395,398]","noteIndex":0},"citationItems":[{"id":1834,"uris":["http://zotero.org/users/9078202/items/AW3KW3IN"],"itemData":{"id":1834,"type":"article-journal","abstract":"The Saccharomyces cerevisiae strain WYT, deficient in the YAP1 transcription factor, was used in a molecular screen to identify genes from Arabidopsis thaliana that could overcome the oxidative stress-sensitive phenotype of these yeast cells. A cDNA named CEO1 increased the tolerance to oxidative damage caused by tert-butylhydroperoxide of both the Yap1− mutant and the wild-type yeast. Additionally, in Yap1− yeast, CEO1 also induced cross-tolerance to oxidative damage caused by hydrogen peroxide and diamide. CEO1 was assigned as being part of a small gene family that, until now, is exclusively restricted to plants. In Arabidopsis, CEO1 was produced in all organs, especially in roots and stems. By using the yeast two-hybrid system, proteins that specifically interact with CEO1 in yeast were identified, and putative DNA-binding proteins were consistently recovered.","container-title":"FEBS Letters","DOI":"10.1016/S0014-5793(00)02016-0","ISSN":"1873-3468","issue":"1-2","language":"en","license":"FEBS Letters 482 (2000) 1873-3468 © 2015 Federation of European Biochemical Societies","note":"_eprint: https://onlinelibrary.wiley.com/doi/pdf/10.1016/S0014-5793%2800%2902016-0","page":"19-24","source":"Wiley Online Library","title":"CEO1, a new protein from Arabidopsis thaliana, protects yeast against oxidative damage 1","URL":"https://onlinelibrary.wiley.com/doi/abs/10.1016/S0014-5793%2800%2902016-0","volume":"482","author":[{"family":"Belles-Boix","given":"Enric"},{"family":"Babiychuk","given":"Elena"},{"family":"Van Montagu","given":"Marc"},{"family":"Inzé","given":"Dirk"},{"family":"Kushnir","given":"Sergei"}],"accessed":{"date-parts":[["2022",9,8]]},"issued":{"date-parts":[["2000"]]}}},{"id":1194,"uris":["http://zotero.org/users/9078202/items/68T7G66S"],"itemData":{"id":1194,"type":"article-journal","abstract":"We have isolated a codominant Arabidopsis mutant, radical-induced cell death1 (rcd1), in which ozone (O(3)) and extracellular superoxide (O(2)(*)-), but not hydrogen peroxide, induce cellular O(2)(*)- accumulation and transient spreading lesions. The cellular O(2)(*)- accumulation is ethylene dependent, occurs ahead of the expanding lesions before visible symptoms appear, and is required for lesion propagation. Exogenous ethylene increased O(2)(*)--dependent cell death, whereas impairment of ethylene perception by norbornadiene in rcd1 or ethylene insensitivity in the ethylene-insensitive mutant ein2 and in the rcd1 ein2 double mutant blocked O(2)(*)- accumulation and lesion propagation. Exogenous methyl jasmonate inhibited propagation of cell death in rcd1. Accordingly, the O(3)-exposed jasmonate-insensitive mutant jar1 displayed spreading cell death and a prolonged O(2)(*)- accumulation pattern. These results suggest that ethylene acts as a promoting factor during the propagation phase of developing oxyradical-dependent lesions, whereas jasmonates have a role in lesion containment. Interaction and balance between these pathways may serve to fine-tune propagation and containment processes, resulting in alternate lesion size and formation kinetics.","container-title":"The Plant Cell","DOI":"10.1105/tpc.12.10.1849","ISSN":"1040-4651","issue":"10","journalAbbreviation":"Plant Cell","language":"eng","note":"PMID: 11041881\nPMCID: PMC149124","page":"1849-1862","source":"PubMed","title":"Ozone-sensitive arabidopsis rcd1 mutant reveals opposite roles for ethylene and jasmonate signaling pathways in regulating superoxide-dependent cell death","volume":"12","author":[{"family":"Overmyer","given":"K."},{"family":"Tuominen","given":"H."},{"family":"Kettunen","given":"R."},{"family":"Betz","given":"C."},{"family":"Langebartels","given":"C."},{"family":"Sandermann","given":"H."},{"family":"Kangasjärvi","given":"J."}],"issued":{"date-parts":[["2000",10]]}}}],"schema":"https://github.com/citation-style-language/schema/raw/master/csl-citation.json"} </w:instrText>
      </w:r>
      <w:r w:rsidRPr="00107040">
        <w:rPr>
          <w:sz w:val="28"/>
          <w:szCs w:val="28"/>
          <w:lang w:val="ru-RU"/>
        </w:rPr>
        <w:fldChar w:fldCharType="separate"/>
      </w:r>
      <w:r w:rsidR="00FB5E68" w:rsidRPr="00FB5E68">
        <w:rPr>
          <w:sz w:val="28"/>
          <w:lang w:val="ru-RU"/>
        </w:rPr>
        <w:t>[395,398]</w:t>
      </w:r>
      <w:r w:rsidRPr="00107040">
        <w:rPr>
          <w:sz w:val="28"/>
          <w:szCs w:val="28"/>
          <w:lang w:val="ru-RU"/>
        </w:rPr>
        <w:fldChar w:fldCharType="end"/>
      </w:r>
      <w:r w:rsidRPr="00107040">
        <w:rPr>
          <w:sz w:val="28"/>
          <w:szCs w:val="28"/>
          <w:lang w:val="ru-RU"/>
        </w:rPr>
        <w:t xml:space="preserve">. Соответственно, </w:t>
      </w:r>
      <w:r w:rsidRPr="00107040">
        <w:rPr>
          <w:i/>
          <w:sz w:val="28"/>
          <w:szCs w:val="28"/>
        </w:rPr>
        <w:t>rcd</w:t>
      </w:r>
      <w:r w:rsidRPr="00107040">
        <w:rPr>
          <w:i/>
          <w:sz w:val="28"/>
          <w:szCs w:val="28"/>
          <w:lang w:val="ru-RU"/>
        </w:rPr>
        <w:t>1</w:t>
      </w:r>
      <w:r w:rsidRPr="00107040">
        <w:rPr>
          <w:sz w:val="28"/>
          <w:szCs w:val="28"/>
          <w:lang w:val="ru-RU"/>
        </w:rPr>
        <w:t xml:space="preserve"> мутантные растения </w:t>
      </w:r>
      <w:r w:rsidRPr="00107040">
        <w:rPr>
          <w:i/>
          <w:sz w:val="28"/>
          <w:szCs w:val="28"/>
        </w:rPr>
        <w:t>Arabidopsis</w:t>
      </w:r>
      <w:r w:rsidRPr="00107040">
        <w:rPr>
          <w:sz w:val="28"/>
          <w:szCs w:val="28"/>
          <w:lang w:val="ru-RU"/>
        </w:rPr>
        <w:t xml:space="preserve"> были гиперчувствительны к обработке озоном и, как следствие, апопластически продуцируемым АФК </w:t>
      </w:r>
      <w:r w:rsidRPr="00107040">
        <w:rPr>
          <w:sz w:val="28"/>
          <w:szCs w:val="28"/>
          <w:lang w:val="ru-RU"/>
        </w:rPr>
        <w:fldChar w:fldCharType="begin"/>
      </w:r>
      <w:r w:rsidR="00FB5E68">
        <w:rPr>
          <w:sz w:val="28"/>
          <w:szCs w:val="28"/>
          <w:lang w:val="ru-RU"/>
        </w:rPr>
        <w:instrText xml:space="preserve"> ADDIN ZOTERO_ITEM CSL_CITATION {"citationID":"adi3mc3ri2","properties":{"formattedCitation":"[392,398]","plainCitation":"[392,398]","noteIndex":0},"citationItems":[{"id":1165,"uris":["http://zotero.org/users/9078202/items/8QDTFUDS"],"itemData":{"id":1165,"type":"article-journal","abstract":"Experiments with several Arabidopsis thaliana mutants have revealed a web of interactions between hormonal signaling. Here, we show that the Arabidopsis mutant radical-induced cell death1 (rcd1), although hypersensitive to apoplastic superoxide and ozone, is more resistant to chloroplastic superoxide formation, exhibits reduced sensitivity to abscisic acid, ethylene, and methyl jasmonate, and has altered expression of several hormonally regulated genes. Furthermore, rcd1 has higher stomatal conductance than the wild type. The rcd1-1 mutation was mapped to the gene At1g32230 where it disrupts an intron splice site resulting in a truncated protein. RCD1 belongs to the (ADP-ribosyl)transferase domain-containing subfamily of the WWE protein-protein interaction domain protein family. The results suggest that RCD1 could act as an integrative node in hormonal signaling and in the regulation of several stress-responsive genes.","container-title":"The Plant Cell","DOI":"10.1105/tpc.021832","ISSN":"1040-4651","issue":"7","journalAbbreviation":"Plant Cell","language":"eng","note":"PMID: 15208394\nPMCID: PMC514171","page":"1925-1937","source":"PubMed","title":"Arabidopsis RADICAL-INDUCED CELL DEATH1 belongs to the WWE protein-protein interaction domain protein family and modulates abscisic acid, ethylene, and methyl jasmonate responses","volume":"16","author":[{"family":"Ahlfors","given":"Reetta"},{"family":"Lång","given":"Saara"},{"family":"Overmyer","given":"Kirk"},{"family":"Jaspers","given":"Pinja"},{"family":"Brosché","given":"Mikael"},{"family":"Tauriainen","given":"Airi"},{"family":"Kollist","given":"Hannes"},{"family":"Tuominen","given":"Hannele"},{"family":"Belles-Boix","given":"Enric"},{"family":"Piippo","given":"Mirva"},{"family":"Inzé","given":"Dirk"},{"family":"Palva","given":"E. Tapio"},{"family":"Kangasjärvi","given":"Jaakko"}],"issued":{"date-parts":[["2004",7]]}}},{"id":1194,"uris":["http://zotero.org/users/9078202/items/68T7G66S"],"itemData":{"id":1194,"type":"article-journal","abstract":"We have isolated a codominant Arabidopsis mutant, radical-induced cell death1 (rcd1), in which ozone (O(3)) and extracellular superoxide (O(2)(*)-), but not hydrogen peroxide, induce cellular O(2)(*)- accumulation and transient spreading lesions. The cellular O(2)(*)- accumulation is ethylene dependent, occurs ahead of the expanding lesions before visible symptoms appear, and is required for lesion propagation. Exogenous ethylene increased O(2)(*)--dependent cell death, whereas impairment of ethylene perception by norbornadiene in rcd1 or ethylene insensitivity in the ethylene-insensitive mutant ein2 and in the rcd1 ein2 double mutant blocked O(2)(*)- accumulation and lesion propagation. Exogenous methyl jasmonate inhibited propagation of cell death in rcd1. Accordingly, the O(3)-exposed jasmonate-insensitive mutant jar1 displayed spreading cell death and a prolonged O(2)(*)- accumulation pattern. These results suggest that ethylene acts as a promoting factor during the propagation phase of developing oxyradical-dependent lesions, whereas jasmonates have a role in lesion containment. Interaction and balance between these pathways may serve to fine-tune propagation and containment processes, resulting in alternate lesion size and formation kinetics.","container-title":"The Plant Cell","DOI":"10.1105/tpc.12.10.1849","ISSN":"1040-4651","issue":"10","journalAbbreviation":"Plant Cell","language":"eng","note":"PMID: 11041881\nPMCID: PMC149124","page":"1849-1862","source":"PubMed","title":"Ozone-sensitive arabidopsis rcd1 mutant reveals opposite roles for ethylene and jasmonate signaling pathways in regulating superoxide-dependent cell death","volume":"12","author":[{"family":"Overmyer","given":"K."},{"family":"Tuominen","given":"H."},{"family":"Kettunen","given":"R."},{"family":"Betz","given":"C."},{"family":"Langebartels","given":"C."},{"family":"Sandermann","given":"H."},{"family":"Kangasjärvi","given":"J."}],"issued":{"date-parts":[["2000",10]]}}}],"schema":"https://github.com/citation-style-language/schema/raw/master/csl-citation.json"} </w:instrText>
      </w:r>
      <w:r w:rsidRPr="00107040">
        <w:rPr>
          <w:sz w:val="28"/>
          <w:szCs w:val="28"/>
          <w:lang w:val="ru-RU"/>
        </w:rPr>
        <w:fldChar w:fldCharType="separate"/>
      </w:r>
      <w:r w:rsidR="00FB5E68" w:rsidRPr="00FB5E68">
        <w:rPr>
          <w:sz w:val="28"/>
          <w:lang w:val="ru-RU"/>
        </w:rPr>
        <w:t>[392,398]</w:t>
      </w:r>
      <w:r w:rsidRPr="00107040">
        <w:rPr>
          <w:sz w:val="28"/>
          <w:szCs w:val="28"/>
          <w:lang w:val="ru-RU"/>
        </w:rPr>
        <w:fldChar w:fldCharType="end"/>
      </w:r>
      <w:r w:rsidRPr="00107040">
        <w:rPr>
          <w:sz w:val="28"/>
          <w:szCs w:val="28"/>
          <w:lang w:val="ru-RU"/>
        </w:rPr>
        <w:t xml:space="preserve">. Напротив, растения </w:t>
      </w:r>
      <w:r w:rsidRPr="00107040">
        <w:rPr>
          <w:i/>
          <w:sz w:val="28"/>
          <w:szCs w:val="28"/>
        </w:rPr>
        <w:t>rcd</w:t>
      </w:r>
      <w:r w:rsidRPr="00107040">
        <w:rPr>
          <w:i/>
          <w:sz w:val="28"/>
          <w:szCs w:val="28"/>
          <w:lang w:val="ru-RU"/>
        </w:rPr>
        <w:t>1</w:t>
      </w:r>
      <w:r w:rsidRPr="00107040">
        <w:rPr>
          <w:sz w:val="28"/>
          <w:szCs w:val="28"/>
          <w:lang w:val="ru-RU"/>
        </w:rPr>
        <w:t xml:space="preserve"> устойчивы к АФК, образующимся в хлоропластах при обработке паракватом </w:t>
      </w:r>
      <w:r w:rsidRPr="00107040">
        <w:rPr>
          <w:sz w:val="28"/>
          <w:szCs w:val="28"/>
          <w:lang w:val="ru-RU"/>
        </w:rPr>
        <w:fldChar w:fldCharType="begin"/>
      </w:r>
      <w:r w:rsidR="00FB5E68">
        <w:rPr>
          <w:sz w:val="28"/>
          <w:szCs w:val="28"/>
          <w:lang w:val="ru-RU"/>
        </w:rPr>
        <w:instrText xml:space="preserve"> ADDIN ZOTERO_ITEM CSL_CITATION {"citationID":"a1fsqa1v94t","properties":{"formattedCitation":"[392,399]","plainCitation":"[392,399]","noteIndex":0},"citationItems":[{"id":1165,"uris":["http://zotero.org/users/9078202/items/8QDTFUDS"],"itemData":{"id":1165,"type":"article-journal","abstract":"Experiments with several Arabidopsis thaliana mutants have revealed a web of interactions between hormonal signaling. Here, we show that the Arabidopsis mutant radical-induced cell death1 (rcd1), although hypersensitive to apoplastic superoxide and ozone, is more resistant to chloroplastic superoxide formation, exhibits reduced sensitivity to abscisic acid, ethylene, and methyl jasmonate, and has altered expression of several hormonally regulated genes. Furthermore, rcd1 has higher stomatal conductance than the wild type. The rcd1-1 mutation was mapped to the gene At1g32230 where it disrupts an intron splice site resulting in a truncated protein. RCD1 belongs to the (ADP-ribosyl)transferase domain-containing subfamily of the WWE protein-protein interaction domain protein family. The results suggest that RCD1 could act as an integrative node in hormonal signaling and in the regulation of several stress-responsive genes.","container-title":"The Plant Cell","DOI":"10.1105/tpc.021832","ISSN":"1040-4651","issue":"7","journalAbbreviation":"Plant Cell","language":"eng","note":"PMID: 15208394\nPMCID: PMC514171","page":"1925-1937","source":"PubMed","title":"Arabidopsis RADICAL-INDUCED CELL DEATH1 belongs to the WWE protein-protein interaction domain protein family and modulates abscisic acid, ethylene, and methyl jasmonate responses","volume":"16","author":[{"family":"Ahlfors","given":"Reetta"},{"family":"Lång","given":"Saara"},{"family":"Overmyer","given":"Kirk"},{"family":"Jaspers","given":"Pinja"},{"family":"Brosché","given":"Mikael"},{"family":"Tauriainen","given":"Airi"},{"family":"Kollist","given":"Hannes"},{"family":"Tuominen","given":"Hannele"},{"family":"Belles-Boix","given":"Enric"},{"family":"Piippo","given":"Mirva"},{"family":"Inzé","given":"Dirk"},{"family":"Palva","given":"E. Tapio"},{"family":"Kangasjärvi","given":"Jaakko"}],"issued":{"date-parts":[["2004",7]]}}},{"id":1167,"uris":["http://zotero.org/users/9078202/items/H4GIQ72V"],"itemData":{"id":1167,"type":"article-journal","abstract":"To better understand the role of active oxygen species (AOS) in acquired resistance to increased levels of ultraviolet (UV)-B irradiation in plants, we isolated an Arabidopsis mutant that is resistant to methyl viologen, and its sensitivity to UV-B was investigated. A complementation test revealed that the obtained mutant was allelic to the ozone-sensitive radical-induced cell death1-1 (rcd1-1). Therefore, this mutant was named rcd1-2. rcd1-2 was recessive and nearly 4-fold more resistant to methyl viologen than wild type. It exhibited a higher tolerance to short-term UV-B supplementation treatments than the wild type: UV-B-induced formation of cyclobutane pyrimidine dimers was reduced by one-half after 24 h of exposure; the decrease in quantum yield of photosystem II was also diminished by 40% after 12 h of treatment. Furthermore, rcd1-2 was tolerant to freezing. Steady-state mRNA levels of plastidic Cu/Zn superoxide dismutase and stromal ascorbate peroxidase were higher in rcd1-2 than in wild type, and the mRNA level of the latter enzyme was enhanced by UV-B exposure more effectively in rcd1-2. UV-B-absorbing compounds were more accumulated in rcd1-2 than in wild type after UV-B exposure for 24 h. These findings suggest that rcd1-2 methyl viologen resistance is due to the enhanced activities of the AOS-scavenging enzymes in chloroplasts and that the acquired tolerance to the short-term UV-B exposure results from a higher accumulation of sunscreen pigments. rcd1 appears to be a mutant that constitutively shows stress responses, leading to accumulation of more pigments and AOS-scavenging enzymes without any stresses.","container-title":"Plant Physiology","DOI":"10.1104/pp.103.033480","ISSN":"0032-0889","issue":"1","journalAbbreviation":"Plant Physiol","note":"PMID: 14657410\nPMCID: PMC316307","page":"275-285","source":"PubMed Central","title":"A Methyl Viologen-Resistant Mutant of Arabidopsis, Which Is Allelic to Ozone-Sensitive rcd1, Is Tolerant to Supplemental Ultraviolet-B Irradiation","URL":"https://www.ncbi.nlm.nih.gov/pmc/articles/PMC316307/","volume":"134","author":[{"family":"Fujibe","given":"Takahiro"},{"family":"Saji","given":"Hikaru"},{"family":"Arakawa","given":"Keita"},{"family":"Yabe","given":"Naoto"},{"family":"Takeuchi","given":"Yuichi"},{"family":"Yamamoto","given":"Kotaro T."}],"accessed":{"date-parts":[["2022",4,19]]},"issued":{"date-parts":[["2004",1]]}}}],"schema":"https://github.com/citation-style-language/schema/raw/master/csl-citation.json"} </w:instrText>
      </w:r>
      <w:r w:rsidRPr="00107040">
        <w:rPr>
          <w:sz w:val="28"/>
          <w:szCs w:val="28"/>
          <w:lang w:val="ru-RU"/>
        </w:rPr>
        <w:fldChar w:fldCharType="separate"/>
      </w:r>
      <w:r w:rsidR="00FB5E68" w:rsidRPr="00FB5E68">
        <w:rPr>
          <w:sz w:val="28"/>
        </w:rPr>
        <w:t>[392,399]</w:t>
      </w:r>
      <w:r w:rsidRPr="00107040">
        <w:rPr>
          <w:sz w:val="28"/>
          <w:szCs w:val="28"/>
          <w:lang w:val="ru-RU"/>
        </w:rPr>
        <w:fldChar w:fldCharType="end"/>
      </w:r>
      <w:r w:rsidRPr="00107040">
        <w:rPr>
          <w:sz w:val="28"/>
          <w:szCs w:val="28"/>
          <w:lang w:val="ru-RU"/>
        </w:rPr>
        <w:t xml:space="preserve">. </w:t>
      </w:r>
      <w:r w:rsidRPr="00107040">
        <w:rPr>
          <w:sz w:val="28"/>
          <w:szCs w:val="28"/>
        </w:rPr>
        <w:t>RCD</w:t>
      </w:r>
      <w:r w:rsidRPr="00107040">
        <w:rPr>
          <w:sz w:val="28"/>
          <w:szCs w:val="28"/>
          <w:lang w:val="ru-RU"/>
        </w:rPr>
        <w:t xml:space="preserve">1 экспрессируется повсеместно и конститутивно в растениях арабидопсиса </w:t>
      </w:r>
      <w:r w:rsidRPr="00107040">
        <w:rPr>
          <w:sz w:val="28"/>
          <w:szCs w:val="28"/>
          <w:lang w:val="ru-RU"/>
        </w:rPr>
        <w:fldChar w:fldCharType="begin"/>
      </w:r>
      <w:r w:rsidR="00FB5E68">
        <w:rPr>
          <w:sz w:val="28"/>
          <w:szCs w:val="28"/>
          <w:lang w:val="ru-RU"/>
        </w:rPr>
        <w:instrText xml:space="preserve"> ADDIN ZOTERO_ITEM CSL_CITATION {"citationID":"ap57r9j7rr","properties":{"formattedCitation":"[396,400]","plainCitation":"[396,400]","noteIndex":0},"citationItems":[{"id":1152,"uris":["http://zotero.org/users/9078202/items/WSZQGHKD"],"itemData":{"id":1152,"type":"article-journal","container-title":"Plant Journal","DOI":"10.1111/j.1365-313X.2009.03951.x","ISSN":"0960-7412","issue":"2","page":"268-279","source":"University of Helsinki","title":"Unequally redundant RCD1 and SRO1 mediate stress and developmental responses and interact with transcription factors","volume":"60","author":[{"family":"Jaspers","given":"Pinja"},{"family":"Blomster","given":"Tiina"},{"family":"Brosche","given":"Mikael"},{"family":"Salojarvi","given":"Jarkko"},{"family":"Ahlfors","given":"Reetta"},{"family":"Vainonen","given":"Julia P."},{"family":"Reddy","given":"Ramesha A."},{"family":"Immink","given":"Richard"},{"family":"Angenent","given":"Gerco"},{"family":"Turck","given":"Franziska"},{"family":"Overmyer","given":"Kirk"},{"family":"Kangasjarvi","given":"Jaakko"}],"issued":{"date-parts":[["2009"]]}}},{"id":1210,"uris":["http://zotero.org/users/9078202/items/IY9T35WG"],"itemData":{"id":1210,"type":"article-journal","abstract":"RADICAL-INDUCED CELL DEATH1 (RCD1) and SIMILAR TO RCD ONE1 (SRO1) are the only two proteins encoded in the Arabidopsis (Arabidopsis thaliana) genome containing both a putative poly(ADP-ribose) polymerase catalytic domain and a WWE protein-protein interaction domain, although similar proteins have been found in other eukaryotes. Poly(ADP-ribose) polymerases mediate the attachment of ADP-ribose units from donor NAD(+) molecules to target proteins and have been implicated in a number of processes, including DNA repair, apoptosis, transcription, and chromatin remodeling. We have isolated mutants in both RCD1 and SRO1, rcd1-3 and sro1-1, respectively. rcd1-3 plants display phenotypic defects as reported for previously isolated alleles, most notably reduced stature. In addition, rcd1-3 mutants display a number of additional developmental defects in root architecture and maintenance of reproductive development. While single mutant sro1-1 plants are relatively normal, loss of a single dose of SRO1 in the rcd1-3 background increases the severity of several developmental defects, implying that these genes do share some functions. However, rcd1-3 and sro1-1 mutants behave differently in several developmental events and abiotic stress responses, suggesting that they also have distinct functions. Remarkably, rcd1-3; sro1-1 double mutants display severe defects in embryogenesis and postembryonic development. This study shows that RCD1 and SRO1 are at least partially redundant and that they are essential genes for plant development.","container-title":"Plant Physiology","DOI":"10.1104/pp.109.142786","ISSN":"0032-0889","issue":"1","journalAbbreviation":"Plant Physiol","language":"eng","note":"PMID: 19625634\nPMCID: PMC2736012","page":"180-198","source":"PubMed","title":"The paralogous genes RADICAL-INDUCED CELL DEATH1 and SIMILAR TO RCD ONE1 have partially redundant functions during Arabidopsis development","volume":"151","author":[{"family":"Teotia","given":"Sachin"},{"family":"Lamb","given":"Rebecca S."}],"issued":{"date-parts":[["2009",9]]}}}],"schema":"https://github.com/citation-style-language/schema/raw/master/csl-citation.json"} </w:instrText>
      </w:r>
      <w:r w:rsidRPr="00107040">
        <w:rPr>
          <w:sz w:val="28"/>
          <w:szCs w:val="28"/>
          <w:lang w:val="ru-RU"/>
        </w:rPr>
        <w:fldChar w:fldCharType="separate"/>
      </w:r>
      <w:r w:rsidR="00FB5E68" w:rsidRPr="00FB5E68">
        <w:rPr>
          <w:sz w:val="28"/>
        </w:rPr>
        <w:t>[396,400]</w:t>
      </w:r>
      <w:r w:rsidRPr="00107040">
        <w:rPr>
          <w:sz w:val="28"/>
          <w:szCs w:val="28"/>
          <w:lang w:val="ru-RU"/>
        </w:rPr>
        <w:fldChar w:fldCharType="end"/>
      </w:r>
      <w:r w:rsidRPr="00107040">
        <w:rPr>
          <w:sz w:val="28"/>
          <w:szCs w:val="28"/>
          <w:lang w:val="ru-RU"/>
        </w:rPr>
        <w:t xml:space="preserve">. Он локализуется в ядре </w:t>
      </w:r>
      <w:r w:rsidRPr="00107040">
        <w:rPr>
          <w:sz w:val="28"/>
          <w:szCs w:val="28"/>
          <w:lang w:val="ru-RU"/>
        </w:rPr>
        <w:fldChar w:fldCharType="begin"/>
      </w:r>
      <w:r w:rsidR="00FB5E68">
        <w:rPr>
          <w:sz w:val="28"/>
          <w:szCs w:val="28"/>
          <w:lang w:val="ru-RU"/>
        </w:rPr>
        <w:instrText xml:space="preserve"> ADDIN ZOTERO_ITEM CSL_CITATION {"citationID":"adfg1amib5","properties":{"formattedCitation":"[401,402]","plainCitation":"[401,402]","noteIndex":0},"citationItems":[{"id":1198,"uris":["http://zotero.org/users/9078202/items/USNEHUN6"],"itemData":{"id":1198,"type":"article-journal","abstract":"rcd1 is a mutant of Arabidopsis thaliana that is more resistant to methyl viologen, but more sensitive to ozone than the wild type. rcd1-2 is caused by a single nucleotide substitution that results in a premature stop codon at Trp-332. The rcd1-2 mRNA level does not change significantly with the mutation. Since overexpression of rcd1-1 cDNA has been shown to bring about an rcd1-like phenotype, we created and examined the overexpression lines of RCD1 by the use of the cauliflower mosaic virus 35S promoter. The transgenic lines exhibited a weak rcd1-like phenotype, although no resistance to methyl viologen was observed. Further, they fully complemented the aberrant rcd1-2 phenotype. Subcellular localization of RCD1 was examined by transiently expressing green fluorescent protein (GFP) fused with RCD1 in onion epidermal cells. GFP signals are observed as aggregated foci in the inner nuclear matrix-like region.","container-title":"Bioscience, Biotechnology, and Biochemistry","DOI":"10.1271/bbb.50673","ISSN":"0916-8451","issue":"8","journalAbbreviation":"Biosci Biotechnol Biochem","language":"eng","note":"PMID: 16926493","page":"1827-1831","source":"PubMed","title":"Overexpression of the RADICAL-INDUCED CELL DEATH1 (RCD1) gene of Arabidopsis causes weak rcd1 phenotype with compromised oxidative-stress responses","volume":"70","author":[{"family":"Fujibe","given":"Takahiro"},{"family":"Saji","given":"Hikaru"},{"family":"Watahiki","given":"Masaaki K."},{"family":"Yamamoto","given":"Kotaro T."}],"issued":{"date-parts":[["2006",8]]}}},{"id":1174,"uris":["http://zotero.org/users/9078202/items/9Z2MHZPD"],"itemData":{"id":1174,"type":"article-journal","abstract":"The adverse effects of high salt on plants include Na(+) toxicity and hyperosmotic and oxidative stresses. The plasma membrane-localized Na(+)/H(+) antiporter SOS1 functions in the extrusion of toxic Na(+) from cells and is essential for plant salt tolerance. We report here that, under salt or oxidative stress, SOS1 interacts through its predicted cytoplasmic tail with RCD1, a regulator of oxidative-stress responses. Without stress treatment, RCD1 is localized in the nucleus. Under high salt or oxidative stress, RCD1 is found not only in the nucleus but also in the cytoplasm. Like rcd1 mutants, sos1 mutant plants show an altered sensitivity to oxidative stresses. The rcd1mutation causes a decrease in salt tolerance and enhances the salt-stress sensitivity of sos1 mutant plants. Several genes related to oxidative-stress tolerance were found to be regulated by both RCD1 and SOS1. These results reveal a previously uncharacterized function of a plasma membrane Na(+)/H(+) antiporter in oxidative-stress tolerance and shed light on the cross-talk between the ion-homeostasis and oxidative-stress detoxification pathways involved in plant salt tolerance.","container-title":"Proceedings of the National Academy of Sciences of the United States of America","DOI":"10.1073/pnas.0604711103","ISSN":"0027-8424","issue":"49","journalAbbreviation":"Proc Natl Acad Sci U S A","language":"eng","note":"PMID: 17023541\nPMCID: PMC1693745","page":"18816-18821","source":"PubMed","title":"The plasma membrane Na+/H+ antiporter SOS1 interacts with RCD1 and functions in oxidative stress tolerance in Arabidopsis","volume":"103","author":[{"family":"Katiyar-Agarwal","given":"Surekha"},{"family":"Zhu","given":"Jianhua"},{"family":"Kim","given":"Kangmin"},{"family":"Agarwal","given":"Manu"},{"family":"Fu","given":"Xinmiao"},{"family":"Huang","given":"Alex"},{"family":"Zhu","given":"Jian-Kang"}],"issued":{"date-parts":[["2006",12,5]]}}}],"schema":"https://github.com/citation-style-language/schema/raw/master/csl-citation.json"} </w:instrText>
      </w:r>
      <w:r w:rsidRPr="00107040">
        <w:rPr>
          <w:sz w:val="28"/>
          <w:szCs w:val="28"/>
          <w:lang w:val="ru-RU"/>
        </w:rPr>
        <w:fldChar w:fldCharType="separate"/>
      </w:r>
      <w:r w:rsidR="00FB5E68" w:rsidRPr="00FB5E68">
        <w:rPr>
          <w:sz w:val="28"/>
          <w:lang w:val="ru-RU"/>
        </w:rPr>
        <w:t>[401,402]</w:t>
      </w:r>
      <w:r w:rsidRPr="00107040">
        <w:rPr>
          <w:sz w:val="28"/>
          <w:szCs w:val="28"/>
          <w:lang w:val="ru-RU"/>
        </w:rPr>
        <w:fldChar w:fldCharType="end"/>
      </w:r>
      <w:r w:rsidRPr="00107040">
        <w:rPr>
          <w:sz w:val="28"/>
          <w:szCs w:val="28"/>
          <w:lang w:val="ru-RU"/>
        </w:rPr>
        <w:t xml:space="preserve">, но при солевом и окислительном стрессе </w:t>
      </w:r>
      <w:r w:rsidRPr="00107040">
        <w:rPr>
          <w:sz w:val="28"/>
          <w:szCs w:val="28"/>
        </w:rPr>
        <w:t>RCD</w:t>
      </w:r>
      <w:r w:rsidRPr="00107040">
        <w:rPr>
          <w:sz w:val="28"/>
          <w:szCs w:val="28"/>
          <w:lang w:val="ru-RU"/>
        </w:rPr>
        <w:t xml:space="preserve">1 также локализуется в цитоплазме </w:t>
      </w:r>
      <w:r w:rsidRPr="00107040">
        <w:rPr>
          <w:sz w:val="28"/>
          <w:szCs w:val="28"/>
          <w:lang w:val="ru-RU"/>
        </w:rPr>
        <w:fldChar w:fldCharType="begin"/>
      </w:r>
      <w:r w:rsidR="00FB5E68">
        <w:rPr>
          <w:sz w:val="28"/>
          <w:szCs w:val="28"/>
          <w:lang w:val="ru-RU"/>
        </w:rPr>
        <w:instrText xml:space="preserve"> ADDIN ZOTERO_ITEM CSL_CITATION {"citationID":"a14cdob7p8j","properties":{"formattedCitation":"[402]","plainCitation":"[402]","noteIndex":0},"citationItems":[{"id":1174,"uris":["http://zotero.org/users/9078202/items/9Z2MHZPD"],"itemData":{"id":1174,"type":"article-journal","abstract":"The adverse effects of high salt on plants include Na(+) toxicity and hyperosmotic and oxidative stresses. The plasma membrane-localized Na(+)/H(+) antiporter SOS1 functions in the extrusion of toxic Na(+) from cells and is essential for plant salt tolerance. We report here that, under salt or oxidative stress, SOS1 interacts through its predicted cytoplasmic tail with RCD1, a regulator of oxidative-stress responses. Without stress treatment, RCD1 is localized in the nucleus. Under high salt or oxidative stress, RCD1 is found not only in the nucleus but also in the cytoplasm. Like rcd1 mutants, sos1 mutant plants show an altered sensitivity to oxidative stresses. The rcd1mutation causes a decrease in salt tolerance and enhances the salt-stress sensitivity of sos1 mutant plants. Several genes related to oxidative-stress tolerance were found to be regulated by both RCD1 and SOS1. These results reveal a previously uncharacterized function of a plasma membrane Na(+)/H(+) antiporter in oxidative-stress tolerance and shed light on the cross-talk between the ion-homeostasis and oxidative-stress detoxification pathways involved in plant salt tolerance.","container-title":"Proceedings of the National Academy of Sciences of the United States of America","DOI":"10.1073/pnas.0604711103","ISSN":"0027-8424","issue":"49","journalAbbreviation":"Proc Natl Acad Sci U S A","language":"eng","note":"PMID: 17023541\nPMCID: PMC1693745","page":"18816-18821","source":"PubMed","title":"The plasma membrane Na+/H+ antiporter SOS1 interacts with RCD1 and functions in oxidative stress tolerance in Arabidopsis","volume":"103","author":[{"family":"Katiyar-Agarwal","given":"Surekha"},{"family":"Zhu","given":"Jianhua"},{"family":"Kim","given":"Kangmin"},{"family":"Agarwal","given":"Manu"},{"family":"Fu","given":"Xinmiao"},{"family":"Huang","given":"Alex"},{"family":"Zhu","given":"Jian-Kang"}],"issued":{"date-parts":[["2006",12,5]]}}}],"schema":"https://github.com/citation-style-language/schema/raw/master/csl-citation.json"} </w:instrText>
      </w:r>
      <w:r w:rsidRPr="00107040">
        <w:rPr>
          <w:sz w:val="28"/>
          <w:szCs w:val="28"/>
          <w:lang w:val="ru-RU"/>
        </w:rPr>
        <w:fldChar w:fldCharType="separate"/>
      </w:r>
      <w:r w:rsidR="00FB5E68" w:rsidRPr="00FB5E68">
        <w:rPr>
          <w:sz w:val="28"/>
          <w:lang w:val="ru-RU"/>
        </w:rPr>
        <w:t>[402]</w:t>
      </w:r>
      <w:r w:rsidRPr="00107040">
        <w:rPr>
          <w:sz w:val="28"/>
          <w:szCs w:val="28"/>
          <w:lang w:val="ru-RU"/>
        </w:rPr>
        <w:fldChar w:fldCharType="end"/>
      </w:r>
      <w:r w:rsidRPr="00107040">
        <w:rPr>
          <w:sz w:val="28"/>
          <w:szCs w:val="28"/>
          <w:lang w:val="ru-RU"/>
        </w:rPr>
        <w:t xml:space="preserve">. Было показано, что </w:t>
      </w:r>
      <w:r w:rsidRPr="00107040">
        <w:rPr>
          <w:sz w:val="28"/>
          <w:szCs w:val="28"/>
        </w:rPr>
        <w:t>RCD</w:t>
      </w:r>
      <w:r w:rsidRPr="00107040">
        <w:rPr>
          <w:sz w:val="28"/>
          <w:szCs w:val="28"/>
          <w:lang w:val="ru-RU"/>
        </w:rPr>
        <w:t xml:space="preserve">1 участвует в реакциях на солевой стресс, в защите от патогенов, в регуляции устьичной проводимости, в реакциях на УФ-В, в температурных реакциях, в </w:t>
      </w:r>
      <w:r w:rsidRPr="00107040">
        <w:rPr>
          <w:sz w:val="28"/>
          <w:szCs w:val="28"/>
        </w:rPr>
        <w:t>PCD</w:t>
      </w:r>
      <w:r w:rsidRPr="00107040">
        <w:rPr>
          <w:sz w:val="28"/>
          <w:szCs w:val="28"/>
          <w:lang w:val="ru-RU"/>
        </w:rPr>
        <w:t xml:space="preserve">, в регуляции окислительно-восстановительного потенциала, а также в передаче сигналов АФК и растительных гормонов </w:t>
      </w:r>
      <w:r w:rsidRPr="00107040">
        <w:rPr>
          <w:sz w:val="28"/>
          <w:szCs w:val="28"/>
          <w:lang w:val="ru-RU"/>
        </w:rPr>
        <w:fldChar w:fldCharType="begin"/>
      </w:r>
      <w:r w:rsidR="00FB5E68">
        <w:rPr>
          <w:sz w:val="28"/>
          <w:szCs w:val="28"/>
          <w:lang w:val="ru-RU"/>
        </w:rPr>
        <w:instrText xml:space="preserve"> ADDIN ZOTERO_ITEM CSL_CITATION {"citationID":"a1l8luqqdro","properties":{"formattedCitation":"[392,399,402\\uc0\\u8211{}411]","plainCitation":"[392,399,402–411]","noteIndex":0},"citationItems":[{"id":1165,"uris":["http://zotero.org/users/9078202/items/8QDTFUDS"],"itemData":{"id":1165,"type":"article-journal","abstract":"Experiments with several Arabidopsis thaliana mutants have revealed a web of interactions between hormonal signaling. Here, we show that the Arabidopsis mutant radical-induced cell death1 (rcd1), although hypersensitive to apoplastic superoxide and ozone, is more resistant to chloroplastic superoxide formation, exhibits reduced sensitivity to abscisic acid, ethylene, and methyl jasmonate, and has altered expression of several hormonally regulated genes. Furthermore, rcd1 has higher stomatal conductance than the wild type. The rcd1-1 mutation was mapped to the gene At1g32230 where it disrupts an intron splice site resulting in a truncated protein. RCD1 belongs to the (ADP-ribosyl)transferase domain-containing subfamily of the WWE protein-protein interaction domain protein family. The results suggest that RCD1 could act as an integrative node in hormonal signaling and in the regulation of several stress-responsive genes.","container-title":"The Plant Cell","DOI":"10.1105/tpc.021832","ISSN":"1040-4651","issue":"7","journalAbbreviation":"Plant Cell","language":"eng","note":"PMID: 15208394\nPMCID: PMC514171","page":"1925-1937","source":"PubMed","title":"Arabidopsis RADICAL-INDUCED CELL DEATH1 belongs to the WWE protein-protein interaction domain protein family and modulates abscisic acid, ethylene, and methyl jasmonate responses","volume":"16","author":[{"family":"Ahlfors","given":"Reetta"},{"family":"Lång","given":"Saara"},{"family":"Overmyer","given":"Kirk"},{"family":"Jaspers","given":"Pinja"},{"family":"Brosché","given":"Mikael"},{"family":"Tauriainen","given":"Airi"},{"family":"Kollist","given":"Hannes"},{"family":"Tuominen","given":"Hannele"},{"family":"Belles-Boix","given":"Enric"},{"family":"Piippo","given":"Mirva"},{"family":"Inzé","given":"Dirk"},{"family":"Palva","given":"E. Tapio"},{"family":"Kangasjärvi","given":"Jaakko"}],"issued":{"date-parts":[["2004",7]]}}},{"id":1167,"uris":["http://zotero.org/users/9078202/items/H4GIQ72V"],"itemData":{"id":1167,"type":"article-journal","abstract":"To better understand the role of active oxygen species (AOS) in acquired resistance to increased levels of ultraviolet (UV)-B irradiation in plants, we isolated an Arabidopsis mutant that is resistant to methyl viologen, and its sensitivity to UV-B was investigated. A complementation test revealed that the obtained mutant was allelic to the ozone-sensitive radical-induced cell death1-1 (rcd1-1). Therefore, this mutant was named rcd1-2. rcd1-2 was recessive and nearly 4-fold more resistant to methyl viologen than wild type. It exhibited a higher tolerance to short-term UV-B supplementation treatments than the wild type: UV-B-induced formation of cyclobutane pyrimidine dimers was reduced by one-half after 24 h of exposure; the decrease in quantum yield of photosystem II was also diminished by 40% after 12 h of treatment. Furthermore, rcd1-2 was tolerant to freezing. Steady-state mRNA levels of plastidic Cu/Zn superoxide dismutase and stromal ascorbate peroxidase were higher in rcd1-2 than in wild type, and the mRNA level of the latter enzyme was enhanced by UV-B exposure more effectively in rcd1-2. UV-B-absorbing compounds were more accumulated in rcd1-2 than in wild type after UV-B exposure for 24 h. These findings suggest that rcd1-2 methyl viologen resistance is due to the enhanced activities of the AOS-scavenging enzymes in chloroplasts and that the acquired tolerance to the short-term UV-B exposure results from a higher accumulation of sunscreen pigments. rcd1 appears to be a mutant that constitutively shows stress responses, leading to accumulation of more pigments and AOS-scavenging enzymes without any stresses.","container-title":"Plant Physiology","DOI":"10.1104/pp.103.033480","ISSN":"0032-0889","issue":"1","journalAbbreviation":"Plant Physiol","note":"PMID: 14657410\nPMCID: PMC316307","page":"275-285","source":"PubMed Central","title":"A Methyl Viologen-Resistant Mutant of Arabidopsis, Which Is Allelic to Ozone-Sensitive rcd1, Is Tolerant to Supplemental Ultraviolet-B Irradiation","URL":"https://www.ncbi.nlm.nih.gov/pmc/articles/PMC316307/","volume":"134","author":[{"family":"Fujibe","given":"Takahiro"},{"family":"Saji","given":"Hikaru"},{"family":"Arakawa","given":"Keita"},{"family":"Yabe","given":"Naoto"},{"family":"Takeuchi","given":"Yuichi"},{"family":"Yamamoto","given":"Kotaro T."}],"accessed":{"date-parts":[["2022",4,19]]},"issued":{"date-parts":[["2004",1]]}}},{"id":1174,"uris":["http://zotero.org/users/9078202/items/9Z2MHZPD"],"itemData":{"id":1174,"type":"article-journal","abstract":"The adverse effects of high salt on plants include Na(+) toxicity and hyperosmotic and oxidative stresses. The plasma membrane-localized Na(+)/H(+) antiporter SOS1 functions in the extrusion of toxic Na(+) from cells and is essential for plant salt tolerance. We report here that, under salt or oxidative stress, SOS1 interacts through its predicted cytoplasmic tail with RCD1, a regulator of oxidative-stress responses. Without stress treatment, RCD1 is localized in the nucleus. Under high salt or oxidative stress, RCD1 is found not only in the nucleus but also in the cytoplasm. Like rcd1 mutants, sos1 mutant plants show an altered sensitivity to oxidative stresses. The rcd1mutation causes a decrease in salt tolerance and enhances the salt-stress sensitivity of sos1 mutant plants. Several genes related to oxidative-stress tolerance were found to be regulated by both RCD1 and SOS1. These results reveal a previously uncharacterized function of a plasma membrane Na(+)/H(+) antiporter in oxidative-stress tolerance and shed light on the cross-talk between the ion-homeostasis and oxidative-stress detoxification pathways involved in plant salt tolerance.","container-title":"Proceedings of the National Academy of Sciences of the United States of America","DOI":"10.1073/pnas.0604711103","ISSN":"0027-8424","issue":"49","journalAbbreviation":"Proc Natl Acad Sci U S A","language":"eng","note":"PMID: 17023541\nPMCID: PMC1693745","page":"18816-18821","source":"PubMed","title":"The plasma membrane Na+/H+ antiporter SOS1 interacts with RCD1 and functions in oxidative stress tolerance in Arabidopsis","volume":"103","author":[{"family":"Katiyar-Agarwal","given":"Surekha"},{"family":"Zhu","given":"Jianhua"},{"family":"Kim","given":"Kangmin"},{"family":"Agarwal","given":"Manu"},{"family":"Fu","given":"Xinmiao"},{"family":"Huang","given":"Alex"},{"family":"Zhu","given":"Jian-Kang"}],"issued":{"date-parts":[["2006",12,5]]}}},{"id":1839,"uris":["http://zotero.org/users/9078202/items/JV7KI5FT"],"itemData":{"id":1839,"type":"article-journal","abstract":"Short, high-concentration peaks of the atmospheric pollutant ozone (O(3)) cause the formation of cell death lesions on the leaves of sensitive plants. Numerous similarities between the plant responses to O(3) and pathogens suggest that O(3) triggers hypersensitive response-like programmed cell death (PCD). We examined O(3) and superoxide-induced cell death in the O(3)-sensitive radical-induced cell death1 (rcd1) mutant. Dying cells in O(3)-exposed rcd1 exhibited several of the typical morphological characteristics of the hypersensitive response and PCD. Double-mutant analyses indicated a requirement for salicylic acid and the function of the cyclic nucleotide-gated ion channel AtCNGC2 in cell death. Furthermore, a requirement for ATPases, kinases, transcription, Ca(2+) flux, caspase-like proteolytic activity, and also one or more phenylmethylsulfonyl fluoride-sensitive protease activities was shown for the development of cell death lesions in rcd1. Furthermore, mitogen-activated protein kinases showed differential activation patterns in rcd1 and Columbia. Taken together, these results directly demonstrate the induction of PCD by O(3).","container-title":"Plant Physiology","DOI":"10.1104/pp.104.055681","ISSN":"0032-0889","issue":"3","journalAbbreviation":"Plant Physiol","language":"eng","note":"PMID: 15728341\nPMCID: PMC1065409","page":"1092-1104","source":"PubMed","title":"Ozone-induced programmed cell death in the Arabidopsis radical-induced cell death1 mutant","volume":"137","author":[{"family":"Overmyer","given":"Kirk"},{"family":"Brosché","given":"Mikael"},{"family":"Pellinen","given":"Riikka"},{"family":"Kuittinen","given":"Tero"},{"family":"Tuominen","given":"Hannele"},{"family":"Ahlfors","given":"Reetta"},{"family":"Keinänen","given":"Markku"},{"family":"Saarma","given":"Mart"},{"family":"Scheel","given":"Dierk"},{"family":"Kangasjärvi","given":"Jaakko"}],"issued":{"date-parts":[["2005",3]]}}},{"id":1842,"uris":["http://zotero.org/users/9078202/items/SWIK8BQV"],"itemData":{"id":1842,"type":"article-journal","abstract":"The Arabidopsis radical-induced cell death1 (rcd1) mutant is sensitive to ozone fumigation and apoplastic superoxide, but tolerant to methyl viologen. In the present article, we report that the rcd1 mutant is also tolerant to supplementary UV-B radiation. The rcd1-1 mutant exhibits less accumulation of TT dimers, increased hypocotyl growth inhibition and higher accumulation of flavonoids under supplemental UV-B radiation. Moreover, the expression of HY5 (elongated hypocotyl5) is increased in the mutant after UV-B treatment. Gene expression downstream of UV-B signaling reveals that COP1 (constitutively photomorphogenic1)-regulated genes have an elevated expression in rcd1-1 mutant under UV-B radiation, while expression of UVR8 (UV resistance locus 8)-regulated and HY5-independent genes are not changed. Interestingly, the expression of RCD1 genes is not significantly changed by UV-B radiation. Previous study has shown that STO protein is interacting with RCD1 in vitro. Here, we found the mRNA level of STO (salt tolerance) is greatly increased in rcd1-1 mutant after UV-B radiation. However, UV-B-induced HY5 and CHS expression is partially inhibited in sto mutant. Based on the above results, it is deduced that the RCD1, working together with STO, is involved in Arabidopsis UV-B signaling.","container-title":"Photochemical &amp; Photobiological Sciences: Official Journal of the European Photochemistry Association and the European Society for Photobiology","DOI":"10.1039/b901187k","ISSN":"1474-905X","issue":"6","journalAbbreviation":"Photochem Photobiol Sci","language":"eng","note":"PMID: 19492112","page":"838-846","source":"PubMed","title":"Arabidopsis radical-induced cell death1 is involved in UV-B signaling","volume":"8","author":[{"family":"Jiang","given":"Lei"},{"family":"Wang","given":"Yan"},{"family":"Björn","given":"Lars Olof"},{"family":"Li","given":"Shaoshan"}],"issued":{"date-parts":[["2009",6]]}}},{"id":1845,"uris":["http://zotero.org/users/9078202/items/ES48IG6N"],"itemData":{"id":1845,"type":"article-journal","abstract":"The oomycete pathogen Hyaloperonospora arabidopsidis (Hpa) causes downy mildew disease on Arabidopsis. To colonize its host, Hpa translocates effector proteins that suppress plant immunity into infected host cells. Here, we investigate the relevance of the interaction between one of these effectors, HaRxL106, and Arabidopsis RADICAL-INDUCED CELL DEATH1 (RCD1). We use pathogen infection assays as well as molecular and biochemical analyses to test the hypothesis that HaRxL106 manipulates RCD1 to attenuate transcriptional activation of defense genes. We report that HaRxL106 suppresses transcriptional activation of salicylic acid (SA)-induced defense genes and alters plant growth responses to light. HaRxL106-mediated suppression of immunity is abolished in RCD1 loss-of-function mutants. We report that RCD1-type proteins are phosphorylated, and we identified Mut9-like kinases (MLKs), which function as phosphoregulatory nodes at the level of photoreceptors, as RCD1-interacting proteins. An mlk1,3,4 triple mutant exhibits stronger SA-induced defense marker gene expression compared with wild-type plants, suggesting that MLKs also affect transcriptional regulation of SA signaling. Based on the combined evidence, we hypothesize that nuclear RCD1/MLK complexes act as signaling nodes that integrate information from environmental cues and pathogen sensors, and that the Arabidopsis downy mildew pathogen targets RCD1 to prevent activation of plant immunity.","container-title":"New Phytologist","DOI":"10.1111/nph.15277","ISSN":"1469-8137","issue":"1","language":"en","note":"_eprint: https://onlinelibrary.wiley.com/doi/pdf/10.1111/nph.15277","page":"232-248","source":"Wiley Online Library","title":"Arabidopsis downy mildew effector HaRxL106 suppresses plant immunity by binding to RADICAL-INDUCED CELL DEATH1","URL":"https://onlinelibrary.wiley.com/doi/abs/10.1111/nph.15277","volume":"220","author":[{"family":"Wirthmueller","given":"Lennart"},{"family":"Asai","given":"Shuta"},{"family":"Rallapalli","given":"Ghanasyam"},{"family":"Sklenar","given":"Jan"},{"family":"Fabro","given":"Georgina"},{"family":"Kim","given":"Dae Sung"},{"family":"Lintermann","given":"Ruth"},{"family":"Jaspers","given":"Pinja"},{"family":"Wrzaczek","given":"Michael"},{"family":"Kangasjärvi","given":"Jaakko"},{"family":"MacLean","given":"Daniel"},{"family":"Menke","given":"Frank L. H."},{"family":"Banfield","given":"Mark J."},{"family":"Jones","given":"Jonathan D. G."}],"accessed":{"date-parts":[["2022",9,8]]},"issued":{"date-parts":[["2018"]]}}},{"id":"MPjqK5ng/crcQTilL","uris":["http://zotero.org/users/9078202/items/5QFYIGMI"],"itemData":{"id":1849,"type":"article-journal","abstract":"Programmed cell death (PCD) is a genetically controlled cell death that is regulated during development and activated in response to environmental stresses or pathogen infection. The degree of conservation of PCD across kingdoms and phylum is not yet clear; however, whereas caspases are proteases that act as key components of animal apoptosis, plants have no orthologous caspase sequences in their genomes. The discovery of plant and fungi metacaspases as proteases most closely related to animal caspases led to the hypothesis that metacaspases are the functional homologues of animal caspases in these organisms. Arabidopsis thaliana has nine metacaspase genes, and so far it is unknown which members of the family if any are involved in the regulation of PCD. We show here that metacaspase-8 (AtMC8) is a member of the gene family strongly up-regulated by oxidative stresses caused by UVC, H2O2, or methyl viologen. This up-regulation was dependent of RCD1, a mediator of the oxidative stress response. Recombinant metacaspase-8 cleaved after arginine, had a pH optimum of 8, and complemented the H2O2 no-death phenotype of a yeast metacaspase knock-out. Overexpressing AtMC8 up-regulated PCD induced by UVC or H2O2, and knocking out AtMC8 reduced cell death triggered by UVC and H2O2 in protoplasts. Knock-out seeds and seedlings had an increased tolerance to the herbicide methyl viologen. We suggest that metacaspase-8 is part of an evolutionary conserved PCD pathway activated by oxidative stress.","container-title":"Journal of Biological Chemistry","DOI":"10.1074/jbc.M704185200","ISSN":"0021-9258","issue":"2","journalAbbreviation":"Journal of Biological Chemistry","language":"en","page":"774-783","source":"ScienceDirect","title":"Metacaspase-8 Modulates Programmed Cell Death Induced by Ultraviolet Light and H2O2 in Arabidopsis*","URL":"https://www.sciencedirect.com/science/article/pii/S0021925820689864","volume":"283","author":[{"family":"He","given":"Rui"},{"family":"Drury","given":"Georgina E."},{"family":"Rotari","given":"Vitalie I."},{"family":"Gordon","given":"Anna"},{"family":"Willer","given":"Martin"},{"family":"Farzaneh","given":"Tabasum"},{"family":"Woltering","given":"Ernst J."},{"family":"Gallois","given":"Patrick"}],"accessed":{"date-parts":[["2022",9,8]]},"issued":{"date-parts":[["2008",1,11]]}}},{"id":1179,"uris":["http://zotero.org/users/9078202/items/KJ2RBH2U"],"itemData":{"id":1179,"type":"article-journal","abstract":"Plant responses to changes in environmental conditions are mediated by a network of signaling events leading to downstream responses, including changes in gene expression and activation of cell death programs. Arabidopsis thaliana RADICAL-INDUCED CELL DEATH1 (RCD1) has been proposed to regulate plant stress responses by protein-protein interactions with transcription factors. Furthermore, the rcd1 mutant has defective control of cell death in response to apoplastic reactive oxygen species (ROS). Combining transcriptomic and functional genomics approaches we first used microarray analysis in a time series to study changes in gene expression after apoplastic ROS treatment in rcd1. To identify a core set of cell death regulated genes, RCD1-regulated genes were clustered together with other array experiments from plants undergoing cell death or treated with various pathogens, plant hormones or other chemicals. Subsequently, selected rcd1 double mutants were constructed to further define the genetic requirements for the execution of apoplastic ROS induced cell death. Through the genetic analysis we identified WRKY70 and SGT1b as cell death regulators functioning downstream of RCD1 and show that quantitative rather than qualitative differences in gene expression related to cell death appeared to better explain the outcome. Allocation of plant energy to defenses diverts resources from growth. Recently, a plant response termed stress-induced morphogenic response (SIMR) was proposed to regulate the balance between defense and growth. Using a rcd1 double mutant collection we show that SIMR is mostly independent of the classical plant defense signaling pathways and that the redox balance is involved in development of SIMR.","container-title":"PLOS Genetics","DOI":"10.1371/journal.pgen.1004112","ISSN":"1553-7404","issue":"2","journalAbbreviation":"PLOS Genetics","language":"en","note":"publisher: Public Library of Science","page":"e1004112","source":"PLoS Journals","title":"Transcriptomics and Functional Genomics of ROS-Induced Cell Death Regulation by RADICAL-INDUCED CELL DEATH1","URL":"https://journals.plos.org/plosgenetics/article?id=10.1371/journal.pgen.1004112","volume":"10","author":[{"family":"Brosché","given":"Mikael"},{"family":"Blomster","given":"Tiina"},{"family":"Salojärvi","given":"Jarkko"},{"family":"Cui","given":"Fuqiang"},{"family":"Sipari","given":"Nina"},{"family":"Leppälä","given":"Johanna"},{"family":"Lamminmäki","given":"Airi"},{"family":"Tomai","given":"Gloria"},{"family":"Narayanasamy","given":"Shaman"},{"family":"Reddy","given":"Ramesha A."},{"family":"Keinänen","given":"Markku"},{"family":"Overmyer","given":"Kirk"},{"family":"Kangasjärvi","given":"Jaakko"}],"accessed":{"date-parts":[["2022",4,19]]},"issued":{"date-parts":[["2014",2,13]]}}},{"id":1189,"uris":["http://zotero.org/users/9078202/items/F9VL2YPK"],"itemData":{"id":1189,"type":"article-journal","abstract":"Activation of plant immune responses is often associated with an inhibition of plant growth. The molecular mechanisms underlying this fitness cost are unknown. Here, we utilize the autoimmune response mutant suppressor of npr1, constitutive1 (snc1) resulting from an activated form of the Disease Resistance (R) gene to dissect the genetic component mediating growth inhibition in Arabidopsis (Arabidopsis thaliana). The radical-induced cell death1 (rcd1) mutant defective in responses to reactive oxygen species (ROS) was isolated as an enhancer of the snc1 mutant in growth inhibition but not in defense response activation. Similarly, the vitamin C2 (vtc2) and vtc3 mutants defective in ROS detoxification enhanced the growth defects of snc1. Thus, perturbation of ROS status by R gene activation is responsible for the growth inhibition, and this effect is independent of defense response activation. This was further supported by the partial rescue of growth defects of rcd1 snc1 by the respiratory burst oxidase homolog D (rbohD) and rbohF mutations compromising the generation of ROS burst. Collectively, these findings indicate that perturbation of ROS homeostasis contributes to the fitness cost independent of defense activation.","container-title":"Plant Physiology","DOI":"10.1104/pp.112.213363","ISSN":"0032-0889","issue":"4","journalAbbreviation":"Plant Physiology","page":"2005-2013","source":"Silverchair","title":"Disease Resistance Gene-Induced Growth Inhibition Is Enhanced by rcd1 Independent of Defense Activation in Arabidopsis","URL":"https://doi.org/10.1104/pp.112.213363","volume":"161","author":[{"family":"Zhu","given":"Ying"},{"family":"Du","given":"Baijuan"},{"family":"Qian","given":"Jun"},{"family":"Zou","given":"Baohong"},{"family":"Hua","given":"Jian"}],"accessed":{"date-parts":[["2022",4,19]]},"issued":{"date-parts":[["2013",4,1]]}}},{"id":1859,"uris":["http://zotero.org/users/9078202/items/D3UX5IHF"],"itemData":{"id":1859,"type":"article-journal","abstract":"Serotonin (5-hydroxytryptamine) is a bioactive indoleamine with neurotransmitter function in vertebrates, which represents an emerging signaling molecule in plants, playing key roles in the development and defense. In this study, the role of reactive oxygen species (ROS) and jasmonic acid (JA)–ethylene (Et) signaling in root developmental alterations induced by serotonin was investigated. An Arabidopsis thaliana mutant defective at the RADICAL-INDUCED CELL DEATH1 (RCD1) locus was resistant to paraquat-induced ROS accumulation in primary roots and showed decreased inhibition or root growth in response to serotonin. A suite of JA- and Et-related mutants including coronatine insensitive1, jasmonic acid resistant1 (jar1), etr1, ein2 and ein3 showed tolerance to serotonin in the inhibition of primary root growth and ROS redistribution within the root tip when compared with wild-type (WT) seedlings. Competence assays between serotonin and AgNO3, a well-known blocker of Et action, showed that primary root growth in medium supplemented with serotonin was normalized by AgNO3, whereas roots of eto3, an Et overproducer mutant, were oversensitive to serotonin. Comparison of ROS levels in WT, etr1, jar1 and rcd1 primary root tips using the ROS-specific probe 2′,7′-dichlorofluorescein diacetate and confocal imaging showed that serotonin inhibition of primary root growth likely occurs independently of its conversion into melatonin. Our results provide compelling evidence that serotonin affects ROS distribution in roots, involving RCD1 and components of the JA–Et signaling pathways.","container-title":"Physiologia Plantarum","DOI":"10.1111/ppl.12429","ISSN":"1399-3054","issue":"1","language":"en","note":"_eprint: https://onlinelibrary.wiley.com/doi/pdf/10.1111/ppl.12429","page":"92-105","source":"Wiley Online Library","title":"Serotonin modulates Arabidopsis root growth via changes in reactive oxygen species and jasmonic acid–ethylene signaling","URL":"https://onlinelibrary.wiley.com/doi/abs/10.1111/ppl.12429","volume":"158","author":[{"family":"Pelagio-Flores","given":"Ramón"},{"family":"Ruiz-Herrera","given":"León Francisco"},{"family":"López-Bucio","given":"José"}],"accessed":{"date-parts":[["2022",9,8]]},"issued":{"date-parts":[["2016"]]}}},{"id":1861,"uris":["http://zotero.org/users/9078202/items/QXG8WNMS"],"itemData":{"id":1861,"type":"article-journal","abstract":"Allantoin is a nitrogenous compound derived from purine catabolism that contributes to nitrogen recycling in plants. Accumulation of allantoin in plant tissues and a potential role in protection of plants from abiotic stress conditions has been identified. The present work shows that application of exogenous allantoin increased stress tolerance of Arabidopsis seedlings when germinated on, or subjected to the media containing NaCl. Allantoin-induced tolerance to NaCl stress was associated with decreased production of superoxide and hydrogen peroxide in seedlings. To understand the molecular mechanism, the effect of exogenous allantoin treatment on expression of several stress-related genes was investigated. Exogenous allantoin altered the expression of several antioxidant encoding genes and upregulated the expression of two genes involved in oxidative stress tolerance, SOS1 and RCD1, in the presence or absence of NaCl. Allantoin increased the NaCl tolerance of abscisic acid insensitive mutants, suggesting that it can function independently of abscisic acid signaling. These results provide additional evidence for the role of allantoin in enhancing plants tolerance to oxidative stress.","container-title":"Journal of Plant Physiology","DOI":"10.1016/j.jplph.2017.11.011","ISSN":"0176-1617","journalAbbreviation":"Journal of Plant Physiology","language":"en","page":"43-50","source":"ScienceDirect","title":"Exogenous allantoin increases Arabidopsis seedlings tolerance to NaCl stress and regulates expression of oxidative stress response genes","URL":"https://www.sciencedirect.com/science/article/pii/S0176161717302869","volume":"221","author":[{"family":"Irani","given":"Solmaz"},{"family":"Todd","given":"Christopher D."}],"accessed":{"date-parts":[["2022",9,8]]},"issued":{"date-parts":[["2018",2,1]]}}},{"id":1204,"uris":["http://zotero.org/users/9078202/items/ZI6V5DU3"],"itemData":{"id":1204,"type":"article-journal","abstract":"The rimb1 (redox imbalanced 1) mutation was mapped to the RCD1 locus (radical-induced cell death 1; At1g32230) demonstrating that a major factor involved in redox-regulation genes for chloroplast antioxidant enzymes and protection against photooxidative stress, RIMB1, is identical to the regulator of disease response reactions and cell death, RCD1. Discovering this link let to our investigation of its regulatory mechanism. We show in yeast that RCD1 can physically interact with the transcription factor Rap2.4a which provides redox-sensitivity to nuclear expression of genes for chloroplast antioxidant enzymes. In the rimb1 (rcd1-6) mutant, a single nucleotide exchange results in a truncated RCD1 protein lacking the transcription factor binding site. Protein-protein interaction between full-length RCD1 and Rap2.4a is supported by H2O2, but not sensitive to the antioxidants dithiotreitol and ascorbate. In combination with transcript abundance analysis in Arabidopsis, it is concluded that RCD1 stabilizes the Rap2.4-dependent redox-regulation of the genes encoding chloroplast antioxidant enzymes in a widely redox-independent manner. Over the years, rcd1-mutant alleles have been described to develop symptoms like chlorosis, lesions along the leaf rims and in the mesophyll and (secondary) induction of extra- and intra-plastidic antioxidant defense mechanisms. All these rcd1 mutant characteristics were observed in rcd1-6 to succeed low activation of the chloroplast antioxidant system and glutathione biosynthesis. We conclude that RCD1 protects plant cells from running into reactive oxygen species (ROS)-triggered programs, such as cell death and activation of pathogen-responsive genes (PR genes) and extra-plastidic antioxidant enzymes, by supporting the induction of the chloroplast antioxidant system.","container-title":"Frontiers in Plant Science","DOI":"10.3389/fpls.2014.00475","ISSN":"1664-462X","journalAbbreviation":"Front Plant Sci","language":"eng","note":"PMID: 25295044\nPMCID: PMC4172000","page":"475","source":"PubMed","title":"The radical induced cell death protein 1 (RCD1) supports transcriptional activation of genes for chloroplast antioxidant enzymes","volume":"5","author":[{"family":"Hiltscher","given":"Heiko"},{"family":"Rudnik","given":"Radoslaw"},{"family":"Shaikhali","given":"Jehad"},{"family":"Heiber","given":"Isabelle"},{"family":"Mellenthin","given":"Marina"},{"family":"Meirelles Duarte","given":"Iuri"},{"family":"Schuster","given":"Günter"},{"family":"Kahmann","given":"Uwe"},{"family":"Baier","given":"Margarete"}],"issued":{"date-parts":[["2014"]]}}}],"schema":"https://github.com/citation-style-language/schema/raw/master/csl-citation.json"} </w:instrText>
      </w:r>
      <w:r w:rsidRPr="00107040">
        <w:rPr>
          <w:sz w:val="28"/>
          <w:szCs w:val="28"/>
          <w:lang w:val="ru-RU"/>
        </w:rPr>
        <w:fldChar w:fldCharType="separate"/>
      </w:r>
      <w:r w:rsidR="00FB5E68" w:rsidRPr="00E57A39">
        <w:rPr>
          <w:sz w:val="28"/>
          <w:lang w:val="ru-RU"/>
        </w:rPr>
        <w:t>[392,399,402–411]</w:t>
      </w:r>
      <w:r w:rsidRPr="00107040">
        <w:rPr>
          <w:sz w:val="28"/>
          <w:szCs w:val="28"/>
          <w:lang w:val="ru-RU"/>
        </w:rPr>
        <w:fldChar w:fldCharType="end"/>
      </w:r>
      <w:r w:rsidRPr="00107040">
        <w:rPr>
          <w:sz w:val="28"/>
          <w:szCs w:val="28"/>
          <w:lang w:val="ru-RU"/>
        </w:rPr>
        <w:t xml:space="preserve">. Интересно, что RCD1 является мишенью эффекторного белка оомицета-патогена </w:t>
      </w:r>
      <w:r w:rsidRPr="00107040">
        <w:rPr>
          <w:i/>
          <w:sz w:val="28"/>
          <w:szCs w:val="28"/>
          <w:lang w:val="ru-RU"/>
        </w:rPr>
        <w:t>Hyaloperonospora arabidopsis</w:t>
      </w:r>
      <w:r w:rsidRPr="00107040">
        <w:rPr>
          <w:sz w:val="28"/>
          <w:szCs w:val="28"/>
          <w:lang w:val="ru-RU"/>
        </w:rPr>
        <w:t xml:space="preserve">, и связывание этого эффектора подавляет активацию генов защиты, индуцированных салициловой кислотой, и изменяет реакцию на свет [184]. RCD1 фосфорилируется, вероятно, путем взаимодействия с Mut9-подобными протеинкиназами, которые также фосфорилируют фоторецепторы. Это может представлять собой связь фотоответа и передачи сигналов салициловой кислоты </w:t>
      </w:r>
      <w:r w:rsidRPr="00107040">
        <w:rPr>
          <w:sz w:val="28"/>
          <w:szCs w:val="28"/>
          <w:lang w:val="ru-RU"/>
        </w:rPr>
        <w:fldChar w:fldCharType="begin"/>
      </w:r>
      <w:r w:rsidR="00FB5E68">
        <w:rPr>
          <w:sz w:val="28"/>
          <w:szCs w:val="28"/>
          <w:lang w:val="ru-RU"/>
        </w:rPr>
        <w:instrText xml:space="preserve"> ADDIN ZOTERO_ITEM CSL_CITATION {"citationID":"a2k6p9kc5oc","properties":{"formattedCitation":"[405]","plainCitation":"[405]","noteIndex":0},"citationItems":[{"id":1845,"uris":["http://zotero.org/users/9078202/items/ES48IG6N"],"itemData":{"id":1845,"type":"article-journal","abstract":"The oomycete pathogen Hyaloperonospora arabidopsidis (Hpa) causes downy mildew disease on Arabidopsis. To colonize its host, Hpa translocates effector proteins that suppress plant immunity into infected host cells. Here, we investigate the relevance of the interaction between one of these effectors, HaRxL106, and Arabidopsis RADICAL-INDUCED CELL DEATH1 (RCD1). We use pathogen infection assays as well as molecular and biochemical analyses to test the hypothesis that HaRxL106 manipulates RCD1 to attenuate transcriptional activation of defense genes. We report that HaRxL106 suppresses transcriptional activation of salicylic acid (SA)-induced defense genes and alters plant growth responses to light. HaRxL106-mediated suppression of immunity is abolished in RCD1 loss-of-function mutants. We report that RCD1-type proteins are phosphorylated, and we identified Mut9-like kinases (MLKs), which function as phosphoregulatory nodes at the level of photoreceptors, as RCD1-interacting proteins. An mlk1,3,4 triple mutant exhibits stronger SA-induced defense marker gene expression compared with wild-type plants, suggesting that MLKs also affect transcriptional regulation of SA signaling. Based on the combined evidence, we hypothesize that nuclear RCD1/MLK complexes act as signaling nodes that integrate information from environmental cues and pathogen sensors, and that the Arabidopsis downy mildew pathogen targets RCD1 to prevent activation of plant immunity.","container-title":"New Phytologist","DOI":"10.1111/nph.15277","ISSN":"1469-8137","issue":"1","language":"en","note":"_eprint: https://onlinelibrary.wiley.com/doi/pdf/10.1111/nph.15277","page":"232-248","source":"Wiley Online Library","title":"Arabidopsis downy mildew effector HaRxL106 suppresses plant immunity by binding to RADICAL-INDUCED CELL DEATH1","URL":"https://onlinelibrary.wiley.com/doi/abs/10.1111/nph.15277","volume":"220","author":[{"family":"Wirthmueller","given":"Lennart"},{"family":"Asai","given":"Shuta"},{"family":"Rallapalli","given":"Ghanasyam"},{"family":"Sklenar","given":"Jan"},{"family":"Fabro","given":"Georgina"},{"family":"Kim","given":"Dae Sung"},{"family":"Lintermann","given":"Ruth"},{"family":"Jaspers","given":"Pinja"},{"family":"Wrzaczek","given":"Michael"},{"family":"Kangasjärvi","given":"Jaakko"},{"family":"MacLean","given":"Daniel"},{"family":"Menke","given":"Frank L. H."},{"family":"Banfield","given":"Mark J."},{"family":"Jones","given":"Jonathan D. G."}],"accessed":{"date-parts":[["2022",9,8]]},"issued":{"date-parts":[["2018"]]}}}],"schema":"https://github.com/citation-style-language/schema/raw/master/csl-citation.json"} </w:instrText>
      </w:r>
      <w:r w:rsidRPr="00107040">
        <w:rPr>
          <w:sz w:val="28"/>
          <w:szCs w:val="28"/>
          <w:lang w:val="ru-RU"/>
        </w:rPr>
        <w:fldChar w:fldCharType="separate"/>
      </w:r>
      <w:r w:rsidR="00FB5E68" w:rsidRPr="00FB5E68">
        <w:rPr>
          <w:sz w:val="28"/>
          <w:lang w:val="ru-RU"/>
        </w:rPr>
        <w:t>[405]</w:t>
      </w:r>
      <w:r w:rsidRPr="00107040">
        <w:rPr>
          <w:sz w:val="28"/>
          <w:szCs w:val="28"/>
          <w:lang w:val="ru-RU"/>
        </w:rPr>
        <w:fldChar w:fldCharType="end"/>
      </w:r>
      <w:r w:rsidRPr="00107040">
        <w:rPr>
          <w:sz w:val="28"/>
          <w:szCs w:val="28"/>
          <w:lang w:val="ru-RU"/>
        </w:rPr>
        <w:t xml:space="preserve">. Мутантные растения </w:t>
      </w:r>
      <w:r w:rsidRPr="00107040">
        <w:rPr>
          <w:i/>
          <w:sz w:val="28"/>
          <w:szCs w:val="28"/>
          <w:lang w:val="ru-RU"/>
        </w:rPr>
        <w:t>Rcd1</w:t>
      </w:r>
      <w:r w:rsidRPr="00107040">
        <w:rPr>
          <w:sz w:val="28"/>
          <w:szCs w:val="28"/>
          <w:lang w:val="ru-RU"/>
        </w:rPr>
        <w:t xml:space="preserve"> демонстрируют серьезные дефекты развития, такие как задержка роста, измененная морфология розетки и листьев, раннее время цветения и большое количество дифференциально регулируемых генов </w:t>
      </w:r>
      <w:r w:rsidRPr="00107040">
        <w:rPr>
          <w:sz w:val="28"/>
          <w:szCs w:val="28"/>
          <w:lang w:val="ru-RU"/>
        </w:rPr>
        <w:fldChar w:fldCharType="begin"/>
      </w:r>
      <w:r w:rsidR="00FB5E68">
        <w:rPr>
          <w:sz w:val="28"/>
          <w:szCs w:val="28"/>
          <w:lang w:val="ru-RU"/>
        </w:rPr>
        <w:instrText xml:space="preserve"> ADDIN ZOTERO_ITEM CSL_CITATION {"citationID":"a16co9hj293","properties":{"formattedCitation":"[392,396,400]","plainCitation":"[392,396,400]","noteIndex":0},"citationItems":[{"id":1165,"uris":["http://zotero.org/users/9078202/items/8QDTFUDS"],"itemData":{"id":1165,"type":"article-journal","abstract":"Experiments with several Arabidopsis thaliana mutants have revealed a web of interactions between hormonal signaling. Here, we show that the Arabidopsis mutant radical-induced cell death1 (rcd1), although hypersensitive to apoplastic superoxide and ozone, is more resistant to chloroplastic superoxide formation, exhibits reduced sensitivity to abscisic acid, ethylene, and methyl jasmonate, and has altered expression of several hormonally regulated genes. Furthermore, rcd1 has higher stomatal conductance than the wild type. The rcd1-1 mutation was mapped to the gene At1g32230 where it disrupts an intron splice site resulting in a truncated protein. RCD1 belongs to the (ADP-ribosyl)transferase domain-containing subfamily of the WWE protein-protein interaction domain protein family. The results suggest that RCD1 could act as an integrative node in hormonal signaling and in the regulation of several stress-responsive genes.","container-title":"The Plant Cell","DOI":"10.1105/tpc.021832","ISSN":"1040-4651","issue":"7","journalAbbreviation":"Plant Cell","language":"eng","note":"PMID: 15208394\nPMCID: PMC514171","page":"1925-1937","source":"PubMed","title":"Arabidopsis RADICAL-INDUCED CELL DEATH1 belongs to the WWE protein-protein interaction domain protein family and modulates abscisic acid, ethylene, and methyl jasmonate responses","volume":"16","author":[{"family":"Ahlfors","given":"Reetta"},{"family":"Lång","given":"Saara"},{"family":"Overmyer","given":"Kirk"},{"family":"Jaspers","given":"Pinja"},{"family":"Brosché","given":"Mikael"},{"family":"Tauriainen","given":"Airi"},{"family":"Kollist","given":"Hannes"},{"family":"Tuominen","given":"Hannele"},{"family":"Belles-Boix","given":"Enric"},{"family":"Piippo","given":"Mirva"},{"family":"Inzé","given":"Dirk"},{"family":"Palva","given":"E. Tapio"},{"family":"Kangasjärvi","given":"Jaakko"}],"issued":{"date-parts":[["2004",7]]}}},{"id":1152,"uris":["http://zotero.org/users/9078202/items/WSZQGHKD"],"itemData":{"id":1152,"type":"article-journal","container-title":"Plant Journal","DOI":"10.1111/j.1365-313X.2009.03951.x","ISSN":"0960-7412","issue":"2","page":"268-279","source":"University of Helsinki","title":"Unequally redundant RCD1 and SRO1 mediate stress and developmental responses and interact with transcription factors","volume":"60","author":[{"family":"Jaspers","given":"Pinja"},{"family":"Blomster","given":"Tiina"},{"family":"Brosche","given":"Mikael"},{"family":"Salojarvi","given":"Jarkko"},{"family":"Ahlfors","given":"Reetta"},{"family":"Vainonen","given":"Julia P."},{"family":"Reddy","given":"Ramesha A."},{"family":"Immink","given":"Richard"},{"family":"Angenent","given":"Gerco"},{"family":"Turck","given":"Franziska"},{"family":"Overmyer","given":"Kirk"},{"family":"Kangasjarvi","given":"Jaakko"}],"issued":{"date-parts":[["2009"]]}}},{"id":1210,"uris":["http://zotero.org/users/9078202/items/IY9T35WG"],"itemData":{"id":1210,"type":"article-journal","abstract":"RADICAL-INDUCED CELL DEATH1 (RCD1) and SIMILAR TO RCD ONE1 (SRO1) are the only two proteins encoded in the Arabidopsis (Arabidopsis thaliana) genome containing both a putative poly(ADP-ribose) polymerase catalytic domain and a WWE protein-protein interaction domain, although similar proteins have been found in other eukaryotes. Poly(ADP-ribose) polymerases mediate the attachment of ADP-ribose units from donor NAD(+) molecules to target proteins and have been implicated in a number of processes, including DNA repair, apoptosis, transcription, and chromatin remodeling. We have isolated mutants in both RCD1 and SRO1, rcd1-3 and sro1-1, respectively. rcd1-3 plants display phenotypic defects as reported for previously isolated alleles, most notably reduced stature. In addition, rcd1-3 mutants display a number of additional developmental defects in root architecture and maintenance of reproductive development. While single mutant sro1-1 plants are relatively normal, loss of a single dose of SRO1 in the rcd1-3 background increases the severity of several developmental defects, implying that these genes do share some functions. However, rcd1-3 and sro1-1 mutants behave differently in several developmental events and abiotic stress responses, suggesting that they also have distinct functions. Remarkably, rcd1-3; sro1-1 double mutants display severe defects in embryogenesis and postembryonic development. This study shows that RCD1 and SRO1 are at least partially redundant and that they are essential genes for plant development.","container-title":"Plant Physiology","DOI":"10.1104/pp.109.142786","ISSN":"0032-0889","issue":"1","journalAbbreviation":"Plant Physiol","language":"eng","note":"PMID: 19625634\nPMCID: PMC2736012","page":"180-198","source":"PubMed","title":"The paralogous genes RADICAL-INDUCED CELL DEATH1 and SIMILAR TO RCD ONE1 have partially redundant functions during Arabidopsis development","volume":"151","author":[{"family":"Teotia","given":"Sachin"},{"family":"Lamb","given":"Rebecca S."}],"issued":{"date-parts":[["2009",9]]}}}],"schema":"https://github.com/citation-style-language/schema/raw/master/csl-citation.json"} </w:instrText>
      </w:r>
      <w:r w:rsidRPr="00107040">
        <w:rPr>
          <w:sz w:val="28"/>
          <w:szCs w:val="28"/>
          <w:lang w:val="ru-RU"/>
        </w:rPr>
        <w:fldChar w:fldCharType="separate"/>
      </w:r>
      <w:r w:rsidR="00FB5E68" w:rsidRPr="00FB5E68">
        <w:rPr>
          <w:sz w:val="28"/>
          <w:lang w:val="ru-RU"/>
        </w:rPr>
        <w:t>[392,396,400]</w:t>
      </w:r>
      <w:r w:rsidRPr="00107040">
        <w:rPr>
          <w:sz w:val="28"/>
          <w:szCs w:val="28"/>
          <w:lang w:val="ru-RU"/>
        </w:rPr>
        <w:fldChar w:fldCharType="end"/>
      </w:r>
      <w:r w:rsidRPr="00107040">
        <w:rPr>
          <w:sz w:val="28"/>
          <w:szCs w:val="28"/>
          <w:lang w:val="ru-RU"/>
        </w:rPr>
        <w:t xml:space="preserve">. Белок RCD1 физически взаимодействует с Na+/H+-антипортером SOS1 и, в частности, с факторами транскрипции из различных семейств, таких как AP2/ERF, NAC (NAM, ATAF1 и -2 и CUC2), MYB и основная спираль-петля-спираль </w:t>
      </w:r>
      <w:r w:rsidRPr="00107040">
        <w:rPr>
          <w:sz w:val="28"/>
          <w:szCs w:val="28"/>
          <w:lang w:val="ru-RU"/>
        </w:rPr>
        <w:fldChar w:fldCharType="begin"/>
      </w:r>
      <w:r w:rsidR="00FB5E68">
        <w:rPr>
          <w:sz w:val="28"/>
          <w:szCs w:val="28"/>
          <w:lang w:val="ru-RU"/>
        </w:rPr>
        <w:instrText xml:space="preserve"> ADDIN ZOTERO_ITEM CSL_CITATION {"citationID":"a1cc6m7rfpo","properties":{"formattedCitation":"[395,396,402,412]","plainCitation":"[395,396,402,412]","noteIndex":0},"citationItems":[{"id":1834,"uris":["http://zotero.org/users/9078202/items/AW3KW3IN"],"itemData":{"id":1834,"type":"article-journal","abstract":"The Saccharomyces cerevisiae strain WYT, deficient in the YAP1 transcription factor, was used in a molecular screen to identify genes from Arabidopsis thaliana that could overcome the oxidative stress-sensitive phenotype of these yeast cells. A cDNA named CEO1 increased the tolerance to oxidative damage caused by tert-butylhydroperoxide of both the Yap1− mutant and the wild-type yeast. Additionally, in Yap1− yeast, CEO1 also induced cross-tolerance to oxidative damage caused by hydrogen peroxide and diamide. CEO1 was assigned as being part of a small gene family that, until now, is exclusively restricted to plants. In Arabidopsis, CEO1 was produced in all organs, especially in roots and stems. By using the yeast two-hybrid system, proteins that specifically interact with CEO1 in yeast were identified, and putative DNA-binding proteins were consistently recovered.","container-title":"FEBS Letters","DOI":"10.1016/S0014-5793(00)02016-0","ISSN":"1873-3468","issue":"1-2","language":"en","license":"FEBS Letters 482 (2000) 1873-3468 © 2015 Federation of European Biochemical Societies","note":"_eprint: https://onlinelibrary.wiley.com/doi/pdf/10.1016/S0014-5793%2800%2902016-0","page":"19-24","source":"Wiley Online Library","title":"CEO1, a new protein from Arabidopsis thaliana, protects yeast against oxidative damage 1","URL":"https://onlinelibrary.wiley.com/doi/abs/10.1016/S0014-5793%2800%2902016-0","volume":"482","author":[{"family":"Belles-Boix","given":"Enric"},{"family":"Babiychuk","given":"Elena"},{"family":"Van Montagu","given":"Marc"},{"family":"Inzé","given":"Dirk"},{"family":"Kushnir","given":"Sergei"}],"accessed":{"date-parts":[["2022",9,8]]},"issued":{"date-parts":[["2000"]]}}},{"id":1152,"uris":["http://zotero.org/users/9078202/items/WSZQGHKD"],"itemData":{"id":1152,"type":"article-journal","container-title":"Plant Journal","DOI":"10.1111/j.1365-313X.2009.03951.x","ISSN":"0960-7412","issue":"2","page":"268-279","source":"University of Helsinki","title":"Unequally redundant RCD1 and SRO1 mediate stress and developmental responses and interact with transcription factors","volume":"60","author":[{"family":"Jaspers","given":"Pinja"},{"family":"Blomster","given":"Tiina"},{"family":"Brosche","given":"Mikael"},{"family":"Salojarvi","given":"Jarkko"},{"family":"Ahlfors","given":"Reetta"},{"family":"Vainonen","given":"Julia P."},{"family":"Reddy","given":"Ramesha A."},{"family":"Immink","given":"Richard"},{"family":"Angenent","given":"Gerco"},{"family":"Turck","given":"Franziska"},{"family":"Overmyer","given":"Kirk"},{"family":"Kangasjarvi","given":"Jaakko"}],"issued":{"date-parts":[["2009"]]}}},{"id":1174,"uris":["http://zotero.org/users/9078202/items/9Z2MHZPD"],"itemData":{"id":1174,"type":"article-journal","abstract":"The adverse effects of high salt on plants include Na(+) toxicity and hyperosmotic and oxidative stresses. The plasma membrane-localized Na(+)/H(+) antiporter SOS1 functions in the extrusion of toxic Na(+) from cells and is essential for plant salt tolerance. We report here that, under salt or oxidative stress, SOS1 interacts through its predicted cytoplasmic tail with RCD1, a regulator of oxidative-stress responses. Without stress treatment, RCD1 is localized in the nucleus. Under high salt or oxidative stress, RCD1 is found not only in the nucleus but also in the cytoplasm. Like rcd1 mutants, sos1 mutant plants show an altered sensitivity to oxidative stresses. The rcd1mutation causes a decrease in salt tolerance and enhances the salt-stress sensitivity of sos1 mutant plants. Several genes related to oxidative-stress tolerance were found to be regulated by both RCD1 and SOS1. These results reveal a previously uncharacterized function of a plasma membrane Na(+)/H(+) antiporter in oxidative-stress tolerance and shed light on the cross-talk between the ion-homeostasis and oxidative-stress detoxification pathways involved in plant salt tolerance.","container-title":"Proceedings of the National Academy of Sciences of the United States of America","DOI":"10.1073/pnas.0604711103","ISSN":"0027-8424","issue":"49","journalAbbreviation":"Proc Natl Acad Sci U S A","language":"eng","note":"PMID: 17023541\nPMCID: PMC1693745","page":"18816-18821","source":"PubMed","title":"The plasma membrane Na+/H+ antiporter SOS1 interacts with RCD1 and functions in oxidative stress tolerance in Arabidopsis","volume":"103","author":[{"family":"Katiyar-Agarwal","given":"Surekha"},{"family":"Zhu","given":"Jianhua"},{"family":"Kim","given":"Kangmin"},{"family":"Agarwal","given":"Manu"},{"family":"Fu","given":"Xinmiao"},{"family":"Huang","given":"Alex"},{"family":"Zhu","given":"Jian-Kang"}],"issued":{"date-parts":[["2006",12,5]]}}},{"id":1867,"uris":["http://zotero.org/users/9078202/items/9LI3X9SY"],"itemData":{"id":1867,"type":"article-journal","abstract":"Senescence in plants involves massive nutrient relocation and age-related cell death. Characterization of the molecular components, such as transcription factors (TFs), involved in these processes is required to understand senescence. We found that HvNAC005 and HvNAC013 of the plant-specific NAC (NAM, ATAF1,2, CUC) TF family are up-regulated during senescence in barley (Hordeum vulgare). Both HvNAC005 and HvNAC013 bound the conserved NAC DNA target sequence. Computational and biophysical analyses showed that both proteins are intrinsically disordered in their large C-terminal domains, which are transcription regulatory domains (TRDs) in many NAC TFs. Using motif searches and interaction studies in yeast we identified an evolutionarily conserved sequence, the LP motif, in the TRD of HvNAC013. This motif was sufficient for transcriptional activity. In contrast, HvNAC005 did not function as a transcriptional activator suggesting that an involvement of HvNAC013 and HvNAC005 in senescence will be different. HvNAC013 interacted with barley radical-induced cell death 1 (RCD1) via the very C-terminal part of its TRD, outside of the region containing the LP motif. No significant secondary structure was induced in the HvNAC013 TRD upon interaction with RCD1. RCD1 also interacted with regions dominated by intrinsic disorder in TFs of the MYB and basic helix-loop-helix families. We propose that RCD1 is a regulatory protein capable of interacting with many different TFs by exploiting their intrinsic disorder. In addition, we present the first structural characterization of NAC C-terminal domains and relate intrinsic disorder and sequence motifs to activity and protein-protein interactions.","container-title":"The Journal of Biological Chemistry","DOI":"10.1074/jbc.M111.247221","ISSN":"1083-351X","issue":"41","journalAbbreviation":"J Biol Chem","language":"eng","note":"PMID: 21856750\nPMCID: PMC3195629","page":"35418-35429","source":"PubMed","title":"Senescence-associated barley NAC (NAM, ATAF1,2, CUC) transcription factor interacts with radical-induced cell death 1 through a disordered regulatory domain","volume":"286","author":[{"family":"Kjaersgaard","given":"Trine"},{"family":"Jensen","given":"Michael K."},{"family":"Christiansen","given":"Michael W."},{"family":"Gregersen","given":"Per"},{"family":"Kragelund","given":"Birthe B."},{"family":"Skriver","given":"Karen"}],"issued":{"date-parts":[["2011",10,14]]}}}],"schema":"https://github.com/citation-style-language/schema/raw/master/csl-citation.json"} </w:instrText>
      </w:r>
      <w:r w:rsidRPr="00107040">
        <w:rPr>
          <w:sz w:val="28"/>
          <w:szCs w:val="28"/>
          <w:lang w:val="ru-RU"/>
        </w:rPr>
        <w:fldChar w:fldCharType="separate"/>
      </w:r>
      <w:r w:rsidR="00FB5E68" w:rsidRPr="00FB5E68">
        <w:rPr>
          <w:sz w:val="28"/>
          <w:lang w:val="ru-RU"/>
        </w:rPr>
        <w:t>[395,396,402,412]</w:t>
      </w:r>
      <w:r w:rsidRPr="00107040">
        <w:rPr>
          <w:sz w:val="28"/>
          <w:szCs w:val="28"/>
          <w:lang w:val="ru-RU"/>
        </w:rPr>
        <w:fldChar w:fldCharType="end"/>
      </w:r>
      <w:r w:rsidRPr="00107040">
        <w:rPr>
          <w:sz w:val="28"/>
          <w:szCs w:val="28"/>
          <w:lang w:val="ru-RU"/>
        </w:rPr>
        <w:t>.</w:t>
      </w:r>
      <w:r w:rsidRPr="00107040">
        <w:rPr>
          <w:sz w:val="28"/>
          <w:szCs w:val="28"/>
          <w:lang w:val="kk-KZ"/>
        </w:rPr>
        <w:t xml:space="preserve"> Наиболее заметным фактором транскрипции, с которым взаимодействует RCD1, является белок DREB2A семейства AP2/ERF </w:t>
      </w:r>
      <w:r w:rsidRPr="00107040">
        <w:rPr>
          <w:sz w:val="28"/>
          <w:szCs w:val="28"/>
          <w:lang w:val="kk-KZ"/>
        </w:rPr>
        <w:fldChar w:fldCharType="begin"/>
      </w:r>
      <w:r w:rsidR="00FB5E68">
        <w:rPr>
          <w:sz w:val="28"/>
          <w:szCs w:val="28"/>
          <w:lang w:val="kk-KZ"/>
        </w:rPr>
        <w:instrText xml:space="preserve"> ADDIN ZOTERO_ITEM CSL_CITATION {"citationID":"ae05bng8p9","properties":{"formattedCitation":"[395,396,413]","plainCitation":"[395,396,413]","noteIndex":0},"citationItems":[{"id":1834,"uris":["http://zotero.org/users/9078202/items/AW3KW3IN"],"itemData":{"id":1834,"type":"article-journal","abstract":"The Saccharomyces cerevisiae strain WYT, deficient in the YAP1 transcription factor, was used in a molecular screen to identify genes from Arabidopsis thaliana that could overcome the oxidative stress-sensitive phenotype of these yeast cells. A cDNA named CEO1 increased the tolerance to oxidative damage caused by tert-butylhydroperoxide of both the Yap1− mutant and the wild-type yeast. Additionally, in Yap1− yeast, CEO1 also induced cross-tolerance to oxidative damage caused by hydrogen peroxide and diamide. CEO1 was assigned as being part of a small gene family that, until now, is exclusively restricted to plants. In Arabidopsis, CEO1 was produced in all organs, especially in roots and stems. By using the yeast two-hybrid system, proteins that specifically interact with CEO1 in yeast were identified, and putative DNA-binding proteins were consistently recovered.","container-title":"FEBS Letters","DOI":"10.1016/S0014-5793(00)02016-0","ISSN":"1873-3468","issue":"1-2","language":"en","license":"FEBS Letters 482 (2000) 1873-3468 © 2015 Federation of European Biochemical Societies","note":"_eprint: https://onlinelibrary.wiley.com/doi/pdf/10.1016/S0014-5793%2800%2902016-0","page":"19-24","source":"Wiley Online Library","title":"CEO1, a new protein from Arabidopsis thaliana, protects yeast against oxidative damage 1","URL":"https://onlinelibrary.wiley.com/doi/abs/10.1016/S0014-5793%2800%2902016-0","volume":"482","author":[{"family":"Belles-Boix","given":"Enric"},{"family":"Babiychuk","given":"Elena"},{"family":"Van Montagu","given":"Marc"},{"family":"Inzé","given":"Dirk"},{"family":"Kushnir","given":"Sergei"}],"accessed":{"date-parts":[["2022",9,8]]},"issued":{"date-parts":[["2000"]]}}},{"id":1152,"uris":["http://zotero.org/users/9078202/items/WSZQGHKD"],"itemData":{"id":1152,"type":"article-journal","container-title":"Plant Journal","DOI":"10.1111/j.1365-313X.2009.03951.x","ISSN":"0960-7412","issue":"2","page":"268-279","source":"University of Helsinki","title":"Unequally redundant RCD1 and SRO1 mediate stress and developmental responses and interact with transcription factors","volume":"60","author":[{"family":"Jaspers","given":"Pinja"},{"family":"Blomster","given":"Tiina"},{"family":"Brosche","given":"Mikael"},{"family":"Salojarvi","given":"Jarkko"},{"family":"Ahlfors","given":"Reetta"},{"family":"Vainonen","given":"Julia P."},{"family":"Reddy","given":"Ramesha A."},{"family":"Immink","given":"Richard"},{"family":"Angenent","given":"Gerco"},{"family":"Turck","given":"Franziska"},{"family":"Overmyer","given":"Kirk"},{"family":"Kangasjarvi","given":"Jaakko"}],"issued":{"date-parts":[["2009"]]}}},{"id":1202,"uris":["http://zotero.org/users/9078202/items/24ZK4IS5"],"itemData":{"id":1202,"type":"article-journal","abstract":"Transcriptional regulation of gene expression is one major determinant of developmental control and stress adaptation in virtually all living organisms. In recent years numerous transcription factors controlling various aspects of plant life have been identified. The activity of transcription factors needs to be regulated to prevent unspecific, prolonged or inappropriate responses. The transcription factor DREB2A (DEHYDRATION-RESPONSIVE ELEMENT BINDING 2A) has been identified as one of the main regulators of drought and heat responses, and it is regulated through protein stability. In the present paper we describe evidence that the interaction with RCD1 (RADICAL-INDUCED CELL DEATH 1) contributes to the control of DREB2A under a range of conditions. The interaction is mediated by a novel protein motif in DREB2A and a splice variant of DREB2A which lacks the interaction domain accumulates during heat stress and senescence. In addition RCD1 is rapidly degraded during heat stress, thus our results suggest that removal of RCD1 protein or the loss of the interaction domain in DREB2A appears to be required for proper DREB2A function under stress conditions.","container-title":"The Biochemical Journal","DOI":"10.1042/BJ20111739","ISSN":"1470-8728","issue":"3","journalAbbreviation":"Biochem J","language":"eng","note":"PMID: 22150398","page":"573-581","source":"PubMed","title":"RCD1-DREB2A interaction in leaf senescence and stress responses in Arabidopsis thaliana","volume":"442","author":[{"family":"Vainonen","given":"Julia P."},{"family":"Jaspers","given":"Pinja"},{"family":"Wrzaczek","given":"Michael"},{"family":"Lamminmäki","given":"Airi"},{"family":"Reddy","given":"Ramesha A."},{"family":"Vaahtera","given":"Lauri"},{"family":"Brosché","given":"Mikael"},{"family":"Kangasjärvi","given":"Jaakko"}],"issued":{"date-parts":[["2012",3,15]]}}}],"schema":"https://github.com/citation-style-language/schema/raw/master/csl-citation.json"} </w:instrText>
      </w:r>
      <w:r w:rsidRPr="00107040">
        <w:rPr>
          <w:sz w:val="28"/>
          <w:szCs w:val="28"/>
          <w:lang w:val="kk-KZ"/>
        </w:rPr>
        <w:fldChar w:fldCharType="separate"/>
      </w:r>
      <w:r w:rsidR="00FB5E68" w:rsidRPr="00FB5E68">
        <w:rPr>
          <w:sz w:val="28"/>
          <w:lang w:val="ru-RU"/>
        </w:rPr>
        <w:t>[395,396,413]</w:t>
      </w:r>
      <w:r w:rsidRPr="00107040">
        <w:rPr>
          <w:sz w:val="28"/>
          <w:szCs w:val="28"/>
          <w:lang w:val="kk-KZ"/>
        </w:rPr>
        <w:fldChar w:fldCharType="end"/>
      </w:r>
      <w:r w:rsidRPr="00107040">
        <w:rPr>
          <w:sz w:val="28"/>
          <w:szCs w:val="28"/>
          <w:lang w:val="kk-KZ"/>
        </w:rPr>
        <w:t xml:space="preserve">, который является регулятором транскрипции генов, участвующих в реакциях на различные стрессы, такие как засуха, засоление и жара, а также старение растений </w:t>
      </w:r>
      <w:r w:rsidRPr="00107040">
        <w:rPr>
          <w:sz w:val="28"/>
          <w:szCs w:val="28"/>
          <w:lang w:val="kk-KZ"/>
        </w:rPr>
        <w:fldChar w:fldCharType="begin"/>
      </w:r>
      <w:r w:rsidR="00FB5E68">
        <w:rPr>
          <w:sz w:val="28"/>
          <w:szCs w:val="28"/>
          <w:lang w:val="kk-KZ"/>
        </w:rPr>
        <w:instrText xml:space="preserve"> ADDIN ZOTERO_ITEM CSL_CITATION {"citationID":"a1lgsh0361","properties":{"formattedCitation":"[413,414]","plainCitation":"[413,414]","noteIndex":0},"citationItems":[{"id":1202,"uris":["http://zotero.org/users/9078202/items/24ZK4IS5"],"itemData":{"id":1202,"type":"article-journal","abstract":"Transcriptional regulation of gene expression is one major determinant of developmental control and stress adaptation in virtually all living organisms. In recent years numerous transcription factors controlling various aspects of plant life have been identified. The activity of transcription factors needs to be regulated to prevent unspecific, prolonged or inappropriate responses. The transcription factor DREB2A (DEHYDRATION-RESPONSIVE ELEMENT BINDING 2A) has been identified as one of the main regulators of drought and heat responses, and it is regulated through protein stability. In the present paper we describe evidence that the interaction with RCD1 (RADICAL-INDUCED CELL DEATH 1) contributes to the control of DREB2A under a range of conditions. The interaction is mediated by a novel protein motif in DREB2A and a splice variant of DREB2A which lacks the interaction domain accumulates during heat stress and senescence. In addition RCD1 is rapidly degraded during heat stress, thus our results suggest that removal of RCD1 protein or the loss of the interaction domain in DREB2A appears to be required for proper DREB2A function under stress conditions.","container-title":"The Biochemical Journal","DOI":"10.1042/BJ20111739","ISSN":"1470-8728","issue":"3","journalAbbreviation":"Biochem J","language":"eng","note":"PMID: 22150398","page":"573-581","source":"PubMed","title":"RCD1-DREB2A interaction in leaf senescence and stress responses in Arabidopsis thaliana","volume":"442","author":[{"family":"Vainonen","given":"Julia P."},{"family":"Jaspers","given":"Pinja"},{"family":"Wrzaczek","given":"Michael"},{"family":"Lamminmäki","given":"Airi"},{"family":"Reddy","given":"Ramesha A."},{"family":"Vaahtera","given":"Lauri"},{"family":"Brosché","given":"Mikael"},{"family":"Kangasjärvi","given":"Jaakko"}],"issued":{"date-parts":[["2012",3,15]]}}},{"id":1870,"uris":["http://zotero.org/users/9078202/items/MQSJ9TRV"],"itemData":{"id":1870,"type":"article-journal","abstract":"Transcription factor DREB2A interacts with a cis-acting dehydration-responsive element (DRE) sequence and activates expression of downstream genes involved in drought- and salt-stress response in Arabidopsis thaliana. Intact DREB2A expression does not activate downstream genes under normal growth conditions. A negative regulatory domain exists in the central region of DREB2A, and deletion of this region transforms DREB2A to a constitutive active form (DREB2A CA). We carried out microarray analysis of transgenic Arabidopsis-overexpressing DREB2A CA and found that the overexpression of DREB2A CA induces not only drought- and salt-responsive genes but also heat-shock (HS)-related genes. Moreover, we found that transient induction of the DREB2A occurs rapidly by HS stress, and that the sGFP-DREB2A protein accumulates in nuclei of HS-stressed cells. DREB2A up-regulated genes were classified into three groups based on their expression patterns: genes induced by HS, genes induced by drought stress, and genes induced by both HS and drought stress. DREB2A up-regulated genes were down-regulated in DREB2A knockout mutants under stress conditions. Thermotolerance was significantly increased in plants overexpressing DREB2A CA and decreased in DREB2A knockout plants. Collectively, these results indicate that DREB2A functions in both water and HS-stress responses.","container-title":"Proceedings of the National Academy of Sciences of the United States of America","DOI":"10.1073/pnas.0605639103","ISSN":"0027-8424","issue":"49","journalAbbreviation":"Proc Natl Acad Sci U S A","language":"eng","note":"PMID: 17030801\nPMCID: PMC1693746","page":"18822-18827","source":"PubMed","title":"Dual function of an Arabidopsis transcription factor DREB2A in water-stress-responsive and heat-stress-responsive gene expression","volume":"103","author":[{"family":"Sakuma","given":"Yoh"},{"family":"Maruyama","given":"Kyonoshin"},{"family":"Qin","given":"Feng"},{"family":"Osakabe","given":"Yuriko"},{"family":"Shinozaki","given":"Kazuo"},{"family":"Yamaguchi-Shinozaki","given":"Kazuko"}],"issued":{"date-parts":[["2006",12,5]]}}}],"schema":"https://github.com/citation-style-language/schema/raw/master/csl-citation.json"} </w:instrText>
      </w:r>
      <w:r w:rsidRPr="00107040">
        <w:rPr>
          <w:sz w:val="28"/>
          <w:szCs w:val="28"/>
          <w:lang w:val="kk-KZ"/>
        </w:rPr>
        <w:fldChar w:fldCharType="separate"/>
      </w:r>
      <w:r w:rsidR="00FB5E68" w:rsidRPr="00FB5E68">
        <w:rPr>
          <w:sz w:val="28"/>
          <w:lang w:val="ru-RU"/>
        </w:rPr>
        <w:t>[413,414]</w:t>
      </w:r>
      <w:r w:rsidRPr="00107040">
        <w:rPr>
          <w:sz w:val="28"/>
          <w:szCs w:val="28"/>
          <w:lang w:val="kk-KZ"/>
        </w:rPr>
        <w:fldChar w:fldCharType="end"/>
      </w:r>
      <w:r w:rsidRPr="00107040">
        <w:rPr>
          <w:sz w:val="28"/>
          <w:szCs w:val="28"/>
          <w:lang w:val="kk-KZ"/>
        </w:rPr>
        <w:t xml:space="preserve">. Это взаимодействие опосредовано спирально структурированным С-концевым доменом RST длиной около 70 аминокислот </w:t>
      </w:r>
      <w:r w:rsidRPr="00107040">
        <w:rPr>
          <w:sz w:val="28"/>
          <w:szCs w:val="28"/>
          <w:lang w:val="kk-KZ"/>
        </w:rPr>
        <w:fldChar w:fldCharType="begin"/>
      </w:r>
      <w:r w:rsidR="00FB5E68">
        <w:rPr>
          <w:sz w:val="28"/>
          <w:szCs w:val="28"/>
          <w:lang w:val="kk-KZ"/>
        </w:rPr>
        <w:instrText xml:space="preserve"> ADDIN ZOTERO_ITEM CSL_CITATION {"citationID":"ai9kca2i7e","properties":{"formattedCitation":"[395,411,415,416, p. 1]","plainCitation":"[395,411,415,416, p. 1]","noteIndex":0},"citationItems":[{"id":1834,"uris":["http://zotero.org/users/9078202/items/AW3KW3IN"],"itemData":{"id":1834,"type":"article-journal","abstract":"The Saccharomyces cerevisiae strain WYT, deficient in the YAP1 transcription factor, was used in a molecular screen to identify genes from Arabidopsis thaliana that could overcome the oxidative stress-sensitive phenotype of these yeast cells. A cDNA named CEO1 increased the tolerance to oxidative damage caused by tert-butylhydroperoxide of both the Yap1− mutant and the wild-type yeast. Additionally, in Yap1− yeast, CEO1 also induced cross-tolerance to oxidative damage caused by hydrogen peroxide and diamide. CEO1 was assigned as being part of a small gene family that, until now, is exclusively restricted to plants. In Arabidopsis, CEO1 was produced in all organs, especially in roots and stems. By using the yeast two-hybrid system, proteins that specifically interact with CEO1 in yeast were identified, and putative DNA-binding proteins were consistently recovered.","container-title":"FEBS Letters","DOI":"10.1016/S0014-5793(00)02016-0","ISSN":"1873-3468","issue":"1-2","language":"en","license":"FEBS Letters 482 (2000) 1873-3468 © 2015 Federation of European Biochemical Societies","note":"_eprint: https://onlinelibrary.wiley.com/doi/pdf/10.1016/S0014-5793%2800%2902016-0","page":"19-24","source":"Wiley Online Library","title":"CEO1, a new protein from Arabidopsis thaliana, protects yeast against oxidative damage 1","URL":"https://onlinelibrary.wiley.com/doi/abs/10.1016/S0014-5793%2800%2902016-0","volume":"482","author":[{"family":"Belles-Boix","given":"Enric"},{"family":"Babiychuk","given":"Elena"},{"family":"Van Montagu","given":"Marc"},{"family":"Inzé","given":"Dirk"},{"family":"Kushnir","given":"Sergei"}],"accessed":{"date-parts":[["2022",9,8]]},"issued":{"date-parts":[["2000"]]}}},{"id":1204,"uris":["http://zotero.org/users/9078202/items/ZI6V5DU3"],"itemData":{"id":1204,"type":"article-journal","abstract":"The rimb1 (redox imbalanced 1) mutation was mapped to the RCD1 locus (radical-induced cell death 1; At1g32230) demonstrating that a major factor involved in redox-regulation genes for chloroplast antioxidant enzymes and protection against photooxidative stress, RIMB1, is identical to the regulator of disease response reactions and cell death, RCD1. Discovering this link let to our investigation of its regulatory mechanism. We show in yeast that RCD1 can physically interact with the transcription factor Rap2.4a which provides redox-sensitivity to nuclear expression of genes for chloroplast antioxidant enzymes. In the rimb1 (rcd1-6) mutant, a single nucleotide exchange results in a truncated RCD1 protein lacking the transcription factor binding site. Protein-protein interaction between full-length RCD1 and Rap2.4a is supported by H2O2, but not sensitive to the antioxidants dithiotreitol and ascorbate. In combination with transcript abundance analysis in Arabidopsis, it is concluded that RCD1 stabilizes the Rap2.4-dependent redox-regulation of the genes encoding chloroplast antioxidant enzymes in a widely redox-independent manner. Over the years, rcd1-mutant alleles have been described to develop symptoms like chlorosis, lesions along the leaf rims and in the mesophyll and (secondary) induction of extra- and intra-plastidic antioxidant defense mechanisms. All these rcd1 mutant characteristics were observed in rcd1-6 to succeed low activation of the chloroplast antioxidant system and glutathione biosynthesis. We conclude that RCD1 protects plant cells from running into reactive oxygen species (ROS)-triggered programs, such as cell death and activation of pathogen-responsive genes (PR genes) and extra-plastidic antioxidant enzymes, by supporting the induction of the chloroplast antioxidant system.","container-title":"Frontiers in Plant Science","DOI":"10.3389/fpls.2014.00475","ISSN":"1664-462X","journalAbbreviation":"Front Plant Sci","language":"eng","note":"PMID: 25295044\nPMCID: PMC4172000","page":"475","source":"PubMed","title":"The radical induced cell death protein 1 (RCD1) supports transcriptional activation of genes for chloroplast antioxidant enzymes","volume":"5","author":[{"family":"Hiltscher","given":"Heiko"},{"family":"Rudnik","given":"Radoslaw"},{"family":"Shaikhali","given":"Jehad"},{"family":"Heiber","given":"Isabelle"},{"family":"Mellenthin","given":"Marina"},{"family":"Meirelles Duarte","given":"Iuri"},{"family":"Schuster","given":"Günter"},{"family":"Kahmann","given":"Uwe"},{"family":"Baier","given":"Margarete"}],"issued":{"date-parts":[["2014"]]}}},{"id":1873,"uris":["http://zotero.org/users/9078202/items/KG4TET6I"],"itemData":{"id":1873,"type":"article-journal","abstract":"The RCD1 protein is a regulator of both developmental and stress responses in Arabidopsis thaliana and it interacts with several transcription factors. Its closest homolog, SRO1, seems to be dispensable for proper plant responses but the hardly viable phenotype of the rcd1 sro1 double mutant reveals that it encodes a functional protein that can partially compensate for the loss of RCD1 in the single rcd1 mutant. Both RCD1 and SRO1 contain a WWE domain, the catalytic core of poly(ADP-ribose) polymerases and a novel conserved domain termed RST which is also found in the transcription initiation complex component TAF4.","container-title":"Plant Signaling &amp; Behavior","DOI":"10.4161/psb.5.1.10293","ISSN":"null","issue":"1","note":"publisher: Taylor &amp; Francis\n_eprint: https://doi.org/10.4161/psb.5.1.10293\nPMID: 20592818","page":"78-80","source":"Taylor and Francis+NEJM","title":"The transcription factor interacting protein RCD1 contains a novel conserved domain","URL":"https://doi.org/10.4161/psb.5.1.10293","volume":"5","author":[{"family":"Jaspers","given":"Pinja"},{"family":"Brosché","given":"Mikael"},{"family":"Overmyer","given":"Kirk"},{"family":"Kangasjär","given":"Jaakko"}],"accessed":{"date-parts":[["2022",9,8]]},"issued":{"date-parts":[["2010",1,1]]}}},{"id":1875,"uris":["http://zotero.org/users/9078202/items/2YLCEGS9"],"itemData":{"id":1875,"type":"article-journal","abstract":"The A. thaliana RCD1 (radical-induced cell death1) protein is a cellular signaling hub protein which interacts with numerous plant transcription factors from different families. It consists of three conserved domains and intervening unstructured regions, the C-terminal RST domain being responsible for the interactions with the transcription factors. It has been shown that many partner proteins interact with RCD1 RST via their intrinsically disordered regions, and that the domain is able to house partners with divergent folds. We aim to structurally characterize the RCD1 RST domain and its complexes [complex with DREB2A]. Here we report the 1H, 15N and 13C chemical shift assignments of the backbone and sidechain atoms for RCD1 (468–589) containing the RST (510–567) domain.","container-title":"Biomolecular NMR Assignments","DOI":"10.1007/s12104-017-9749-4","ISSN":"1874-270X","issue":"2","journalAbbreviation":"Biomol NMR Assign","language":"en","page":"207-210","source":"Springer Link","title":"1H, 13C and 15N NMR chemical shift assignments of A. thaliana RCD1 RST","URL":"https://doi.org/10.1007/s12104-017-9749-4","volume":"11","author":[{"family":"Tossavainen","given":"Helena"},{"family":"Hellman","given":"Maarit"},{"family":"Vainonen","given":"Julia P."},{"family":"Kangasjärvi","given":"Jaakko"},{"family":"Permi","given":"Perttu"}],"accessed":{"date-parts":[["2022",9,8]]},"issued":{"date-parts":[["2017",10,1]]}},"locator":"1"}],"schema":"https://github.com/citation-style-language/schema/raw/master/csl-citation.json"} </w:instrText>
      </w:r>
      <w:r w:rsidRPr="00107040">
        <w:rPr>
          <w:sz w:val="28"/>
          <w:szCs w:val="28"/>
          <w:lang w:val="kk-KZ"/>
        </w:rPr>
        <w:fldChar w:fldCharType="separate"/>
      </w:r>
      <w:r w:rsidR="00FB5E68" w:rsidRPr="00FB5E68">
        <w:rPr>
          <w:sz w:val="28"/>
          <w:lang w:val="ru-RU"/>
        </w:rPr>
        <w:t>[395,411,415,416, p. 1]</w:t>
      </w:r>
      <w:r w:rsidRPr="00107040">
        <w:rPr>
          <w:sz w:val="28"/>
          <w:szCs w:val="28"/>
          <w:lang w:val="kk-KZ"/>
        </w:rPr>
        <w:fldChar w:fldCharType="end"/>
      </w:r>
      <w:r w:rsidRPr="00107040">
        <w:rPr>
          <w:sz w:val="28"/>
          <w:szCs w:val="28"/>
          <w:lang w:val="kk-KZ"/>
        </w:rPr>
        <w:t xml:space="preserve">. Термин «RST» назван в честь трех белков, несущих этот домен: RCD1, SRO1 и TAF4 </w:t>
      </w:r>
      <w:r w:rsidRPr="00107040">
        <w:rPr>
          <w:sz w:val="28"/>
          <w:szCs w:val="28"/>
          <w:lang w:val="kk-KZ"/>
        </w:rPr>
        <w:fldChar w:fldCharType="begin"/>
      </w:r>
      <w:r w:rsidR="00FB5E68">
        <w:rPr>
          <w:sz w:val="28"/>
          <w:szCs w:val="28"/>
          <w:lang w:val="kk-KZ"/>
        </w:rPr>
        <w:instrText xml:space="preserve"> ADDIN ZOTERO_ITEM CSL_CITATION {"citationID":"a1t4s7n6hfc","properties":{"formattedCitation":"[415]","plainCitation":"[415]","noteIndex":0},"citationItems":[{"id":1873,"uris":["http://zotero.org/users/9078202/items/KG4TET6I"],"itemData":{"id":1873,"type":"article-journal","abstract":"The RCD1 protein is a regulator of both developmental and stress responses in Arabidopsis thaliana and it interacts with several transcription factors. Its closest homolog, SRO1, seems to be dispensable for proper plant responses but the hardly viable phenotype of the rcd1 sro1 double mutant reveals that it encodes a functional protein that can partially compensate for the loss of RCD1 in the single rcd1 mutant. Both RCD1 and SRO1 contain a WWE domain, the catalytic core of poly(ADP-ribose) polymerases and a novel conserved domain termed RST which is also found in the transcription initiation complex component TAF4.","container-title":"Plant Signaling &amp; Behavior","DOI":"10.4161/psb.5.1.10293","ISSN":"null","issue":"1","note":"publisher: Taylor &amp; Francis\n_eprint: https://doi.org/10.4161/psb.5.1.10293\nPMID: 20592818","page":"78-80","source":"Taylor and Francis+NEJM","title":"The transcription factor interacting protein RCD1 contains a novel conserved domain","URL":"https://doi.org/10.4161/psb.5.1.10293","volume":"5","author":[{"family":"Jaspers","given":"Pinja"},{"family":"Brosché","given":"Mikael"},{"family":"Overmyer","given":"Kirk"},{"family":"Kangasjär","given":"Jaakko"}],"accessed":{"date-parts":[["2022",9,8]]},"issued":{"date-parts":[["2010",1,1]]}}}],"schema":"https://github.com/citation-style-language/schema/raw/master/csl-citation.json"} </w:instrText>
      </w:r>
      <w:r w:rsidRPr="00107040">
        <w:rPr>
          <w:sz w:val="28"/>
          <w:szCs w:val="28"/>
          <w:lang w:val="kk-KZ"/>
        </w:rPr>
        <w:fldChar w:fldCharType="separate"/>
      </w:r>
      <w:r w:rsidR="00FB5E68" w:rsidRPr="00FB5E68">
        <w:rPr>
          <w:sz w:val="28"/>
          <w:lang w:val="ru-RU"/>
        </w:rPr>
        <w:t>[415]</w:t>
      </w:r>
      <w:r w:rsidRPr="00107040">
        <w:rPr>
          <w:sz w:val="28"/>
          <w:szCs w:val="28"/>
          <w:lang w:val="kk-KZ"/>
        </w:rPr>
        <w:fldChar w:fldCharType="end"/>
      </w:r>
      <w:r w:rsidRPr="00107040">
        <w:rPr>
          <w:sz w:val="28"/>
          <w:szCs w:val="28"/>
          <w:lang w:val="kk-KZ"/>
        </w:rPr>
        <w:t xml:space="preserve">. В DREB2A связывание с RCD1 обеспечивается RCD1-interacting motif (RIM), хотя последовательности RIM недостаточно для этого взаимодействия </w:t>
      </w:r>
      <w:r w:rsidRPr="00107040">
        <w:rPr>
          <w:sz w:val="28"/>
          <w:szCs w:val="28"/>
          <w:lang w:val="kk-KZ"/>
        </w:rPr>
        <w:fldChar w:fldCharType="begin"/>
      </w:r>
      <w:r w:rsidR="00FB5E68">
        <w:rPr>
          <w:sz w:val="28"/>
          <w:szCs w:val="28"/>
          <w:lang w:val="kk-KZ"/>
        </w:rPr>
        <w:instrText xml:space="preserve"> ADDIN ZOTERO_ITEM CSL_CITATION {"citationID":"a287s5vdctq","properties":{"formattedCitation":"[413]","plainCitation":"[413]","noteIndex":0},"citationItems":[{"id":1202,"uris":["http://zotero.org/users/9078202/items/24ZK4IS5"],"itemData":{"id":1202,"type":"article-journal","abstract":"Transcriptional regulation of gene expression is one major determinant of developmental control and stress adaptation in virtually all living organisms. In recent years numerous transcription factors controlling various aspects of plant life have been identified. The activity of transcription factors needs to be regulated to prevent unspecific, prolonged or inappropriate responses. The transcription factor DREB2A (DEHYDRATION-RESPONSIVE ELEMENT BINDING 2A) has been identified as one of the main regulators of drought and heat responses, and it is regulated through protein stability. In the present paper we describe evidence that the interaction with RCD1 (RADICAL-INDUCED CELL DEATH 1) contributes to the control of DREB2A under a range of conditions. The interaction is mediated by a novel protein motif in DREB2A and a splice variant of DREB2A which lacks the interaction domain accumulates during heat stress and senescence. In addition RCD1 is rapidly degraded during heat stress, thus our results suggest that removal of RCD1 protein or the loss of the interaction domain in DREB2A appears to be required for proper DREB2A function under stress conditions.","container-title":"The Biochemical Journal","DOI":"10.1042/BJ20111739","ISSN":"1470-8728","issue":"3","journalAbbreviation":"Biochem J","language":"eng","note":"PMID: 22150398","page":"573-581","source":"PubMed","title":"RCD1-DREB2A interaction in leaf senescence and stress responses in Arabidopsis thaliana","volume":"442","author":[{"family":"Vainonen","given":"Julia P."},{"family":"Jaspers","given":"Pinja"},{"family":"Wrzaczek","given":"Michael"},{"family":"Lamminmäki","given":"Airi"},{"family":"Reddy","given":"Ramesha A."},{"family":"Vaahtera","given":"Lauri"},{"family":"Brosché","given":"Mikael"},{"family":"Kangasjärvi","given":"Jaakko"}],"issued":{"date-parts":[["2012",3,15]]}}}],"schema":"https://github.com/citation-style-language/schema/raw/master/csl-citation.json"} </w:instrText>
      </w:r>
      <w:r w:rsidRPr="00107040">
        <w:rPr>
          <w:sz w:val="28"/>
          <w:szCs w:val="28"/>
          <w:lang w:val="kk-KZ"/>
        </w:rPr>
        <w:fldChar w:fldCharType="separate"/>
      </w:r>
      <w:r w:rsidR="00FB5E68" w:rsidRPr="00FB5E68">
        <w:rPr>
          <w:sz w:val="28"/>
          <w:lang w:val="ru-RU"/>
        </w:rPr>
        <w:t>[413]</w:t>
      </w:r>
      <w:r w:rsidRPr="00107040">
        <w:rPr>
          <w:sz w:val="28"/>
          <w:szCs w:val="28"/>
          <w:lang w:val="kk-KZ"/>
        </w:rPr>
        <w:fldChar w:fldCharType="end"/>
      </w:r>
      <w:r w:rsidRPr="00107040">
        <w:rPr>
          <w:sz w:val="28"/>
          <w:szCs w:val="28"/>
          <w:lang w:val="kk-KZ"/>
        </w:rPr>
        <w:t xml:space="preserve">. В других транскрипционных факторах, взаимодействующих с RCD1, этот мотив отсутствует, и не было идентифицировано общей последовательности мотива, обеспечивающей взаимодействие </w:t>
      </w:r>
      <w:r w:rsidRPr="00107040">
        <w:rPr>
          <w:sz w:val="28"/>
          <w:szCs w:val="28"/>
          <w:lang w:val="kk-KZ"/>
        </w:rPr>
        <w:fldChar w:fldCharType="begin"/>
      </w:r>
      <w:r w:rsidR="00FB5E68">
        <w:rPr>
          <w:sz w:val="28"/>
          <w:szCs w:val="28"/>
          <w:lang w:val="kk-KZ"/>
        </w:rPr>
        <w:instrText xml:space="preserve"> ADDIN ZOTERO_ITEM CSL_CITATION {"citationID":"a26ubkdvuhg","properties":{"formattedCitation":"[413,417, p. 1]","plainCitation":"[413,417, p. 1]","noteIndex":0},"citationItems":[{"id":1202,"uris":["http://zotero.org/users/9078202/items/24ZK4IS5"],"itemData":{"id":1202,"type":"article-journal","abstract":"Transcriptional regulation of gene expression is one major determinant of developmental control and stress adaptation in virtually all living organisms. In recent years numerous transcription factors controlling various aspects of plant life have been identified. The activity of transcription factors needs to be regulated to prevent unspecific, prolonged or inappropriate responses. The transcription factor DREB2A (DEHYDRATION-RESPONSIVE ELEMENT BINDING 2A) has been identified as one of the main regulators of drought and heat responses, and it is regulated through protein stability. In the present paper we describe evidence that the interaction with RCD1 (RADICAL-INDUCED CELL DEATH 1) contributes to the control of DREB2A under a range of conditions. The interaction is mediated by a novel protein motif in DREB2A and a splice variant of DREB2A which lacks the interaction domain accumulates during heat stress and senescence. In addition RCD1 is rapidly degraded during heat stress, thus our results suggest that removal of RCD1 protein or the loss of the interaction domain in DREB2A appears to be required for proper DREB2A function under stress conditions.","container-title":"The Biochemical Journal","DOI":"10.1042/BJ20111739","ISSN":"1470-8728","issue":"3","journalAbbreviation":"Biochem J","language":"eng","note":"PMID: 22150398","page":"573-581","source":"PubMed","title":"RCD1-DREB2A interaction in leaf senescence and stress responses in Arabidopsis thaliana","volume":"442","author":[{"family":"Vainonen","given":"Julia P."},{"family":"Jaspers","given":"Pinja"},{"family":"Wrzaczek","given":"Michael"},{"family":"Lamminmäki","given":"Airi"},{"family":"Reddy","given":"Ramesha A."},{"family":"Vaahtera","given":"Lauri"},{"family":"Brosché","given":"Mikael"},{"family":"Kangasjärvi","given":"Jaakko"}],"issued":{"date-parts":[["2012",3,15]]}}},{"id":1877,"uris":["http://zotero.org/users/9078202/items/TZAY54TU"],"itemData":{"id":1877,"type":"article-journal","abstract":"Intrinsically disordered protein regions (IDRs) lack a well defined three-dimensional structure but often facilitate key protein functions. Some interactions between IDRs and folded protein domains rely on short linear motifs (SLiMs). These motifs are challenging to identify, but once found they can point to larger networks of interactions, such as with proteins that serve as hubs for essential cellular functions. The stress-associated plant protein radical-induced cell death1 (RCD1) is one such hub, interacting with many transcription factors via their flexible IDRs. To identify the SLiM bound by RCD1, we analyzed the IDRs in three protein partners, DREB2A (dehydration-responsive element-binding protein 2A), ANAC013, and ANAC046, considering parameters such as disorder, context, charges, and pI. Using a combined bioinformatics and experimental approach, we have identified the bipartite RCD1-binding SLiM as (DE)X(1,2)(YF)X(1,4)(DE)L, with essential contributions from conserved aromatic, acidic, and leucine residues. Detailed thermodynamic analysis revealed both favorable and unfavorable contributions from the IDRs surrounding the SLiM to the interactions with RCD1, and the SLiM affinities ranged from low nanomolar to 50 times higher Kd values. Specifically, although the SLiM was surrounded by IDRs, individual intrinsic α-helix propensities varied as shown by CD spectroscopy. NMR spectroscopy further demonstrated that DREB2A underwent coupled folding and binding with α-helix formation upon interaction with RCD1, whereas peptides from ANAC013 and ANAC046 formed different structures or were fuzzy in the complexes. These findings allow us to present a model of the stress-associated RCD1-transcription factor interactome and to contribute to the emerging understanding of the interactions between folded hubs and their intrinsically disordered partners.","container-title":"The Journal of Biological Chemistry","DOI":"10.1074/jbc.M116.753426","ISSN":"1083-351X","issue":"2","journalAbbreviation":"J Biol Chem","language":"eng","note":"PMID: 27881680\nPMCID: PMC5241728","page":"512-527","source":"PubMed","title":"Structures and Short Linear Motif of Disordered Transcription Factor Regions Provide Clues to the Interactome of the Cellular Hub Protein Radical-induced Cell Death1","volume":"292","author":[{"family":"O'Shea","given":"Charlotte"},{"family":"Staby","given":"Lasse"},{"family":"Bendsen","given":"Sidsel Krogh"},{"family":"Tidemand","given":"Frederik Grønbæk"},{"family":"Redsted","given":"Andreas"},{"family":"Willemoës","given":"Martin"},{"family":"Kragelund","given":"Birthe B."},{"family":"Skriver","given":"Karen"}],"issued":{"date-parts":[["2017",1,13]]}},"locator":"1"}],"schema":"https://github.com/citation-style-language/schema/raw/master/csl-citation.json"} </w:instrText>
      </w:r>
      <w:r w:rsidRPr="00107040">
        <w:rPr>
          <w:sz w:val="28"/>
          <w:szCs w:val="28"/>
          <w:lang w:val="kk-KZ"/>
        </w:rPr>
        <w:fldChar w:fldCharType="separate"/>
      </w:r>
      <w:r w:rsidR="00FB5E68" w:rsidRPr="00FB5E68">
        <w:rPr>
          <w:sz w:val="28"/>
          <w:lang w:val="ru-RU"/>
        </w:rPr>
        <w:t>[413,417, p. 1]</w:t>
      </w:r>
      <w:r w:rsidRPr="00107040">
        <w:rPr>
          <w:sz w:val="28"/>
          <w:szCs w:val="28"/>
          <w:lang w:val="kk-KZ"/>
        </w:rPr>
        <w:fldChar w:fldCharType="end"/>
      </w:r>
      <w:r w:rsidRPr="00107040">
        <w:rPr>
          <w:sz w:val="28"/>
          <w:szCs w:val="28"/>
          <w:lang w:val="kk-KZ"/>
        </w:rPr>
        <w:t xml:space="preserve">. Вместо этого взаимодействие между RCD1 и его партнерами по факторам транскрипции опосредуется внутренне неупорядоченными областями </w:t>
      </w:r>
      <w:r w:rsidRPr="00107040">
        <w:rPr>
          <w:sz w:val="28"/>
          <w:szCs w:val="28"/>
          <w:lang w:val="kk-KZ"/>
        </w:rPr>
        <w:fldChar w:fldCharType="begin"/>
      </w:r>
      <w:r w:rsidR="00FB5E68">
        <w:rPr>
          <w:sz w:val="28"/>
          <w:szCs w:val="28"/>
          <w:lang w:val="kk-KZ"/>
        </w:rPr>
        <w:instrText xml:space="preserve"> ADDIN ZOTERO_ITEM CSL_CITATION {"citationID":"a1em6oohu92","properties":{"formattedCitation":"[418]","plainCitation":"[418]","noteIndex":0},"citationItems":[{"id":1164,"uris":["http://zotero.org/users/9078202/items/ZF2LUVYP"],"itemData":{"id":1164,"type":"article-journal","container-title":"Trends in Plant Science","DOI":"10.1016/j.tplants.2012.06.010","ISSN":"13601385","issue":"11","journalAbbreviation":"Trends in Plant Science","language":"en","page":"625-632","source":"DOI.org (Crossref)","title":"Order by disorder in plant signaling","URL":"https://linkinghub.elsevier.com/retrieve/pii/S1360138512001483","volume":"17","author":[{"family":"Kragelund","given":"Birthe B."},{"family":"Jensen","given":"Michael Krogh"},{"family":"Skriver","given":"Karen"}],"accessed":{"date-parts":[["2022",4,19]]},"issued":{"date-parts":[["2012",11]]}}}],"schema":"https://github.com/citation-style-language/schema/raw/master/csl-citation.json"} </w:instrText>
      </w:r>
      <w:r w:rsidRPr="00107040">
        <w:rPr>
          <w:sz w:val="28"/>
          <w:szCs w:val="28"/>
          <w:lang w:val="kk-KZ"/>
        </w:rPr>
        <w:fldChar w:fldCharType="separate"/>
      </w:r>
      <w:r w:rsidR="00FB5E68" w:rsidRPr="00FB5E68">
        <w:rPr>
          <w:sz w:val="28"/>
          <w:lang w:val="ru-RU"/>
        </w:rPr>
        <w:t>[418]</w:t>
      </w:r>
      <w:r w:rsidRPr="00107040">
        <w:rPr>
          <w:sz w:val="28"/>
          <w:szCs w:val="28"/>
          <w:lang w:val="kk-KZ"/>
        </w:rPr>
        <w:fldChar w:fldCharType="end"/>
      </w:r>
      <w:r w:rsidRPr="00107040">
        <w:rPr>
          <w:sz w:val="28"/>
          <w:szCs w:val="28"/>
          <w:lang w:val="kk-KZ"/>
        </w:rPr>
        <w:t xml:space="preserve">. Соответственно, было обнаружено, что короткие линейные мотивы неупорядоченных областей фактора транскрипции достаточны для взаимодействия RCD1 </w:t>
      </w:r>
      <w:r w:rsidRPr="00107040">
        <w:rPr>
          <w:sz w:val="28"/>
          <w:szCs w:val="28"/>
          <w:lang w:val="kk-KZ"/>
        </w:rPr>
        <w:fldChar w:fldCharType="begin"/>
      </w:r>
      <w:r w:rsidR="00FB5E68">
        <w:rPr>
          <w:sz w:val="28"/>
          <w:szCs w:val="28"/>
          <w:lang w:val="kk-KZ"/>
        </w:rPr>
        <w:instrText xml:space="preserve"> ADDIN ZOTERO_ITEM CSL_CITATION {"citationID":"ab0mq57628","properties":{"formattedCitation":"[417]","plainCitation":"[417]","noteIndex":0},"citationItems":[{"id":1877,"uris":["http://zotero.org/users/9078202/items/TZAY54TU"],"itemData":{"id":1877,"type":"article-journal","abstract":"Intrinsically disordered protein regions (IDRs) lack a well defined three-dimensional structure but often facilitate key protein functions. Some interactions between IDRs and folded protein domains rely on short linear motifs (SLiMs). These motifs are challenging to identify, but once found they can point to larger networks of interactions, such as with proteins that serve as hubs for essential cellular functions. The stress-associated plant protein radical-induced cell death1 (RCD1) is one such hub, interacting with many transcription factors via their flexible IDRs. To identify the SLiM bound by RCD1, we analyzed the IDRs in three protein partners, DREB2A (dehydration-responsive element-binding protein 2A), ANAC013, and ANAC046, considering parameters such as disorder, context, charges, and pI. Using a combined bioinformatics and experimental approach, we have identified the bipartite RCD1-binding SLiM as (DE)X(1,2)(YF)X(1,4)(DE)L, with essential contributions from conserved aromatic, acidic, and leucine residues. Detailed thermodynamic analysis revealed both favorable and unfavorable contributions from the IDRs surrounding the SLiM to the interactions with RCD1, and the SLiM affinities ranged from low nanomolar to 50 times higher Kd values. Specifically, although the SLiM was surrounded by IDRs, individual intrinsic α-helix propensities varied as shown by CD spectroscopy. NMR spectroscopy further demonstrated that DREB2A underwent coupled folding and binding with α-helix formation upon interaction with RCD1, whereas peptides from ANAC013 and ANAC046 formed different structures or were fuzzy in the complexes. These findings allow us to present a model of the stress-associated RCD1-transcription factor interactome and to contribute to the emerging understanding of the interactions between folded hubs and their intrinsically disordered partners.","container-title":"The Journal of Biological Chemistry","DOI":"10.1074/jbc.M116.753426","ISSN":"1083-351X","issue":"2","journalAbbreviation":"J Biol Chem","language":"eng","note":"PMID: 27881680\nPMCID: PMC5241728","page":"512-527","source":"PubMed","title":"Structures and Short Linear Motif of Disordered Transcription Factor Regions Provide Clues to the Interactome of the Cellular Hub Protein Radical-induced Cell Death1","volume":"292","author":[{"family":"O'Shea","given":"Charlotte"},{"family":"Staby","given":"Lasse"},{"family":"Bendsen","given":"Sidsel Krogh"},{"family":"Tidemand","given":"Frederik Grønbæk"},{"family":"Redsted","given":"Andreas"},{"family":"Willemoës","given":"Martin"},{"family":"Kragelund","given":"Birthe B."},{"family":"Skriver","given":"Karen"}],"issued":{"date-parts":[["2017",1,13]]}}}],"schema":"https://github.com/citation-style-language/schema/raw/master/csl-citation.json"} </w:instrText>
      </w:r>
      <w:r w:rsidRPr="00107040">
        <w:rPr>
          <w:sz w:val="28"/>
          <w:szCs w:val="28"/>
          <w:lang w:val="kk-KZ"/>
        </w:rPr>
        <w:fldChar w:fldCharType="separate"/>
      </w:r>
      <w:r w:rsidR="00FB5E68" w:rsidRPr="00FB5E68">
        <w:rPr>
          <w:sz w:val="28"/>
          <w:lang w:val="ru-RU"/>
        </w:rPr>
        <w:t>[417]</w:t>
      </w:r>
      <w:r w:rsidRPr="00107040">
        <w:rPr>
          <w:sz w:val="28"/>
          <w:szCs w:val="28"/>
          <w:lang w:val="kk-KZ"/>
        </w:rPr>
        <w:fldChar w:fldCharType="end"/>
      </w:r>
      <w:r w:rsidRPr="00107040">
        <w:rPr>
          <w:sz w:val="28"/>
          <w:szCs w:val="28"/>
          <w:lang w:val="kk-KZ"/>
        </w:rPr>
        <w:t xml:space="preserve">. Таким </w:t>
      </w:r>
      <w:r w:rsidRPr="00107040">
        <w:rPr>
          <w:sz w:val="28"/>
          <w:szCs w:val="28"/>
          <w:lang w:val="kk-KZ"/>
        </w:rPr>
        <w:lastRenderedPageBreak/>
        <w:t xml:space="preserve">образом, белок домена PARP RCD1, по-видимому, является центральным узлом в реакциях растений на стресс и патогены, гомеостазе АФК, передаче сигналов растительных гормонов и PCD. </w:t>
      </w:r>
    </w:p>
    <w:p w14:paraId="2D8E0844" w14:textId="0754E3D6"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t xml:space="preserve">Белок </w:t>
      </w:r>
      <w:r w:rsidRPr="00107040">
        <w:rPr>
          <w:sz w:val="28"/>
          <w:szCs w:val="28"/>
        </w:rPr>
        <w:t>SRO</w:t>
      </w:r>
      <w:r w:rsidRPr="00107040">
        <w:rPr>
          <w:sz w:val="28"/>
          <w:szCs w:val="28"/>
          <w:lang w:val="ru-RU"/>
        </w:rPr>
        <w:t xml:space="preserve">1 </w:t>
      </w:r>
      <w:r w:rsidRPr="00107040">
        <w:rPr>
          <w:sz w:val="28"/>
          <w:szCs w:val="28"/>
        </w:rPr>
        <w:t>c</w:t>
      </w:r>
      <w:r w:rsidRPr="00107040">
        <w:rPr>
          <w:sz w:val="28"/>
          <w:szCs w:val="28"/>
          <w:lang w:val="ru-RU"/>
        </w:rPr>
        <w:t xml:space="preserve"> домен</w:t>
      </w:r>
      <w:r w:rsidRPr="00107040">
        <w:rPr>
          <w:sz w:val="28"/>
          <w:szCs w:val="28"/>
          <w:lang w:val="kk-KZ"/>
        </w:rPr>
        <w:t>ом</w:t>
      </w:r>
      <w:r w:rsidRPr="00107040">
        <w:rPr>
          <w:sz w:val="28"/>
          <w:szCs w:val="28"/>
          <w:lang w:val="ru-RU"/>
        </w:rPr>
        <w:t xml:space="preserve"> </w:t>
      </w:r>
      <w:r w:rsidRPr="00107040">
        <w:rPr>
          <w:sz w:val="28"/>
          <w:szCs w:val="28"/>
        </w:rPr>
        <w:t>PARP</w:t>
      </w:r>
      <w:r w:rsidRPr="00107040">
        <w:rPr>
          <w:sz w:val="28"/>
          <w:szCs w:val="28"/>
          <w:lang w:val="ru-RU"/>
        </w:rPr>
        <w:t xml:space="preserve"> имеет 76% сходства с </w:t>
      </w:r>
      <w:r w:rsidRPr="00107040">
        <w:rPr>
          <w:sz w:val="28"/>
          <w:szCs w:val="28"/>
        </w:rPr>
        <w:t>RCD</w:t>
      </w:r>
      <w:r w:rsidRPr="00107040">
        <w:rPr>
          <w:sz w:val="28"/>
          <w:szCs w:val="28"/>
          <w:lang w:val="ru-RU"/>
        </w:rPr>
        <w:t xml:space="preserve">1. Оба белка были идентифицированы как паралоги, вероятно, возникающие в результате дупликации генов </w:t>
      </w:r>
      <w:r w:rsidRPr="00107040">
        <w:rPr>
          <w:sz w:val="28"/>
          <w:szCs w:val="28"/>
          <w:lang w:val="ru-RU"/>
        </w:rPr>
        <w:fldChar w:fldCharType="begin"/>
      </w:r>
      <w:r w:rsidR="00FB5E68">
        <w:rPr>
          <w:sz w:val="28"/>
          <w:szCs w:val="28"/>
          <w:lang w:val="ru-RU"/>
        </w:rPr>
        <w:instrText xml:space="preserve"> ADDIN ZOTERO_ITEM CSL_CITATION {"citationID":"aqcqhte7bv","properties":{"formattedCitation":"[400]","plainCitation":"[400]","noteIndex":0},"citationItems":[{"id":1210,"uris":["http://zotero.org/users/9078202/items/IY9T35WG"],"itemData":{"id":1210,"type":"article-journal","abstract":"RADICAL-INDUCED CELL DEATH1 (RCD1) and SIMILAR TO RCD ONE1 (SRO1) are the only two proteins encoded in the Arabidopsis (Arabidopsis thaliana) genome containing both a putative poly(ADP-ribose) polymerase catalytic domain and a WWE protein-protein interaction domain, although similar proteins have been found in other eukaryotes. Poly(ADP-ribose) polymerases mediate the attachment of ADP-ribose units from donor NAD(+) molecules to target proteins and have been implicated in a number of processes, including DNA repair, apoptosis, transcription, and chromatin remodeling. We have isolated mutants in both RCD1 and SRO1, rcd1-3 and sro1-1, respectively. rcd1-3 plants display phenotypic defects as reported for previously isolated alleles, most notably reduced stature. In addition, rcd1-3 mutants display a number of additional developmental defects in root architecture and maintenance of reproductive development. While single mutant sro1-1 plants are relatively normal, loss of a single dose of SRO1 in the rcd1-3 background increases the severity of several developmental defects, implying that these genes do share some functions. However, rcd1-3 and sro1-1 mutants behave differently in several developmental events and abiotic stress responses, suggesting that they also have distinct functions. Remarkably, rcd1-3; sro1-1 double mutants display severe defects in embryogenesis and postembryonic development. This study shows that RCD1 and SRO1 are at least partially redundant and that they are essential genes for plant development.","container-title":"Plant Physiology","DOI":"10.1104/pp.109.142786","ISSN":"0032-0889","issue":"1","journalAbbreviation":"Plant Physiol","language":"eng","note":"PMID: 19625634\nPMCID: PMC2736012","page":"180-198","source":"PubMed","title":"The paralogous genes RADICAL-INDUCED CELL DEATH1 and SIMILAR TO RCD ONE1 have partially redundant functions during Arabidopsis development","volume":"151","author":[{"family":"Teotia","given":"Sachin"},{"family":"Lamb","given":"Rebecca S."}],"issued":{"date-parts":[["2009",9]]}}}],"schema":"https://github.com/citation-style-language/schema/raw/master/csl-citation.json"} </w:instrText>
      </w:r>
      <w:r w:rsidRPr="00107040">
        <w:rPr>
          <w:sz w:val="28"/>
          <w:szCs w:val="28"/>
          <w:lang w:val="ru-RU"/>
        </w:rPr>
        <w:fldChar w:fldCharType="separate"/>
      </w:r>
      <w:r w:rsidR="00FB5E68" w:rsidRPr="00FB5E68">
        <w:rPr>
          <w:sz w:val="28"/>
          <w:lang w:val="ru-RU"/>
        </w:rPr>
        <w:t>[400]</w:t>
      </w:r>
      <w:r w:rsidRPr="00107040">
        <w:rPr>
          <w:sz w:val="28"/>
          <w:szCs w:val="28"/>
          <w:lang w:val="ru-RU"/>
        </w:rPr>
        <w:fldChar w:fldCharType="end"/>
      </w:r>
      <w:r w:rsidRPr="00107040">
        <w:rPr>
          <w:sz w:val="28"/>
          <w:szCs w:val="28"/>
          <w:lang w:val="ru-RU"/>
        </w:rPr>
        <w:t xml:space="preserve">. Оба они локализуются в ядре и экспрессируются повсеместно в растении </w:t>
      </w:r>
      <w:r w:rsidRPr="00107040">
        <w:rPr>
          <w:sz w:val="28"/>
          <w:szCs w:val="28"/>
          <w:lang w:val="ru-RU"/>
        </w:rPr>
        <w:fldChar w:fldCharType="begin"/>
      </w:r>
      <w:r w:rsidR="00FB5E68">
        <w:rPr>
          <w:sz w:val="28"/>
          <w:szCs w:val="28"/>
          <w:lang w:val="ru-RU"/>
        </w:rPr>
        <w:instrText xml:space="preserve"> ADDIN ZOTERO_ITEM CSL_CITATION {"citationID":"aa4uacdkvr","properties":{"formattedCitation":"[396,400,419]","plainCitation":"[396,400,419]","noteIndex":0},"citationItems":[{"id":1222,"uris":["http://zotero.org/users/9078202/items/TH4SRXHG"],"itemData":{"id":1222,"type":"article-journal","abstract":"The RADICAL-INDUCED CELL DEATH1 and SIMILAR TO RCD ONE1 genes of Arabidopsis thaliana encode members of the poly(ADP-ribose) polymerase (PARP) superfamily and have pleiotropic functions in development and abiotic stress response. In order to begin to understand the developmental and molecular bases of the defects seen in rcd1-3; sro1-1 plants, this study used the root as a model. Double mutant roots are short and display abnormally organized root apical meristems. However, acquisition of most cell fates within the root is not significantly disrupted. The identity of the quiescent centre is compromised, the zone of cell division is smaller than in wild-type roots and abnormal divisions are common, suggesting that RCD1 and SRO1 are necessary to maintain cells in a division-competent state and to regulate division plane placement. In addition, differentiation of several cell types is disrupted in rcd1-3; sro1-1 roots and shoots, demonstrating that RCD1 and SRO1 are also necessary for proper cell differentiation. Based on the data shown in this article and previous work, we hypothesize that RCD1 and SRO1 are involved in redox control and, in their absence, an altered redox balance leads to abnormal development.","container-title":"Journal of Experimental Botany","DOI":"10.1093/jxb/erq363","ISSN":"0022-0957","issue":"3","journalAbbreviation":"Journal of Experimental Botany","page":"1271-1284","source":"Silverchair","title":"RCD1 and SRO1 are necessary to maintain meristematic fate in Arabidopsis thaliana","URL":"https://doi.org/10.1093/jxb/erq363","volume":"62","author":[{"family":"Teotia","given":"Sachin"},{"family":"Lamb","given":"Rebecca S."}],"accessed":{"date-parts":[["2022",4,19]]},"issued":{"date-parts":[["2011",1,1]]}}},{"id":1210,"uris":["http://zotero.org/users/9078202/items/IY9T35WG"],"itemData":{"id":1210,"type":"article-journal","abstract":"RADICAL-INDUCED CELL DEATH1 (RCD1) and SIMILAR TO RCD ONE1 (SRO1) are the only two proteins encoded in the Arabidopsis (Arabidopsis thaliana) genome containing both a putative poly(ADP-ribose) polymerase catalytic domain and a WWE protein-protein interaction domain, although similar proteins have been found in other eukaryotes. Poly(ADP-ribose) polymerases mediate the attachment of ADP-ribose units from donor NAD(+) molecules to target proteins and have been implicated in a number of processes, including DNA repair, apoptosis, transcription, and chromatin remodeling. We have isolated mutants in both RCD1 and SRO1, rcd1-3 and sro1-1, respectively. rcd1-3 plants display phenotypic defects as reported for previously isolated alleles, most notably reduced stature. In addition, rcd1-3 mutants display a number of additional developmental defects in root architecture and maintenance of reproductive development. While single mutant sro1-1 plants are relatively normal, loss of a single dose of SRO1 in the rcd1-3 background increases the severity of several developmental defects, implying that these genes do share some functions. However, rcd1-3 and sro1-1 mutants behave differently in several developmental events and abiotic stress responses, suggesting that they also have distinct functions. Remarkably, rcd1-3; sro1-1 double mutants display severe defects in embryogenesis and postembryonic development. This study shows that RCD1 and SRO1 are at least partially redundant and that they are essential genes for plant development.","container-title":"Plant Physiology","DOI":"10.1104/pp.109.142786","ISSN":"0032-0889","issue":"1","journalAbbreviation":"Plant Physiol","language":"eng","note":"PMID: 19625634\nPMCID: PMC2736012","page":"180-198","source":"PubMed","title":"The paralogous genes RADICAL-INDUCED CELL DEATH1 and SIMILAR TO RCD ONE1 have partially redundant functions during Arabidopsis development","volume":"151","author":[{"family":"Teotia","given":"Sachin"},{"family":"Lamb","given":"Rebecca S."}],"issued":{"date-parts":[["2009",9]]}}},{"id":1152,"uris":["http://zotero.org/users/9078202/items/WSZQGHKD"],"itemData":{"id":1152,"type":"article-journal","container-title":"Plant Journal","DOI":"10.1111/j.1365-313X.2009.03951.x","ISSN":"0960-7412","issue":"2","page":"268-279","source":"University of Helsinki","title":"Unequally redundant RCD1 and SRO1 mediate stress and developmental responses and interact with transcription factors","volume":"60","author":[{"family":"Jaspers","given":"Pinja"},{"family":"Blomster","given":"Tiina"},{"family":"Brosche","given":"Mikael"},{"family":"Salojarvi","given":"Jarkko"},{"family":"Ahlfors","given":"Reetta"},{"family":"Vainonen","given":"Julia P."},{"family":"Reddy","given":"Ramesha A."},{"family":"Immink","given":"Richard"},{"family":"Angenent","given":"Gerco"},{"family":"Turck","given":"Franziska"},{"family":"Overmyer","given":"Kirk"},{"family":"Kangasjarvi","given":"Jaakko"}],"issued":{"date-parts":[["2009"]]}}}],"schema":"https://github.com/citation-style-language/schema/raw/master/csl-citation.json"} </w:instrText>
      </w:r>
      <w:r w:rsidRPr="00107040">
        <w:rPr>
          <w:sz w:val="28"/>
          <w:szCs w:val="28"/>
          <w:lang w:val="ru-RU"/>
        </w:rPr>
        <w:fldChar w:fldCharType="separate"/>
      </w:r>
      <w:r w:rsidR="00FB5E68" w:rsidRPr="00FB5E68">
        <w:rPr>
          <w:sz w:val="28"/>
          <w:lang w:val="ru-RU"/>
        </w:rPr>
        <w:t>[396,400,419]</w:t>
      </w:r>
      <w:r w:rsidRPr="00107040">
        <w:rPr>
          <w:sz w:val="28"/>
          <w:szCs w:val="28"/>
          <w:lang w:val="ru-RU"/>
        </w:rPr>
        <w:fldChar w:fldCharType="end"/>
      </w:r>
      <w:r w:rsidRPr="00107040">
        <w:rPr>
          <w:sz w:val="28"/>
          <w:szCs w:val="28"/>
          <w:lang w:val="ru-RU"/>
        </w:rPr>
        <w:t xml:space="preserve">, при этом уровни экспрессии </w:t>
      </w:r>
      <w:r w:rsidRPr="00107040">
        <w:rPr>
          <w:sz w:val="28"/>
          <w:szCs w:val="28"/>
        </w:rPr>
        <w:t>SRO</w:t>
      </w:r>
      <w:r w:rsidRPr="00107040">
        <w:rPr>
          <w:sz w:val="28"/>
          <w:szCs w:val="28"/>
          <w:lang w:val="ru-RU"/>
        </w:rPr>
        <w:t xml:space="preserve">1 обычно ниже, чем у </w:t>
      </w:r>
      <w:r w:rsidRPr="00107040">
        <w:rPr>
          <w:sz w:val="28"/>
          <w:szCs w:val="28"/>
        </w:rPr>
        <w:t>RCD</w:t>
      </w:r>
      <w:r w:rsidRPr="00107040">
        <w:rPr>
          <w:sz w:val="28"/>
          <w:szCs w:val="28"/>
          <w:lang w:val="ru-RU"/>
        </w:rPr>
        <w:t xml:space="preserve">1 </w:t>
      </w:r>
      <w:r w:rsidRPr="00107040">
        <w:rPr>
          <w:sz w:val="28"/>
          <w:szCs w:val="28"/>
          <w:lang w:val="ru-RU"/>
        </w:rPr>
        <w:fldChar w:fldCharType="begin"/>
      </w:r>
      <w:r w:rsidR="00FB5E68">
        <w:rPr>
          <w:sz w:val="28"/>
          <w:szCs w:val="28"/>
          <w:lang w:val="ru-RU"/>
        </w:rPr>
        <w:instrText xml:space="preserve"> ADDIN ZOTERO_ITEM CSL_CITATION {"citationID":"arhp187tmb","properties":{"formattedCitation":"[400]","plainCitation":"[400]","noteIndex":0},"citationItems":[{"id":1210,"uris":["http://zotero.org/users/9078202/items/IY9T35WG"],"itemData":{"id":1210,"type":"article-journal","abstract":"RADICAL-INDUCED CELL DEATH1 (RCD1) and SIMILAR TO RCD ONE1 (SRO1) are the only two proteins encoded in the Arabidopsis (Arabidopsis thaliana) genome containing both a putative poly(ADP-ribose) polymerase catalytic domain and a WWE protein-protein interaction domain, although similar proteins have been found in other eukaryotes. Poly(ADP-ribose) polymerases mediate the attachment of ADP-ribose units from donor NAD(+) molecules to target proteins and have been implicated in a number of processes, including DNA repair, apoptosis, transcription, and chromatin remodeling. We have isolated mutants in both RCD1 and SRO1, rcd1-3 and sro1-1, respectively. rcd1-3 plants display phenotypic defects as reported for previously isolated alleles, most notably reduced stature. In addition, rcd1-3 mutants display a number of additional developmental defects in root architecture and maintenance of reproductive development. While single mutant sro1-1 plants are relatively normal, loss of a single dose of SRO1 in the rcd1-3 background increases the severity of several developmental defects, implying that these genes do share some functions. However, rcd1-3 and sro1-1 mutants behave differently in several developmental events and abiotic stress responses, suggesting that they also have distinct functions. Remarkably, rcd1-3; sro1-1 double mutants display severe defects in embryogenesis and postembryonic development. This study shows that RCD1 and SRO1 are at least partially redundant and that they are essential genes for plant development.","container-title":"Plant Physiology","DOI":"10.1104/pp.109.142786","ISSN":"0032-0889","issue":"1","journalAbbreviation":"Plant Physiol","language":"eng","note":"PMID: 19625634\nPMCID: PMC2736012","page":"180-198","source":"PubMed","title":"The paralogous genes RADICAL-INDUCED CELL DEATH1 and SIMILAR TO RCD ONE1 have partially redundant functions during Arabidopsis development","volume":"151","author":[{"family":"Teotia","given":"Sachin"},{"family":"Lamb","given":"Rebecca S."}],"issued":{"date-parts":[["2009",9]]}}}],"schema":"https://github.com/citation-style-language/schema/raw/master/csl-citation.json"} </w:instrText>
      </w:r>
      <w:r w:rsidRPr="00107040">
        <w:rPr>
          <w:sz w:val="28"/>
          <w:szCs w:val="28"/>
          <w:lang w:val="ru-RU"/>
        </w:rPr>
        <w:fldChar w:fldCharType="separate"/>
      </w:r>
      <w:r w:rsidR="00FB5E68" w:rsidRPr="00FB5E68">
        <w:rPr>
          <w:sz w:val="28"/>
          <w:lang w:val="ru-RU"/>
        </w:rPr>
        <w:t>[400]</w:t>
      </w:r>
      <w:r w:rsidRPr="00107040">
        <w:rPr>
          <w:sz w:val="28"/>
          <w:szCs w:val="28"/>
          <w:lang w:val="ru-RU"/>
        </w:rPr>
        <w:fldChar w:fldCharType="end"/>
      </w:r>
      <w:r w:rsidRPr="00107040">
        <w:rPr>
          <w:sz w:val="28"/>
          <w:szCs w:val="28"/>
          <w:lang w:val="ru-RU"/>
        </w:rPr>
        <w:t xml:space="preserve">. В отличие от мутантных растений </w:t>
      </w:r>
      <w:r w:rsidRPr="00107040">
        <w:rPr>
          <w:i/>
          <w:sz w:val="28"/>
          <w:szCs w:val="28"/>
        </w:rPr>
        <w:t>rcd</w:t>
      </w:r>
      <w:r w:rsidRPr="00107040">
        <w:rPr>
          <w:i/>
          <w:sz w:val="28"/>
          <w:szCs w:val="28"/>
          <w:lang w:val="ru-RU"/>
        </w:rPr>
        <w:t>1</w:t>
      </w:r>
      <w:r w:rsidRPr="00107040">
        <w:rPr>
          <w:sz w:val="28"/>
          <w:szCs w:val="28"/>
          <w:lang w:val="ru-RU"/>
        </w:rPr>
        <w:t xml:space="preserve">, растения </w:t>
      </w:r>
      <w:r w:rsidRPr="00107040">
        <w:rPr>
          <w:i/>
          <w:sz w:val="28"/>
          <w:szCs w:val="28"/>
        </w:rPr>
        <w:t>sro</w:t>
      </w:r>
      <w:r w:rsidRPr="00107040">
        <w:rPr>
          <w:i/>
          <w:sz w:val="28"/>
          <w:szCs w:val="28"/>
          <w:lang w:val="ru-RU"/>
        </w:rPr>
        <w:t>1</w:t>
      </w:r>
      <w:r w:rsidRPr="00107040">
        <w:rPr>
          <w:sz w:val="28"/>
          <w:szCs w:val="28"/>
          <w:lang w:val="ru-RU"/>
        </w:rPr>
        <w:t xml:space="preserve"> не проявляли чувствительности к озону и солевому стрессу и нормально росли в нестрессовых условиях </w:t>
      </w:r>
      <w:r w:rsidRPr="00107040">
        <w:rPr>
          <w:sz w:val="28"/>
          <w:szCs w:val="28"/>
          <w:lang w:val="ru-RU"/>
        </w:rPr>
        <w:fldChar w:fldCharType="begin"/>
      </w:r>
      <w:r w:rsidR="00FB5E68">
        <w:rPr>
          <w:sz w:val="28"/>
          <w:szCs w:val="28"/>
          <w:lang w:val="ru-RU"/>
        </w:rPr>
        <w:instrText xml:space="preserve"> ADDIN ZOTERO_ITEM CSL_CITATION {"citationID":"a2i1kdj7j66","properties":{"formattedCitation":"[396,400]","plainCitation":"[396,400]","noteIndex":0},"citationItems":[{"id":1152,"uris":["http://zotero.org/users/9078202/items/WSZQGHKD"],"itemData":{"id":1152,"type":"article-journal","container-title":"Plant Journal","DOI":"10.1111/j.1365-313X.2009.03951.x","ISSN":"0960-7412","issue":"2","page":"268-279","source":"University of Helsinki","title":"Unequally redundant RCD1 and SRO1 mediate stress and developmental responses and interact with transcription factors","volume":"60","author":[{"family":"Jaspers","given":"Pinja"},{"family":"Blomster","given":"Tiina"},{"family":"Brosche","given":"Mikael"},{"family":"Salojarvi","given":"Jarkko"},{"family":"Ahlfors","given":"Reetta"},{"family":"Vainonen","given":"Julia P."},{"family":"Reddy","given":"Ramesha A."},{"family":"Immink","given":"Richard"},{"family":"Angenent","given":"Gerco"},{"family":"Turck","given":"Franziska"},{"family":"Overmyer","given":"Kirk"},{"family":"Kangasjarvi","given":"Jaakko"}],"issued":{"date-parts":[["2009"]]}}},{"id":1210,"uris":["http://zotero.org/users/9078202/items/IY9T35WG"],"itemData":{"id":1210,"type":"article-journal","abstract":"RADICAL-INDUCED CELL DEATH1 (RCD1) and SIMILAR TO RCD ONE1 (SRO1) are the only two proteins encoded in the Arabidopsis (Arabidopsis thaliana) genome containing both a putative poly(ADP-ribose) polymerase catalytic domain and a WWE protein-protein interaction domain, although similar proteins have been found in other eukaryotes. Poly(ADP-ribose) polymerases mediate the attachment of ADP-ribose units from donor NAD(+) molecules to target proteins and have been implicated in a number of processes, including DNA repair, apoptosis, transcription, and chromatin remodeling. We have isolated mutants in both RCD1 and SRO1, rcd1-3 and sro1-1, respectively. rcd1-3 plants display phenotypic defects as reported for previously isolated alleles, most notably reduced stature. In addition, rcd1-3 mutants display a number of additional developmental defects in root architecture and maintenance of reproductive development. While single mutant sro1-1 plants are relatively normal, loss of a single dose of SRO1 in the rcd1-3 background increases the severity of several developmental defects, implying that these genes do share some functions. However, rcd1-3 and sro1-1 mutants behave differently in several developmental events and abiotic stress responses, suggesting that they also have distinct functions. Remarkably, rcd1-3; sro1-1 double mutants display severe defects in embryogenesis and postembryonic development. This study shows that RCD1 and SRO1 are at least partially redundant and that they are essential genes for plant development.","container-title":"Plant Physiology","DOI":"10.1104/pp.109.142786","ISSN":"0032-0889","issue":"1","journalAbbreviation":"Plant Physiol","language":"eng","note":"PMID: 19625634\nPMCID: PMC2736012","page":"180-198","source":"PubMed","title":"The paralogous genes RADICAL-INDUCED CELL DEATH1 and SIMILAR TO RCD ONE1 have partially redundant functions during Arabidopsis development","volume":"151","author":[{"family":"Teotia","given":"Sachin"},{"family":"Lamb","given":"Rebecca S."}],"issued":{"date-parts":[["2009",9]]}}}],"schema":"https://github.com/citation-style-language/schema/raw/master/csl-citation.json"} </w:instrText>
      </w:r>
      <w:r w:rsidRPr="00107040">
        <w:rPr>
          <w:sz w:val="28"/>
          <w:szCs w:val="28"/>
          <w:lang w:val="ru-RU"/>
        </w:rPr>
        <w:fldChar w:fldCharType="separate"/>
      </w:r>
      <w:r w:rsidR="00FB5E68" w:rsidRPr="00FB5E68">
        <w:rPr>
          <w:sz w:val="28"/>
          <w:lang w:val="ru-RU"/>
        </w:rPr>
        <w:t>[396,400]</w:t>
      </w:r>
      <w:r w:rsidRPr="00107040">
        <w:rPr>
          <w:sz w:val="28"/>
          <w:szCs w:val="28"/>
          <w:lang w:val="ru-RU"/>
        </w:rPr>
        <w:fldChar w:fldCharType="end"/>
      </w:r>
      <w:r w:rsidRPr="00107040">
        <w:rPr>
          <w:sz w:val="28"/>
          <w:szCs w:val="28"/>
          <w:lang w:val="ru-RU"/>
        </w:rPr>
        <w:t xml:space="preserve">. Подобно </w:t>
      </w:r>
      <w:r w:rsidRPr="00107040">
        <w:rPr>
          <w:sz w:val="28"/>
          <w:szCs w:val="28"/>
        </w:rPr>
        <w:t>RCD</w:t>
      </w:r>
      <w:r w:rsidRPr="00107040">
        <w:rPr>
          <w:sz w:val="28"/>
          <w:szCs w:val="28"/>
          <w:lang w:val="ru-RU"/>
        </w:rPr>
        <w:t xml:space="preserve">1, </w:t>
      </w:r>
      <w:r w:rsidRPr="00107040">
        <w:rPr>
          <w:sz w:val="28"/>
          <w:szCs w:val="28"/>
        </w:rPr>
        <w:t>SRO</w:t>
      </w:r>
      <w:r w:rsidRPr="00107040">
        <w:rPr>
          <w:sz w:val="28"/>
          <w:szCs w:val="28"/>
          <w:lang w:val="ru-RU"/>
        </w:rPr>
        <w:t xml:space="preserve">1 взаимодействует с транскрипционными факторами, но только с теми, которые взаимодействуют с </w:t>
      </w:r>
      <w:r w:rsidRPr="00107040">
        <w:rPr>
          <w:sz w:val="28"/>
          <w:szCs w:val="28"/>
        </w:rPr>
        <w:t>RCD</w:t>
      </w:r>
      <w:r w:rsidRPr="00107040">
        <w:rPr>
          <w:sz w:val="28"/>
          <w:szCs w:val="28"/>
          <w:lang w:val="ru-RU"/>
        </w:rPr>
        <w:t xml:space="preserve">1 </w:t>
      </w:r>
      <w:r w:rsidRPr="00107040">
        <w:rPr>
          <w:sz w:val="28"/>
          <w:szCs w:val="28"/>
          <w:lang w:val="ru-RU"/>
        </w:rPr>
        <w:fldChar w:fldCharType="begin"/>
      </w:r>
      <w:r w:rsidR="00FB5E68">
        <w:rPr>
          <w:sz w:val="28"/>
          <w:szCs w:val="28"/>
          <w:lang w:val="ru-RU"/>
        </w:rPr>
        <w:instrText xml:space="preserve"> ADDIN ZOTERO_ITEM CSL_CITATION {"citationID":"auidscce2t","properties":{"formattedCitation":"[396]","plainCitation":"[396]","noteIndex":0},"citationItems":[{"id":1152,"uris":["http://zotero.org/users/9078202/items/WSZQGHKD"],"itemData":{"id":1152,"type":"article-journal","container-title":"Plant Journal","DOI":"10.1111/j.1365-313X.2009.03951.x","ISSN":"0960-7412","issue":"2","page":"268-279","source":"University of Helsinki","title":"Unequally redundant RCD1 and SRO1 mediate stress and developmental responses and interact with transcription factors","volume":"60","author":[{"family":"Jaspers","given":"Pinja"},{"family":"Blomster","given":"Tiina"},{"family":"Brosche","given":"Mikael"},{"family":"Salojarvi","given":"Jarkko"},{"family":"Ahlfors","given":"Reetta"},{"family":"Vainonen","given":"Julia P."},{"family":"Reddy","given":"Ramesha A."},{"family":"Immink","given":"Richard"},{"family":"Angenent","given":"Gerco"},{"family":"Turck","given":"Franziska"},{"family":"Overmyer","given":"Kirk"},{"family":"Kangasjarvi","given":"Jaakko"}],"issued":{"date-parts":[["2009"]]}}}],"schema":"https://github.com/citation-style-language/schema/raw/master/csl-citation.json"} </w:instrText>
      </w:r>
      <w:r w:rsidRPr="00107040">
        <w:rPr>
          <w:sz w:val="28"/>
          <w:szCs w:val="28"/>
          <w:lang w:val="ru-RU"/>
        </w:rPr>
        <w:fldChar w:fldCharType="separate"/>
      </w:r>
      <w:r w:rsidR="00FB5E68" w:rsidRPr="00FB5E68">
        <w:rPr>
          <w:sz w:val="28"/>
          <w:lang w:val="ru-RU"/>
        </w:rPr>
        <w:t>[396]</w:t>
      </w:r>
      <w:r w:rsidRPr="00107040">
        <w:rPr>
          <w:sz w:val="28"/>
          <w:szCs w:val="28"/>
          <w:lang w:val="ru-RU"/>
        </w:rPr>
        <w:fldChar w:fldCharType="end"/>
      </w:r>
      <w:r w:rsidRPr="00107040">
        <w:rPr>
          <w:sz w:val="28"/>
          <w:szCs w:val="28"/>
          <w:lang w:val="ru-RU"/>
        </w:rPr>
        <w:t xml:space="preserve">. Двойные мутанты, лишенные как </w:t>
      </w:r>
      <w:r w:rsidRPr="00107040">
        <w:rPr>
          <w:sz w:val="28"/>
          <w:szCs w:val="28"/>
        </w:rPr>
        <w:t>RCD</w:t>
      </w:r>
      <w:r w:rsidRPr="00107040">
        <w:rPr>
          <w:sz w:val="28"/>
          <w:szCs w:val="28"/>
          <w:lang w:val="ru-RU"/>
        </w:rPr>
        <w:t xml:space="preserve">1, так и </w:t>
      </w:r>
      <w:r w:rsidRPr="00107040">
        <w:rPr>
          <w:sz w:val="28"/>
          <w:szCs w:val="28"/>
        </w:rPr>
        <w:t>SRO</w:t>
      </w:r>
      <w:r w:rsidRPr="00107040">
        <w:rPr>
          <w:sz w:val="28"/>
          <w:szCs w:val="28"/>
          <w:lang w:val="ru-RU"/>
        </w:rPr>
        <w:t xml:space="preserve">1, обнаруживают вредные дефекты развития </w:t>
      </w:r>
      <w:r w:rsidRPr="00107040">
        <w:rPr>
          <w:sz w:val="28"/>
          <w:szCs w:val="28"/>
          <w:lang w:val="ru-RU"/>
        </w:rPr>
        <w:fldChar w:fldCharType="begin"/>
      </w:r>
      <w:r w:rsidR="00FB5E68">
        <w:rPr>
          <w:sz w:val="28"/>
          <w:szCs w:val="28"/>
          <w:lang w:val="ru-RU"/>
        </w:rPr>
        <w:instrText xml:space="preserve"> ADDIN ZOTERO_ITEM CSL_CITATION {"citationID":"adur2a73ln","properties":{"formattedCitation":"[396,400,419]","plainCitation":"[396,400,419]","noteIndex":0},"citationItems":[{"id":1210,"uris":["http://zotero.org/users/9078202/items/IY9T35WG"],"itemData":{"id":1210,"type":"article-journal","abstract":"RADICAL-INDUCED CELL DEATH1 (RCD1) and SIMILAR TO RCD ONE1 (SRO1) are the only two proteins encoded in the Arabidopsis (Arabidopsis thaliana) genome containing both a putative poly(ADP-ribose) polymerase catalytic domain and a WWE protein-protein interaction domain, although similar proteins have been found in other eukaryotes. Poly(ADP-ribose) polymerases mediate the attachment of ADP-ribose units from donor NAD(+) molecules to target proteins and have been implicated in a number of processes, including DNA repair, apoptosis, transcription, and chromatin remodeling. We have isolated mutants in both RCD1 and SRO1, rcd1-3 and sro1-1, respectively. rcd1-3 plants display phenotypic defects as reported for previously isolated alleles, most notably reduced stature. In addition, rcd1-3 mutants display a number of additional developmental defects in root architecture and maintenance of reproductive development. While single mutant sro1-1 plants are relatively normal, loss of a single dose of SRO1 in the rcd1-3 background increases the severity of several developmental defects, implying that these genes do share some functions. However, rcd1-3 and sro1-1 mutants behave differently in several developmental events and abiotic stress responses, suggesting that they also have distinct functions. Remarkably, rcd1-3; sro1-1 double mutants display severe defects in embryogenesis and postembryonic development. This study shows that RCD1 and SRO1 are at least partially redundant and that they are essential genes for plant development.","container-title":"Plant Physiology","DOI":"10.1104/pp.109.142786","ISSN":"0032-0889","issue":"1","journalAbbreviation":"Plant Physiol","language":"eng","note":"PMID: 19625634\nPMCID: PMC2736012","page":"180-198","source":"PubMed","title":"The paralogous genes RADICAL-INDUCED CELL DEATH1 and SIMILAR TO RCD ONE1 have partially redundant functions during Arabidopsis development","volume":"151","author":[{"family":"Teotia","given":"Sachin"},{"family":"Lamb","given":"Rebecca S."}],"issued":{"date-parts":[["2009",9]]}}},{"id":1152,"uris":["http://zotero.org/users/9078202/items/WSZQGHKD"],"itemData":{"id":1152,"type":"article-journal","container-title":"Plant Journal","DOI":"10.1111/j.1365-313X.2009.03951.x","ISSN":"0960-7412","issue":"2","page":"268-279","source":"University of Helsinki","title":"Unequally redundant RCD1 and SRO1 mediate stress and developmental responses and interact with transcription factors","volume":"60","author":[{"family":"Jaspers","given":"Pinja"},{"family":"Blomster","given":"Tiina"},{"family":"Brosche","given":"Mikael"},{"family":"Salojarvi","given":"Jarkko"},{"family":"Ahlfors","given":"Reetta"},{"family":"Vainonen","given":"Julia P."},{"family":"Reddy","given":"Ramesha A."},{"family":"Immink","given":"Richard"},{"family":"Angenent","given":"Gerco"},{"family":"Turck","given":"Franziska"},{"family":"Overmyer","given":"Kirk"},{"family":"Kangasjarvi","given":"Jaakko"}],"issued":{"date-parts":[["2009"]]}}},{"id":1222,"uris":["http://zotero.org/users/9078202/items/TH4SRXHG"],"itemData":{"id":1222,"type":"article-journal","abstract":"The RADICAL-INDUCED CELL DEATH1 and SIMILAR TO RCD ONE1 genes of Arabidopsis thaliana encode members of the poly(ADP-ribose) polymerase (PARP) superfamily and have pleiotropic functions in development and abiotic stress response. In order to begin to understand the developmental and molecular bases of the defects seen in rcd1-3; sro1-1 plants, this study used the root as a model. Double mutant roots are short and display abnormally organized root apical meristems. However, acquisition of most cell fates within the root is not significantly disrupted. The identity of the quiescent centre is compromised, the zone of cell division is smaller than in wild-type roots and abnormal divisions are common, suggesting that RCD1 and SRO1 are necessary to maintain cells in a division-competent state and to regulate division plane placement. In addition, differentiation of several cell types is disrupted in rcd1-3; sro1-1 roots and shoots, demonstrating that RCD1 and SRO1 are also necessary for proper cell differentiation. Based on the data shown in this article and previous work, we hypothesize that RCD1 and SRO1 are involved in redox control and, in their absence, an altered redox balance leads to abnormal development.","container-title":"Journal of Experimental Botany","DOI":"10.1093/jxb/erq363","ISSN":"0022-0957","issue":"3","journalAbbreviation":"Journal of Experimental Botany","page":"1271-1284","source":"Silverchair","title":"RCD1 and SRO1 are necessary to maintain meristematic fate in Arabidopsis thaliana","URL":"https://doi.org/10.1093/jxb/erq363","volume":"62","author":[{"family":"Teotia","given":"Sachin"},{"family":"Lamb","given":"Rebecca S."}],"accessed":{"date-parts":[["2022",4,19]]},"issued":{"date-parts":[["2011",1,1]]}}}],"schema":"https://github.com/citation-style-language/schema/raw/master/csl-citation.json"} </w:instrText>
      </w:r>
      <w:r w:rsidRPr="00107040">
        <w:rPr>
          <w:sz w:val="28"/>
          <w:szCs w:val="28"/>
          <w:lang w:val="ru-RU"/>
        </w:rPr>
        <w:fldChar w:fldCharType="separate"/>
      </w:r>
      <w:r w:rsidR="00FB5E68" w:rsidRPr="00FB5E68">
        <w:rPr>
          <w:sz w:val="28"/>
          <w:lang w:val="ru-RU"/>
        </w:rPr>
        <w:t>[396,400,419]</w:t>
      </w:r>
      <w:r w:rsidRPr="00107040">
        <w:rPr>
          <w:sz w:val="28"/>
          <w:szCs w:val="28"/>
          <w:lang w:val="ru-RU"/>
        </w:rPr>
        <w:fldChar w:fldCharType="end"/>
      </w:r>
      <w:r w:rsidRPr="00107040">
        <w:rPr>
          <w:sz w:val="28"/>
          <w:szCs w:val="28"/>
          <w:lang w:val="ru-RU"/>
        </w:rPr>
        <w:t xml:space="preserve">. В совокупности </w:t>
      </w:r>
      <w:r w:rsidRPr="00107040">
        <w:rPr>
          <w:sz w:val="28"/>
          <w:szCs w:val="28"/>
        </w:rPr>
        <w:t>RCD</w:t>
      </w:r>
      <w:r w:rsidRPr="00107040">
        <w:rPr>
          <w:sz w:val="28"/>
          <w:szCs w:val="28"/>
          <w:lang w:val="ru-RU"/>
        </w:rPr>
        <w:t xml:space="preserve">1 и </w:t>
      </w:r>
      <w:r w:rsidRPr="00107040">
        <w:rPr>
          <w:sz w:val="28"/>
          <w:szCs w:val="28"/>
        </w:rPr>
        <w:t>SRO</w:t>
      </w:r>
      <w:r w:rsidRPr="00107040">
        <w:rPr>
          <w:sz w:val="28"/>
          <w:szCs w:val="28"/>
          <w:lang w:val="ru-RU"/>
        </w:rPr>
        <w:t xml:space="preserve">1, по-видимому, являются неравно перекрывающимися белками </w:t>
      </w:r>
      <w:r w:rsidRPr="00107040">
        <w:rPr>
          <w:sz w:val="28"/>
          <w:szCs w:val="28"/>
          <w:lang w:val="ru-RU"/>
        </w:rPr>
        <w:fldChar w:fldCharType="begin"/>
      </w:r>
      <w:r w:rsidR="00FB5E68">
        <w:rPr>
          <w:sz w:val="28"/>
          <w:szCs w:val="28"/>
          <w:lang w:val="ru-RU"/>
        </w:rPr>
        <w:instrText xml:space="preserve"> ADDIN ZOTERO_ITEM CSL_CITATION {"citationID":"a1d6s0okj9v","properties":{"formattedCitation":"[396]","plainCitation":"[396]","noteIndex":0},"citationItems":[{"id":1152,"uris":["http://zotero.org/users/9078202/items/WSZQGHKD"],"itemData":{"id":1152,"type":"article-journal","container-title":"Plant Journal","DOI":"10.1111/j.1365-313X.2009.03951.x","ISSN":"0960-7412","issue":"2","page":"268-279","source":"University of Helsinki","title":"Unequally redundant RCD1 and SRO1 mediate stress and developmental responses and interact with transcription factors","volume":"60","author":[{"family":"Jaspers","given":"Pinja"},{"family":"Blomster","given":"Tiina"},{"family":"Brosche","given":"Mikael"},{"family":"Salojarvi","given":"Jarkko"},{"family":"Ahlfors","given":"Reetta"},{"family":"Vainonen","given":"Julia P."},{"family":"Reddy","given":"Ramesha A."},{"family":"Immink","given":"Richard"},{"family":"Angenent","given":"Gerco"},{"family":"Turck","given":"Franziska"},{"family":"Overmyer","given":"Kirk"},{"family":"Kangasjarvi","given":"Jaakko"}],"issued":{"date-parts":[["2009"]]}}}],"schema":"https://github.com/citation-style-language/schema/raw/master/csl-citation.json"} </w:instrText>
      </w:r>
      <w:r w:rsidRPr="00107040">
        <w:rPr>
          <w:sz w:val="28"/>
          <w:szCs w:val="28"/>
          <w:lang w:val="ru-RU"/>
        </w:rPr>
        <w:fldChar w:fldCharType="separate"/>
      </w:r>
      <w:r w:rsidR="00FB5E68" w:rsidRPr="00FB5E68">
        <w:rPr>
          <w:sz w:val="28"/>
          <w:lang w:val="ru-RU"/>
        </w:rPr>
        <w:t>[396]</w:t>
      </w:r>
      <w:r w:rsidRPr="00107040">
        <w:rPr>
          <w:sz w:val="28"/>
          <w:szCs w:val="28"/>
          <w:lang w:val="ru-RU"/>
        </w:rPr>
        <w:fldChar w:fldCharType="end"/>
      </w:r>
      <w:r w:rsidRPr="00107040">
        <w:rPr>
          <w:sz w:val="28"/>
          <w:szCs w:val="28"/>
          <w:lang w:val="ru-RU"/>
        </w:rPr>
        <w:t xml:space="preserve">. </w:t>
      </w:r>
    </w:p>
    <w:p w14:paraId="3CDFDFA9" w14:textId="123D93DE"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t xml:space="preserve">Еще одним членом семейства </w:t>
      </w:r>
      <w:r w:rsidRPr="00107040">
        <w:rPr>
          <w:sz w:val="28"/>
          <w:szCs w:val="28"/>
        </w:rPr>
        <w:t>SRO</w:t>
      </w:r>
      <w:r w:rsidRPr="00107040">
        <w:rPr>
          <w:sz w:val="28"/>
          <w:szCs w:val="28"/>
          <w:lang w:val="ru-RU"/>
        </w:rPr>
        <w:t xml:space="preserve"> является </w:t>
      </w:r>
      <w:r w:rsidRPr="00107040">
        <w:rPr>
          <w:sz w:val="28"/>
          <w:szCs w:val="28"/>
        </w:rPr>
        <w:t>SRO</w:t>
      </w:r>
      <w:r w:rsidRPr="00107040">
        <w:rPr>
          <w:sz w:val="28"/>
          <w:szCs w:val="28"/>
          <w:lang w:val="ru-RU"/>
        </w:rPr>
        <w:t xml:space="preserve">5. В отличие от </w:t>
      </w:r>
      <w:r w:rsidRPr="00107040">
        <w:rPr>
          <w:sz w:val="28"/>
          <w:szCs w:val="28"/>
        </w:rPr>
        <w:t>RCD</w:t>
      </w:r>
      <w:r w:rsidRPr="00107040">
        <w:rPr>
          <w:sz w:val="28"/>
          <w:szCs w:val="28"/>
          <w:lang w:val="ru-RU"/>
        </w:rPr>
        <w:t xml:space="preserve">1 и </w:t>
      </w:r>
      <w:r w:rsidRPr="00107040">
        <w:rPr>
          <w:sz w:val="28"/>
          <w:szCs w:val="28"/>
        </w:rPr>
        <w:t>SRO</w:t>
      </w:r>
      <w:r w:rsidRPr="00107040">
        <w:rPr>
          <w:sz w:val="28"/>
          <w:szCs w:val="28"/>
          <w:lang w:val="ru-RU"/>
        </w:rPr>
        <w:t xml:space="preserve">1, экспрессия которых практически не изменяется при стрессе, уровни транскриптов </w:t>
      </w:r>
      <w:r w:rsidRPr="00107040">
        <w:rPr>
          <w:sz w:val="28"/>
          <w:szCs w:val="28"/>
        </w:rPr>
        <w:t>SRO</w:t>
      </w:r>
      <w:r w:rsidRPr="00107040">
        <w:rPr>
          <w:sz w:val="28"/>
          <w:szCs w:val="28"/>
          <w:lang w:val="ru-RU"/>
        </w:rPr>
        <w:t xml:space="preserve">5 изменялись при воздействии солености, озона, света, ранения, аноксии и бактериальных элиситоров </w:t>
      </w:r>
      <w:r w:rsidRPr="00107040">
        <w:rPr>
          <w:sz w:val="28"/>
          <w:szCs w:val="28"/>
          <w:lang w:val="ru-RU"/>
        </w:rPr>
        <w:fldChar w:fldCharType="begin"/>
      </w:r>
      <w:r w:rsidR="00FB5E68">
        <w:rPr>
          <w:sz w:val="28"/>
          <w:szCs w:val="28"/>
          <w:lang w:val="ru-RU"/>
        </w:rPr>
        <w:instrText xml:space="preserve"> ADDIN ZOTERO_ITEM CSL_CITATION {"citationID":"ahip2bfrg3","properties":{"formattedCitation":"[393,420]","plainCitation":"[393,420]","noteIndex":0},"citationItems":[{"id":264,"uris":["http://zotero.org/users/9078202/items/MI2KU2P7"],"itemData":{"id":264,"type":"article-journal","abstract":"Background\nThe SROs (SIMILAR TO RCD-ONE) are a group of plant-specific proteins which have important functions in stress adaptation and development. They contain the catalytic core of the poly(ADP-ribose) polymerase (PARP) domain and a C-terminal RST (RCD-SRO-TAF4) domain. In addition to these domains, several, but not all, SROs contain an N-terminal WWE domain.\n\nResults\nSROs are present in all analyzed land plants and sequence analysis differentiates between two structurally distinct groups; cryptogams and monocots possess only group I SROs whereas eudicots also contain group II. Group I SROs possess an N-terminal WWE domain (PS50918) but the WWE domain is lacking in group II SROs. Group I domain structure is widely represented in organisms as distant as humans (for example, HsPARP11). We propose a unified nomenclature for the SRO family. The SROs are able to interact with transcription factors through the C-terminal RST domain but themselves are generally not regulated at the transcriptional level. The most conserved feature of the SROs is the catalytic core of the poly(ADP-ribose) polymerase (PS51059) domain. However, bioinformatic analysis of the SRO PARP domain fold-structure and biochemical assays of AtRCD1 suggested that SROs do not possess ADP-ribosyl transferase activity.\n\nConclusions\nThe SROs are a highly conserved family of plant specific proteins. Sequence analysis of the RST domain implicates a highly preserved protein structure in that region. This might have implications for functional conservation. We suggest that, despite the presence of the catalytic core of the PARP domain, the SROs do not possess ADP-ribosyl transferase activity. Nevertheless, the function of SROs is critical for plants and might be related to transcription factor regulation and complex formation.","container-title":"BMC Genomics","DOI":"10.1186/1471-2164-11-170","ISSN":"1471-2164","journalAbbreviation":"BMC Genomics","note":"PMID: 20226034\nPMCID: PMC2848248","page":"170","source":"PubMed Central","title":"The RST and PARP-like domain containing SRO protein family: analysis of protein structure, function and conservation in land plants","title-short":"The RST and PARP-like domain containing SRO protein family","URL":"https://www.ncbi.nlm.nih.gov/pmc/articles/PMC2848248/","volume":"11","author":[{"family":"Jaspers","given":"Pinja"},{"family":"Overmyer","given":"Kirk"},{"family":"Wrzaczek","given":"Michael"},{"family":"Vainonen","given":"Julia P"},{"family":"Blomster","given":"Tiina"},{"family":"Salojärvi","given":"Jarkko"},{"family":"Reddy","given":"Ramesha A"},{"family":"Kangasjärvi","given":"Jaakko"}],"accessed":{"date-parts":[["2022",4,11]]},"issued":{"date-parts":[["2010",3,12]]}}},{"id":1884,"uris":["http://zotero.org/users/9078202/items/BFVJW8TL"],"itemData":{"id":1884,"type":"article-journal","abstract":"Sl-SROl1 is a salt-regulated gene from Solanum lycopersicon L. that shares amino acid sequence similarity with At-SRO5, a member of the radical-induced cell death 1—similar to RCD1 (RCD-SRO) gene family. The expression of Sl-SROl1 and At-SRO5 was up regulated by salt stress specifically in the roots and the encoded polypeptides share common functions as assessed by over-expressing both genes in wild-type Arabidopsis and in sro5, a T-DNA insertion knockout for At-SRO5. Over-expression of At-SRO5 reduced the H2O2 content of WT salt-stressed roots and the high H2O2 levels found in sro5. It also improved the salt tolerance of WT and sro5 plants and, when over-expressed in the WT background, At-SRO5 caused a slight reduction in the sensitivity of root growth to salt stress. Sl-SROl1 also reduced root H2O2 levels and improved salt tolerance when over-expressed in either WT or sro5. Seed germination in the presence of salt was substantially impaired in sro5 indicating a role for At-SRO5 during germination processes. Over-expression of Sl-SROl1 or At-SRO5 greatly improved the germination capacity of sro5 during salt stress. At-SRO5 contains a poly (ADP-ribose) polymerase (PARP) signature, which was also present in Sl-SROl1. These data are discussed in context with the putative PARP function of these polypeptides, which might modify effectors of oxidative stress tolerance.","container-title":"Plant Science","DOI":"10.1016/j.plantsci.2008.10.012","ISSN":"0168-9452","issue":"2","journalAbbreviation":"Plant Science","language":"en","page":"214-222","source":"ScienceDirect","title":"Sl-SROl1 increases salt tolerance and is a member of the radical-induced cell death 1—similar to RCD1 gene family of tomato","URL":"https://www.sciencedirect.com/science/article/pii/S0168945208002975","volume":"176","author":[{"family":"Babajani","given":"Gholamreza"},{"family":"Effendy","given":"Jollanda"},{"family":"Plant","given":"Aine L."}],"accessed":{"date-parts":[["2022",9,8]]},"issued":{"date-parts":[["2009",2,1]]}}}],"schema":"https://github.com/citation-style-language/schema/raw/master/csl-citation.json"} </w:instrText>
      </w:r>
      <w:r w:rsidRPr="00107040">
        <w:rPr>
          <w:sz w:val="28"/>
          <w:szCs w:val="28"/>
          <w:lang w:val="ru-RU"/>
        </w:rPr>
        <w:fldChar w:fldCharType="separate"/>
      </w:r>
      <w:r w:rsidR="00FB5E68" w:rsidRPr="00FB5E68">
        <w:rPr>
          <w:sz w:val="28"/>
          <w:lang w:val="ru-RU"/>
        </w:rPr>
        <w:t>[393,420]</w:t>
      </w:r>
      <w:r w:rsidRPr="00107040">
        <w:rPr>
          <w:sz w:val="28"/>
          <w:szCs w:val="28"/>
          <w:lang w:val="ru-RU"/>
        </w:rPr>
        <w:fldChar w:fldCharType="end"/>
      </w:r>
      <w:r w:rsidRPr="00107040">
        <w:rPr>
          <w:sz w:val="28"/>
          <w:szCs w:val="28"/>
          <w:lang w:val="ru-RU"/>
        </w:rPr>
        <w:t xml:space="preserve">. Кроме того, было показано, что </w:t>
      </w:r>
      <w:r w:rsidRPr="00107040">
        <w:rPr>
          <w:sz w:val="28"/>
          <w:szCs w:val="28"/>
        </w:rPr>
        <w:t>SRO</w:t>
      </w:r>
      <w:r w:rsidRPr="00107040">
        <w:rPr>
          <w:sz w:val="28"/>
          <w:szCs w:val="28"/>
          <w:lang w:val="ru-RU"/>
        </w:rPr>
        <w:t xml:space="preserve">5 очень своеобразно участвует в ответе на солевой и окислительный стресс [200]: при солевом стрессе транскрипты </w:t>
      </w:r>
      <w:r w:rsidRPr="00107040">
        <w:rPr>
          <w:sz w:val="28"/>
          <w:szCs w:val="28"/>
        </w:rPr>
        <w:t>SRO</w:t>
      </w:r>
      <w:r w:rsidRPr="00107040">
        <w:rPr>
          <w:sz w:val="28"/>
          <w:szCs w:val="28"/>
          <w:lang w:val="ru-RU"/>
        </w:rPr>
        <w:t xml:space="preserve">5 образуют </w:t>
      </w:r>
      <w:r w:rsidRPr="00107040">
        <w:rPr>
          <w:sz w:val="28"/>
          <w:szCs w:val="28"/>
        </w:rPr>
        <w:t>si</w:t>
      </w:r>
      <w:r w:rsidRPr="00107040">
        <w:rPr>
          <w:sz w:val="28"/>
          <w:szCs w:val="28"/>
          <w:lang w:val="ru-RU"/>
        </w:rPr>
        <w:t xml:space="preserve">РНК с перекрывающимся в антисмысловой ориентации геном </w:t>
      </w:r>
      <w:r w:rsidRPr="00107040">
        <w:rPr>
          <w:sz w:val="28"/>
          <w:szCs w:val="28"/>
        </w:rPr>
        <w:t>P</w:t>
      </w:r>
      <w:r w:rsidRPr="00107040">
        <w:rPr>
          <w:sz w:val="28"/>
          <w:szCs w:val="28"/>
          <w:lang w:val="ru-RU"/>
        </w:rPr>
        <w:t>5</w:t>
      </w:r>
      <w:r w:rsidRPr="00107040">
        <w:rPr>
          <w:sz w:val="28"/>
          <w:szCs w:val="28"/>
        </w:rPr>
        <w:t>CDH</w:t>
      </w:r>
      <w:r w:rsidRPr="00107040">
        <w:rPr>
          <w:sz w:val="28"/>
          <w:szCs w:val="28"/>
          <w:lang w:val="ru-RU"/>
        </w:rPr>
        <w:t xml:space="preserve"> (1-пирролин-5-карбоксилат дегидрогеназы), тем самым регулируя ее на посттранскрипционном уровне. Удивительно, но экспрессия гена </w:t>
      </w:r>
      <w:r w:rsidRPr="00107040">
        <w:rPr>
          <w:sz w:val="28"/>
          <w:szCs w:val="28"/>
        </w:rPr>
        <w:t>P</w:t>
      </w:r>
      <w:r w:rsidRPr="00107040">
        <w:rPr>
          <w:sz w:val="28"/>
          <w:szCs w:val="28"/>
          <w:lang w:val="ru-RU"/>
        </w:rPr>
        <w:t>5</w:t>
      </w:r>
      <w:r w:rsidRPr="00107040">
        <w:rPr>
          <w:sz w:val="28"/>
          <w:szCs w:val="28"/>
        </w:rPr>
        <w:t>CDH</w:t>
      </w:r>
      <w:r w:rsidRPr="00107040">
        <w:rPr>
          <w:sz w:val="28"/>
          <w:szCs w:val="28"/>
          <w:lang w:val="ru-RU"/>
        </w:rPr>
        <w:t xml:space="preserve"> не была усилена в мутантных растениях </w:t>
      </w:r>
      <w:r w:rsidRPr="00107040">
        <w:rPr>
          <w:i/>
          <w:sz w:val="28"/>
          <w:szCs w:val="28"/>
        </w:rPr>
        <w:t>sro</w:t>
      </w:r>
      <w:r w:rsidRPr="00107040">
        <w:rPr>
          <w:i/>
          <w:sz w:val="28"/>
          <w:szCs w:val="28"/>
          <w:lang w:val="ru-RU"/>
        </w:rPr>
        <w:t>5</w:t>
      </w:r>
      <w:r w:rsidRPr="00107040">
        <w:rPr>
          <w:sz w:val="28"/>
          <w:szCs w:val="28"/>
          <w:lang w:val="ru-RU"/>
        </w:rPr>
        <w:t xml:space="preserve"> </w:t>
      </w:r>
      <w:r w:rsidRPr="00107040">
        <w:rPr>
          <w:sz w:val="28"/>
          <w:szCs w:val="28"/>
          <w:lang w:val="ru-RU"/>
        </w:rPr>
        <w:fldChar w:fldCharType="begin"/>
      </w:r>
      <w:r w:rsidR="00FB5E68">
        <w:rPr>
          <w:sz w:val="28"/>
          <w:szCs w:val="28"/>
          <w:lang w:val="ru-RU"/>
        </w:rPr>
        <w:instrText xml:space="preserve"> ADDIN ZOTERO_ITEM CSL_CITATION {"citationID":"a1gevr13nu8","properties":{"formattedCitation":"[393,420]","plainCitation":"[393,420]","noteIndex":0},"citationItems":[{"id":1884,"uris":["http://zotero.org/users/9078202/items/BFVJW8TL"],"itemData":{"id":1884,"type":"article-journal","abstract":"Sl-SROl1 is a salt-regulated gene from Solanum lycopersicon L. that shares amino acid sequence similarity with At-SRO5, a member of the radical-induced cell death 1—similar to RCD1 (RCD-SRO) gene family. The expression of Sl-SROl1 and At-SRO5 was up regulated by salt stress specifically in the roots and the encoded polypeptides share common functions as assessed by over-expressing both genes in wild-type Arabidopsis and in sro5, a T-DNA insertion knockout for At-SRO5. Over-expression of At-SRO5 reduced the H2O2 content of WT salt-stressed roots and the high H2O2 levels found in sro5. It also improved the salt tolerance of WT and sro5 plants and, when over-expressed in the WT background, At-SRO5 caused a slight reduction in the sensitivity of root growth to salt stress. Sl-SROl1 also reduced root H2O2 levels and improved salt tolerance when over-expressed in either WT or sro5. Seed germination in the presence of salt was substantially impaired in sro5 indicating a role for At-SRO5 during germination processes. Over-expression of Sl-SROl1 or At-SRO5 greatly improved the germination capacity of sro5 during salt stress. At-SRO5 contains a poly (ADP-ribose) polymerase (PARP) signature, which was also present in Sl-SROl1. These data are discussed in context with the putative PARP function of these polypeptides, which might modify effectors of oxidative stress tolerance.","container-title":"Plant Science","DOI":"10.1016/j.plantsci.2008.10.012","ISSN":"0168-9452","issue":"2","journalAbbreviation":"Plant Science","language":"en","page":"214-222","source":"ScienceDirect","title":"Sl-SROl1 increases salt tolerance and is a member of the radical-induced cell death 1—similar to RCD1 gene family of tomato","URL":"https://www.sciencedirect.com/science/article/pii/S0168945208002975","volume":"176","author":[{"family":"Babajani","given":"Gholamreza"},{"family":"Effendy","given":"Jollanda"},{"family":"Plant","given":"Aine L."}],"accessed":{"date-parts":[["2022",9,8]]},"issued":{"date-parts":[["2009",2,1]]}}},{"id":264,"uris":["http://zotero.org/users/9078202/items/MI2KU2P7"],"itemData":{"id":264,"type":"article-journal","abstract":"Background\nThe SROs (SIMILAR TO RCD-ONE) are a group of plant-specific proteins which have important functions in stress adaptation and development. They contain the catalytic core of the poly(ADP-ribose) polymerase (PARP) domain and a C-terminal RST (RCD-SRO-TAF4) domain. In addition to these domains, several, but not all, SROs contain an N-terminal WWE domain.\n\nResults\nSROs are present in all analyzed land plants and sequence analysis differentiates between two structurally distinct groups; cryptogams and monocots possess only group I SROs whereas eudicots also contain group II. Group I SROs possess an N-terminal WWE domain (PS50918) but the WWE domain is lacking in group II SROs. Group I domain structure is widely represented in organisms as distant as humans (for example, HsPARP11). We propose a unified nomenclature for the SRO family. The SROs are able to interact with transcription factors through the C-terminal RST domain but themselves are generally not regulated at the transcriptional level. The most conserved feature of the SROs is the catalytic core of the poly(ADP-ribose) polymerase (PS51059) domain. However, bioinformatic analysis of the SRO PARP domain fold-structure and biochemical assays of AtRCD1 suggested that SROs do not possess ADP-ribosyl transferase activity.\n\nConclusions\nThe SROs are a highly conserved family of plant specific proteins. Sequence analysis of the RST domain implicates a highly preserved protein structure in that region. This might have implications for functional conservation. We suggest that, despite the presence of the catalytic core of the PARP domain, the SROs do not possess ADP-ribosyl transferase activity. Nevertheless, the function of SROs is critical for plants and might be related to transcription factor regulation and complex formation.","container-title":"BMC Genomics","DOI":"10.1186/1471-2164-11-170","ISSN":"1471-2164","journalAbbreviation":"BMC Genomics","note":"PMID: 20226034\nPMCID: PMC2848248","page":"170","source":"PubMed Central","title":"The RST and PARP-like domain containing SRO protein family: analysis of protein structure, function and conservation in land plants","title-short":"The RST and PARP-like domain containing SRO protein family","URL":"https://www.ncbi.nlm.nih.gov/pmc/articles/PMC2848248/","volume":"11","author":[{"family":"Jaspers","given":"Pinja"},{"family":"Overmyer","given":"Kirk"},{"family":"Wrzaczek","given":"Michael"},{"family":"Vainonen","given":"Julia P"},{"family":"Blomster","given":"Tiina"},{"family":"Salojärvi","given":"Jarkko"},{"family":"Reddy","given":"Ramesha A"},{"family":"Kangasjärvi","given":"Jaakko"}],"accessed":{"date-parts":[["2022",4,11]]},"issued":{"date-parts":[["2010",3,12]]}}}],"schema":"https://github.com/citation-style-language/schema/raw/master/csl-citation.json"} </w:instrText>
      </w:r>
      <w:r w:rsidRPr="00107040">
        <w:rPr>
          <w:sz w:val="28"/>
          <w:szCs w:val="28"/>
          <w:lang w:val="ru-RU"/>
        </w:rPr>
        <w:fldChar w:fldCharType="separate"/>
      </w:r>
      <w:r w:rsidR="00FB5E68" w:rsidRPr="00FB5E68">
        <w:rPr>
          <w:sz w:val="28"/>
          <w:lang w:val="ru-RU"/>
        </w:rPr>
        <w:t>[393,420]</w:t>
      </w:r>
      <w:r w:rsidRPr="00107040">
        <w:rPr>
          <w:sz w:val="28"/>
          <w:szCs w:val="28"/>
          <w:lang w:val="ru-RU"/>
        </w:rPr>
        <w:fldChar w:fldCharType="end"/>
      </w:r>
      <w:r w:rsidRPr="00107040">
        <w:rPr>
          <w:sz w:val="28"/>
          <w:szCs w:val="28"/>
          <w:lang w:val="ru-RU"/>
        </w:rPr>
        <w:t>.</w:t>
      </w:r>
      <w:r w:rsidRPr="00107040">
        <w:rPr>
          <w:sz w:val="28"/>
          <w:szCs w:val="28"/>
          <w:lang w:val="kk-KZ"/>
        </w:rPr>
        <w:t xml:space="preserve"> Кроме того, </w:t>
      </w:r>
      <w:r w:rsidRPr="00107040">
        <w:rPr>
          <w:i/>
          <w:sz w:val="28"/>
          <w:szCs w:val="28"/>
          <w:lang w:val="kk-KZ"/>
        </w:rPr>
        <w:t>SRO5</w:t>
      </w:r>
      <w:r w:rsidRPr="00107040">
        <w:rPr>
          <w:sz w:val="28"/>
          <w:szCs w:val="28"/>
          <w:lang w:val="kk-KZ"/>
        </w:rPr>
        <w:t xml:space="preserve"> и </w:t>
      </w:r>
      <w:r w:rsidRPr="00107040">
        <w:rPr>
          <w:i/>
          <w:sz w:val="28"/>
          <w:szCs w:val="28"/>
          <w:lang w:val="kk-KZ"/>
        </w:rPr>
        <w:t>P5CDH</w:t>
      </w:r>
      <w:r w:rsidRPr="00107040">
        <w:rPr>
          <w:sz w:val="28"/>
          <w:szCs w:val="28"/>
          <w:lang w:val="kk-KZ"/>
        </w:rPr>
        <w:t xml:space="preserve"> не перекрываются у </w:t>
      </w:r>
      <w:r w:rsidRPr="00107040">
        <w:rPr>
          <w:i/>
          <w:sz w:val="28"/>
          <w:szCs w:val="28"/>
          <w:lang w:val="kk-KZ"/>
        </w:rPr>
        <w:t>Arabidopsis lyrata</w:t>
      </w:r>
      <w:r w:rsidRPr="00107040">
        <w:rPr>
          <w:sz w:val="28"/>
          <w:szCs w:val="28"/>
          <w:lang w:val="kk-KZ"/>
        </w:rPr>
        <w:t xml:space="preserve">, виноградной лозы и тополя </w:t>
      </w:r>
      <w:r w:rsidRPr="00107040">
        <w:rPr>
          <w:sz w:val="28"/>
          <w:szCs w:val="28"/>
          <w:lang w:val="kk-KZ"/>
        </w:rPr>
        <w:fldChar w:fldCharType="begin"/>
      </w:r>
      <w:r w:rsidR="00FB5E68">
        <w:rPr>
          <w:sz w:val="28"/>
          <w:szCs w:val="28"/>
          <w:lang w:val="kk-KZ"/>
        </w:rPr>
        <w:instrText xml:space="preserve"> ADDIN ZOTERO_ITEM CSL_CITATION {"citationID":"a2ktmm235oa","properties":{"formattedCitation":"[393]","plainCitation":"[393]","noteIndex":0},"citationItems":[{"id":264,"uris":["http://zotero.org/users/9078202/items/MI2KU2P7"],"itemData":{"id":264,"type":"article-journal","abstract":"Background\nThe SROs (SIMILAR TO RCD-ONE) are a group of plant-specific proteins which have important functions in stress adaptation and development. They contain the catalytic core of the poly(ADP-ribose) polymerase (PARP) domain and a C-terminal RST (RCD-SRO-TAF4) domain. In addition to these domains, several, but not all, SROs contain an N-terminal WWE domain.\n\nResults\nSROs are present in all analyzed land plants and sequence analysis differentiates between two structurally distinct groups; cryptogams and monocots possess only group I SROs whereas eudicots also contain group II. Group I SROs possess an N-terminal WWE domain (PS50918) but the WWE domain is lacking in group II SROs. Group I domain structure is widely represented in organisms as distant as humans (for example, HsPARP11). We propose a unified nomenclature for the SRO family. The SROs are able to interact with transcription factors through the C-terminal RST domain but themselves are generally not regulated at the transcriptional level. The most conserved feature of the SROs is the catalytic core of the poly(ADP-ribose) polymerase (PS51059) domain. However, bioinformatic analysis of the SRO PARP domain fold-structure and biochemical assays of AtRCD1 suggested that SROs do not possess ADP-ribosyl transferase activity.\n\nConclusions\nThe SROs are a highly conserved family of plant specific proteins. Sequence analysis of the RST domain implicates a highly preserved protein structure in that region. This might have implications for functional conservation. We suggest that, despite the presence of the catalytic core of the PARP domain, the SROs do not possess ADP-ribosyl transferase activity. Nevertheless, the function of SROs is critical for plants and might be related to transcription factor regulation and complex formation.","container-title":"BMC Genomics","DOI":"10.1186/1471-2164-11-170","ISSN":"1471-2164","journalAbbreviation":"BMC Genomics","note":"PMID: 20226034\nPMCID: PMC2848248","page":"170","source":"PubMed Central","title":"The RST and PARP-like domain containing SRO protein family: analysis of protein structure, function and conservation in land plants","title-short":"The RST and PARP-like domain containing SRO protein family","URL":"https://www.ncbi.nlm.nih.gov/pmc/articles/PMC2848248/","volume":"11","author":[{"family":"Jaspers","given":"Pinja"},{"family":"Overmyer","given":"Kirk"},{"family":"Wrzaczek","given":"Michael"},{"family":"Vainonen","given":"Julia P"},{"family":"Blomster","given":"Tiina"},{"family":"Salojärvi","given":"Jarkko"},{"family":"Reddy","given":"Ramesha A"},{"family":"Kangasjärvi","given":"Jaakko"}],"accessed":{"date-parts":[["2022",4,11]]},"issued":{"date-parts":[["2010",3,12]]}}}],"schema":"https://github.com/citation-style-language/schema/raw/master/csl-citation.json"} </w:instrText>
      </w:r>
      <w:r w:rsidRPr="00107040">
        <w:rPr>
          <w:sz w:val="28"/>
          <w:szCs w:val="28"/>
          <w:lang w:val="kk-KZ"/>
        </w:rPr>
        <w:fldChar w:fldCharType="separate"/>
      </w:r>
      <w:r w:rsidR="00FB5E68" w:rsidRPr="00FB5E68">
        <w:rPr>
          <w:sz w:val="28"/>
          <w:lang w:val="ru-RU"/>
        </w:rPr>
        <w:t>[393]</w:t>
      </w:r>
      <w:r w:rsidRPr="00107040">
        <w:rPr>
          <w:sz w:val="28"/>
          <w:szCs w:val="28"/>
          <w:lang w:val="kk-KZ"/>
        </w:rPr>
        <w:fldChar w:fldCharType="end"/>
      </w:r>
      <w:r w:rsidRPr="00107040">
        <w:rPr>
          <w:sz w:val="28"/>
          <w:szCs w:val="28"/>
          <w:lang w:val="kk-KZ"/>
        </w:rPr>
        <w:t xml:space="preserve">. Поэтому было высказано предположение, что регуляция P5CDH не является основной функцией гена SRO5 </w:t>
      </w:r>
      <w:r w:rsidRPr="00107040">
        <w:rPr>
          <w:sz w:val="28"/>
          <w:szCs w:val="28"/>
          <w:lang w:val="kk-KZ"/>
        </w:rPr>
        <w:fldChar w:fldCharType="begin"/>
      </w:r>
      <w:r w:rsidR="00FB5E68">
        <w:rPr>
          <w:sz w:val="28"/>
          <w:szCs w:val="28"/>
          <w:lang w:val="kk-KZ"/>
        </w:rPr>
        <w:instrText xml:space="preserve"> ADDIN ZOTERO_ITEM CSL_CITATION {"citationID":"a8eku8uq6a","properties":{"formattedCitation":"[393,420]","plainCitation":"[393,420]","noteIndex":0},"citationItems":[{"id":264,"uris":["http://zotero.org/users/9078202/items/MI2KU2P7"],"itemData":{"id":264,"type":"article-journal","abstract":"Background\nThe SROs (SIMILAR TO RCD-ONE) are a group of plant-specific proteins which have important functions in stress adaptation and development. They contain the catalytic core of the poly(ADP-ribose) polymerase (PARP) domain and a C-terminal RST (RCD-SRO-TAF4) domain. In addition to these domains, several, but not all, SROs contain an N-terminal WWE domain.\n\nResults\nSROs are present in all analyzed land plants and sequence analysis differentiates between two structurally distinct groups; cryptogams and monocots possess only group I SROs whereas eudicots also contain group II. Group I SROs possess an N-terminal WWE domain (PS50918) but the WWE domain is lacking in group II SROs. Group I domain structure is widely represented in organisms as distant as humans (for example, HsPARP11). We propose a unified nomenclature for the SRO family. The SROs are able to interact with transcription factors through the C-terminal RST domain but themselves are generally not regulated at the transcriptional level. The most conserved feature of the SROs is the catalytic core of the poly(ADP-ribose) polymerase (PS51059) domain. However, bioinformatic analysis of the SRO PARP domain fold-structure and biochemical assays of AtRCD1 suggested that SROs do not possess ADP-ribosyl transferase activity.\n\nConclusions\nThe SROs are a highly conserved family of plant specific proteins. Sequence analysis of the RST domain implicates a highly preserved protein structure in that region. This might have implications for functional conservation. We suggest that, despite the presence of the catalytic core of the PARP domain, the SROs do not possess ADP-ribosyl transferase activity. Nevertheless, the function of SROs is critical for plants and might be related to transcription factor regulation and complex formation.","container-title":"BMC Genomics","DOI":"10.1186/1471-2164-11-170","ISSN":"1471-2164","journalAbbreviation":"BMC Genomics","note":"PMID: 20226034\nPMCID: PMC2848248","page":"170","source":"PubMed Central","title":"The RST and PARP-like domain containing SRO protein family: analysis of protein structure, function and conservation in land plants","title-short":"The RST and PARP-like domain containing SRO protein family","URL":"https://www.ncbi.nlm.nih.gov/pmc/articles/PMC2848248/","volume":"11","author":[{"family":"Jaspers","given":"Pinja"},{"family":"Overmyer","given":"Kirk"},{"family":"Wrzaczek","given":"Michael"},{"family":"Vainonen","given":"Julia P"},{"family":"Blomster","given":"Tiina"},{"family":"Salojärvi","given":"Jarkko"},{"family":"Reddy","given":"Ramesha A"},{"family":"Kangasjärvi","given":"Jaakko"}],"accessed":{"date-parts":[["2022",4,11]]},"issued":{"date-parts":[["2010",3,12]]}}},{"id":1884,"uris":["http://zotero.org/users/9078202/items/BFVJW8TL"],"itemData":{"id":1884,"type":"article-journal","abstract":"Sl-SROl1 is a salt-regulated gene from Solanum lycopersicon L. that shares amino acid sequence similarity with At-SRO5, a member of the radical-induced cell death 1—similar to RCD1 (RCD-SRO) gene family. The expression of Sl-SROl1 and At-SRO5 was up regulated by salt stress specifically in the roots and the encoded polypeptides share common functions as assessed by over-expressing both genes in wild-type Arabidopsis and in sro5, a T-DNA insertion knockout for At-SRO5. Over-expression of At-SRO5 reduced the H2O2 content of WT salt-stressed roots and the high H2O2 levels found in sro5. It also improved the salt tolerance of WT and sro5 plants and, when over-expressed in the WT background, At-SRO5 caused a slight reduction in the sensitivity of root growth to salt stress. Sl-SROl1 also reduced root H2O2 levels and improved salt tolerance when over-expressed in either WT or sro5. Seed germination in the presence of salt was substantially impaired in sro5 indicating a role for At-SRO5 during germination processes. Over-expression of Sl-SROl1 or At-SRO5 greatly improved the germination capacity of sro5 during salt stress. At-SRO5 contains a poly (ADP-ribose) polymerase (PARP) signature, which was also present in Sl-SROl1. These data are discussed in context with the putative PARP function of these polypeptides, which might modify effectors of oxidative stress tolerance.","container-title":"Plant Science","DOI":"10.1016/j.plantsci.2008.10.012","ISSN":"0168-9452","issue":"2","journalAbbreviation":"Plant Science","language":"en","page":"214-222","source":"ScienceDirect","title":"Sl-SROl1 increases salt tolerance and is a member of the radical-induced cell death 1—similar to RCD1 gene family of tomato","URL":"https://www.sciencedirect.com/science/article/pii/S0168945208002975","volume":"176","author":[{"family":"Babajani","given":"Gholamreza"},{"family":"Effendy","given":"Jollanda"},{"family":"Plant","given":"Aine L."}],"accessed":{"date-parts":[["2022",9,8]]},"issued":{"date-parts":[["2009",2,1]]}}}],"schema":"https://github.com/citation-style-language/schema/raw/master/csl-citation.json"} </w:instrText>
      </w:r>
      <w:r w:rsidRPr="00107040">
        <w:rPr>
          <w:sz w:val="28"/>
          <w:szCs w:val="28"/>
          <w:lang w:val="kk-KZ"/>
        </w:rPr>
        <w:fldChar w:fldCharType="separate"/>
      </w:r>
      <w:r w:rsidR="00FB5E68" w:rsidRPr="00FB5E68">
        <w:rPr>
          <w:sz w:val="28"/>
          <w:lang w:val="ru-RU"/>
        </w:rPr>
        <w:t>[393,420]</w:t>
      </w:r>
      <w:r w:rsidRPr="00107040">
        <w:rPr>
          <w:sz w:val="28"/>
          <w:szCs w:val="28"/>
          <w:lang w:val="kk-KZ"/>
        </w:rPr>
        <w:fldChar w:fldCharType="end"/>
      </w:r>
      <w:r w:rsidRPr="00107040">
        <w:rPr>
          <w:sz w:val="28"/>
          <w:szCs w:val="28"/>
          <w:lang w:val="kk-KZ"/>
        </w:rPr>
        <w:t xml:space="preserve">. Сам SRO5, по-видимому, участвует в регуляции АФК [200]. Подобно RCD1 и SRO1, SRO5 локализуется в ядре и взаимодействует с факторами транскрипции, включая DREB2A </w:t>
      </w:r>
      <w:r w:rsidRPr="00107040">
        <w:rPr>
          <w:sz w:val="28"/>
          <w:szCs w:val="28"/>
          <w:lang w:val="kk-KZ"/>
        </w:rPr>
        <w:fldChar w:fldCharType="begin"/>
      </w:r>
      <w:r w:rsidR="00FB5E68">
        <w:rPr>
          <w:sz w:val="28"/>
          <w:szCs w:val="28"/>
          <w:lang w:val="kk-KZ"/>
        </w:rPr>
        <w:instrText xml:space="preserve"> ADDIN ZOTERO_ITEM CSL_CITATION {"citationID":"a4mhk8ilpm","properties":{"formattedCitation":"[393]","plainCitation":"[393]","noteIndex":0},"citationItems":[{"id":264,"uris":["http://zotero.org/users/9078202/items/MI2KU2P7"],"itemData":{"id":264,"type":"article-journal","abstract":"Background\nThe SROs (SIMILAR TO RCD-ONE) are a group of plant-specific proteins which have important functions in stress adaptation and development. They contain the catalytic core of the poly(ADP-ribose) polymerase (PARP) domain and a C-terminal RST (RCD-SRO-TAF4) domain. In addition to these domains, several, but not all, SROs contain an N-terminal WWE domain.\n\nResults\nSROs are present in all analyzed land plants and sequence analysis differentiates between two structurally distinct groups; cryptogams and monocots possess only group I SROs whereas eudicots also contain group II. Group I SROs possess an N-terminal WWE domain (PS50918) but the WWE domain is lacking in group II SROs. Group I domain structure is widely represented in organisms as distant as humans (for example, HsPARP11). We propose a unified nomenclature for the SRO family. The SROs are able to interact with transcription factors through the C-terminal RST domain but themselves are generally not regulated at the transcriptional level. The most conserved feature of the SROs is the catalytic core of the poly(ADP-ribose) polymerase (PS51059) domain. However, bioinformatic analysis of the SRO PARP domain fold-structure and biochemical assays of AtRCD1 suggested that SROs do not possess ADP-ribosyl transferase activity.\n\nConclusions\nThe SROs are a highly conserved family of plant specific proteins. Sequence analysis of the RST domain implicates a highly preserved protein structure in that region. This might have implications for functional conservation. We suggest that, despite the presence of the catalytic core of the PARP domain, the SROs do not possess ADP-ribosyl transferase activity. Nevertheless, the function of SROs is critical for plants and might be related to transcription factor regulation and complex formation.","container-title":"BMC Genomics","DOI":"10.1186/1471-2164-11-170","ISSN":"1471-2164","journalAbbreviation":"BMC Genomics","note":"PMID: 20226034\nPMCID: PMC2848248","page":"170","source":"PubMed Central","title":"The RST and PARP-like domain containing SRO protein family: analysis of protein structure, function and conservation in land plants","title-short":"The RST and PARP-like domain containing SRO protein family","URL":"https://www.ncbi.nlm.nih.gov/pmc/articles/PMC2848248/","volume":"11","author":[{"family":"Jaspers","given":"Pinja"},{"family":"Overmyer","given":"Kirk"},{"family":"Wrzaczek","given":"Michael"},{"family":"Vainonen","given":"Julia P"},{"family":"Blomster","given":"Tiina"},{"family":"Salojärvi","given":"Jarkko"},{"family":"Reddy","given":"Ramesha A"},{"family":"Kangasjärvi","given":"Jaakko"}],"accessed":{"date-parts":[["2022",4,11]]},"issued":{"date-parts":[["2010",3,12]]}}}],"schema":"https://github.com/citation-style-language/schema/raw/master/csl-citation.json"} </w:instrText>
      </w:r>
      <w:r w:rsidRPr="00107040">
        <w:rPr>
          <w:sz w:val="28"/>
          <w:szCs w:val="28"/>
          <w:lang w:val="kk-KZ"/>
        </w:rPr>
        <w:fldChar w:fldCharType="separate"/>
      </w:r>
      <w:r w:rsidR="00FB5E68" w:rsidRPr="00FB5E68">
        <w:rPr>
          <w:sz w:val="28"/>
          <w:lang w:val="ru-RU"/>
        </w:rPr>
        <w:t>[393]</w:t>
      </w:r>
      <w:r w:rsidRPr="00107040">
        <w:rPr>
          <w:sz w:val="28"/>
          <w:szCs w:val="28"/>
          <w:lang w:val="kk-KZ"/>
        </w:rPr>
        <w:fldChar w:fldCharType="end"/>
      </w:r>
      <w:r w:rsidRPr="00107040">
        <w:rPr>
          <w:sz w:val="28"/>
          <w:szCs w:val="28"/>
          <w:lang w:val="kk-KZ"/>
        </w:rPr>
        <w:t xml:space="preserve">, обеспечивая альтернативное объяснение действия SRO5 в растениях. Подобно SRO5, SRO2 и SRO3 показали изменения уровней их транскриптов в ответ на свет, соль и озон </w:t>
      </w:r>
      <w:r w:rsidRPr="00107040">
        <w:rPr>
          <w:sz w:val="28"/>
          <w:szCs w:val="28"/>
          <w:lang w:val="kk-KZ"/>
        </w:rPr>
        <w:fldChar w:fldCharType="begin"/>
      </w:r>
      <w:r w:rsidR="00FB5E68">
        <w:rPr>
          <w:sz w:val="28"/>
          <w:szCs w:val="28"/>
          <w:lang w:val="kk-KZ"/>
        </w:rPr>
        <w:instrText xml:space="preserve"> ADDIN ZOTERO_ITEM CSL_CITATION {"citationID":"a1fvf286pfv","properties":{"formattedCitation":"[393]","plainCitation":"[393]","noteIndex":0},"citationItems":[{"id":264,"uris":["http://zotero.org/users/9078202/items/MI2KU2P7"],"itemData":{"id":264,"type":"article-journal","abstract":"Background\nThe SROs (SIMILAR TO RCD-ONE) are a group of plant-specific proteins which have important functions in stress adaptation and development. They contain the catalytic core of the poly(ADP-ribose) polymerase (PARP) domain and a C-terminal RST (RCD-SRO-TAF4) domain. In addition to these domains, several, but not all, SROs contain an N-terminal WWE domain.\n\nResults\nSROs are present in all analyzed land plants and sequence analysis differentiates between two structurally distinct groups; cryptogams and monocots possess only group I SROs whereas eudicots also contain group II. Group I SROs possess an N-terminal WWE domain (PS50918) but the WWE domain is lacking in group II SROs. Group I domain structure is widely represented in organisms as distant as humans (for example, HsPARP11). We propose a unified nomenclature for the SRO family. The SROs are able to interact with transcription factors through the C-terminal RST domain but themselves are generally not regulated at the transcriptional level. The most conserved feature of the SROs is the catalytic core of the poly(ADP-ribose) polymerase (PS51059) domain. However, bioinformatic analysis of the SRO PARP domain fold-structure and biochemical assays of AtRCD1 suggested that SROs do not possess ADP-ribosyl transferase activity.\n\nConclusions\nThe SROs are a highly conserved family of plant specific proteins. Sequence analysis of the RST domain implicates a highly preserved protein structure in that region. This might have implications for functional conservation. We suggest that, despite the presence of the catalytic core of the PARP domain, the SROs do not possess ADP-ribosyl transferase activity. Nevertheless, the function of SROs is critical for plants and might be related to transcription factor regulation and complex formation.","container-title":"BMC Genomics","DOI":"10.1186/1471-2164-11-170","ISSN":"1471-2164","journalAbbreviation":"BMC Genomics","note":"PMID: 20226034\nPMCID: PMC2848248","page":"170","source":"PubMed Central","title":"The RST and PARP-like domain containing SRO protein family: analysis of protein structure, function and conservation in land plants","title-short":"The RST and PARP-like domain containing SRO protein family","URL":"https://www.ncbi.nlm.nih.gov/pmc/articles/PMC2848248/","volume":"11","author":[{"family":"Jaspers","given":"Pinja"},{"family":"Overmyer","given":"Kirk"},{"family":"Wrzaczek","given":"Michael"},{"family":"Vainonen","given":"Julia P"},{"family":"Blomster","given":"Tiina"},{"family":"Salojärvi","given":"Jarkko"},{"family":"Reddy","given":"Ramesha A"},{"family":"Kangasjärvi","given":"Jaakko"}],"accessed":{"date-parts":[["2022",4,11]]},"issued":{"date-parts":[["2010",3,12]]}}}],"schema":"https://github.com/citation-style-language/schema/raw/master/csl-citation.json"} </w:instrText>
      </w:r>
      <w:r w:rsidRPr="00107040">
        <w:rPr>
          <w:sz w:val="28"/>
          <w:szCs w:val="28"/>
          <w:lang w:val="kk-KZ"/>
        </w:rPr>
        <w:fldChar w:fldCharType="separate"/>
      </w:r>
      <w:r w:rsidR="00FB5E68" w:rsidRPr="00FB5E68">
        <w:rPr>
          <w:sz w:val="28"/>
          <w:lang w:val="ru-RU"/>
        </w:rPr>
        <w:t>[393]</w:t>
      </w:r>
      <w:r w:rsidRPr="00107040">
        <w:rPr>
          <w:sz w:val="28"/>
          <w:szCs w:val="28"/>
          <w:lang w:val="kk-KZ"/>
        </w:rPr>
        <w:fldChar w:fldCharType="end"/>
      </w:r>
      <w:r w:rsidRPr="00107040">
        <w:rPr>
          <w:sz w:val="28"/>
          <w:szCs w:val="28"/>
          <w:lang w:val="kk-KZ"/>
        </w:rPr>
        <w:t xml:space="preserve">. </w:t>
      </w:r>
    </w:p>
    <w:p w14:paraId="739430C1" w14:textId="4A9A88BB" w:rsidR="00107040" w:rsidRPr="00107040" w:rsidRDefault="00107040" w:rsidP="00107040">
      <w:pPr>
        <w:pStyle w:val="afa"/>
        <w:shd w:val="clear" w:color="auto" w:fill="FFFFFF"/>
        <w:spacing w:before="0" w:beforeAutospacing="0" w:after="0" w:afterAutospacing="0"/>
        <w:ind w:firstLine="567"/>
        <w:jc w:val="both"/>
        <w:rPr>
          <w:sz w:val="28"/>
          <w:szCs w:val="28"/>
          <w:lang w:val="ru-RU"/>
        </w:rPr>
      </w:pPr>
      <w:r w:rsidRPr="00107040">
        <w:rPr>
          <w:sz w:val="28"/>
          <w:szCs w:val="28"/>
          <w:lang w:val="ru-RU"/>
        </w:rPr>
        <w:t xml:space="preserve">Центральное положение семейства </w:t>
      </w:r>
      <w:r w:rsidRPr="00107040">
        <w:rPr>
          <w:sz w:val="28"/>
          <w:szCs w:val="28"/>
        </w:rPr>
        <w:t>SRO</w:t>
      </w:r>
      <w:r w:rsidRPr="00107040">
        <w:rPr>
          <w:sz w:val="28"/>
          <w:szCs w:val="28"/>
          <w:lang w:val="ru-RU"/>
        </w:rPr>
        <w:t xml:space="preserve"> в передаче сигналов и реакциях на стресс также верно для однодольных. Модуляция гомеостаза АФК и положительная роль в устойчивости к абиотическим стрессам были продемонстрированы для гомолога пшеницы </w:t>
      </w:r>
      <w:r w:rsidRPr="00107040">
        <w:rPr>
          <w:sz w:val="28"/>
          <w:szCs w:val="28"/>
        </w:rPr>
        <w:t>RCD</w:t>
      </w:r>
      <w:r w:rsidRPr="00107040">
        <w:rPr>
          <w:sz w:val="28"/>
          <w:szCs w:val="28"/>
          <w:lang w:val="ru-RU"/>
        </w:rPr>
        <w:t>1/</w:t>
      </w:r>
      <w:r w:rsidRPr="00107040">
        <w:rPr>
          <w:sz w:val="28"/>
          <w:szCs w:val="28"/>
        </w:rPr>
        <w:t>SRO</w:t>
      </w:r>
      <w:r w:rsidRPr="00107040">
        <w:rPr>
          <w:sz w:val="28"/>
          <w:szCs w:val="28"/>
          <w:lang w:val="ru-RU"/>
        </w:rPr>
        <w:t xml:space="preserve">1, </w:t>
      </w:r>
      <w:r w:rsidRPr="00107040">
        <w:rPr>
          <w:sz w:val="28"/>
          <w:szCs w:val="28"/>
        </w:rPr>
        <w:t>Ta</w:t>
      </w:r>
      <w:r w:rsidRPr="00107040">
        <w:rPr>
          <w:sz w:val="28"/>
          <w:szCs w:val="28"/>
          <w:lang w:val="ru-RU"/>
        </w:rPr>
        <w:t>-</w:t>
      </w:r>
      <w:r w:rsidRPr="00107040">
        <w:rPr>
          <w:sz w:val="28"/>
          <w:szCs w:val="28"/>
        </w:rPr>
        <w:t>SRO</w:t>
      </w:r>
      <w:r w:rsidRPr="00107040">
        <w:rPr>
          <w:sz w:val="28"/>
          <w:szCs w:val="28"/>
          <w:lang w:val="ru-RU"/>
        </w:rPr>
        <w:t xml:space="preserve">1 </w:t>
      </w:r>
      <w:r w:rsidRPr="00107040">
        <w:rPr>
          <w:sz w:val="28"/>
          <w:szCs w:val="28"/>
          <w:lang w:val="ru-RU"/>
        </w:rPr>
        <w:fldChar w:fldCharType="begin"/>
      </w:r>
      <w:r w:rsidR="00FB5E68">
        <w:rPr>
          <w:sz w:val="28"/>
          <w:szCs w:val="28"/>
          <w:lang w:val="ru-RU"/>
        </w:rPr>
        <w:instrText xml:space="preserve"> ADDIN ZOTERO_ITEM CSL_CITATION {"citationID":"al2jsitg4r","properties":{"formattedCitation":"[397]","plainCitation":"[397]","noteIndex":0},"citationItems":[{"id":1133,"uris":["http://zotero.org/users/9078202/items/Y8FRX8TA"],"itemData":{"id":1133,"type":"article-journal","abstract":"This work reports that sro1 (for allelic variation of a wheat SRO gene SRO1) showed higher poly(ADP ribose) polymerase activity than SRO1 due to two residue substitutions and that this protein is involved in both seedling vigor and tolerance to abiotic stress by modulating redox homoeostasis and maintaining genome stability., Plant growth inhibition is a common response to salinity. Under saline conditions, Shanrong No. 3 (), a bread wheat (Triticum aestivum) introgression line, performs better than its parent wheat variety Jinan 177 () with respect to both seedling growth and abiotic stress tolerance. Furthermore, the endogenous reactive oxygen species () was also elevated in  relative to . The  allele of sro1, a gene encoding a poly(ADP ribose) polymerase () domain protein, was identified to be crucial for both aspects of its superior performance. Unlike RADICAL-INDUCED CELL DEATH1 and other Arabidopsis thaliana SIMILAR TO RCD-ONE (SRO) proteins, sro1 has  activity. Both the overexpression of Ta-sro1 in wheat and its heterologous expression in Arabidopsis promote the accumulation of , mainly by enhancing the activity of NADPH oxidase and the expression of NAD(P)H dehydrogenase, in conjunction with the suppression of alternative oxidase expression. Moreover, it promotes the activity of ascorbate-GSH cycle enzymes and GSH peroxidase cycle enzymes, which regulate  content and cellular redox homeostasis. sro1 is also found to be involved in the maintenance of genomic integrity. We show here that the wheat SRO has  activity; such activity could be manipulated to improve the growth of seedlings exposed to salinity stress by modulating redox homeostasis and maintaining genomic stability.","container-title":"The Plant Cell","DOI":"10.1105/tpc.113.118687","ISSN":"1040-4651","issue":"1","journalAbbreviation":"Plant Cell","note":"PMID: 24443520\nPMCID: PMC3963566","page":"164-180","source":"PubMed Central","title":"A Wheat SIMILAR TO RCD-ONE Gene Enhances Seedling Growth and Abiotic Stress Resistance by Modulating Redox Homeostasis and Maintaining Genomic Integrity[C][W]","URL":"https://www.ncbi.nlm.nih.gov/pmc/articles/PMC3963566/","volume":"26","author":[{"family":"Liu","given":"Shuantao"},{"family":"Liu","given":"Shuwei"},{"family":"Wang","given":"Mei"},{"family":"Wei","given":"Tiandi"},{"family":"Meng","given":"Chen"},{"family":"Wang","given":"Meng"},{"family":"Xia","given":"Guangmin"}],"accessed":{"date-parts":[["2022",4,19]]},"issued":{"date-parts":[["2014",1]]}}}],"schema":"https://github.com/citation-style-language/schema/raw/master/csl-citation.json"} </w:instrText>
      </w:r>
      <w:r w:rsidRPr="00107040">
        <w:rPr>
          <w:sz w:val="28"/>
          <w:szCs w:val="28"/>
          <w:lang w:val="ru-RU"/>
        </w:rPr>
        <w:fldChar w:fldCharType="separate"/>
      </w:r>
      <w:r w:rsidR="00FB5E68" w:rsidRPr="00FB5E68">
        <w:rPr>
          <w:sz w:val="28"/>
          <w:lang w:val="ru-RU"/>
        </w:rPr>
        <w:t>[397]</w:t>
      </w:r>
      <w:r w:rsidRPr="00107040">
        <w:rPr>
          <w:sz w:val="28"/>
          <w:szCs w:val="28"/>
          <w:lang w:val="ru-RU"/>
        </w:rPr>
        <w:fldChar w:fldCharType="end"/>
      </w:r>
      <w:r w:rsidRPr="00107040">
        <w:rPr>
          <w:sz w:val="28"/>
          <w:szCs w:val="28"/>
          <w:lang w:val="ru-RU"/>
        </w:rPr>
        <w:t xml:space="preserve">. Белок </w:t>
      </w:r>
      <w:r w:rsidRPr="00107040">
        <w:rPr>
          <w:sz w:val="28"/>
          <w:szCs w:val="28"/>
        </w:rPr>
        <w:t>SRO</w:t>
      </w:r>
      <w:r w:rsidRPr="00107040">
        <w:rPr>
          <w:sz w:val="28"/>
          <w:szCs w:val="28"/>
          <w:lang w:val="ru-RU"/>
        </w:rPr>
        <w:t xml:space="preserve"> в рисе, </w:t>
      </w:r>
      <w:r w:rsidRPr="00107040">
        <w:rPr>
          <w:sz w:val="28"/>
          <w:szCs w:val="28"/>
        </w:rPr>
        <w:t>OsSRO</w:t>
      </w:r>
      <w:r w:rsidRPr="00107040">
        <w:rPr>
          <w:sz w:val="28"/>
          <w:szCs w:val="28"/>
          <w:lang w:val="ru-RU"/>
        </w:rPr>
        <w:t>1</w:t>
      </w:r>
      <w:r w:rsidRPr="00107040">
        <w:rPr>
          <w:sz w:val="28"/>
          <w:szCs w:val="28"/>
        </w:rPr>
        <w:t>c</w:t>
      </w:r>
      <w:r w:rsidRPr="00107040">
        <w:rPr>
          <w:sz w:val="28"/>
          <w:szCs w:val="28"/>
          <w:lang w:val="ru-RU"/>
        </w:rPr>
        <w:t xml:space="preserve">, который является мишенью фактора транскрипции </w:t>
      </w:r>
      <w:r w:rsidRPr="00107040">
        <w:rPr>
          <w:sz w:val="28"/>
          <w:szCs w:val="28"/>
        </w:rPr>
        <w:t>NAC</w:t>
      </w:r>
      <w:r w:rsidRPr="00107040">
        <w:rPr>
          <w:sz w:val="28"/>
          <w:szCs w:val="28"/>
          <w:lang w:val="ru-RU"/>
        </w:rPr>
        <w:t xml:space="preserve">, также участвует в устойчивости к окислительному стрессу, регуляции устьиц и устойчивости к засухе и холоду </w:t>
      </w:r>
      <w:r w:rsidRPr="00107040">
        <w:rPr>
          <w:sz w:val="28"/>
          <w:szCs w:val="28"/>
          <w:lang w:val="ru-RU"/>
        </w:rPr>
        <w:fldChar w:fldCharType="begin"/>
      </w:r>
      <w:r w:rsidR="00FB5E68">
        <w:rPr>
          <w:sz w:val="28"/>
          <w:szCs w:val="28"/>
          <w:lang w:val="ru-RU"/>
        </w:rPr>
        <w:instrText xml:space="preserve"> ADDIN ZOTERO_ITEM CSL_CITATION {"citationID":"a5dqot3s5t","properties":{"formattedCitation":"[394,421]","plainCitation":"[394,421]","noteIndex":0},"citationItems":[{"id":1154,"uris":["http://zotero.org/users/9078202/items/ZXE83HF2"],"itemData":{"id":1154,"type":"article-journal","abstract":"SIMILAR TO RCD ONE (SRO) is a plant-specific gene family involved in development and abiotic stress responses. SRO proteins are characterized by containing poly (ADP-ribose) polymerase catalytic (PARP) and C-terminal RCD1-SRO-TAF4 domains, and can be classified into two groups and five subgroups on the basis of their PARP domain. Expression analysis of rice SRO genes in response to various abiotic stresses showed that OsSRO1c, a rice SRO gene which functions downstream of the stress-responsive transcription factor SNAC1, is the major stress-responsive gene in the rice SRO family. The ossro1c-1 mutant showed resistance not only to chloroplastic oxidative stress, but also to apoplastic oxidative stress. However, the ossro1c-1 mutant and artificial microRNA-OsSRO1c transgenic rice were significantly impaired in cold tolerance. When compared with the well-characterized Arabidopsis SRO protein radical-induced cell death 1 (RCD1), OsSRO1c has considerable variation in the protein sequence, and the two genes exhibit different expression profiles under abiotic stresses. Furthermore, ossro1c-1 and rcd1 showed different responses to multiple abiotic stresses. By screening an Arabidopsis transcription factor library, 29 transcription factors interacted with OsSRO1c in yeast, but only two of these transcription factors were reported to interact with RCD1, which may partly explain the different responses of the two mutants under various stresses. The data presented in this report provide important clues for further elucidating the molecular and biochemical mechanisms of OsSRO1c in mediating responses to multiple abiotic stresses.","container-title":"Plant molecular biology","ISSN":"0167-4412","language":"English","note":"publisher: Springer-Verlag","source":"agris.fao.org","title":"special member of the rice SRO family, OsSRO1c, mediates responses to multiple abiotic stresses through interaction with various transcription factors","URL":"http://dx.doi.org/10.1007/s11103-013-0163-8","author":[{"family":"You","given":"Jun"},{"family":"Zong","given":"Wei"},{"family":"Du","given":"Hao"},{"family":"Hu","given":"Honghong"},{"family":"Xiong","given":"Lizhong"}],"accessed":{"date-parts":[["2022",4,19]]},"issued":{"date-parts":[["2014"]]}}},{"id":1128,"uris":["http://zotero.org/users/9078202/items/9FETJ72K"],"itemData":{"id":1128,"type":"article-journal","abstract":"Abiotic stresses such as drought cause a reduction of plant growth and loss of crop yield. Stomatal aperture controls CO(2) uptake and water loss to the atmosphere, thus playing important roles in both the yield gain and drought tolerance of crops. Here, a rice homologue of SRO (similar to RCD one), termed OsSRO1c, was identified as a direct target gene of SNAC1 (stress-responsive NAC 1) involved in the regulation of stomatal aperture and oxidative response. SNAC1 could bind to the promoter of OsSRO1c and activate the expression of OsSRO1c. OsSRO1c was induced in guard cells by drought stress. The loss-of-function mutant of OsSRO1c showed increased stomatal aperture and sensitivity to drought, and faster water loss compared with the wild-type plant, whereas OsSRO1c overexpression led to decreased stomatal aperture and reduced water loss. Interestingly, OsSRO1c-overexpressing rice showed increased sensitivity to oxidative stress. Expression of DST, a reported zinc finger gene negatively regulating H(2)O(2)-induced stomatal closure, and the activity of H(2)O(2)-scavenging related enzymes were significantly suppressed, and H(2)O(2) in guard cells was accumulated in the overexpression lines. OsSRO1c interacted with various stress-related regulatory and functional proteins, and some of the OsSRO1c-interacting proteins are predicted to be involved in the control of stomatal aperture and oxidative stress tolerance. The results suggest that OsSRO1c has dual roles in drought and oxidative stress tolerance of rice by promoting stomatal closure and H(2)O(2) accumulation through a novel pathway involving regulators SNAC1 and DST.","container-title":"Journal of Experimental Botany","DOI":"10.1093/jxb/ers349","ISSN":"1460-2431","issue":"2","journalAbbreviation":"J Exp Bot","language":"eng","note":"PMID: 23202132\nPMCID: PMC3542048","page":"569-583","source":"PubMed","title":"The SNAC1-targeted gene OsSRO1c modulates stomatal closure and oxidative stress tolerance by regulating hydrogen peroxide in rice","volume":"64","author":[{"family":"You","given":"Jun"},{"family":"Zong","given":"Wei"},{"family":"Li","given":"Xiaokai"},{"family":"Ning","given":"Jing"},{"family":"Hu","given":"Honghong"},{"family":"Li","given":"Xianghua"},{"family":"Xiao","given":"Jinghua"},{"family":"Xiong","given":"Lizhong"}],"issued":{"date-parts":[["2013",1]]}}}],"schema":"https://github.com/citation-style-language/schema/raw/master/csl-citation.json"} </w:instrText>
      </w:r>
      <w:r w:rsidRPr="00107040">
        <w:rPr>
          <w:sz w:val="28"/>
          <w:szCs w:val="28"/>
          <w:lang w:val="ru-RU"/>
        </w:rPr>
        <w:fldChar w:fldCharType="separate"/>
      </w:r>
      <w:r w:rsidR="00FB5E68" w:rsidRPr="00FB5E68">
        <w:rPr>
          <w:sz w:val="28"/>
          <w:lang w:val="ru-RU"/>
        </w:rPr>
        <w:t>[394,421]</w:t>
      </w:r>
      <w:r w:rsidRPr="00107040">
        <w:rPr>
          <w:sz w:val="28"/>
          <w:szCs w:val="28"/>
          <w:lang w:val="ru-RU"/>
        </w:rPr>
        <w:fldChar w:fldCharType="end"/>
      </w:r>
      <w:r w:rsidRPr="00107040">
        <w:rPr>
          <w:sz w:val="28"/>
          <w:szCs w:val="28"/>
          <w:lang w:val="ru-RU"/>
        </w:rPr>
        <w:t xml:space="preserve">. Подобно </w:t>
      </w:r>
      <w:r w:rsidRPr="00107040">
        <w:rPr>
          <w:sz w:val="28"/>
          <w:szCs w:val="28"/>
        </w:rPr>
        <w:t>RCD</w:t>
      </w:r>
      <w:r w:rsidRPr="00107040">
        <w:rPr>
          <w:sz w:val="28"/>
          <w:szCs w:val="28"/>
          <w:lang w:val="ru-RU"/>
        </w:rPr>
        <w:t xml:space="preserve">1 и </w:t>
      </w:r>
      <w:r w:rsidRPr="00107040">
        <w:rPr>
          <w:sz w:val="28"/>
          <w:szCs w:val="28"/>
        </w:rPr>
        <w:t>SRO</w:t>
      </w:r>
      <w:r w:rsidRPr="00107040">
        <w:rPr>
          <w:sz w:val="28"/>
          <w:szCs w:val="28"/>
          <w:lang w:val="ru-RU"/>
        </w:rPr>
        <w:t xml:space="preserve">1 </w:t>
      </w:r>
      <w:r w:rsidRPr="00107040">
        <w:rPr>
          <w:i/>
          <w:sz w:val="28"/>
          <w:szCs w:val="28"/>
        </w:rPr>
        <w:t>Arabidopsis</w:t>
      </w:r>
      <w:r w:rsidRPr="00107040">
        <w:rPr>
          <w:sz w:val="28"/>
          <w:szCs w:val="28"/>
          <w:lang w:val="ru-RU"/>
        </w:rPr>
        <w:t xml:space="preserve">, этот белок риса взаимодействует с транскрипционными факторами </w:t>
      </w:r>
      <w:r w:rsidRPr="00107040">
        <w:rPr>
          <w:sz w:val="28"/>
          <w:szCs w:val="28"/>
        </w:rPr>
        <w:t>DREB</w:t>
      </w:r>
      <w:r w:rsidRPr="00107040">
        <w:rPr>
          <w:sz w:val="28"/>
          <w:szCs w:val="28"/>
          <w:lang w:val="ru-RU"/>
        </w:rPr>
        <w:t xml:space="preserve"> и </w:t>
      </w:r>
      <w:r w:rsidRPr="00107040">
        <w:rPr>
          <w:sz w:val="28"/>
          <w:szCs w:val="28"/>
        </w:rPr>
        <w:t>NAC</w:t>
      </w:r>
      <w:r w:rsidRPr="00107040">
        <w:rPr>
          <w:sz w:val="28"/>
          <w:szCs w:val="28"/>
          <w:lang w:val="ru-RU"/>
        </w:rPr>
        <w:t xml:space="preserve"> </w:t>
      </w:r>
      <w:r w:rsidRPr="00107040">
        <w:rPr>
          <w:sz w:val="28"/>
          <w:szCs w:val="28"/>
          <w:lang w:val="ru-RU"/>
        </w:rPr>
        <w:fldChar w:fldCharType="begin"/>
      </w:r>
      <w:r w:rsidR="00FB5E68">
        <w:rPr>
          <w:sz w:val="28"/>
          <w:szCs w:val="28"/>
          <w:lang w:val="ru-RU"/>
        </w:rPr>
        <w:instrText xml:space="preserve"> ADDIN ZOTERO_ITEM CSL_CITATION {"citationID":"a1bptb82v5n","properties":{"formattedCitation":"[421]","plainCitation":"[421]","noteIndex":0},"citationItems":[{"id":1128,"uris":["http://zotero.org/users/9078202/items/9FETJ72K"],"itemData":{"id":1128,"type":"article-journal","abstract":"Abiotic stresses such as drought cause a reduction of plant growth and loss of crop yield. Stomatal aperture controls CO(2) uptake and water loss to the atmosphere, thus playing important roles in both the yield gain and drought tolerance of crops. Here, a rice homologue of SRO (similar to RCD one), termed OsSRO1c, was identified as a direct target gene of SNAC1 (stress-responsive NAC 1) involved in the regulation of stomatal aperture and oxidative response. SNAC1 could bind to the promoter of OsSRO1c and activate the expression of OsSRO1c. OsSRO1c was induced in guard cells by drought stress. The loss-of-function mutant of OsSRO1c showed increased stomatal aperture and sensitivity to drought, and faster water loss compared with the wild-type plant, whereas OsSRO1c overexpression led to decreased stomatal aperture and reduced water loss. Interestingly, OsSRO1c-overexpressing rice showed increased sensitivity to oxidative stress. Expression of DST, a reported zinc finger gene negatively regulating H(2)O(2)-induced stomatal closure, and the activity of H(2)O(2)-scavenging related enzymes were significantly suppressed, and H(2)O(2) in guard cells was accumulated in the overexpression lines. OsSRO1c interacted with various stress-related regulatory and functional proteins, and some of the OsSRO1c-interacting proteins are predicted to be involved in the control of stomatal aperture and oxidative stress tolerance. The results suggest that OsSRO1c has dual roles in drought and oxidative stress tolerance of rice by promoting stomatal closure and H(2)O(2) accumulation through a novel pathway involving regulators SNAC1 and DST.","container-title":"Journal of Experimental Botany","DOI":"10.1093/jxb/ers349","ISSN":"1460-2431","issue":"2","journalAbbreviation":"J Exp Bot","language":"eng","note":"PMID: 23202132\nPMCID: PMC3542048","page":"569-583","source":"PubMed","title":"The SNAC1-targeted gene OsSRO1c modulates stomatal closure and oxidative stress tolerance by regulating hydrogen peroxide in rice","volume":"64","author":[{"family":"You","given":"Jun"},{"family":"Zong","given":"Wei"},{"family":"Li","given":"Xiaokai"},{"family":"Ning","given":"Jing"},{"family":"Hu","given":"Honghong"},{"family":"Li","given":"Xianghua"},{"family":"Xiao","given":"Jinghua"},{"family":"Xiong","given":"Lizhong"}],"issued":{"date-parts":[["2013",1]]}}}],"schema":"https://github.com/citation-style-language/schema/raw/master/csl-citation.json"} </w:instrText>
      </w:r>
      <w:r w:rsidRPr="00107040">
        <w:rPr>
          <w:sz w:val="28"/>
          <w:szCs w:val="28"/>
          <w:lang w:val="ru-RU"/>
        </w:rPr>
        <w:fldChar w:fldCharType="separate"/>
      </w:r>
      <w:r w:rsidR="00FB5E68" w:rsidRPr="00FB5E68">
        <w:rPr>
          <w:sz w:val="28"/>
          <w:lang w:val="ru-RU"/>
        </w:rPr>
        <w:t>[421]</w:t>
      </w:r>
      <w:r w:rsidRPr="00107040">
        <w:rPr>
          <w:sz w:val="28"/>
          <w:szCs w:val="28"/>
          <w:lang w:val="ru-RU"/>
        </w:rPr>
        <w:fldChar w:fldCharType="end"/>
      </w:r>
      <w:r w:rsidRPr="00107040">
        <w:rPr>
          <w:sz w:val="28"/>
          <w:szCs w:val="28"/>
          <w:lang w:val="ru-RU"/>
        </w:rPr>
        <w:t xml:space="preserve">. Взаимодействие с фактором транскрипции </w:t>
      </w:r>
      <w:r w:rsidRPr="00107040">
        <w:rPr>
          <w:sz w:val="28"/>
          <w:szCs w:val="28"/>
        </w:rPr>
        <w:t>NAC</w:t>
      </w:r>
      <w:r w:rsidRPr="00107040">
        <w:rPr>
          <w:sz w:val="28"/>
          <w:szCs w:val="28"/>
          <w:lang w:val="ru-RU"/>
        </w:rPr>
        <w:t xml:space="preserve"> также было показано для гомолога ячменя </w:t>
      </w:r>
      <w:r w:rsidRPr="00107040">
        <w:rPr>
          <w:sz w:val="28"/>
          <w:szCs w:val="28"/>
        </w:rPr>
        <w:t>HvRCD</w:t>
      </w:r>
      <w:r w:rsidRPr="00107040">
        <w:rPr>
          <w:sz w:val="28"/>
          <w:szCs w:val="28"/>
          <w:lang w:val="ru-RU"/>
        </w:rPr>
        <w:t xml:space="preserve">1 </w:t>
      </w:r>
      <w:r w:rsidRPr="00107040">
        <w:rPr>
          <w:sz w:val="28"/>
          <w:szCs w:val="28"/>
          <w:lang w:val="ru-RU"/>
        </w:rPr>
        <w:fldChar w:fldCharType="begin"/>
      </w:r>
      <w:r w:rsidR="00FB5E68">
        <w:rPr>
          <w:sz w:val="28"/>
          <w:szCs w:val="28"/>
          <w:lang w:val="ru-RU"/>
        </w:rPr>
        <w:instrText xml:space="preserve"> ADDIN ZOTERO_ITEM CSL_CITATION {"citationID":"a5ic8seuia","properties":{"formattedCitation":"[412]","plainCitation":"[412]","noteIndex":0},"citationItems":[{"id":1867,"uris":["http://zotero.org/users/9078202/items/9LI3X9SY"],"itemData":{"id":1867,"type":"article-journal","abstract":"Senescence in plants involves massive nutrient relocation and age-related cell death. Characterization of the molecular components, such as transcription factors (TFs), involved in these processes is required to understand senescence. We found that HvNAC005 and HvNAC013 of the plant-specific NAC (NAM, ATAF1,2, CUC) TF family are up-regulated during senescence in barley (Hordeum vulgare). Both HvNAC005 and HvNAC013 bound the conserved NAC DNA target sequence. Computational and biophysical analyses showed that both proteins are intrinsically disordered in their large C-terminal domains, which are transcription regulatory domains (TRDs) in many NAC TFs. Using motif searches and interaction studies in yeast we identified an evolutionarily conserved sequence, the LP motif, in the TRD of HvNAC013. This motif was sufficient for transcriptional activity. In contrast, HvNAC005 did not function as a transcriptional activator suggesting that an involvement of HvNAC013 and HvNAC005 in senescence will be different. HvNAC013 interacted with barley radical-induced cell death 1 (RCD1) via the very C-terminal part of its TRD, outside of the region containing the LP motif. No significant secondary structure was induced in the HvNAC013 TRD upon interaction with RCD1. RCD1 also interacted with regions dominated by intrinsic disorder in TFs of the MYB and basic helix-loop-helix families. We propose that RCD1 is a regulatory protein capable of interacting with many different TFs by exploiting their intrinsic disorder. In addition, we present the first structural characterization of NAC C-terminal domains and relate intrinsic disorder and sequence motifs to activity and protein-protein interactions.","container-title":"The Journal of Biological Chemistry","DOI":"10.1074/jbc.M111.247221","ISSN":"1083-351X","issue":"41","journalAbbreviation":"J Biol Chem","language":"eng","note":"PMID: 21856750\nPMCID: PMC3195629","page":"35418-35429","source":"PubMed","title":"Senescence-associated barley NAC (NAM, ATAF1,2, CUC) transcription factor interacts with radical-induced cell death 1 through a disordered regulatory domain","volume":"286","author":[{"family":"Kjaersgaard","given":"Trine"},{"family":"Jensen","given":"Michael K."},{"family":"Christiansen","given":"Michael W."},{"family":"Gregersen","given":"Per"},{"family":"Kragelund","given":"Birthe B."},{"family":"Skriver","given":"Karen"}],"issued":{"date-parts":[["2011",10,14]]}}}],"schema":"https://github.com/citation-style-language/schema/raw/master/csl-citation.json"} </w:instrText>
      </w:r>
      <w:r w:rsidRPr="00107040">
        <w:rPr>
          <w:sz w:val="28"/>
          <w:szCs w:val="28"/>
          <w:lang w:val="ru-RU"/>
        </w:rPr>
        <w:fldChar w:fldCharType="separate"/>
      </w:r>
      <w:r w:rsidR="00FB5E68" w:rsidRPr="00FB5E68">
        <w:rPr>
          <w:sz w:val="28"/>
          <w:lang w:val="ru-RU"/>
        </w:rPr>
        <w:t>[412]</w:t>
      </w:r>
      <w:r w:rsidRPr="00107040">
        <w:rPr>
          <w:sz w:val="28"/>
          <w:szCs w:val="28"/>
          <w:lang w:val="ru-RU"/>
        </w:rPr>
        <w:fldChar w:fldCharType="end"/>
      </w:r>
      <w:r w:rsidRPr="00107040">
        <w:rPr>
          <w:sz w:val="28"/>
          <w:szCs w:val="28"/>
          <w:lang w:val="ru-RU"/>
        </w:rPr>
        <w:t xml:space="preserve">. Другой член семейства </w:t>
      </w:r>
      <w:r w:rsidRPr="00107040">
        <w:rPr>
          <w:sz w:val="28"/>
          <w:szCs w:val="28"/>
        </w:rPr>
        <w:t>OsSRO</w:t>
      </w:r>
      <w:r w:rsidRPr="00107040">
        <w:rPr>
          <w:sz w:val="28"/>
          <w:szCs w:val="28"/>
          <w:lang w:val="ru-RU"/>
        </w:rPr>
        <w:t xml:space="preserve">, </w:t>
      </w:r>
      <w:r w:rsidRPr="00107040">
        <w:rPr>
          <w:sz w:val="28"/>
          <w:szCs w:val="28"/>
        </w:rPr>
        <w:t>OsSRO</w:t>
      </w:r>
      <w:r w:rsidRPr="00107040">
        <w:rPr>
          <w:sz w:val="28"/>
          <w:szCs w:val="28"/>
          <w:lang w:val="ru-RU"/>
        </w:rPr>
        <w:t>1</w:t>
      </w:r>
      <w:r w:rsidRPr="00107040">
        <w:rPr>
          <w:sz w:val="28"/>
          <w:szCs w:val="28"/>
        </w:rPr>
        <w:t>a</w:t>
      </w:r>
      <w:r w:rsidRPr="00107040">
        <w:rPr>
          <w:sz w:val="28"/>
          <w:szCs w:val="28"/>
          <w:lang w:val="ru-RU"/>
        </w:rPr>
        <w:t xml:space="preserve">, взаимодействует с белком РНК-связывающего домена, </w:t>
      </w:r>
      <w:r w:rsidRPr="00107040">
        <w:rPr>
          <w:sz w:val="28"/>
          <w:szCs w:val="28"/>
        </w:rPr>
        <w:t>OsRBD</w:t>
      </w:r>
      <w:r w:rsidRPr="00107040">
        <w:rPr>
          <w:sz w:val="28"/>
          <w:szCs w:val="28"/>
          <w:lang w:val="ru-RU"/>
        </w:rPr>
        <w:t>1</w:t>
      </w:r>
      <w:r w:rsidR="008D4840" w:rsidRPr="008D4840">
        <w:rPr>
          <w:sz w:val="28"/>
          <w:szCs w:val="28"/>
          <w:lang w:val="ru-RU"/>
        </w:rPr>
        <w:t xml:space="preserve"> </w:t>
      </w:r>
      <w:r w:rsidR="008D4840">
        <w:rPr>
          <w:sz w:val="28"/>
          <w:szCs w:val="28"/>
          <w:lang w:val="ru-RU"/>
        </w:rPr>
        <w:fldChar w:fldCharType="begin"/>
      </w:r>
      <w:r w:rsidR="00FB5E68">
        <w:rPr>
          <w:sz w:val="28"/>
          <w:szCs w:val="28"/>
          <w:lang w:val="ru-RU"/>
        </w:rPr>
        <w:instrText xml:space="preserve"> ADDIN ZOTERO_ITEM CSL_CITATION {"citationID":"3d0l6RIs","properties":{"formattedCitation":"[422]","plainCitation":"[422]","noteIndex":0},"citationItems":[{"id":1909,"uris":["http://zotero.org/users/9078202/items/8TCC3EIN"],"itemData":{"id":1909,"type":"article-journal","abstract":"SRO1 is an important regulator of stress and hormonal response in plants and functions by interacting with transcription factors and several other proteins involved in abiotic stress response. In the present study, we report OsRBD1, an RNA binding domain 1- containing protein as a novel interacting partner of OsSRO1a from rice. The interaction of OsSRO1a with OsRBD1 was shown in yeast as well as in planta. Domain-domain interaction study revealed that C-terminal RST domain of OsSRO1a interacts with the N-terminal RRM1 domain of OsRBD1 protein. Both the proteins were found to co-localize in nucleus. Transcript profiling under different stress conditions revealed co-regulation of OsSRO1a and OsRBD1 expression under some abiotic stress conditions. Further, co-transformation of both OsSRO1a and OsRBD1 in yeast conferred enhanced tolerance toward salinity, osmotic, and methylglyoxal treatments. Our study suggests that the interaction of OsSRO1a with OsRBD1 confers enhanced stress tolerance in yeast and may play an important role under abiotic stress responses in plants.","container-title":"Frontiers in Plant Science","DOI":"10.3389/fpls.2016.00062","ISSN":"1664-462X","journalAbbreviation":"Front Plant Sci","language":"eng","note":"PMID: 26870074\nPMCID: PMC4737904","page":"62","source":"PubMed","title":"OsSRO1a Interacts with RNA Binding Domain-Containing Protein (OsRBD1) and Functions in Abiotic Stress Tolerance in Yeast","volume":"7","author":[{"family":"Sharma","given":"Shweta"},{"family":"Kaur","given":"Charanpreet"},{"family":"Singla-Pareek","given":"Sneh L."},{"family":"Sopory","given":"Sudhir K."}],"issued":{"date-parts":[["2016"]]}}}],"schema":"https://github.com/citation-style-language/schema/raw/master/csl-citation.json"} </w:instrText>
      </w:r>
      <w:r w:rsidR="008D4840">
        <w:rPr>
          <w:sz w:val="28"/>
          <w:szCs w:val="28"/>
          <w:lang w:val="ru-RU"/>
        </w:rPr>
        <w:fldChar w:fldCharType="separate"/>
      </w:r>
      <w:r w:rsidR="00FB5E68" w:rsidRPr="00FB5E68">
        <w:rPr>
          <w:sz w:val="28"/>
          <w:lang w:val="ru-RU"/>
        </w:rPr>
        <w:t>[422]</w:t>
      </w:r>
      <w:r w:rsidR="008D4840">
        <w:rPr>
          <w:sz w:val="28"/>
          <w:szCs w:val="28"/>
          <w:lang w:val="ru-RU"/>
        </w:rPr>
        <w:fldChar w:fldCharType="end"/>
      </w:r>
      <w:r w:rsidRPr="00107040">
        <w:rPr>
          <w:sz w:val="28"/>
          <w:szCs w:val="28"/>
          <w:lang w:val="ru-RU"/>
        </w:rPr>
        <w:t xml:space="preserve">. Совместная экспрессия обоих белков в дрожжах приводила к улучшению роста в условиях абиотического стресса, но к снижению устойчивости к </w:t>
      </w:r>
      <w:r w:rsidRPr="00107040">
        <w:rPr>
          <w:sz w:val="28"/>
          <w:szCs w:val="28"/>
          <w:lang w:val="ru-RU"/>
        </w:rPr>
        <w:lastRenderedPageBreak/>
        <w:t xml:space="preserve">окислительному стрессу </w:t>
      </w:r>
      <w:r w:rsidRPr="00107040">
        <w:rPr>
          <w:sz w:val="28"/>
          <w:szCs w:val="28"/>
          <w:lang w:val="ru-RU"/>
        </w:rPr>
        <w:fldChar w:fldCharType="begin"/>
      </w:r>
      <w:r w:rsidR="00FB5E68">
        <w:rPr>
          <w:sz w:val="28"/>
          <w:szCs w:val="28"/>
          <w:lang w:val="ru-RU"/>
        </w:rPr>
        <w:instrText xml:space="preserve"> ADDIN ZOTERO_ITEM CSL_CITATION {"citationID":"EfA9F3fs","properties":{"formattedCitation":"[422]","plainCitation":"[422]","noteIndex":0},"citationItems":[{"id":1909,"uris":["http://zotero.org/users/9078202/items/8TCC3EIN"],"itemData":{"id":1909,"type":"article-journal","abstract":"SRO1 is an important regulator of stress and hormonal response in plants and functions by interacting with transcription factors and several other proteins involved in abiotic stress response. In the present study, we report OsRBD1, an RNA binding domain 1- containing protein as a novel interacting partner of OsSRO1a from rice. The interaction of OsSRO1a with OsRBD1 was shown in yeast as well as in planta. Domain-domain interaction study revealed that C-terminal RST domain of OsSRO1a interacts with the N-terminal RRM1 domain of OsRBD1 protein. Both the proteins were found to co-localize in nucleus. Transcript profiling under different stress conditions revealed co-regulation of OsSRO1a and OsRBD1 expression under some abiotic stress conditions. Further, co-transformation of both OsSRO1a and OsRBD1 in yeast conferred enhanced tolerance toward salinity, osmotic, and methylglyoxal treatments. Our study suggests that the interaction of OsSRO1a with OsRBD1 confers enhanced stress tolerance in yeast and may play an important role under abiotic stress responses in plants.","container-title":"Frontiers in Plant Science","DOI":"10.3389/fpls.2016.00062","ISSN":"1664-462X","journalAbbreviation":"Front Plant Sci","language":"eng","note":"PMID: 26870074\nPMCID: PMC4737904","page":"62","source":"PubMed","title":"OsSRO1a Interacts with RNA Binding Domain-Containing Protein (OsRBD1) and Functions in Abiotic Stress Tolerance in Yeast","volume":"7","author":[{"family":"Sharma","given":"Shweta"},{"family":"Kaur","given":"Charanpreet"},{"family":"Singla-Pareek","given":"Sneh L."},{"family":"Sopory","given":"Sudhir K."}],"issued":{"date-parts":[["2016"]]}}}],"schema":"https://github.com/citation-style-language/schema/raw/master/csl-citation.json"} </w:instrText>
      </w:r>
      <w:r w:rsidRPr="00107040">
        <w:rPr>
          <w:sz w:val="28"/>
          <w:szCs w:val="28"/>
          <w:lang w:val="ru-RU"/>
        </w:rPr>
        <w:fldChar w:fldCharType="separate"/>
      </w:r>
      <w:r w:rsidR="00FB5E68" w:rsidRPr="00FB5E68">
        <w:rPr>
          <w:sz w:val="28"/>
          <w:lang w:val="ru-RU"/>
        </w:rPr>
        <w:t>[422]</w:t>
      </w:r>
      <w:r w:rsidRPr="00107040">
        <w:rPr>
          <w:sz w:val="28"/>
          <w:szCs w:val="28"/>
          <w:lang w:val="ru-RU"/>
        </w:rPr>
        <w:fldChar w:fldCharType="end"/>
      </w:r>
      <w:r w:rsidRPr="00107040">
        <w:rPr>
          <w:sz w:val="28"/>
          <w:szCs w:val="28"/>
          <w:lang w:val="ru-RU"/>
        </w:rPr>
        <w:t xml:space="preserve">. Недавно в кукурузе было идентифицировано шесть белков SRO. Промоторные области генов, кодирующих эти белки, содержат элементы, связанные со стрессом и гормональной сигнализацией. Соответственно, стресс и гормональная терапия по-разному влияли на экспрессию генов </w:t>
      </w:r>
      <w:r w:rsidRPr="00107040">
        <w:rPr>
          <w:sz w:val="28"/>
          <w:szCs w:val="28"/>
        </w:rPr>
        <w:t>ZmSRO</w:t>
      </w:r>
      <w:r w:rsidRPr="00107040">
        <w:rPr>
          <w:sz w:val="28"/>
          <w:szCs w:val="28"/>
          <w:lang w:val="ru-RU"/>
        </w:rPr>
        <w:t xml:space="preserve"> </w:t>
      </w:r>
      <w:r w:rsidRPr="00107040">
        <w:rPr>
          <w:sz w:val="28"/>
          <w:szCs w:val="28"/>
          <w:lang w:val="ru-RU"/>
        </w:rPr>
        <w:fldChar w:fldCharType="begin"/>
      </w:r>
      <w:r w:rsidR="00FB5E68">
        <w:rPr>
          <w:sz w:val="28"/>
          <w:szCs w:val="28"/>
          <w:lang w:val="ru-RU"/>
        </w:rPr>
        <w:instrText xml:space="preserve"> ADDIN ZOTERO_ITEM CSL_CITATION {"citationID":"a1lvbuh6gi3","properties":{"formattedCitation":"[423,424]","plainCitation":"[423,424]","noteIndex":0},"citationItems":[{"id":1893,"uris":["http://zotero.org/users/9078202/items/TGVYCIEN"],"itemData":{"id":1893,"type":"article-journal","abstract":"Plant SRO (SIMILAR TO RCD-ONE) proteins play important roles in regulating oxidation and metal ion metabolism. Numbers of SRO proteins have been functional identified in Arabidopsis and rice, but little is known in maize. In this study, we identified a salt induced SRO gene, ZmSRO1b, from maize and analyzed its characteristics. ZmSRO1b expressed mainly in leaf tissues. The ZmSRO1b is encoded by 595 amino acid residues and shared conserved protein models with AtRCD1 and AtSRO1 from Arabidopsis. Promoter-elements analysis showed ZmSRO1b promoter harbored salt and metal stress responsive elements, DRE, GT-like and MRE. Further promoter inductive analysis by GUS staining and quantification confirmed that ZmSRO1b promoter was induced by salt and cadmium (Cd). Methylviologen (MV) simulated oxidative stress showed ZmSRO1b promoter was also induced by MV. Overexpression of ZmSRO1b in Arabidopsis plants showed increased resistance to salt, Cd and oxidative stress. Our results for the first time experimentally validate the function of ZmSRO1b and contribute to the better understanding of SRO genes across different plant species.","container-title":"Biochemical and Biophysical Research Communications","DOI":"10.1016/j.bbrc.2018.08.014","ISSN":"0006-291X","issue":"4","journalAbbreviation":"Biochemical and Biophysical Research Communications","language":"en","page":"2625-2632","source":"ScienceDirect","title":"Maize similar to RCD1 gene induced by salt enhances Arabidopsis thaliana abiotic stress resistance","URL":"https://www.sciencedirect.com/science/article/pii/S0006291X18316875","volume":"503","author":[{"family":"Li","given":"Xiaoyu"},{"family":"Xu","given":"Yunjian"},{"family":"Liu","given":"Fang"},{"family":"Zhao","given":"Manli"},{"family":"Sun","given":"Yi"},{"family":"Ma","given":"Qing"}],"accessed":{"date-parts":[["2022",9,8]]},"issued":{"date-parts":[["2018",9,18]]}}},{"id":1894,"uris":["http://zotero.org/users/9078202/items/8JG7QX74"],"itemData":{"id":1894,"type":"article-journal","abstract":"SIMILAR TO RCD ONE (SRO) is a small plant-specific gene family, which play essential roles in plant growth and development as well as in abiotic stresses. However, the function of SROs in maize is still unknown. In our study, six putative SRO genes were isolated from the maize genome. A systematic analysis was performed to characterize the ZmSRO gene family. The ZmSRO gene family was divided into two groups according to the motif and intron/exon analysis. Phylogenetic analysis of them with other plants showed that the clades of SROs along with the divergence of monocot and dicot and ZmSROs were more closely with OsSROs. Many abiotic stress response and hormone-induced cis-regulatory elements were identified from the promoter region of ZmSROs. Furthermore, RNA-seq analysis indicated that SRO genes were widely expressed in different tissues and development stages in maize, and the expression divergence was also obviously observed. Analyses of expression in response to PEG6000 and NaCl treatment, in addition to exogenous application of ABA and GA hormones showed that the majority of the members display stress-induced expression patterns. Taken together, our results provide valuable reference for further functional analysis of the SRO gene family in maize, especially in abiotic stress responses.","container-title":"Acta Physiologiae Plantarum","DOI":"10.1007/s11738-018-2738-0","ISSN":"1861-1664","issue":"10","journalAbbreviation":"Acta Physiol Plant","language":"en","page":"176","source":"Springer Link","title":"Genome-wide identification, systematic analysis and characterization of SRO family genes in maize (Zea mays L.)","URL":"https://doi.org/10.1007/s11738-018-2738-0","volume":"40","author":[{"family":"Jiang","given":"Huanhuan"},{"family":"Xiao","given":"Yao"},{"family":"Zhu","given":"Suwen"}],"accessed":{"date-parts":[["2022",9,8]]},"issued":{"date-parts":[["2018",9,3]]}}}],"schema":"https://github.com/citation-style-language/schema/raw/master/csl-citation.json"} </w:instrText>
      </w:r>
      <w:r w:rsidRPr="00107040">
        <w:rPr>
          <w:sz w:val="28"/>
          <w:szCs w:val="28"/>
          <w:lang w:val="ru-RU"/>
        </w:rPr>
        <w:fldChar w:fldCharType="separate"/>
      </w:r>
      <w:r w:rsidR="00FB5E68" w:rsidRPr="00FB5E68">
        <w:rPr>
          <w:sz w:val="28"/>
          <w:lang w:val="ru-RU"/>
        </w:rPr>
        <w:t>[423,424]</w:t>
      </w:r>
      <w:r w:rsidRPr="00107040">
        <w:rPr>
          <w:sz w:val="28"/>
          <w:szCs w:val="28"/>
          <w:lang w:val="ru-RU"/>
        </w:rPr>
        <w:fldChar w:fldCharType="end"/>
      </w:r>
      <w:r w:rsidRPr="00107040">
        <w:rPr>
          <w:sz w:val="28"/>
          <w:szCs w:val="28"/>
          <w:lang w:val="ru-RU"/>
        </w:rPr>
        <w:t xml:space="preserve">. </w:t>
      </w:r>
    </w:p>
    <w:p w14:paraId="171F5E91" w14:textId="7EEE13B3" w:rsidR="00107040" w:rsidRPr="00107040" w:rsidRDefault="00107040" w:rsidP="00107040">
      <w:pPr>
        <w:pStyle w:val="p"/>
        <w:shd w:val="clear" w:color="auto" w:fill="FFFFFF"/>
        <w:spacing w:before="0" w:beforeAutospacing="0" w:after="0" w:afterAutospacing="0"/>
        <w:ind w:firstLine="567"/>
        <w:jc w:val="both"/>
        <w:rPr>
          <w:sz w:val="28"/>
          <w:szCs w:val="28"/>
          <w:lang w:val="ru-RU"/>
        </w:rPr>
      </w:pPr>
      <w:r w:rsidRPr="00107040">
        <w:rPr>
          <w:sz w:val="28"/>
          <w:szCs w:val="28"/>
          <w:lang w:val="ru-RU"/>
        </w:rPr>
        <w:t xml:space="preserve">Несмотря на то, что исследования белков </w:t>
      </w:r>
      <w:r w:rsidRPr="00107040">
        <w:rPr>
          <w:sz w:val="28"/>
          <w:szCs w:val="28"/>
        </w:rPr>
        <w:t>SRO</w:t>
      </w:r>
      <w:r w:rsidRPr="00107040">
        <w:rPr>
          <w:sz w:val="28"/>
          <w:szCs w:val="28"/>
          <w:lang w:val="ru-RU"/>
        </w:rPr>
        <w:t xml:space="preserve"> в основном были сосредоточены на арабидопсисе и однодольных культурах, члены семейства недавно были описаны у других двудольных видов. Белок томата </w:t>
      </w:r>
      <w:r w:rsidRPr="00107040">
        <w:rPr>
          <w:sz w:val="28"/>
          <w:szCs w:val="28"/>
        </w:rPr>
        <w:t>Sl</w:t>
      </w:r>
      <w:r w:rsidRPr="00107040">
        <w:rPr>
          <w:sz w:val="28"/>
          <w:szCs w:val="28"/>
          <w:lang w:val="ru-RU"/>
        </w:rPr>
        <w:t>-</w:t>
      </w:r>
      <w:r w:rsidRPr="00107040">
        <w:rPr>
          <w:sz w:val="28"/>
          <w:szCs w:val="28"/>
        </w:rPr>
        <w:t>SROl</w:t>
      </w:r>
      <w:r w:rsidRPr="00107040">
        <w:rPr>
          <w:sz w:val="28"/>
          <w:szCs w:val="28"/>
          <w:lang w:val="ru-RU"/>
        </w:rPr>
        <w:t xml:space="preserve">1, наиболее похожий на </w:t>
      </w:r>
      <w:r w:rsidRPr="00107040">
        <w:rPr>
          <w:sz w:val="28"/>
          <w:szCs w:val="28"/>
        </w:rPr>
        <w:t>AtSRO</w:t>
      </w:r>
      <w:r w:rsidRPr="00107040">
        <w:rPr>
          <w:sz w:val="28"/>
          <w:szCs w:val="28"/>
          <w:lang w:val="ru-RU"/>
        </w:rPr>
        <w:t xml:space="preserve">5, улучшал солеустойчивость при экспрессии в арабидопсисе </w:t>
      </w:r>
      <w:r w:rsidRPr="00107040">
        <w:rPr>
          <w:sz w:val="28"/>
          <w:szCs w:val="28"/>
          <w:lang w:val="ru-RU"/>
        </w:rPr>
        <w:fldChar w:fldCharType="begin"/>
      </w:r>
      <w:r w:rsidR="00FB5E68">
        <w:rPr>
          <w:sz w:val="28"/>
          <w:szCs w:val="28"/>
          <w:lang w:val="ru-RU"/>
        </w:rPr>
        <w:instrText xml:space="preserve"> ADDIN ZOTERO_ITEM CSL_CITATION {"citationID":"a2a6mqv1163","properties":{"formattedCitation":"[420]","plainCitation":"[420]","noteIndex":0},"citationItems":[{"id":1884,"uris":["http://zotero.org/users/9078202/items/BFVJW8TL"],"itemData":{"id":1884,"type":"article-journal","abstract":"Sl-SROl1 is a salt-regulated gene from Solanum lycopersicon L. that shares amino acid sequence similarity with At-SRO5, a member of the radical-induced cell death 1—similar to RCD1 (RCD-SRO) gene family. The expression of Sl-SROl1 and At-SRO5 was up regulated by salt stress specifically in the roots and the encoded polypeptides share common functions as assessed by over-expressing both genes in wild-type Arabidopsis and in sro5, a T-DNA insertion knockout for At-SRO5. Over-expression of At-SRO5 reduced the H2O2 content of WT salt-stressed roots and the high H2O2 levels found in sro5. It also improved the salt tolerance of WT and sro5 plants and, when over-expressed in the WT background, At-SRO5 caused a slight reduction in the sensitivity of root growth to salt stress. Sl-SROl1 also reduced root H2O2 levels and improved salt tolerance when over-expressed in either WT or sro5. Seed germination in the presence of salt was substantially impaired in sro5 indicating a role for At-SRO5 during germination processes. Over-expression of Sl-SROl1 or At-SRO5 greatly improved the germination capacity of sro5 during salt stress. At-SRO5 contains a poly (ADP-ribose) polymerase (PARP) signature, which was also present in Sl-SROl1. These data are discussed in context with the putative PARP function of these polypeptides, which might modify effectors of oxidative stress tolerance.","container-title":"Plant Science","DOI":"10.1016/j.plantsci.2008.10.012","ISSN":"0168-9452","issue":"2","journalAbbreviation":"Plant Science","language":"en","page":"214-222","source":"ScienceDirect","title":"Sl-SROl1 increases salt tolerance and is a member of the radical-induced cell death 1—similar to RCD1 gene family of tomato","URL":"https://www.sciencedirect.com/science/article/pii/S0168945208002975","volume":"176","author":[{"family":"Babajani","given":"Gholamreza"},{"family":"Effendy","given":"Jollanda"},{"family":"Plant","given":"Aine L."}],"accessed":{"date-parts":[["2022",9,8]]},"issued":{"date-parts":[["2009",2,1]]}}}],"schema":"https://github.com/citation-style-language/schema/raw/master/csl-citation.json"} </w:instrText>
      </w:r>
      <w:r w:rsidRPr="00107040">
        <w:rPr>
          <w:sz w:val="28"/>
          <w:szCs w:val="28"/>
          <w:lang w:val="ru-RU"/>
        </w:rPr>
        <w:fldChar w:fldCharType="separate"/>
      </w:r>
      <w:r w:rsidR="00FB5E68" w:rsidRPr="00FB5E68">
        <w:rPr>
          <w:sz w:val="28"/>
          <w:lang w:val="ru-RU"/>
        </w:rPr>
        <w:t>[420]</w:t>
      </w:r>
      <w:r w:rsidRPr="00107040">
        <w:rPr>
          <w:sz w:val="28"/>
          <w:szCs w:val="28"/>
          <w:lang w:val="ru-RU"/>
        </w:rPr>
        <w:fldChar w:fldCharType="end"/>
      </w:r>
      <w:r w:rsidRPr="00107040">
        <w:rPr>
          <w:sz w:val="28"/>
          <w:szCs w:val="28"/>
          <w:lang w:val="ru-RU"/>
        </w:rPr>
        <w:t xml:space="preserve">, а белок </w:t>
      </w:r>
      <w:r w:rsidRPr="00107040">
        <w:rPr>
          <w:sz w:val="28"/>
          <w:szCs w:val="28"/>
        </w:rPr>
        <w:t>RCD</w:t>
      </w:r>
      <w:r w:rsidRPr="00107040">
        <w:rPr>
          <w:sz w:val="28"/>
          <w:szCs w:val="28"/>
          <w:lang w:val="ru-RU"/>
        </w:rPr>
        <w:t xml:space="preserve">1 лилии взаимодействовал с </w:t>
      </w:r>
      <w:r w:rsidRPr="00107040">
        <w:rPr>
          <w:sz w:val="28"/>
          <w:szCs w:val="28"/>
        </w:rPr>
        <w:t>DREB</w:t>
      </w:r>
      <w:r w:rsidRPr="00107040">
        <w:rPr>
          <w:sz w:val="28"/>
          <w:szCs w:val="28"/>
          <w:lang w:val="ru-RU"/>
        </w:rPr>
        <w:t xml:space="preserve">2 транскрипционным фактором </w:t>
      </w:r>
      <w:r w:rsidRPr="00107040">
        <w:rPr>
          <w:sz w:val="28"/>
          <w:szCs w:val="28"/>
        </w:rPr>
        <w:t>LlDREB</w:t>
      </w:r>
      <w:r w:rsidRPr="00107040">
        <w:rPr>
          <w:sz w:val="28"/>
          <w:szCs w:val="28"/>
          <w:lang w:val="ru-RU"/>
        </w:rPr>
        <w:t>2</w:t>
      </w:r>
      <w:r w:rsidRPr="00107040">
        <w:rPr>
          <w:sz w:val="28"/>
          <w:szCs w:val="28"/>
        </w:rPr>
        <w:t>B</w:t>
      </w:r>
      <w:r w:rsidRPr="00107040">
        <w:rPr>
          <w:sz w:val="28"/>
          <w:szCs w:val="28"/>
          <w:lang w:val="ru-RU"/>
        </w:rPr>
        <w:t>, подобно его ортологу у арабидопсиса</w:t>
      </w:r>
      <w:r w:rsidR="008D4840" w:rsidRPr="008D4840">
        <w:rPr>
          <w:sz w:val="28"/>
          <w:szCs w:val="28"/>
          <w:lang w:val="ru-RU"/>
        </w:rPr>
        <w:t xml:space="preserve"> </w:t>
      </w:r>
      <w:r w:rsidR="008D4840">
        <w:rPr>
          <w:sz w:val="28"/>
          <w:szCs w:val="28"/>
          <w:lang w:val="ru-RU"/>
        </w:rPr>
        <w:fldChar w:fldCharType="begin"/>
      </w:r>
      <w:r w:rsidR="00FB5E68">
        <w:rPr>
          <w:sz w:val="28"/>
          <w:szCs w:val="28"/>
          <w:lang w:val="ru-RU"/>
        </w:rPr>
        <w:instrText xml:space="preserve"> ADDIN ZOTERO_ITEM CSL_CITATION {"citationID":"zvn2tZ8J","properties":{"formattedCitation":"[425]","plainCitation":"[425]","noteIndex":0},"citationItems":[{"id":1906,"uris":["http://zotero.org/users/9078202/items/MJRZ5YPK"],"itemData":{"id":1906,"type":"article-journal","abstract":"Based on studies of monocot crops and eudicot model plants, the DREB2 class of AP2-type transcription factor has been shown to play crucial roles in various abiotic stresses, especially in the upstream of the heat stress response; however, research on DREB2s has not been reported in non-gramineous monocot plants. Here, we identified a novel DREB2 (LlDREB2B) from lily (Lilium longiflorum), which was homologous to AtDREB2A of Arabidopsis, OsDREB2B of rice, and ZmDREB2A of maize. LlDREB2B was induced by heat, cold, salt, and mannitol stress, and its protein had transcriptional activity, was located in the nucleus, was able to bind to the dehydration-responsive element (DRE), and participated in the heat-responsive pathway of HsfA3. Overexpression of LlDREB2B in Arabidopsis activated expression of downstream genes and improved thermotolerance. LlDREB2B was not regulated by alternative splicing; functional transcripts accumulated under either normal or heat-stress conditions. A potential PEST sequence was predicted in LlDREB2B, but the stability of the LlDREB2B protein was not positively affected when the predicated PEST sequence was deleted. Further analysis revealed that the predicated PEST sequence lacked a SBC or SBC-like motif allowing interaction with BPMs and required for negative regulation. Nevertheless, LlDREB2B was still regulated at the post-translational level by interaction with AtDRIP1 and AtDRIP2 of Arabidopsis. In addition, LlDREB2B also interacted with AtRCD1 and LlRCD1 via a potential RIM motif located at amino acids 215-245. Taken together, our results show that LlDREB2B participated in the establishment of thermotolerance, and its regulation was different from that of the orthologs of gramineous and eudicot plants.","container-title":"Frontiers in Plant Science","DOI":"10.3389/fpls.2018.00243","ISSN":"1664-462X","journalAbbreviation":"Front Plant Sci","language":"eng","note":"PMID: 29568302\nPMCID: PMC5852537","page":"243","source":"PubMed","title":"A Canonical DREB2-Type Transcription Factor in Lily Is Post-translationally Regulated and Mediates Heat Stress Response","volume":"9","author":[{"family":"Wu","given":"Ze"},{"family":"Liang","given":"Jiahui"},{"family":"Zhang","given":"Shuai"},{"family":"Zhang","given":"Bing"},{"family":"Zhao","given":"Qingcui"},{"family":"Li","given":"Guoqing"},{"family":"Yang","given":"Xi"},{"family":"Wang","given":"Chengpeng"},{"family":"He","given":"Junna"},{"family":"Yi","given":"Mingfang"}],"issued":{"date-parts":[["2018"]]}}}],"schema":"https://github.com/citation-style-language/schema/raw/master/csl-citation.json"} </w:instrText>
      </w:r>
      <w:r w:rsidR="008D4840">
        <w:rPr>
          <w:sz w:val="28"/>
          <w:szCs w:val="28"/>
          <w:lang w:val="ru-RU"/>
        </w:rPr>
        <w:fldChar w:fldCharType="separate"/>
      </w:r>
      <w:r w:rsidR="00FB5E68" w:rsidRPr="00FB5E68">
        <w:rPr>
          <w:sz w:val="28"/>
          <w:lang w:val="ru-RU"/>
        </w:rPr>
        <w:t>[425]</w:t>
      </w:r>
      <w:r w:rsidR="008D4840">
        <w:rPr>
          <w:sz w:val="28"/>
          <w:szCs w:val="28"/>
          <w:lang w:val="ru-RU"/>
        </w:rPr>
        <w:fldChar w:fldCharType="end"/>
      </w:r>
      <w:r w:rsidRPr="00107040">
        <w:rPr>
          <w:sz w:val="28"/>
          <w:szCs w:val="28"/>
          <w:lang w:val="ru-RU"/>
        </w:rPr>
        <w:t xml:space="preserve">. </w:t>
      </w:r>
    </w:p>
    <w:p w14:paraId="568100A1" w14:textId="77777777" w:rsidR="00992872" w:rsidRPr="00107040" w:rsidRDefault="00BB497C" w:rsidP="000C16BB">
      <w:pPr>
        <w:spacing w:after="0" w:line="240" w:lineRule="auto"/>
        <w:jc w:val="center"/>
        <w:rPr>
          <w:rFonts w:ascii="Times New Roman" w:eastAsia="MS Mincho" w:hAnsi="Times New Roman"/>
          <w:b/>
          <w:sz w:val="28"/>
          <w:szCs w:val="28"/>
          <w:lang w:val="ru-RU" w:eastAsia="ja-JP"/>
        </w:rPr>
      </w:pPr>
      <w:r w:rsidRPr="00107040">
        <w:rPr>
          <w:rFonts w:ascii="Times New Roman" w:hAnsi="Times New Roman"/>
          <w:sz w:val="28"/>
          <w:szCs w:val="28"/>
          <w:lang w:val="ru-RU"/>
        </w:rPr>
        <w:br w:type="page"/>
      </w:r>
      <w:r w:rsidR="00992872" w:rsidRPr="00107040">
        <w:rPr>
          <w:rFonts w:ascii="Times New Roman" w:eastAsia="MS Mincho" w:hAnsi="Times New Roman"/>
          <w:b/>
          <w:sz w:val="28"/>
          <w:szCs w:val="28"/>
          <w:lang w:val="ru-RU" w:eastAsia="ja-JP"/>
        </w:rPr>
        <w:lastRenderedPageBreak/>
        <w:t>2. МАТЕРИАЛЫ И МЕТОДЫ ИССЛЕДОВАНИЯ</w:t>
      </w:r>
    </w:p>
    <w:p w14:paraId="2E01FBD4" w14:textId="77777777" w:rsidR="0094520C" w:rsidRPr="00107040" w:rsidRDefault="0094520C" w:rsidP="000C16BB">
      <w:pPr>
        <w:spacing w:after="0" w:line="240" w:lineRule="auto"/>
        <w:ind w:firstLine="567"/>
        <w:jc w:val="both"/>
        <w:rPr>
          <w:rFonts w:ascii="Times New Roman" w:eastAsia="MS Mincho" w:hAnsi="Times New Roman"/>
          <w:bCs/>
          <w:sz w:val="28"/>
          <w:szCs w:val="28"/>
          <w:lang w:val="ru-RU" w:eastAsia="ja-JP"/>
        </w:rPr>
      </w:pPr>
    </w:p>
    <w:p w14:paraId="1D26B79A" w14:textId="77777777" w:rsidR="00992872" w:rsidRPr="00107040" w:rsidRDefault="00992872" w:rsidP="000C16BB">
      <w:pPr>
        <w:spacing w:after="0" w:line="240" w:lineRule="auto"/>
        <w:ind w:firstLine="567"/>
        <w:jc w:val="both"/>
        <w:rPr>
          <w:rFonts w:ascii="Times New Roman" w:eastAsia="MS Mincho" w:hAnsi="Times New Roman"/>
          <w:b/>
          <w:sz w:val="28"/>
          <w:szCs w:val="28"/>
          <w:lang w:val="ru-RU" w:eastAsia="ja-JP"/>
        </w:rPr>
      </w:pPr>
      <w:r w:rsidRPr="00107040">
        <w:rPr>
          <w:rFonts w:ascii="Times New Roman" w:eastAsia="MS Mincho" w:hAnsi="Times New Roman"/>
          <w:b/>
          <w:bCs/>
          <w:iCs/>
          <w:sz w:val="28"/>
          <w:szCs w:val="28"/>
          <w:lang w:val="ru-RU" w:eastAsia="ja-JP"/>
        </w:rPr>
        <w:t>2.1 Бактериальные штаммы, плазмиды и реактивы</w:t>
      </w:r>
    </w:p>
    <w:p w14:paraId="715E62A3" w14:textId="26DE4919" w:rsidR="00992872" w:rsidRPr="00107040" w:rsidRDefault="00992872" w:rsidP="000C16BB">
      <w:pPr>
        <w:widowControl w:val="0"/>
        <w:tabs>
          <w:tab w:val="left" w:pos="142"/>
          <w:tab w:val="left" w:pos="567"/>
        </w:tabs>
        <w:suppressAutoHyphens/>
        <w:spacing w:after="0" w:line="240" w:lineRule="auto"/>
        <w:ind w:firstLine="567"/>
        <w:jc w:val="both"/>
        <w:rPr>
          <w:rFonts w:ascii="Times New Roman" w:eastAsia="Arial Unicode MS" w:hAnsi="Times New Roman"/>
          <w:iCs/>
          <w:sz w:val="28"/>
          <w:szCs w:val="28"/>
          <w:lang w:val="kk-KZ" w:bidi="en-US"/>
        </w:rPr>
      </w:pPr>
      <w:r w:rsidRPr="00107040">
        <w:rPr>
          <w:rFonts w:ascii="Times New Roman" w:eastAsia="Arial Unicode MS" w:hAnsi="Times New Roman"/>
          <w:sz w:val="28"/>
          <w:szCs w:val="28"/>
          <w:lang w:val="kk-KZ" w:bidi="en-US"/>
        </w:rPr>
        <w:t xml:space="preserve">В ходе рaботы мы использовaли бактериальные штаммы NovaXG (Zappers) для нaрaботки плaзмидной ДНК и </w:t>
      </w:r>
      <w:r w:rsidRPr="00107040">
        <w:rPr>
          <w:rFonts w:ascii="Times New Roman" w:eastAsia="SimSun" w:hAnsi="Times New Roman"/>
          <w:sz w:val="28"/>
          <w:szCs w:val="28"/>
          <w:lang w:val="kk-KZ" w:bidi="en-US"/>
        </w:rPr>
        <w:t>Roset</w:t>
      </w:r>
      <w:r w:rsidRPr="00107040">
        <w:rPr>
          <w:rFonts w:ascii="Times New Roman" w:eastAsia="SimSun" w:hAnsi="Times New Roman"/>
          <w:sz w:val="28"/>
          <w:szCs w:val="28"/>
          <w:lang w:val="en-US" w:bidi="en-US"/>
        </w:rPr>
        <w:t>t</w:t>
      </w:r>
      <w:r w:rsidRPr="00107040">
        <w:rPr>
          <w:rFonts w:ascii="Times New Roman" w:eastAsia="SimSun" w:hAnsi="Times New Roman"/>
          <w:sz w:val="28"/>
          <w:szCs w:val="28"/>
          <w:lang w:val="kk-KZ" w:bidi="en-US"/>
        </w:rPr>
        <w:t>a 2(DE3) (Novagen-EMD4 Biosciences) для</w:t>
      </w:r>
      <w:r w:rsidRPr="00107040">
        <w:rPr>
          <w:rFonts w:ascii="Times New Roman" w:eastAsia="Arial Unicode MS" w:hAnsi="Times New Roman"/>
          <w:sz w:val="28"/>
          <w:szCs w:val="28"/>
          <w:lang w:val="kk-KZ" w:bidi="en-US"/>
        </w:rPr>
        <w:t xml:space="preserve"> экспрессии белков</w:t>
      </w:r>
      <w:r w:rsidRPr="00107040">
        <w:rPr>
          <w:rFonts w:ascii="Times New Roman" w:eastAsia="Arial Unicode MS" w:hAnsi="Times New Roman"/>
          <w:iCs/>
          <w:sz w:val="28"/>
          <w:szCs w:val="28"/>
          <w:lang w:val="kk-KZ" w:bidi="en-US"/>
        </w:rPr>
        <w:t xml:space="preserve">. </w:t>
      </w:r>
      <w:r w:rsidRPr="00107040">
        <w:rPr>
          <w:rFonts w:ascii="Times New Roman" w:eastAsia="TimesNewRomanPSMT" w:hAnsi="Times New Roman"/>
          <w:sz w:val="28"/>
          <w:szCs w:val="28"/>
          <w:lang w:val="kk-KZ" w:bidi="en-US"/>
        </w:rPr>
        <w:t xml:space="preserve">Соответствующие генотипы всех штаммов бактерий, использованные в этой работе, приведены в таблице </w:t>
      </w:r>
      <w:r w:rsidR="008C6134">
        <w:rPr>
          <w:rFonts w:ascii="Times New Roman" w:eastAsia="TimesNewRomanPSMT" w:hAnsi="Times New Roman"/>
          <w:sz w:val="28"/>
          <w:szCs w:val="28"/>
          <w:lang w:val="ru-RU" w:bidi="en-US"/>
        </w:rPr>
        <w:t>2</w:t>
      </w:r>
      <w:r w:rsidRPr="00107040">
        <w:rPr>
          <w:rFonts w:ascii="Times New Roman" w:eastAsia="TimesNewRomanPSMT" w:hAnsi="Times New Roman"/>
          <w:sz w:val="28"/>
          <w:szCs w:val="28"/>
          <w:lang w:val="kk-KZ" w:bidi="en-US"/>
        </w:rPr>
        <w:t>.</w:t>
      </w:r>
    </w:p>
    <w:p w14:paraId="4CFB034C" w14:textId="77777777" w:rsidR="00992872" w:rsidRPr="00107040" w:rsidRDefault="00992872" w:rsidP="000C16BB">
      <w:pPr>
        <w:widowControl w:val="0"/>
        <w:tabs>
          <w:tab w:val="left" w:pos="142"/>
          <w:tab w:val="left" w:pos="567"/>
        </w:tabs>
        <w:suppressAutoHyphens/>
        <w:spacing w:after="0" w:line="240" w:lineRule="auto"/>
        <w:ind w:firstLine="567"/>
        <w:jc w:val="both"/>
        <w:rPr>
          <w:rFonts w:ascii="Times New Roman" w:eastAsia="TimesNewRomanPSMT" w:hAnsi="Times New Roman"/>
          <w:sz w:val="28"/>
          <w:szCs w:val="28"/>
          <w:lang w:val="kk-KZ" w:bidi="en-US"/>
        </w:rPr>
      </w:pPr>
      <w:r w:rsidRPr="00107040">
        <w:rPr>
          <w:rFonts w:ascii="Times New Roman" w:eastAsia="Arial Unicode MS" w:hAnsi="Times New Roman"/>
          <w:sz w:val="28"/>
          <w:szCs w:val="28"/>
          <w:shd w:val="clear" w:color="auto" w:fill="FFFFFF"/>
          <w:lang w:val="ru-RU" w:bidi="en-US"/>
        </w:rPr>
        <w:t>Клетки</w:t>
      </w:r>
      <w:r w:rsidR="000618A4" w:rsidRPr="00107040">
        <w:rPr>
          <w:rFonts w:ascii="Times New Roman" w:eastAsia="Arial Unicode MS" w:hAnsi="Times New Roman"/>
          <w:sz w:val="28"/>
          <w:szCs w:val="28"/>
          <w:shd w:val="clear" w:color="auto" w:fill="FFFFFF"/>
          <w:lang w:val="ru-RU" w:bidi="en-US"/>
        </w:rPr>
        <w:t xml:space="preserve"> </w:t>
      </w:r>
      <w:r w:rsidRPr="00107040">
        <w:rPr>
          <w:rFonts w:ascii="Times New Roman" w:eastAsia="TimesNewRomanPSMT" w:hAnsi="Times New Roman"/>
          <w:i/>
          <w:sz w:val="28"/>
          <w:szCs w:val="28"/>
          <w:lang w:val="kk-KZ" w:bidi="en-US"/>
        </w:rPr>
        <w:t xml:space="preserve">E. coli </w:t>
      </w:r>
      <w:r w:rsidRPr="00107040">
        <w:rPr>
          <w:rFonts w:ascii="Times New Roman" w:eastAsia="TimesNewRomanPSMT" w:hAnsi="Times New Roman"/>
          <w:sz w:val="28"/>
          <w:szCs w:val="28"/>
          <w:lang w:val="kk-KZ" w:bidi="en-US"/>
        </w:rPr>
        <w:t xml:space="preserve">культивировали в </w:t>
      </w:r>
      <w:r w:rsidRPr="00107040">
        <w:rPr>
          <w:rFonts w:ascii="Times New Roman" w:eastAsia="TimesNewRomanPSMT" w:hAnsi="Times New Roman"/>
          <w:sz w:val="28"/>
          <w:szCs w:val="28"/>
          <w:lang w:val="ru-RU" w:bidi="en-US"/>
        </w:rPr>
        <w:t>полноценн</w:t>
      </w:r>
      <w:r w:rsidRPr="00107040">
        <w:rPr>
          <w:rFonts w:ascii="Times New Roman" w:eastAsia="TimesNewRomanPSMT" w:hAnsi="Times New Roman"/>
          <w:sz w:val="28"/>
          <w:szCs w:val="28"/>
          <w:lang w:val="kk-KZ" w:bidi="en-US"/>
        </w:rPr>
        <w:t xml:space="preserve">ой среде </w:t>
      </w:r>
      <w:r w:rsidRPr="00107040">
        <w:rPr>
          <w:rFonts w:ascii="Times New Roman" w:eastAsia="TimesNewRomanPSMT" w:hAnsi="Times New Roman"/>
          <w:sz w:val="28"/>
          <w:szCs w:val="28"/>
          <w:lang w:val="en-US" w:bidi="en-US"/>
        </w:rPr>
        <w:t>LB</w:t>
      </w:r>
      <w:r w:rsidRPr="00107040">
        <w:rPr>
          <w:rFonts w:ascii="Times New Roman" w:eastAsia="Arial Unicode MS" w:hAnsi="Times New Roman"/>
          <w:sz w:val="28"/>
          <w:szCs w:val="28"/>
          <w:lang w:val="ru-RU" w:bidi="en-US"/>
        </w:rPr>
        <w:t xml:space="preserve"> (</w:t>
      </w:r>
      <w:r w:rsidRPr="00107040">
        <w:rPr>
          <w:rFonts w:ascii="Times New Roman" w:eastAsia="TimesNewRomanPSMT" w:hAnsi="Times New Roman"/>
          <w:sz w:val="28"/>
          <w:szCs w:val="28"/>
          <w:lang w:val="en-US" w:bidi="en-US"/>
        </w:rPr>
        <w:t>Invitrogen</w:t>
      </w:r>
      <w:r w:rsidRPr="00107040">
        <w:rPr>
          <w:rFonts w:ascii="Times New Roman" w:eastAsia="TimesNewRomanPSMT" w:hAnsi="Times New Roman"/>
          <w:sz w:val="28"/>
          <w:szCs w:val="28"/>
          <w:lang w:val="ru-RU" w:bidi="en-US"/>
        </w:rPr>
        <w:t>)</w:t>
      </w:r>
      <w:r w:rsidRPr="00107040">
        <w:rPr>
          <w:rFonts w:ascii="Times New Roman" w:eastAsia="TimesNewRomanPSMT" w:hAnsi="Times New Roman"/>
          <w:sz w:val="28"/>
          <w:szCs w:val="28"/>
          <w:lang w:val="kk-KZ" w:bidi="en-US"/>
        </w:rPr>
        <w:t xml:space="preserve"> (5 г/л дрожжевого экстракта, 10 г/л триптона, 10 г/л NaCl) при 37</w:t>
      </w:r>
      <w:r w:rsidR="000618A4" w:rsidRPr="00107040">
        <w:rPr>
          <w:rFonts w:ascii="Times New Roman" w:eastAsia="TimesNewRomanPSMT" w:hAnsi="Times New Roman"/>
          <w:sz w:val="28"/>
          <w:szCs w:val="28"/>
          <w:lang w:val="kk-KZ" w:bidi="en-US"/>
        </w:rPr>
        <w:t xml:space="preserve"> </w:t>
      </w:r>
      <w:r w:rsidRPr="00107040">
        <w:rPr>
          <w:rFonts w:ascii="Times New Roman" w:eastAsia="TimesNewRomanPSMT" w:hAnsi="Times New Roman"/>
          <w:sz w:val="28"/>
          <w:szCs w:val="28"/>
          <w:lang w:val="kk-KZ" w:bidi="en-US"/>
        </w:rPr>
        <w:t xml:space="preserve">°С </w:t>
      </w:r>
      <w:r w:rsidRPr="00107040">
        <w:rPr>
          <w:rFonts w:ascii="Times New Roman" w:eastAsia="TimesNewRomanPSMT" w:hAnsi="Times New Roman"/>
          <w:sz w:val="28"/>
          <w:szCs w:val="28"/>
          <w:lang w:val="ru-RU" w:bidi="en-US"/>
        </w:rPr>
        <w:t xml:space="preserve">на шейкере с </w:t>
      </w:r>
      <w:r w:rsidRPr="00107040">
        <w:rPr>
          <w:rFonts w:ascii="Times New Roman" w:eastAsia="TimesNewRomanPSMT" w:hAnsi="Times New Roman"/>
          <w:sz w:val="28"/>
          <w:szCs w:val="28"/>
          <w:lang w:val="kk-KZ" w:bidi="en-US"/>
        </w:rPr>
        <w:t>250 об/мин, добавляли канамицин (50 мкг/мл).</w:t>
      </w:r>
    </w:p>
    <w:p w14:paraId="54BA4CA8" w14:textId="77777777" w:rsidR="00992872" w:rsidRPr="00107040" w:rsidRDefault="00992872" w:rsidP="000C16BB">
      <w:pPr>
        <w:spacing w:after="0" w:line="240" w:lineRule="auto"/>
        <w:jc w:val="both"/>
        <w:rPr>
          <w:rFonts w:ascii="Times New Roman" w:eastAsia="MS Mincho" w:hAnsi="Times New Roman"/>
          <w:sz w:val="28"/>
          <w:szCs w:val="28"/>
          <w:lang w:val="kk-KZ" w:eastAsia="ja-JP"/>
        </w:rPr>
      </w:pPr>
    </w:p>
    <w:p w14:paraId="0A1B9EE7" w14:textId="16212396" w:rsidR="00992872" w:rsidRPr="00107040" w:rsidRDefault="00992872" w:rsidP="000C16BB">
      <w:pPr>
        <w:spacing w:after="0" w:line="240" w:lineRule="auto"/>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Таблица </w:t>
      </w:r>
      <w:r w:rsidR="008C6134">
        <w:rPr>
          <w:rFonts w:ascii="Times New Roman" w:eastAsia="MS Mincho" w:hAnsi="Times New Roman"/>
          <w:sz w:val="28"/>
          <w:szCs w:val="28"/>
          <w:lang w:val="ru-RU" w:eastAsia="ja-JP"/>
        </w:rPr>
        <w:t>2</w:t>
      </w:r>
      <w:r w:rsidRPr="00107040">
        <w:rPr>
          <w:rFonts w:ascii="Times New Roman" w:eastAsia="MS Mincho" w:hAnsi="Times New Roman"/>
          <w:sz w:val="28"/>
          <w:szCs w:val="28"/>
          <w:lang w:val="ru-RU" w:eastAsia="ja-JP"/>
        </w:rPr>
        <w:t xml:space="preserve"> – Источники и генотипы и изоляции бактериальных штаммов использов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нных в ходе 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боты</w:t>
      </w:r>
    </w:p>
    <w:p w14:paraId="60ABBD89" w14:textId="77777777" w:rsidR="00992872" w:rsidRPr="00107040" w:rsidRDefault="00992872" w:rsidP="000C16BB">
      <w:pPr>
        <w:spacing w:after="0" w:line="240" w:lineRule="auto"/>
        <w:jc w:val="both"/>
        <w:rPr>
          <w:rFonts w:ascii="Times New Roman" w:eastAsia="MS Mincho" w:hAnsi="Times New Roman"/>
          <w:sz w:val="28"/>
          <w:szCs w:val="28"/>
          <w:lang w:val="ru-RU" w:eastAsia="ja-JP"/>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5670"/>
        <w:gridCol w:w="1564"/>
      </w:tblGrid>
      <w:tr w:rsidR="00992872" w:rsidRPr="00107040" w14:paraId="59F3A769" w14:textId="77777777" w:rsidTr="00D930FF">
        <w:trPr>
          <w:trHeight w:val="340"/>
        </w:trPr>
        <w:tc>
          <w:tcPr>
            <w:tcW w:w="2405" w:type="dxa"/>
            <w:shd w:val="clear" w:color="auto" w:fill="auto"/>
          </w:tcPr>
          <w:p w14:paraId="379324C2" w14:textId="77777777" w:rsidR="00992872" w:rsidRPr="00107040" w:rsidRDefault="00992872" w:rsidP="000C16BB">
            <w:pPr>
              <w:widowControl w:val="0"/>
              <w:tabs>
                <w:tab w:val="left" w:pos="142"/>
              </w:tabs>
              <w:suppressAutoHyphens/>
              <w:adjustRightInd w:val="0"/>
              <w:spacing w:after="0" w:line="240" w:lineRule="auto"/>
              <w:jc w:val="center"/>
              <w:rPr>
                <w:rFonts w:ascii="Times New Roman" w:eastAsia="Arial Unicode MS" w:hAnsi="Times New Roman"/>
                <w:b/>
                <w:bCs/>
                <w:sz w:val="28"/>
                <w:szCs w:val="28"/>
                <w:lang w:val="en-GB" w:bidi="en-US"/>
              </w:rPr>
            </w:pPr>
            <w:r w:rsidRPr="00107040">
              <w:rPr>
                <w:rFonts w:ascii="Times New Roman" w:eastAsia="Arial Unicode MS" w:hAnsi="Times New Roman"/>
                <w:b/>
                <w:bCs/>
                <w:sz w:val="28"/>
                <w:szCs w:val="28"/>
                <w:lang w:val="ru-RU" w:bidi="en-US"/>
              </w:rPr>
              <w:t>Ш</w:t>
            </w:r>
            <w:r w:rsidRPr="00107040">
              <w:rPr>
                <w:rFonts w:ascii="Times New Roman" w:eastAsia="Arial Unicode MS" w:hAnsi="Times New Roman"/>
                <w:b/>
                <w:bCs/>
                <w:sz w:val="28"/>
                <w:szCs w:val="28"/>
                <w:lang w:val="en-US" w:bidi="en-US"/>
              </w:rPr>
              <w:t>тaмм</w:t>
            </w:r>
          </w:p>
        </w:tc>
        <w:tc>
          <w:tcPr>
            <w:tcW w:w="5670" w:type="dxa"/>
            <w:shd w:val="clear" w:color="auto" w:fill="auto"/>
          </w:tcPr>
          <w:p w14:paraId="22F60736" w14:textId="77777777" w:rsidR="00992872" w:rsidRPr="00107040" w:rsidRDefault="00992872" w:rsidP="000C16BB">
            <w:pPr>
              <w:widowControl w:val="0"/>
              <w:tabs>
                <w:tab w:val="left" w:pos="142"/>
              </w:tabs>
              <w:suppressAutoHyphens/>
              <w:adjustRightInd w:val="0"/>
              <w:spacing w:after="0" w:line="240" w:lineRule="auto"/>
              <w:jc w:val="center"/>
              <w:rPr>
                <w:rFonts w:ascii="Times New Roman" w:eastAsia="Arial Unicode MS" w:hAnsi="Times New Roman"/>
                <w:b/>
                <w:bCs/>
                <w:sz w:val="28"/>
                <w:szCs w:val="28"/>
                <w:lang w:val="ru-RU" w:bidi="en-US"/>
              </w:rPr>
            </w:pPr>
            <w:r w:rsidRPr="00107040">
              <w:rPr>
                <w:rFonts w:ascii="Times New Roman" w:eastAsia="Arial Unicode MS" w:hAnsi="Times New Roman"/>
                <w:b/>
                <w:bCs/>
                <w:sz w:val="28"/>
                <w:szCs w:val="28"/>
                <w:lang w:val="ru-RU" w:bidi="en-US"/>
              </w:rPr>
              <w:t>Г</w:t>
            </w:r>
            <w:r w:rsidRPr="00107040">
              <w:rPr>
                <w:rFonts w:ascii="Times New Roman" w:eastAsia="Arial Unicode MS" w:hAnsi="Times New Roman"/>
                <w:b/>
                <w:bCs/>
                <w:sz w:val="28"/>
                <w:szCs w:val="28"/>
                <w:lang w:val="en-US" w:bidi="en-US"/>
              </w:rPr>
              <w:t>енотип/Источник изоляции</w:t>
            </w:r>
          </w:p>
        </w:tc>
        <w:tc>
          <w:tcPr>
            <w:tcW w:w="1564" w:type="dxa"/>
            <w:shd w:val="clear" w:color="auto" w:fill="auto"/>
          </w:tcPr>
          <w:p w14:paraId="537F6933" w14:textId="77777777" w:rsidR="00992872" w:rsidRPr="00107040" w:rsidRDefault="00992872" w:rsidP="000C16BB">
            <w:pPr>
              <w:widowControl w:val="0"/>
              <w:tabs>
                <w:tab w:val="left" w:pos="142"/>
              </w:tabs>
              <w:suppressAutoHyphens/>
              <w:adjustRightInd w:val="0"/>
              <w:spacing w:after="0" w:line="240" w:lineRule="auto"/>
              <w:jc w:val="center"/>
              <w:rPr>
                <w:rFonts w:ascii="Times New Roman" w:eastAsia="Arial Unicode MS" w:hAnsi="Times New Roman"/>
                <w:b/>
                <w:bCs/>
                <w:sz w:val="28"/>
                <w:szCs w:val="28"/>
                <w:lang w:val="ru-RU" w:bidi="en-US"/>
              </w:rPr>
            </w:pPr>
            <w:r w:rsidRPr="00107040">
              <w:rPr>
                <w:rFonts w:ascii="Times New Roman" w:eastAsia="Arial Unicode MS" w:hAnsi="Times New Roman"/>
                <w:b/>
                <w:bCs/>
                <w:sz w:val="28"/>
                <w:szCs w:val="28"/>
                <w:lang w:val="ru-RU" w:bidi="en-US"/>
              </w:rPr>
              <w:t>Источник</w:t>
            </w:r>
          </w:p>
        </w:tc>
      </w:tr>
      <w:tr w:rsidR="00992872" w:rsidRPr="00107040" w14:paraId="67A7CE3C" w14:textId="77777777" w:rsidTr="00D930FF">
        <w:trPr>
          <w:trHeight w:val="340"/>
        </w:trPr>
        <w:tc>
          <w:tcPr>
            <w:tcW w:w="2405" w:type="dxa"/>
            <w:shd w:val="clear" w:color="auto" w:fill="auto"/>
          </w:tcPr>
          <w:p w14:paraId="736A57D5" w14:textId="77777777" w:rsidR="00992872" w:rsidRPr="00107040" w:rsidRDefault="00992872" w:rsidP="000C16BB">
            <w:pPr>
              <w:widowControl w:val="0"/>
              <w:tabs>
                <w:tab w:val="left" w:pos="142"/>
              </w:tabs>
              <w:suppressAutoHyphens/>
              <w:adjustRightInd w:val="0"/>
              <w:spacing w:after="0" w:line="240" w:lineRule="auto"/>
              <w:jc w:val="both"/>
              <w:rPr>
                <w:rFonts w:ascii="Times New Roman" w:eastAsia="Arial Unicode MS" w:hAnsi="Times New Roman"/>
                <w:sz w:val="28"/>
                <w:szCs w:val="28"/>
                <w:lang w:val="en-US" w:bidi="en-US"/>
              </w:rPr>
            </w:pPr>
            <w:r w:rsidRPr="00107040">
              <w:rPr>
                <w:rFonts w:ascii="Times New Roman" w:eastAsia="Arial Unicode MS" w:hAnsi="Times New Roman"/>
                <w:sz w:val="28"/>
                <w:szCs w:val="28"/>
                <w:lang w:val="en-US" w:bidi="en-US"/>
              </w:rPr>
              <w:t>NovaXG</w:t>
            </w:r>
          </w:p>
        </w:tc>
        <w:tc>
          <w:tcPr>
            <w:tcW w:w="5670" w:type="dxa"/>
            <w:shd w:val="clear" w:color="auto" w:fill="auto"/>
          </w:tcPr>
          <w:p w14:paraId="51B88DC6" w14:textId="77777777" w:rsidR="00992872" w:rsidRPr="00107040" w:rsidRDefault="00992872" w:rsidP="000C16BB">
            <w:pPr>
              <w:widowControl w:val="0"/>
              <w:tabs>
                <w:tab w:val="left" w:pos="142"/>
              </w:tabs>
              <w:suppressAutoHyphens/>
              <w:adjustRightInd w:val="0"/>
              <w:spacing w:after="0" w:line="240" w:lineRule="auto"/>
              <w:jc w:val="both"/>
              <w:rPr>
                <w:rFonts w:ascii="Times New Roman" w:eastAsia="Arial Unicode MS" w:hAnsi="Times New Roman"/>
                <w:sz w:val="28"/>
                <w:szCs w:val="28"/>
                <w:lang w:val="en-GB" w:bidi="en-US"/>
              </w:rPr>
            </w:pPr>
            <w:r w:rsidRPr="00107040">
              <w:rPr>
                <w:rFonts w:ascii="Times New Roman" w:eastAsia="Arial Unicode MS" w:hAnsi="Times New Roman"/>
                <w:sz w:val="28"/>
                <w:szCs w:val="28"/>
                <w:lang w:val="en-GB" w:bidi="en-US"/>
              </w:rPr>
              <w:t>F- mcrA Δ(mcrC-mrr) endA1 recA1 φ80dlacZΔM15 ΔlacX74 araD139 Δ(ara-leu)7697 galU galK rpsL nupG λ- tonA</w:t>
            </w:r>
          </w:p>
        </w:tc>
        <w:tc>
          <w:tcPr>
            <w:tcW w:w="1564" w:type="dxa"/>
            <w:shd w:val="clear" w:color="auto" w:fill="auto"/>
          </w:tcPr>
          <w:p w14:paraId="3023C776" w14:textId="77777777" w:rsidR="00992872" w:rsidRPr="00107040" w:rsidRDefault="00992872" w:rsidP="000C16BB">
            <w:pPr>
              <w:widowControl w:val="0"/>
              <w:tabs>
                <w:tab w:val="left" w:pos="142"/>
              </w:tabs>
              <w:suppressAutoHyphens/>
              <w:adjustRightInd w:val="0"/>
              <w:spacing w:after="0" w:line="240" w:lineRule="auto"/>
              <w:jc w:val="both"/>
              <w:rPr>
                <w:rFonts w:ascii="Times New Roman" w:eastAsia="Arial Unicode MS" w:hAnsi="Times New Roman"/>
                <w:sz w:val="28"/>
                <w:szCs w:val="28"/>
                <w:lang w:val="en-GB" w:bidi="en-US"/>
              </w:rPr>
            </w:pPr>
            <w:r w:rsidRPr="00107040">
              <w:rPr>
                <w:rFonts w:ascii="Times New Roman" w:eastAsia="Arial Unicode MS" w:hAnsi="Times New Roman"/>
                <w:sz w:val="28"/>
                <w:szCs w:val="28"/>
                <w:lang w:val="en-GB" w:bidi="en-US"/>
              </w:rPr>
              <w:t>Zappers</w:t>
            </w:r>
          </w:p>
        </w:tc>
      </w:tr>
      <w:tr w:rsidR="00992872" w:rsidRPr="00107040" w14:paraId="2BC88E88" w14:textId="77777777" w:rsidTr="00D930FF">
        <w:trPr>
          <w:trHeight w:val="340"/>
        </w:trPr>
        <w:tc>
          <w:tcPr>
            <w:tcW w:w="2405" w:type="dxa"/>
            <w:shd w:val="clear" w:color="auto" w:fill="auto"/>
          </w:tcPr>
          <w:p w14:paraId="2B9FC1DE" w14:textId="77777777" w:rsidR="00992872" w:rsidRPr="00107040" w:rsidRDefault="00992872" w:rsidP="000C16BB">
            <w:pPr>
              <w:widowControl w:val="0"/>
              <w:tabs>
                <w:tab w:val="left" w:pos="142"/>
              </w:tabs>
              <w:suppressAutoHyphens/>
              <w:adjustRightInd w:val="0"/>
              <w:spacing w:after="0" w:line="240" w:lineRule="auto"/>
              <w:jc w:val="both"/>
              <w:rPr>
                <w:rFonts w:ascii="Times New Roman" w:eastAsia="Arial Unicode MS" w:hAnsi="Times New Roman"/>
                <w:sz w:val="28"/>
                <w:szCs w:val="28"/>
                <w:lang w:val="ru-RU" w:bidi="en-US"/>
              </w:rPr>
            </w:pPr>
            <w:r w:rsidRPr="00107040">
              <w:rPr>
                <w:rFonts w:ascii="Times New Roman" w:eastAsia="Arial Unicode MS" w:hAnsi="Times New Roman"/>
                <w:sz w:val="28"/>
                <w:szCs w:val="28"/>
                <w:lang w:val="en-GB" w:bidi="en-US"/>
              </w:rPr>
              <w:t>Rosetta 2</w:t>
            </w:r>
            <w:r w:rsidRPr="00107040">
              <w:rPr>
                <w:rFonts w:ascii="Times New Roman" w:eastAsia="Arial Unicode MS" w:hAnsi="Times New Roman"/>
                <w:sz w:val="28"/>
                <w:szCs w:val="28"/>
                <w:lang w:val="ru-RU" w:bidi="en-US"/>
              </w:rPr>
              <w:t>(</w:t>
            </w:r>
            <w:r w:rsidRPr="00107040">
              <w:rPr>
                <w:rFonts w:ascii="Times New Roman" w:eastAsia="Arial Unicode MS" w:hAnsi="Times New Roman"/>
                <w:sz w:val="28"/>
                <w:szCs w:val="28"/>
                <w:lang w:val="en-US" w:bidi="en-US"/>
              </w:rPr>
              <w:t>DE3</w:t>
            </w:r>
            <w:r w:rsidRPr="00107040">
              <w:rPr>
                <w:rFonts w:ascii="Times New Roman" w:eastAsia="Arial Unicode MS" w:hAnsi="Times New Roman"/>
                <w:sz w:val="28"/>
                <w:szCs w:val="28"/>
                <w:lang w:val="ru-RU" w:bidi="en-US"/>
              </w:rPr>
              <w:t>)</w:t>
            </w:r>
          </w:p>
        </w:tc>
        <w:tc>
          <w:tcPr>
            <w:tcW w:w="5670" w:type="dxa"/>
            <w:shd w:val="clear" w:color="auto" w:fill="auto"/>
          </w:tcPr>
          <w:p w14:paraId="2ADD34F8" w14:textId="77777777" w:rsidR="00992872" w:rsidRPr="00107040" w:rsidRDefault="00992872" w:rsidP="000C16BB">
            <w:pPr>
              <w:widowControl w:val="0"/>
              <w:tabs>
                <w:tab w:val="left" w:pos="142"/>
              </w:tabs>
              <w:suppressAutoHyphens/>
              <w:adjustRightInd w:val="0"/>
              <w:spacing w:after="0" w:line="240" w:lineRule="auto"/>
              <w:jc w:val="both"/>
              <w:rPr>
                <w:rFonts w:ascii="Times New Roman" w:eastAsia="Arial Unicode MS" w:hAnsi="Times New Roman"/>
                <w:sz w:val="28"/>
                <w:szCs w:val="28"/>
                <w:lang w:val="en-GB" w:bidi="en-US"/>
              </w:rPr>
            </w:pPr>
            <w:r w:rsidRPr="00107040">
              <w:rPr>
                <w:rFonts w:ascii="Times New Roman" w:eastAsia="Arial Unicode MS" w:hAnsi="Times New Roman"/>
                <w:sz w:val="28"/>
                <w:szCs w:val="28"/>
                <w:lang w:val="en-GB" w:bidi="en-US"/>
              </w:rPr>
              <w:t>F- ompT hsdS</w:t>
            </w:r>
            <w:r w:rsidRPr="00107040">
              <w:rPr>
                <w:rFonts w:ascii="Times New Roman" w:eastAsia="Arial Unicode MS" w:hAnsi="Times New Roman"/>
                <w:sz w:val="28"/>
                <w:szCs w:val="28"/>
                <w:vertAlign w:val="subscript"/>
                <w:lang w:val="en-GB" w:bidi="en-US"/>
              </w:rPr>
              <w:t>B</w:t>
            </w:r>
            <w:r w:rsidRPr="00107040">
              <w:rPr>
                <w:rFonts w:ascii="Times New Roman" w:eastAsia="Arial Unicode MS" w:hAnsi="Times New Roman"/>
                <w:sz w:val="28"/>
                <w:szCs w:val="28"/>
                <w:lang w:val="en-GB" w:bidi="en-US"/>
              </w:rPr>
              <w:t>(r</w:t>
            </w:r>
            <w:r w:rsidRPr="00107040">
              <w:rPr>
                <w:rFonts w:ascii="Times New Roman" w:eastAsia="Arial Unicode MS" w:hAnsi="Times New Roman"/>
                <w:sz w:val="28"/>
                <w:szCs w:val="28"/>
                <w:vertAlign w:val="subscript"/>
                <w:lang w:val="en-GB" w:bidi="en-US"/>
              </w:rPr>
              <w:t>B</w:t>
            </w:r>
            <w:r w:rsidRPr="00107040">
              <w:rPr>
                <w:rFonts w:ascii="Times New Roman" w:eastAsia="Arial Unicode MS" w:hAnsi="Times New Roman"/>
                <w:sz w:val="28"/>
                <w:szCs w:val="28"/>
                <w:lang w:val="en-GB" w:bidi="en-US"/>
              </w:rPr>
              <w:t>- m</w:t>
            </w:r>
            <w:r w:rsidRPr="00107040">
              <w:rPr>
                <w:rFonts w:ascii="Times New Roman" w:eastAsia="Arial Unicode MS" w:hAnsi="Times New Roman"/>
                <w:sz w:val="28"/>
                <w:szCs w:val="28"/>
                <w:vertAlign w:val="subscript"/>
                <w:lang w:val="en-GB" w:bidi="en-US"/>
              </w:rPr>
              <w:t>B</w:t>
            </w:r>
            <w:r w:rsidRPr="00107040">
              <w:rPr>
                <w:rFonts w:ascii="Times New Roman" w:eastAsia="Arial Unicode MS" w:hAnsi="Times New Roman"/>
                <w:sz w:val="28"/>
                <w:szCs w:val="28"/>
                <w:lang w:val="en-GB" w:bidi="en-US"/>
              </w:rPr>
              <w:t>-) gal dcm (DE3) pRARE2 (Cam</w:t>
            </w:r>
            <w:r w:rsidRPr="00107040">
              <w:rPr>
                <w:rFonts w:ascii="Times New Roman" w:eastAsia="Arial Unicode MS" w:hAnsi="Times New Roman"/>
                <w:sz w:val="28"/>
                <w:szCs w:val="28"/>
                <w:vertAlign w:val="superscript"/>
                <w:lang w:val="en-GB" w:bidi="en-US"/>
              </w:rPr>
              <w:t>R</w:t>
            </w:r>
            <w:r w:rsidRPr="00107040">
              <w:rPr>
                <w:rFonts w:ascii="Times New Roman" w:eastAsia="Arial Unicode MS" w:hAnsi="Times New Roman"/>
                <w:sz w:val="28"/>
                <w:szCs w:val="28"/>
                <w:lang w:val="en-GB" w:bidi="en-US"/>
              </w:rPr>
              <w:t>)</w:t>
            </w:r>
          </w:p>
        </w:tc>
        <w:tc>
          <w:tcPr>
            <w:tcW w:w="1564" w:type="dxa"/>
            <w:shd w:val="clear" w:color="auto" w:fill="auto"/>
          </w:tcPr>
          <w:p w14:paraId="0345E756" w14:textId="77777777" w:rsidR="00992872" w:rsidRPr="00107040" w:rsidRDefault="00992872" w:rsidP="000C16BB">
            <w:pPr>
              <w:widowControl w:val="0"/>
              <w:tabs>
                <w:tab w:val="left" w:pos="142"/>
              </w:tabs>
              <w:suppressAutoHyphens/>
              <w:adjustRightInd w:val="0"/>
              <w:spacing w:after="0" w:line="240" w:lineRule="auto"/>
              <w:jc w:val="both"/>
              <w:rPr>
                <w:rFonts w:ascii="Times New Roman" w:eastAsia="Arial Unicode MS" w:hAnsi="Times New Roman"/>
                <w:sz w:val="28"/>
                <w:szCs w:val="28"/>
                <w:lang w:val="en-GB" w:bidi="en-US"/>
              </w:rPr>
            </w:pPr>
            <w:r w:rsidRPr="00107040">
              <w:rPr>
                <w:rFonts w:ascii="Times New Roman" w:eastAsia="Arial Unicode MS" w:hAnsi="Times New Roman"/>
                <w:sz w:val="28"/>
                <w:szCs w:val="28"/>
                <w:lang w:val="en-GB" w:bidi="en-US"/>
              </w:rPr>
              <w:t>Novagen</w:t>
            </w:r>
          </w:p>
        </w:tc>
      </w:tr>
    </w:tbl>
    <w:p w14:paraId="4810CB67" w14:textId="77777777" w:rsidR="00992872" w:rsidRPr="00107040" w:rsidRDefault="00992872" w:rsidP="000C16BB">
      <w:pPr>
        <w:spacing w:after="0" w:line="240" w:lineRule="auto"/>
        <w:jc w:val="both"/>
        <w:rPr>
          <w:rFonts w:ascii="Times New Roman" w:eastAsia="MS Mincho" w:hAnsi="Times New Roman"/>
          <w:sz w:val="28"/>
          <w:szCs w:val="28"/>
          <w:lang w:val="en-US" w:eastAsia="ja-JP"/>
        </w:rPr>
      </w:pPr>
    </w:p>
    <w:p w14:paraId="475810A6" w14:textId="7D732111" w:rsidR="00992872" w:rsidRPr="00107040" w:rsidRDefault="00992872" w:rsidP="000C16BB">
      <w:pPr>
        <w:widowControl w:val="0"/>
        <w:tabs>
          <w:tab w:val="left" w:pos="142"/>
          <w:tab w:val="left" w:pos="567"/>
        </w:tabs>
        <w:suppressAutoHyphens/>
        <w:spacing w:after="0" w:line="240" w:lineRule="auto"/>
        <w:ind w:firstLine="567"/>
        <w:jc w:val="both"/>
        <w:rPr>
          <w:rFonts w:ascii="Times New Roman" w:eastAsia="TimesNewRomanPSMT" w:hAnsi="Times New Roman"/>
          <w:sz w:val="28"/>
          <w:szCs w:val="28"/>
          <w:lang w:val="kk-KZ" w:bidi="en-US"/>
        </w:rPr>
      </w:pPr>
      <w:r w:rsidRPr="00107040">
        <w:rPr>
          <w:rFonts w:ascii="Times New Roman" w:eastAsia="TimesNewRomanPSMT" w:hAnsi="Times New Roman"/>
          <w:bCs/>
          <w:i/>
          <w:iCs/>
          <w:sz w:val="28"/>
          <w:szCs w:val="28"/>
          <w:lang w:val="kk-KZ" w:bidi="en-US"/>
        </w:rPr>
        <w:t>Плaзмиды и векторa.</w:t>
      </w:r>
      <w:r w:rsidRPr="00107040">
        <w:rPr>
          <w:rFonts w:ascii="Times New Roman" w:eastAsia="TimesNewRomanPSMT" w:hAnsi="Times New Roman"/>
          <w:bCs/>
          <w:sz w:val="28"/>
          <w:szCs w:val="28"/>
          <w:lang w:val="kk-KZ" w:bidi="en-US"/>
        </w:rPr>
        <w:t xml:space="preserve"> </w:t>
      </w:r>
      <w:r w:rsidRPr="00107040">
        <w:rPr>
          <w:rFonts w:ascii="Times New Roman" w:eastAsia="TimesNewRomanPSMT" w:hAnsi="Times New Roman"/>
          <w:sz w:val="28"/>
          <w:szCs w:val="28"/>
          <w:lang w:val="kk-KZ" w:bidi="en-US"/>
        </w:rPr>
        <w:t xml:space="preserve">В дaнной рaботе были использовaны векторa и плaзмиды предстaвленные в тaблице </w:t>
      </w:r>
      <w:r w:rsidR="008C6134">
        <w:rPr>
          <w:rFonts w:ascii="Times New Roman" w:eastAsia="TimesNewRomanPSMT" w:hAnsi="Times New Roman"/>
          <w:sz w:val="28"/>
          <w:szCs w:val="28"/>
          <w:lang w:val="kk-KZ" w:bidi="en-US"/>
        </w:rPr>
        <w:t>3</w:t>
      </w:r>
      <w:r w:rsidRPr="00107040">
        <w:rPr>
          <w:rFonts w:ascii="Times New Roman" w:eastAsia="TimesNewRomanPSMT" w:hAnsi="Times New Roman"/>
          <w:sz w:val="28"/>
          <w:szCs w:val="28"/>
          <w:lang w:val="kk-KZ" w:bidi="en-US"/>
        </w:rPr>
        <w:t>.</w:t>
      </w:r>
    </w:p>
    <w:p w14:paraId="18838F2B" w14:textId="77777777" w:rsidR="00992872" w:rsidRPr="00107040" w:rsidRDefault="00992872" w:rsidP="000C16BB">
      <w:pPr>
        <w:widowControl w:val="0"/>
        <w:tabs>
          <w:tab w:val="left" w:pos="142"/>
        </w:tabs>
        <w:suppressAutoHyphens/>
        <w:autoSpaceDE w:val="0"/>
        <w:autoSpaceDN w:val="0"/>
        <w:adjustRightInd w:val="0"/>
        <w:spacing w:after="0" w:line="240" w:lineRule="auto"/>
        <w:jc w:val="both"/>
        <w:rPr>
          <w:rFonts w:ascii="Times New Roman" w:eastAsia="Arial Unicode MS" w:hAnsi="Times New Roman"/>
          <w:sz w:val="28"/>
          <w:szCs w:val="28"/>
          <w:lang w:val="ru-RU" w:bidi="en-US"/>
        </w:rPr>
      </w:pPr>
    </w:p>
    <w:p w14:paraId="0A181674" w14:textId="5D5C33C6" w:rsidR="00992872" w:rsidRPr="00107040" w:rsidRDefault="00992872" w:rsidP="000C16BB">
      <w:pPr>
        <w:widowControl w:val="0"/>
        <w:tabs>
          <w:tab w:val="left" w:pos="142"/>
        </w:tabs>
        <w:suppressAutoHyphens/>
        <w:autoSpaceDE w:val="0"/>
        <w:autoSpaceDN w:val="0"/>
        <w:adjustRightInd w:val="0"/>
        <w:spacing w:after="0" w:line="240" w:lineRule="auto"/>
        <w:jc w:val="both"/>
        <w:rPr>
          <w:rFonts w:ascii="Times New Roman" w:eastAsia="Arial Unicode MS" w:hAnsi="Times New Roman"/>
          <w:sz w:val="28"/>
          <w:szCs w:val="28"/>
          <w:lang w:val="ru-RU" w:bidi="en-US"/>
        </w:rPr>
      </w:pPr>
      <w:r w:rsidRPr="00107040">
        <w:rPr>
          <w:rFonts w:ascii="Times New Roman" w:eastAsia="Arial Unicode MS" w:hAnsi="Times New Roman"/>
          <w:sz w:val="28"/>
          <w:szCs w:val="28"/>
          <w:lang w:val="ru-RU" w:bidi="en-US"/>
        </w:rPr>
        <w:t xml:space="preserve">Тaблицa </w:t>
      </w:r>
      <w:r w:rsidR="008C6134">
        <w:rPr>
          <w:rFonts w:ascii="Times New Roman" w:eastAsia="Arial Unicode MS" w:hAnsi="Times New Roman"/>
          <w:sz w:val="28"/>
          <w:szCs w:val="28"/>
          <w:lang w:val="ru-RU" w:bidi="en-US"/>
        </w:rPr>
        <w:t>3</w:t>
      </w:r>
      <w:r w:rsidRPr="00107040">
        <w:rPr>
          <w:rFonts w:ascii="Times New Roman" w:eastAsia="Arial Unicode MS" w:hAnsi="Times New Roman"/>
          <w:b/>
          <w:sz w:val="28"/>
          <w:szCs w:val="28"/>
          <w:lang w:val="ru-RU" w:bidi="en-US"/>
        </w:rPr>
        <w:t xml:space="preserve"> </w:t>
      </w:r>
      <w:r w:rsidRPr="00107040">
        <w:rPr>
          <w:rFonts w:ascii="Times New Roman" w:eastAsia="Arial Unicode MS" w:hAnsi="Times New Roman"/>
          <w:sz w:val="28"/>
          <w:szCs w:val="28"/>
          <w:lang w:val="ru-RU" w:bidi="en-US"/>
        </w:rPr>
        <w:t>– Плaзмиды и вектора использовaнные в дaнной рaботе</w:t>
      </w:r>
    </w:p>
    <w:p w14:paraId="59220B99" w14:textId="77777777" w:rsidR="00992872" w:rsidRPr="00107040" w:rsidRDefault="00992872" w:rsidP="000C16BB">
      <w:pPr>
        <w:widowControl w:val="0"/>
        <w:tabs>
          <w:tab w:val="left" w:pos="142"/>
        </w:tabs>
        <w:suppressAutoHyphens/>
        <w:autoSpaceDE w:val="0"/>
        <w:autoSpaceDN w:val="0"/>
        <w:adjustRightInd w:val="0"/>
        <w:spacing w:after="0" w:line="240" w:lineRule="auto"/>
        <w:ind w:firstLine="567"/>
        <w:jc w:val="both"/>
        <w:rPr>
          <w:rFonts w:ascii="Times New Roman" w:eastAsia="Arial Unicode MS" w:hAnsi="Times New Roman"/>
          <w:sz w:val="28"/>
          <w:szCs w:val="28"/>
          <w:lang w:val="ru-RU" w:bidi="en-US"/>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4673"/>
        <w:gridCol w:w="1561"/>
      </w:tblGrid>
      <w:tr w:rsidR="00992872" w:rsidRPr="00107040" w14:paraId="6890E035" w14:textId="77777777" w:rsidTr="00992872">
        <w:trPr>
          <w:trHeight w:val="172"/>
        </w:trPr>
        <w:tc>
          <w:tcPr>
            <w:tcW w:w="3006" w:type="dxa"/>
          </w:tcPr>
          <w:p w14:paraId="0A23D3E9" w14:textId="77777777" w:rsidR="00992872" w:rsidRPr="00107040" w:rsidRDefault="00992872" w:rsidP="000C16BB">
            <w:pPr>
              <w:widowControl w:val="0"/>
              <w:tabs>
                <w:tab w:val="left" w:pos="142"/>
              </w:tabs>
              <w:suppressAutoHyphens/>
              <w:spacing w:after="0" w:line="240" w:lineRule="auto"/>
              <w:ind w:firstLine="33"/>
              <w:jc w:val="center"/>
              <w:rPr>
                <w:rFonts w:ascii="Times New Roman" w:eastAsia="Arial Unicode MS" w:hAnsi="Times New Roman"/>
                <w:b/>
                <w:snapToGrid w:val="0"/>
                <w:sz w:val="28"/>
                <w:szCs w:val="28"/>
                <w:lang w:val="en-US" w:bidi="en-US"/>
              </w:rPr>
            </w:pPr>
            <w:bookmarkStart w:id="54" w:name="_Hlk12830625"/>
            <w:r w:rsidRPr="00107040">
              <w:rPr>
                <w:rFonts w:ascii="Times New Roman" w:eastAsia="Arial Unicode MS" w:hAnsi="Times New Roman"/>
                <w:b/>
                <w:snapToGrid w:val="0"/>
                <w:sz w:val="28"/>
                <w:szCs w:val="28"/>
                <w:lang w:val="kk-KZ" w:bidi="en-US"/>
              </w:rPr>
              <w:t>Плaзмиды</w:t>
            </w:r>
          </w:p>
        </w:tc>
        <w:tc>
          <w:tcPr>
            <w:tcW w:w="4673" w:type="dxa"/>
          </w:tcPr>
          <w:p w14:paraId="1B8557A1" w14:textId="77777777" w:rsidR="00992872" w:rsidRPr="00107040" w:rsidRDefault="00992872" w:rsidP="000C16BB">
            <w:pPr>
              <w:widowControl w:val="0"/>
              <w:tabs>
                <w:tab w:val="left" w:pos="142"/>
              </w:tabs>
              <w:suppressAutoHyphens/>
              <w:spacing w:after="0" w:line="240" w:lineRule="auto"/>
              <w:ind w:firstLine="33"/>
              <w:jc w:val="center"/>
              <w:rPr>
                <w:rFonts w:ascii="Times New Roman" w:eastAsia="Arial Unicode MS" w:hAnsi="Times New Roman"/>
                <w:b/>
                <w:snapToGrid w:val="0"/>
                <w:sz w:val="28"/>
                <w:szCs w:val="28"/>
                <w:lang w:val="en-US" w:bidi="en-US"/>
              </w:rPr>
            </w:pPr>
            <w:r w:rsidRPr="00107040">
              <w:rPr>
                <w:rFonts w:ascii="Times New Roman" w:eastAsia="Arial Unicode MS" w:hAnsi="Times New Roman"/>
                <w:b/>
                <w:snapToGrid w:val="0"/>
                <w:sz w:val="28"/>
                <w:szCs w:val="28"/>
                <w:lang w:val="kk-KZ" w:bidi="en-US"/>
              </w:rPr>
              <w:t>Особенности</w:t>
            </w:r>
          </w:p>
        </w:tc>
        <w:tc>
          <w:tcPr>
            <w:tcW w:w="1561" w:type="dxa"/>
          </w:tcPr>
          <w:p w14:paraId="657F87FD" w14:textId="77777777" w:rsidR="00992872" w:rsidRPr="00107040" w:rsidRDefault="00992872" w:rsidP="000C16BB">
            <w:pPr>
              <w:widowControl w:val="0"/>
              <w:tabs>
                <w:tab w:val="left" w:pos="142"/>
              </w:tabs>
              <w:suppressAutoHyphens/>
              <w:spacing w:after="0" w:line="240" w:lineRule="auto"/>
              <w:ind w:firstLine="33"/>
              <w:jc w:val="center"/>
              <w:rPr>
                <w:rFonts w:ascii="Times New Roman" w:eastAsia="Arial Unicode MS" w:hAnsi="Times New Roman"/>
                <w:b/>
                <w:snapToGrid w:val="0"/>
                <w:sz w:val="28"/>
                <w:szCs w:val="28"/>
                <w:lang w:val="en-US" w:bidi="en-US"/>
              </w:rPr>
            </w:pPr>
            <w:r w:rsidRPr="00107040">
              <w:rPr>
                <w:rFonts w:ascii="Times New Roman" w:eastAsia="Arial Unicode MS" w:hAnsi="Times New Roman"/>
                <w:b/>
                <w:snapToGrid w:val="0"/>
                <w:sz w:val="28"/>
                <w:szCs w:val="28"/>
                <w:lang w:val="kk-KZ" w:bidi="en-US"/>
              </w:rPr>
              <w:t>Источник</w:t>
            </w:r>
          </w:p>
        </w:tc>
      </w:tr>
      <w:bookmarkEnd w:id="54"/>
      <w:tr w:rsidR="00992872" w:rsidRPr="00107040" w14:paraId="02205E6E" w14:textId="77777777" w:rsidTr="00992872">
        <w:trPr>
          <w:trHeight w:val="351"/>
        </w:trPr>
        <w:tc>
          <w:tcPr>
            <w:tcW w:w="3006" w:type="dxa"/>
          </w:tcPr>
          <w:p w14:paraId="18F62F4B" w14:textId="77777777" w:rsidR="00992872" w:rsidRPr="00107040" w:rsidRDefault="00992872" w:rsidP="000C16BB">
            <w:pPr>
              <w:widowControl w:val="0"/>
              <w:tabs>
                <w:tab w:val="left" w:pos="142"/>
              </w:tabs>
              <w:suppressAutoHyphens/>
              <w:spacing w:after="0" w:line="240" w:lineRule="auto"/>
              <w:ind w:firstLine="33"/>
              <w:jc w:val="both"/>
              <w:rPr>
                <w:rFonts w:ascii="Times New Roman" w:eastAsia="Arial Unicode MS" w:hAnsi="Times New Roman"/>
                <w:snapToGrid w:val="0"/>
                <w:sz w:val="28"/>
                <w:szCs w:val="28"/>
                <w:lang w:val="en-US" w:bidi="en-US"/>
              </w:rPr>
            </w:pPr>
            <w:r w:rsidRPr="00107040">
              <w:rPr>
                <w:rFonts w:ascii="Times New Roman" w:eastAsia="Arial Unicode MS" w:hAnsi="Times New Roman"/>
                <w:sz w:val="28"/>
                <w:szCs w:val="28"/>
                <w:lang w:val="en-US" w:bidi="en-US"/>
              </w:rPr>
              <w:t>pET28c</w:t>
            </w:r>
          </w:p>
        </w:tc>
        <w:tc>
          <w:tcPr>
            <w:tcW w:w="4673" w:type="dxa"/>
          </w:tcPr>
          <w:p w14:paraId="37810226" w14:textId="77777777" w:rsidR="00992872" w:rsidRPr="00107040" w:rsidRDefault="00992872" w:rsidP="000C16BB">
            <w:pPr>
              <w:widowControl w:val="0"/>
              <w:tabs>
                <w:tab w:val="left" w:pos="142"/>
              </w:tabs>
              <w:suppressAutoHyphens/>
              <w:spacing w:after="0" w:line="240" w:lineRule="auto"/>
              <w:ind w:firstLine="33"/>
              <w:jc w:val="both"/>
              <w:rPr>
                <w:rFonts w:ascii="Times New Roman" w:eastAsia="Arial Unicode MS" w:hAnsi="Times New Roman"/>
                <w:snapToGrid w:val="0"/>
                <w:sz w:val="28"/>
                <w:szCs w:val="28"/>
                <w:lang w:val="ru-RU" w:bidi="en-US"/>
              </w:rPr>
            </w:pPr>
            <w:r w:rsidRPr="00107040">
              <w:rPr>
                <w:rFonts w:ascii="Times New Roman" w:eastAsia="Arial Unicode MS" w:hAnsi="Times New Roman"/>
                <w:sz w:val="28"/>
                <w:szCs w:val="28"/>
                <w:shd w:val="clear" w:color="auto" w:fill="FFFFFF"/>
                <w:lang w:val="ru-RU" w:bidi="en-US"/>
              </w:rPr>
              <w:t xml:space="preserve">Индуцибельный </w:t>
            </w:r>
            <w:r w:rsidRPr="00107040">
              <w:rPr>
                <w:rFonts w:ascii="Times New Roman" w:eastAsia="Arial Unicode MS" w:hAnsi="Times New Roman"/>
                <w:bCs/>
                <w:i/>
                <w:snapToGrid w:val="0"/>
                <w:sz w:val="28"/>
                <w:szCs w:val="28"/>
                <w:lang w:val="en-US" w:bidi="en-US"/>
              </w:rPr>
              <w:t>lac</w:t>
            </w:r>
            <w:r w:rsidRPr="00107040">
              <w:rPr>
                <w:rFonts w:ascii="Times New Roman" w:eastAsia="Arial Unicode MS" w:hAnsi="Times New Roman"/>
                <w:bCs/>
                <w:snapToGrid w:val="0"/>
                <w:sz w:val="28"/>
                <w:szCs w:val="28"/>
                <w:lang w:val="ru-RU" w:bidi="en-US"/>
              </w:rPr>
              <w:t>-промотор бактериофага Т7, 6</w:t>
            </w:r>
            <w:r w:rsidRPr="00107040">
              <w:rPr>
                <w:rFonts w:ascii="Times New Roman" w:eastAsia="Arial Unicode MS" w:hAnsi="Times New Roman"/>
                <w:bCs/>
                <w:snapToGrid w:val="0"/>
                <w:sz w:val="28"/>
                <w:szCs w:val="28"/>
                <w:lang w:val="en-US" w:bidi="en-US"/>
              </w:rPr>
              <w:t>xHis</w:t>
            </w:r>
            <w:r w:rsidRPr="00107040">
              <w:rPr>
                <w:rFonts w:ascii="Times New Roman" w:eastAsia="Arial Unicode MS" w:hAnsi="Times New Roman"/>
                <w:bCs/>
                <w:snapToGrid w:val="0"/>
                <w:sz w:val="28"/>
                <w:szCs w:val="28"/>
                <w:lang w:val="ru-RU" w:bidi="en-US"/>
              </w:rPr>
              <w:t>-</w:t>
            </w:r>
            <w:r w:rsidRPr="00107040">
              <w:rPr>
                <w:rFonts w:ascii="Times New Roman" w:eastAsia="Arial Unicode MS" w:hAnsi="Times New Roman"/>
                <w:bCs/>
                <w:snapToGrid w:val="0"/>
                <w:sz w:val="28"/>
                <w:szCs w:val="28"/>
                <w:lang w:val="en-US" w:bidi="en-US"/>
              </w:rPr>
              <w:t>tag</w:t>
            </w:r>
            <w:r w:rsidRPr="00107040">
              <w:rPr>
                <w:rFonts w:ascii="Times New Roman" w:eastAsia="Arial Unicode MS" w:hAnsi="Times New Roman"/>
                <w:bCs/>
                <w:snapToGrid w:val="0"/>
                <w:sz w:val="28"/>
                <w:szCs w:val="28"/>
                <w:lang w:val="ru-RU" w:bidi="en-US"/>
              </w:rPr>
              <w:t xml:space="preserve"> на С-конце</w:t>
            </w:r>
          </w:p>
        </w:tc>
        <w:tc>
          <w:tcPr>
            <w:tcW w:w="1561" w:type="dxa"/>
          </w:tcPr>
          <w:p w14:paraId="6B3C4498" w14:textId="77777777" w:rsidR="00992872" w:rsidRPr="00107040" w:rsidRDefault="00992872" w:rsidP="000C16BB">
            <w:pPr>
              <w:widowControl w:val="0"/>
              <w:tabs>
                <w:tab w:val="left" w:pos="142"/>
              </w:tabs>
              <w:suppressAutoHyphens/>
              <w:spacing w:after="0" w:line="240" w:lineRule="auto"/>
              <w:ind w:firstLine="33"/>
              <w:jc w:val="both"/>
              <w:rPr>
                <w:rFonts w:ascii="Times New Roman" w:eastAsia="Arial Unicode MS" w:hAnsi="Times New Roman"/>
                <w:snapToGrid w:val="0"/>
                <w:sz w:val="28"/>
                <w:szCs w:val="28"/>
                <w:lang w:val="en-US" w:bidi="en-US"/>
              </w:rPr>
            </w:pPr>
            <w:r w:rsidRPr="00107040">
              <w:rPr>
                <w:rFonts w:ascii="Times New Roman" w:eastAsia="Arial Unicode MS" w:hAnsi="Times New Roman"/>
                <w:sz w:val="28"/>
                <w:szCs w:val="28"/>
                <w:lang w:val="en-US" w:bidi="en-US"/>
              </w:rPr>
              <w:t>Clontech</w:t>
            </w:r>
          </w:p>
        </w:tc>
      </w:tr>
      <w:tr w:rsidR="00992872" w:rsidRPr="00107040" w14:paraId="304E6A5E" w14:textId="77777777" w:rsidTr="00992872">
        <w:trPr>
          <w:trHeight w:val="552"/>
        </w:trPr>
        <w:tc>
          <w:tcPr>
            <w:tcW w:w="3006" w:type="dxa"/>
          </w:tcPr>
          <w:p w14:paraId="2ED341F5" w14:textId="77777777" w:rsidR="00992872" w:rsidRPr="00107040" w:rsidRDefault="00992872" w:rsidP="000C16BB">
            <w:pPr>
              <w:widowControl w:val="0"/>
              <w:tabs>
                <w:tab w:val="left" w:pos="142"/>
              </w:tabs>
              <w:suppressAutoHyphens/>
              <w:spacing w:after="0" w:line="240" w:lineRule="auto"/>
              <w:ind w:firstLine="33"/>
              <w:jc w:val="both"/>
              <w:rPr>
                <w:rFonts w:ascii="Times New Roman" w:eastAsia="Arial Unicode MS" w:hAnsi="Times New Roman"/>
                <w:snapToGrid w:val="0"/>
                <w:sz w:val="28"/>
                <w:szCs w:val="28"/>
                <w:lang w:val="en-US" w:bidi="en-US"/>
              </w:rPr>
            </w:pPr>
            <w:bookmarkStart w:id="55" w:name="_Hlk64294771"/>
            <w:r w:rsidRPr="00107040">
              <w:rPr>
                <w:rFonts w:ascii="Times New Roman" w:eastAsia="Arial Unicode MS" w:hAnsi="Times New Roman"/>
                <w:sz w:val="28"/>
                <w:szCs w:val="28"/>
                <w:lang w:val="en-US" w:bidi="en-US"/>
              </w:rPr>
              <w:t>pET28c/</w:t>
            </w:r>
            <w:r w:rsidRPr="00107040">
              <w:rPr>
                <w:rFonts w:ascii="Times New Roman" w:eastAsia="Arial Unicode MS" w:hAnsi="Times New Roman"/>
                <w:i/>
                <w:sz w:val="28"/>
                <w:szCs w:val="28"/>
                <w:lang w:val="en-US" w:bidi="en-US"/>
              </w:rPr>
              <w:t>AtPARP1</w:t>
            </w:r>
          </w:p>
        </w:tc>
        <w:tc>
          <w:tcPr>
            <w:tcW w:w="4673" w:type="dxa"/>
          </w:tcPr>
          <w:p w14:paraId="79961CFC" w14:textId="77777777" w:rsidR="00992872" w:rsidRPr="00107040" w:rsidRDefault="00992872" w:rsidP="000C16BB">
            <w:pPr>
              <w:widowControl w:val="0"/>
              <w:tabs>
                <w:tab w:val="left" w:pos="142"/>
              </w:tabs>
              <w:suppressAutoHyphens/>
              <w:spacing w:after="0" w:line="240" w:lineRule="auto"/>
              <w:ind w:firstLine="33"/>
              <w:jc w:val="both"/>
              <w:rPr>
                <w:rFonts w:ascii="Times New Roman" w:eastAsia="Arial Unicode MS" w:hAnsi="Times New Roman"/>
                <w:snapToGrid w:val="0"/>
                <w:sz w:val="28"/>
                <w:szCs w:val="28"/>
                <w:lang w:val="ru-RU" w:bidi="en-US"/>
              </w:rPr>
            </w:pPr>
            <w:r w:rsidRPr="00107040">
              <w:rPr>
                <w:rFonts w:ascii="Times New Roman" w:eastAsia="Arial Unicode MS" w:hAnsi="Times New Roman"/>
                <w:sz w:val="28"/>
                <w:szCs w:val="28"/>
                <w:shd w:val="clear" w:color="auto" w:fill="FFFFFF"/>
                <w:lang w:val="ru-RU" w:bidi="en-US"/>
              </w:rPr>
              <w:t xml:space="preserve">Индуцибельный </w:t>
            </w:r>
            <w:r w:rsidRPr="00107040">
              <w:rPr>
                <w:rFonts w:ascii="Times New Roman" w:eastAsia="Arial Unicode MS" w:hAnsi="Times New Roman"/>
                <w:i/>
                <w:sz w:val="28"/>
                <w:szCs w:val="28"/>
                <w:shd w:val="clear" w:color="auto" w:fill="FFFFFF"/>
                <w:lang w:val="en-US" w:bidi="en-US"/>
              </w:rPr>
              <w:t>l</w:t>
            </w:r>
            <w:r w:rsidRPr="00107040">
              <w:rPr>
                <w:rFonts w:ascii="Times New Roman" w:eastAsia="Arial Unicode MS" w:hAnsi="Times New Roman"/>
                <w:bCs/>
                <w:i/>
                <w:snapToGrid w:val="0"/>
                <w:sz w:val="28"/>
                <w:szCs w:val="28"/>
                <w:lang w:val="en-US" w:bidi="en-US"/>
              </w:rPr>
              <w:t>ac</w:t>
            </w:r>
            <w:r w:rsidRPr="00107040">
              <w:rPr>
                <w:rFonts w:ascii="Times New Roman" w:eastAsia="Arial Unicode MS" w:hAnsi="Times New Roman"/>
                <w:bCs/>
                <w:snapToGrid w:val="0"/>
                <w:sz w:val="28"/>
                <w:szCs w:val="28"/>
                <w:lang w:val="ru-RU" w:bidi="en-US"/>
              </w:rPr>
              <w:t>-промотор бактериофага Т7; 6</w:t>
            </w:r>
            <w:r w:rsidRPr="00107040">
              <w:rPr>
                <w:rFonts w:ascii="Times New Roman" w:eastAsia="Arial Unicode MS" w:hAnsi="Times New Roman"/>
                <w:bCs/>
                <w:snapToGrid w:val="0"/>
                <w:sz w:val="28"/>
                <w:szCs w:val="28"/>
                <w:lang w:val="en-US" w:bidi="en-US"/>
              </w:rPr>
              <w:t>xHis</w:t>
            </w:r>
            <w:r w:rsidRPr="00107040">
              <w:rPr>
                <w:rFonts w:ascii="Times New Roman" w:eastAsia="Arial Unicode MS" w:hAnsi="Times New Roman"/>
                <w:bCs/>
                <w:snapToGrid w:val="0"/>
                <w:sz w:val="28"/>
                <w:szCs w:val="28"/>
                <w:lang w:val="ru-RU" w:bidi="en-US"/>
              </w:rPr>
              <w:t>-</w:t>
            </w:r>
            <w:r w:rsidRPr="00107040">
              <w:rPr>
                <w:rFonts w:ascii="Times New Roman" w:eastAsia="Arial Unicode MS" w:hAnsi="Times New Roman"/>
                <w:bCs/>
                <w:snapToGrid w:val="0"/>
                <w:sz w:val="28"/>
                <w:szCs w:val="28"/>
                <w:lang w:val="en-US" w:bidi="en-US"/>
              </w:rPr>
              <w:t>tag</w:t>
            </w:r>
            <w:r w:rsidRPr="00107040">
              <w:rPr>
                <w:rFonts w:ascii="Times New Roman" w:eastAsia="Arial Unicode MS" w:hAnsi="Times New Roman"/>
                <w:bCs/>
                <w:snapToGrid w:val="0"/>
                <w:sz w:val="28"/>
                <w:szCs w:val="28"/>
                <w:lang w:val="ru-RU" w:bidi="en-US"/>
              </w:rPr>
              <w:t xml:space="preserve"> на С-конце, </w:t>
            </w:r>
            <w:r w:rsidRPr="00107040">
              <w:rPr>
                <w:rFonts w:ascii="Times New Roman" w:eastAsia="Arial Unicode MS" w:hAnsi="Times New Roman"/>
                <w:sz w:val="28"/>
                <w:szCs w:val="28"/>
                <w:lang w:val="ru-RU" w:bidi="en-US"/>
              </w:rPr>
              <w:t>ген</w:t>
            </w:r>
            <w:r w:rsidRPr="00107040">
              <w:rPr>
                <w:rFonts w:ascii="Times New Roman" w:eastAsia="Arial Unicode MS" w:hAnsi="Times New Roman"/>
                <w:i/>
                <w:sz w:val="28"/>
                <w:szCs w:val="28"/>
                <w:lang w:val="ru-RU" w:bidi="en-US"/>
              </w:rPr>
              <w:t xml:space="preserve"> </w:t>
            </w:r>
            <w:r w:rsidRPr="00107040">
              <w:rPr>
                <w:rFonts w:ascii="Times New Roman" w:eastAsia="Arial Unicode MS" w:hAnsi="Times New Roman"/>
                <w:i/>
                <w:iCs/>
                <w:sz w:val="28"/>
                <w:szCs w:val="28"/>
                <w:lang w:val="en-GB" w:bidi="en-US"/>
              </w:rPr>
              <w:t>AtPARP</w:t>
            </w:r>
            <w:r w:rsidRPr="00107040">
              <w:rPr>
                <w:rFonts w:ascii="Times New Roman" w:eastAsia="Arial Unicode MS" w:hAnsi="Times New Roman"/>
                <w:i/>
                <w:iCs/>
                <w:sz w:val="28"/>
                <w:szCs w:val="28"/>
                <w:lang w:val="ru-RU" w:bidi="en-US"/>
              </w:rPr>
              <w:t>1</w:t>
            </w:r>
          </w:p>
        </w:tc>
        <w:tc>
          <w:tcPr>
            <w:tcW w:w="1561" w:type="dxa"/>
          </w:tcPr>
          <w:p w14:paraId="0EE2DD3F" w14:textId="77777777" w:rsidR="00992872" w:rsidRPr="00107040" w:rsidRDefault="00992872" w:rsidP="000C16BB">
            <w:pPr>
              <w:widowControl w:val="0"/>
              <w:tabs>
                <w:tab w:val="left" w:pos="142"/>
              </w:tabs>
              <w:suppressAutoHyphens/>
              <w:spacing w:after="0" w:line="240" w:lineRule="auto"/>
              <w:ind w:firstLine="33"/>
              <w:jc w:val="both"/>
              <w:rPr>
                <w:rFonts w:ascii="Times New Roman" w:eastAsia="Arial Unicode MS" w:hAnsi="Times New Roman"/>
                <w:snapToGrid w:val="0"/>
                <w:sz w:val="28"/>
                <w:szCs w:val="28"/>
                <w:lang w:val="en-US" w:bidi="en-US"/>
              </w:rPr>
            </w:pPr>
            <w:r w:rsidRPr="00107040">
              <w:rPr>
                <w:rFonts w:ascii="Times New Roman" w:eastAsia="Arial Unicode MS" w:hAnsi="Times New Roman"/>
                <w:bCs/>
                <w:snapToGrid w:val="0"/>
                <w:sz w:val="28"/>
                <w:szCs w:val="28"/>
                <w:lang w:val="kk-KZ" w:bidi="en-US"/>
              </w:rPr>
              <w:t xml:space="preserve">В </w:t>
            </w:r>
            <w:r w:rsidR="00443463" w:rsidRPr="00107040">
              <w:rPr>
                <w:rFonts w:ascii="Times New Roman" w:eastAsia="Arial Unicode MS" w:hAnsi="Times New Roman"/>
                <w:bCs/>
                <w:snapToGrid w:val="0"/>
                <w:sz w:val="28"/>
                <w:szCs w:val="28"/>
                <w:lang w:val="kk-KZ" w:bidi="en-US"/>
              </w:rPr>
              <w:t>настоящей</w:t>
            </w:r>
            <w:r w:rsidRPr="00107040">
              <w:rPr>
                <w:rFonts w:ascii="Times New Roman" w:eastAsia="Arial Unicode MS" w:hAnsi="Times New Roman"/>
                <w:bCs/>
                <w:snapToGrid w:val="0"/>
                <w:sz w:val="28"/>
                <w:szCs w:val="28"/>
                <w:lang w:val="kk-KZ" w:bidi="en-US"/>
              </w:rPr>
              <w:t xml:space="preserve"> рaботе</w:t>
            </w:r>
          </w:p>
        </w:tc>
      </w:tr>
      <w:bookmarkEnd w:id="55"/>
      <w:tr w:rsidR="00992872" w:rsidRPr="00107040" w14:paraId="275A5BDE" w14:textId="77777777" w:rsidTr="00992872">
        <w:trPr>
          <w:trHeight w:val="552"/>
        </w:trPr>
        <w:tc>
          <w:tcPr>
            <w:tcW w:w="3006" w:type="dxa"/>
          </w:tcPr>
          <w:p w14:paraId="4B535FA1" w14:textId="77777777" w:rsidR="00992872" w:rsidRPr="00107040" w:rsidRDefault="00992872" w:rsidP="000C16BB">
            <w:pPr>
              <w:widowControl w:val="0"/>
              <w:tabs>
                <w:tab w:val="left" w:pos="142"/>
              </w:tabs>
              <w:suppressAutoHyphens/>
              <w:spacing w:after="0" w:line="240" w:lineRule="auto"/>
              <w:ind w:firstLine="33"/>
              <w:jc w:val="both"/>
              <w:rPr>
                <w:rFonts w:ascii="Times New Roman" w:eastAsia="Arial Unicode MS" w:hAnsi="Times New Roman"/>
                <w:sz w:val="28"/>
                <w:szCs w:val="28"/>
                <w:lang w:val="en-US" w:bidi="en-US"/>
              </w:rPr>
            </w:pPr>
            <w:r w:rsidRPr="00107040">
              <w:rPr>
                <w:rFonts w:ascii="Times New Roman" w:eastAsia="MS Mincho" w:hAnsi="Times New Roman"/>
                <w:sz w:val="28"/>
                <w:szCs w:val="28"/>
                <w:lang w:val="en-US" w:eastAsia="ja-JP"/>
              </w:rPr>
              <w:t>pET28c/</w:t>
            </w:r>
            <w:r w:rsidRPr="00107040">
              <w:rPr>
                <w:rFonts w:ascii="Times New Roman" w:eastAsia="MS Mincho" w:hAnsi="Times New Roman"/>
                <w:i/>
                <w:sz w:val="28"/>
                <w:szCs w:val="28"/>
                <w:lang w:val="en-US" w:eastAsia="ja-JP"/>
              </w:rPr>
              <w:t>AtPARP2</w:t>
            </w:r>
          </w:p>
        </w:tc>
        <w:tc>
          <w:tcPr>
            <w:tcW w:w="4673" w:type="dxa"/>
          </w:tcPr>
          <w:p w14:paraId="58888844" w14:textId="77777777" w:rsidR="00992872" w:rsidRPr="00107040" w:rsidRDefault="00992872" w:rsidP="000C16BB">
            <w:pPr>
              <w:widowControl w:val="0"/>
              <w:tabs>
                <w:tab w:val="left" w:pos="142"/>
              </w:tabs>
              <w:suppressAutoHyphens/>
              <w:spacing w:after="0" w:line="240" w:lineRule="auto"/>
              <w:ind w:firstLine="33"/>
              <w:jc w:val="both"/>
              <w:rPr>
                <w:rFonts w:ascii="Times New Roman" w:eastAsia="Arial Unicode MS" w:hAnsi="Times New Roman"/>
                <w:sz w:val="28"/>
                <w:szCs w:val="28"/>
                <w:shd w:val="clear" w:color="auto" w:fill="FFFFFF"/>
                <w:lang w:val="ru-RU" w:bidi="en-US"/>
              </w:rPr>
            </w:pPr>
            <w:r w:rsidRPr="00107040">
              <w:rPr>
                <w:rFonts w:ascii="Times New Roman" w:eastAsia="MS Mincho" w:hAnsi="Times New Roman"/>
                <w:sz w:val="28"/>
                <w:szCs w:val="28"/>
                <w:lang w:val="ru-RU" w:eastAsia="ja-JP"/>
              </w:rPr>
              <w:t xml:space="preserve">Индуцибельный </w:t>
            </w:r>
            <w:r w:rsidRPr="00107040">
              <w:rPr>
                <w:rFonts w:ascii="Times New Roman" w:eastAsia="MS Mincho" w:hAnsi="Times New Roman"/>
                <w:sz w:val="28"/>
                <w:szCs w:val="28"/>
                <w:lang w:val="en-US" w:eastAsia="ja-JP"/>
              </w:rPr>
              <w:t>lac</w:t>
            </w:r>
            <w:r w:rsidRPr="00107040">
              <w:rPr>
                <w:rFonts w:ascii="Times New Roman" w:eastAsia="MS Mincho" w:hAnsi="Times New Roman"/>
                <w:sz w:val="28"/>
                <w:szCs w:val="28"/>
                <w:lang w:val="ru-RU" w:eastAsia="ja-JP"/>
              </w:rPr>
              <w:t>-промотор бактериофага Т7; 6</w:t>
            </w:r>
            <w:r w:rsidRPr="00107040">
              <w:rPr>
                <w:rFonts w:ascii="Times New Roman" w:eastAsia="MS Mincho" w:hAnsi="Times New Roman"/>
                <w:sz w:val="28"/>
                <w:szCs w:val="28"/>
                <w:lang w:val="en-US" w:eastAsia="ja-JP"/>
              </w:rPr>
              <w:t>xHis</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tag</w:t>
            </w:r>
            <w:r w:rsidRPr="00107040">
              <w:rPr>
                <w:rFonts w:ascii="Times New Roman" w:eastAsia="MS Mincho" w:hAnsi="Times New Roman"/>
                <w:sz w:val="28"/>
                <w:szCs w:val="28"/>
                <w:lang w:val="ru-RU" w:eastAsia="ja-JP"/>
              </w:rPr>
              <w:t xml:space="preserve"> на С-конце, ген </w:t>
            </w:r>
            <w:r w:rsidRPr="00107040">
              <w:rPr>
                <w:rFonts w:ascii="Times New Roman" w:eastAsia="MS Mincho" w:hAnsi="Times New Roman"/>
                <w:i/>
                <w:sz w:val="28"/>
                <w:szCs w:val="28"/>
                <w:lang w:val="en-US" w:eastAsia="ja-JP"/>
              </w:rPr>
              <w:t>AtPARP</w:t>
            </w:r>
            <w:r w:rsidRPr="00107040">
              <w:rPr>
                <w:rFonts w:ascii="Times New Roman" w:eastAsia="MS Mincho" w:hAnsi="Times New Roman"/>
                <w:i/>
                <w:sz w:val="28"/>
                <w:szCs w:val="28"/>
                <w:lang w:val="ru-RU" w:eastAsia="ja-JP"/>
              </w:rPr>
              <w:t>2</w:t>
            </w:r>
          </w:p>
        </w:tc>
        <w:tc>
          <w:tcPr>
            <w:tcW w:w="1561" w:type="dxa"/>
          </w:tcPr>
          <w:p w14:paraId="08E07E4F" w14:textId="77777777" w:rsidR="00992872" w:rsidRPr="00107040" w:rsidRDefault="00992872" w:rsidP="000C16BB">
            <w:pPr>
              <w:widowControl w:val="0"/>
              <w:tabs>
                <w:tab w:val="left" w:pos="142"/>
              </w:tabs>
              <w:suppressAutoHyphens/>
              <w:spacing w:after="0" w:line="240" w:lineRule="auto"/>
              <w:ind w:firstLine="33"/>
              <w:jc w:val="both"/>
              <w:rPr>
                <w:rFonts w:ascii="Times New Roman" w:eastAsia="Arial Unicode MS" w:hAnsi="Times New Roman"/>
                <w:bCs/>
                <w:snapToGrid w:val="0"/>
                <w:sz w:val="28"/>
                <w:szCs w:val="28"/>
                <w:lang w:val="kk-KZ" w:bidi="en-US"/>
              </w:rPr>
            </w:pPr>
            <w:r w:rsidRPr="00107040">
              <w:rPr>
                <w:rFonts w:ascii="Times New Roman" w:eastAsia="MS Mincho" w:hAnsi="Times New Roman"/>
                <w:sz w:val="28"/>
                <w:szCs w:val="28"/>
                <w:lang w:val="en-US" w:eastAsia="ja-JP"/>
              </w:rPr>
              <w:t xml:space="preserve">В </w:t>
            </w:r>
            <w:r w:rsidR="00443463" w:rsidRPr="00107040">
              <w:rPr>
                <w:rFonts w:ascii="Times New Roman" w:eastAsia="MS Mincho" w:hAnsi="Times New Roman"/>
                <w:sz w:val="28"/>
                <w:szCs w:val="28"/>
                <w:lang w:val="ru-RU" w:eastAsia="ja-JP"/>
              </w:rPr>
              <w:t>настоящей</w:t>
            </w:r>
            <w:r w:rsidRPr="00107040">
              <w:rPr>
                <w:rFonts w:ascii="Times New Roman" w:eastAsia="MS Mincho" w:hAnsi="Times New Roman"/>
                <w:sz w:val="28"/>
                <w:szCs w:val="28"/>
                <w:lang w:val="en-US" w:eastAsia="ja-JP"/>
              </w:rPr>
              <w:t xml:space="preserve"> рaботе</w:t>
            </w:r>
          </w:p>
        </w:tc>
      </w:tr>
    </w:tbl>
    <w:p w14:paraId="50830BD8" w14:textId="77777777" w:rsidR="00992872" w:rsidRPr="00107040" w:rsidRDefault="00992872" w:rsidP="000C16BB">
      <w:pPr>
        <w:spacing w:after="0" w:line="240" w:lineRule="auto"/>
        <w:jc w:val="both"/>
        <w:rPr>
          <w:rFonts w:ascii="Times New Roman" w:eastAsia="MS Mincho" w:hAnsi="Times New Roman"/>
          <w:bCs/>
          <w:sz w:val="28"/>
          <w:szCs w:val="28"/>
          <w:lang w:val="kk-KZ" w:eastAsia="ja-JP"/>
        </w:rPr>
      </w:pPr>
    </w:p>
    <w:p w14:paraId="4E6A4026" w14:textId="7DDF479B" w:rsidR="00992872" w:rsidRPr="00107040" w:rsidRDefault="00992872" w:rsidP="000C16BB">
      <w:pPr>
        <w:spacing w:after="0" w:line="240" w:lineRule="auto"/>
        <w:ind w:firstLine="567"/>
        <w:jc w:val="both"/>
        <w:rPr>
          <w:rFonts w:ascii="Times New Roman" w:eastAsia="MS Mincho" w:hAnsi="Times New Roman"/>
          <w:bCs/>
          <w:sz w:val="28"/>
          <w:szCs w:val="28"/>
          <w:lang w:val="kk-KZ" w:eastAsia="ja-JP"/>
        </w:rPr>
      </w:pPr>
      <w:r w:rsidRPr="00107040">
        <w:rPr>
          <w:rFonts w:ascii="Times New Roman" w:eastAsia="MS Mincho" w:hAnsi="Times New Roman"/>
          <w:bCs/>
          <w:i/>
          <w:sz w:val="28"/>
          <w:szCs w:val="28"/>
          <w:lang w:val="kk-KZ" w:eastAsia="ja-JP"/>
        </w:rPr>
        <w:t>Ферменты и реактивы.</w:t>
      </w:r>
      <w:r w:rsidRPr="00107040">
        <w:rPr>
          <w:rFonts w:ascii="Times New Roman" w:eastAsia="MS Mincho" w:hAnsi="Times New Roman"/>
          <w:bCs/>
          <w:sz w:val="28"/>
          <w:szCs w:val="28"/>
          <w:lang w:val="kk-KZ" w:eastAsia="ja-JP"/>
        </w:rPr>
        <w:t xml:space="preserve"> Рестриционные ферменты, T4 ДНК лигаза, RPROTKSOL-RO: рекомбинантная, ПЦР Grade Протеиназа К была от Roche (Базель, Швейцария) и Дезоксирибонуклеаза I из поджелудочной железы быка (DNAse I) была от ThermoFisher Scientific (Литва), щелочная фосфатаза кишечника теленка (CIP) была от New England Biolabs France (Эври, Франция). Фосфодиэстераза 1 из змеиного яда из </w:t>
      </w:r>
      <w:r w:rsidRPr="00107040">
        <w:rPr>
          <w:rFonts w:ascii="Times New Roman" w:eastAsia="MS Mincho" w:hAnsi="Times New Roman"/>
          <w:bCs/>
          <w:i/>
          <w:sz w:val="28"/>
          <w:szCs w:val="28"/>
          <w:lang w:val="kk-KZ" w:eastAsia="ja-JP"/>
        </w:rPr>
        <w:t>Crotalus adamanteus</w:t>
      </w:r>
      <w:r w:rsidRPr="00107040">
        <w:rPr>
          <w:rFonts w:ascii="Times New Roman" w:eastAsia="MS Mincho" w:hAnsi="Times New Roman"/>
          <w:bCs/>
          <w:sz w:val="28"/>
          <w:szCs w:val="28"/>
          <w:lang w:val="kk-KZ" w:eastAsia="ja-JP"/>
        </w:rPr>
        <w:t xml:space="preserve"> (SVPDE1) была от Worthington (Biochemical Corporation). Очищенный человеческий Nudix белок </w:t>
      </w:r>
      <w:r w:rsidRPr="00107040">
        <w:rPr>
          <w:rFonts w:ascii="Times New Roman" w:eastAsia="MS Mincho" w:hAnsi="Times New Roman"/>
          <w:bCs/>
          <w:sz w:val="28"/>
          <w:szCs w:val="28"/>
          <w:lang w:val="kk-KZ" w:eastAsia="ja-JP"/>
        </w:rPr>
        <w:lastRenderedPageBreak/>
        <w:t xml:space="preserve">(нуклеозид дифосфат-связанная частица Х)-тип мотива 16 (NUDT16) был приготовлен, как описано </w:t>
      </w:r>
      <w:r w:rsidRPr="00107040">
        <w:rPr>
          <w:rFonts w:ascii="Times New Roman" w:eastAsia="MS Mincho" w:hAnsi="Times New Roman"/>
          <w:bCs/>
          <w:sz w:val="28"/>
          <w:szCs w:val="28"/>
          <w:lang w:val="kk-KZ" w:eastAsia="ja-JP"/>
        </w:rPr>
        <w:fldChar w:fldCharType="begin"/>
      </w:r>
      <w:r w:rsidR="008611DC">
        <w:rPr>
          <w:rFonts w:ascii="Times New Roman" w:eastAsia="MS Mincho" w:hAnsi="Times New Roman"/>
          <w:bCs/>
          <w:sz w:val="28"/>
          <w:szCs w:val="28"/>
          <w:lang w:val="kk-KZ" w:eastAsia="ja-JP"/>
        </w:rPr>
        <w:instrText xml:space="preserve"> ADDIN ZOTERO_ITEM CSL_CITATION {"citationID":"vWrSjZPl","properties":{"formattedCitation":"[264]","plainCitation":"[264]","noteIndex":0},"citationItems":[{"id":312,"uris":["http://zotero.org/users/9078202/items/KM39D739"],"itemData":{"id":312,"type":"article-journal","abstract":"ADP-ribosylation is a post-translational modification (PTM) of proteins found in organisms from all kingdoms of life which regulates many important biological functions including DNA repair, chromatin structure, unfolded protein response and apoptosis. Several cellular enzymes, such as macrodomain containing proteins PARG [poly(ADP-ribose) glycohydrolase] and TARG1 [terminal ADP-ribose (ADPr) protein glycohydrolase], reverse protein ADP-ribosylation. In the present study, we show that human Nudix (nucleoside diphosphate-linked moiety X)-type motif 16 (hNUDT16) represents a new enzyme class that can process protein ADP-ribosylation in vitro, converting it into ribose-5'-phosphate (R5P) tags covalently attached to the modified proteins. Furthermore, our data show that hNUDT16 enzymatic activity can be used to trim ADP-ribosylation on proteins in order to facilitate analysis of ADP-ribosylation sites on proteins by MS.","container-title":"The Biochemical Journal","DOI":"10.1042/BJ20141554","ISSN":"1470-8728","issue":"2","journalAbbreviation":"Biochem J","language":"eng","note":"PMID: 25789582\nPMCID: PMC6057610","page":"293-301","source":"PubMed","title":"Processing of protein ADP-ribosylation by Nudix hydrolases","volume":"468","author":[{"family":"Palazzo","given":"Luca"},{"family":"Thomas","given":"Benjamin"},{"family":"Jemth","given":"Ann-Sofie"},{"family":"Colby","given":"Thomas"},{"family":"Leidecker","given":"Orsolya"},{"family":"Feijs","given":"Karla L. H."},{"family":"Zaja","given":"Roko"},{"family":"Loseva","given":"Olga"},{"family":"Puigvert","given":"Jordi Carreras"},{"family":"Matic","given":"Ivan"},{"family":"Helleday","given":"Thomas"},{"family":"Ahel","given":"Ivan"}],"issued":{"date-parts":[["2015",6,1]]}}}],"schema":"https://github.com/citation-style-language/schema/raw/master/csl-citation.json"} </w:instrText>
      </w:r>
      <w:r w:rsidRPr="00107040">
        <w:rPr>
          <w:rFonts w:ascii="Times New Roman" w:eastAsia="MS Mincho" w:hAnsi="Times New Roman"/>
          <w:bCs/>
          <w:sz w:val="28"/>
          <w:szCs w:val="28"/>
          <w:lang w:val="kk-KZ" w:eastAsia="ja-JP"/>
        </w:rPr>
        <w:fldChar w:fldCharType="separate"/>
      </w:r>
      <w:r w:rsidR="008611DC" w:rsidRPr="008611DC">
        <w:rPr>
          <w:rFonts w:ascii="Times New Roman" w:hAnsi="Times New Roman"/>
          <w:sz w:val="28"/>
        </w:rPr>
        <w:t>[264]</w:t>
      </w:r>
      <w:r w:rsidRPr="00107040">
        <w:rPr>
          <w:rFonts w:ascii="Times New Roman" w:eastAsia="MS Mincho" w:hAnsi="Times New Roman"/>
          <w:bCs/>
          <w:sz w:val="28"/>
          <w:szCs w:val="28"/>
          <w:lang w:val="kk-KZ" w:eastAsia="ja-JP"/>
        </w:rPr>
        <w:fldChar w:fldCharType="end"/>
      </w:r>
      <w:r w:rsidRPr="00107040">
        <w:rPr>
          <w:rFonts w:ascii="Times New Roman" w:eastAsia="MS Mincho" w:hAnsi="Times New Roman"/>
          <w:bCs/>
          <w:sz w:val="28"/>
          <w:szCs w:val="28"/>
          <w:lang w:val="kk-KZ" w:eastAsia="ja-JP"/>
        </w:rPr>
        <w:t>. Бычий PARG был из Trevigen (Гейтерсбург, США). Блеомицин был из Sanofi-Aventis (Франция).</w:t>
      </w:r>
    </w:p>
    <w:p w14:paraId="5D2BD41C" w14:textId="77777777" w:rsidR="00992872" w:rsidRPr="00107040" w:rsidRDefault="00992872" w:rsidP="000C16BB">
      <w:pPr>
        <w:spacing w:after="0" w:line="240" w:lineRule="auto"/>
        <w:ind w:firstLine="567"/>
        <w:jc w:val="both"/>
        <w:rPr>
          <w:rFonts w:ascii="Times New Roman" w:eastAsia="MS Mincho" w:hAnsi="Times New Roman"/>
          <w:bCs/>
          <w:sz w:val="28"/>
          <w:szCs w:val="28"/>
          <w:lang w:val="kk-KZ" w:eastAsia="ja-JP"/>
        </w:rPr>
      </w:pPr>
    </w:p>
    <w:p w14:paraId="75751BFF" w14:textId="77777777" w:rsidR="00992872" w:rsidRPr="00107040" w:rsidRDefault="00992872" w:rsidP="000C16BB">
      <w:pPr>
        <w:spacing w:after="0" w:line="240" w:lineRule="auto"/>
        <w:ind w:firstLine="567"/>
        <w:jc w:val="both"/>
        <w:rPr>
          <w:rFonts w:ascii="Times New Roman" w:eastAsia="MS Mincho" w:hAnsi="Times New Roman"/>
          <w:b/>
          <w:iCs/>
          <w:sz w:val="28"/>
          <w:szCs w:val="28"/>
          <w:lang w:val="kk-KZ" w:eastAsia="ja-JP"/>
        </w:rPr>
      </w:pPr>
      <w:r w:rsidRPr="00107040">
        <w:rPr>
          <w:rFonts w:ascii="Times New Roman" w:eastAsia="MS Mincho" w:hAnsi="Times New Roman"/>
          <w:b/>
          <w:bCs/>
          <w:iCs/>
          <w:sz w:val="28"/>
          <w:szCs w:val="28"/>
          <w:lang w:val="kk-KZ" w:eastAsia="ja-JP"/>
        </w:rPr>
        <w:t>2.2 Олигонуклеотиды</w:t>
      </w:r>
    </w:p>
    <w:p w14:paraId="28C00012" w14:textId="0F2237A4"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Последовательности олигонуклеотидов и их дуплексов, используемых в настоящей работе, представлены в таблице </w:t>
      </w:r>
      <w:r w:rsidR="008C6134">
        <w:rPr>
          <w:rFonts w:ascii="Times New Roman" w:eastAsia="MS Mincho" w:hAnsi="Times New Roman"/>
          <w:sz w:val="28"/>
          <w:szCs w:val="28"/>
          <w:lang w:val="ru-RU" w:eastAsia="ja-JP"/>
        </w:rPr>
        <w:t>4</w:t>
      </w:r>
      <w:r w:rsidRPr="00107040">
        <w:rPr>
          <w:rFonts w:ascii="Times New Roman" w:eastAsia="MS Mincho" w:hAnsi="Times New Roman"/>
          <w:sz w:val="28"/>
          <w:szCs w:val="28"/>
          <w:lang w:val="ru-RU" w:eastAsia="ja-JP"/>
        </w:rPr>
        <w:t xml:space="preserve">. Все олигонуклеотиды были приобретены у </w:t>
      </w:r>
      <w:r w:rsidRPr="00107040">
        <w:rPr>
          <w:rFonts w:ascii="Times New Roman" w:eastAsia="MS Mincho" w:hAnsi="Times New Roman"/>
          <w:sz w:val="28"/>
          <w:szCs w:val="28"/>
          <w:lang w:val="en-US" w:eastAsia="ja-JP"/>
        </w:rPr>
        <w:t>Eurogentec</w:t>
      </w:r>
      <w:r w:rsidRPr="00107040">
        <w:rPr>
          <w:rFonts w:ascii="Times New Roman" w:eastAsia="MS Mincho" w:hAnsi="Times New Roman"/>
          <w:sz w:val="28"/>
          <w:szCs w:val="28"/>
          <w:lang w:val="ru-RU" w:eastAsia="ja-JP"/>
        </w:rPr>
        <w:t xml:space="preserve"> (Серен, Бельгия), включая модифицированные олигонуклеотиды. Перед ферментативными анализами олигонуклеотиды метили либо на 5'-конце, используя полинуклеотидкиназу Т4 (New England Biolabs, OZYME France) в присутствии [γ-</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ru-RU" w:eastAsia="ja-JP"/>
        </w:rPr>
        <w:t>P] АТФ (3000 Ci.mmol</w:t>
      </w:r>
      <w:r w:rsidRPr="00107040">
        <w:rPr>
          <w:rFonts w:ascii="Times New Roman" w:eastAsia="MS Mincho" w:hAnsi="Times New Roman"/>
          <w:sz w:val="28"/>
          <w:szCs w:val="28"/>
          <w:vertAlign w:val="superscript"/>
          <w:lang w:val="ru-RU" w:eastAsia="ja-JP"/>
        </w:rPr>
        <w:t>−1</w:t>
      </w:r>
      <w:r w:rsidRPr="00107040">
        <w:rPr>
          <w:rFonts w:ascii="Times New Roman" w:eastAsia="MS Mincho" w:hAnsi="Times New Roman"/>
          <w:sz w:val="28"/>
          <w:szCs w:val="28"/>
          <w:lang w:val="ru-RU" w:eastAsia="ja-JP"/>
        </w:rPr>
        <w:t>)</w:t>
      </w:r>
      <w:r w:rsidR="002F2169" w:rsidRPr="00107040">
        <w:rPr>
          <w:rFonts w:ascii="Times New Roman" w:eastAsia="MS Mincho" w:hAnsi="Times New Roman"/>
          <w:sz w:val="28"/>
          <w:szCs w:val="28"/>
          <w:lang w:val="ru-RU" w:eastAsia="ja-JP"/>
        </w:rPr>
        <w:t xml:space="preserve"> </w:t>
      </w:r>
      <w:r w:rsidR="002F2169"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{"citationID":"8YncQKTX","properties":{"formattedCitation":"[426]","plainCitation":"[426]","noteIndex":0},"citationItems":[{"id":"MPjqK5ng/622nXCtJ","uris":["http://zotero.org/users/9078202/items/QJ2DZVAY"],"itemData":{"id":1408,"type":"article-journal","abstract":"The replication machinery that synthesizes new copies of chromosomal DNA is located at the junction where double-stranded DNA is separated into its two strands. This replication fork DNA structure is at the heart of most assays involving DNA helicases. The helicase enzyme unwinds the replication fork structure into two single-stranded templates which are converted into two daughter duplexes by other proteins, including DNA polymerases. In eukaryotes, the CMG (Cdc45/Mcm2-7/GINS) helicase plays the pivotal role of unwinding the parental duplex DNA and at the same time interacts with numerous other proteins, including the leading strand polymerase, Pol ɛ. This chapter first describes how we design and prepare synthetic replication forks used in our CMG-related assays. Then we describe how to load CMG onto the fork. The Mcm2-7 motor subunits of CMG form a closed ring, as do all cellular replicative helicases, that encircles ssDNA for helicase function. Thus, the first step in these assays is the loading of CMG onto the fork DNA, followed by DNA unwinding and replication. We explain protocols for different strategies of preloading CMG onto the DNA fork using different ATP analogues. Additionally, the presence of Mcm10, an intimate partner of CMG, affects how CMG is preloaded onto a fork substrate.\nPrior work documented use of γ-phosphate modified ATP analogs to label DNA using T4 polynucleotide kinases (T4PNK), although applications have been limited. To fully charac</w:instrText>
      </w:r>
      <w:r w:rsidR="00FB5E68">
        <w:rPr>
          <w:rFonts w:ascii="Times New Roman" w:eastAsia="MS Mincho" w:hAnsi="Times New Roman" w:hint="eastAsia"/>
          <w:sz w:val="28"/>
          <w:szCs w:val="28"/>
          <w:lang w:val="ru-RU" w:eastAsia="ja-JP"/>
        </w:rPr>
        <w:instrText>terize kinase-catalyzed labeling of nucleic acids, we explored use of ATP-biotin as a cosubstrate with T4PNK. T4PNK accepted ATP-biotin to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-label single stranded DNA. However, T4PNK-mediated labeling of double stranded substrates was low yielding. In ad</w:instrText>
      </w:r>
      <w:r w:rsidR="00FB5E68">
        <w:rPr>
          <w:rFonts w:ascii="Times New Roman" w:eastAsia="MS Mincho" w:hAnsi="Times New Roman"/>
          <w:sz w:val="28"/>
          <w:szCs w:val="28"/>
          <w:lang w:val="ru-RU" w:eastAsia="ja-JP"/>
        </w:rPr>
        <w:instrText>dition, the phosphoramidate bond connecting the biotin group to the DNA was unstable. These results suggest that kinase-catalyzed biotinylation will be useful with single stranded DNA substrates and mild reaction conditions. By revealing the scope and limitations of kinase-catalyzed biotinylation, these studies provide a foundation for future development and application of kinase-catalyzed labeling to DNA-based biological studies.\nDNA phosphorylation catalyzed by polynucleotide kinase (PNK) is an indispensable process in the repair, replication, and recombination of nucleic acids. Here, an enzyme-assisted amplification strategy was developed for the ultrasensitive monitoring activity and inhibition of T4 PNK. A hairpin oligonucleotide (hpDNA) was designe</w:instrText>
      </w:r>
      <w:r w:rsidR="00FB5E68">
        <w:rPr>
          <w:rFonts w:ascii="Times New Roman" w:eastAsia="MS Mincho" w:hAnsi="Times New Roman" w:hint="eastAsia"/>
          <w:sz w:val="28"/>
          <w:szCs w:val="28"/>
          <w:lang w:val="ru-RU" w:eastAsia="ja-JP"/>
        </w:rPr>
        <w:instrText>d as a probe whose stem can be degraded from the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 xml:space="preserve"> to 3</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 xml:space="preserve"> direction by lambda exonuclease (</w:instrText>
      </w:r>
      <w:r w:rsidR="00FB5E68">
        <w:rPr>
          <w:rFonts w:ascii="Times New Roman" w:eastAsia="MS Mincho" w:hAnsi="Times New Roman" w:hint="eastAsia"/>
          <w:sz w:val="28"/>
          <w:szCs w:val="28"/>
          <w:lang w:val="ru-RU" w:eastAsia="ja-JP"/>
        </w:rPr>
        <w:instrText>λ</w:instrText>
      </w:r>
      <w:r w:rsidR="00FB5E68">
        <w:rPr>
          <w:rFonts w:ascii="Times New Roman" w:eastAsia="MS Mincho" w:hAnsi="Times New Roman" w:hint="eastAsia"/>
          <w:sz w:val="28"/>
          <w:szCs w:val="28"/>
          <w:lang w:val="ru-RU" w:eastAsia="ja-JP"/>
        </w:rPr>
        <w:instrText xml:space="preserve"> exo) when its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 xml:space="preserve"> end is phosphorylated by PNK. So, the 3</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 xml:space="preserve"> stem and loop part of hpDNA was released as an initiator strand to open a molecular beacon (MB) that was</w:instrText>
      </w:r>
      <w:r w:rsidR="00FB5E68">
        <w:rPr>
          <w:rFonts w:ascii="Times New Roman" w:eastAsia="MS Mincho" w:hAnsi="Times New Roman"/>
          <w:sz w:val="28"/>
          <w:szCs w:val="28"/>
          <w:lang w:val="ru-RU" w:eastAsia="ja-JP"/>
        </w:rPr>
        <w:instrText xml:space="preserve"> designed as a fluorescence reporter, leading to a fluorescence restoration. Then, the initiator strand was released again by the nicking endonuclease (Nt.BbvCI) to hybridize with another MB, resulting in a cyclic reaction and accumulation of fluorescence signal. Based on enzyme-assisted amplification, PNK activity can be sensitively and rapidly detected with a detection limit of 1.0 × 10−4 U/ml, which is superior to those of most existing approaches. Furthermore, the application of the proposed strategy for screening PNK inhibitors also demonstrated satisfactory results. Therefore, it provided a promising platform for monitoring activity and inhibition of PNK as well as for studying the activity of other nucleases.\nOxanine (Oxa), generated from guanine (Gua) by NO- or HNO2-induced nitrosative oxidation, has been thought to cause mutagenic problems in cellular systems. In this study, the response of Oxa to different enzymatic functions was explored to understand how similarly it can participate in biomol</w:instrText>
      </w:r>
      <w:r w:rsidR="00FB5E68">
        <w:rPr>
          <w:rFonts w:ascii="Times New Roman" w:eastAsia="MS Mincho" w:hAnsi="Times New Roman" w:hint="eastAsia"/>
          <w:sz w:val="28"/>
          <w:szCs w:val="28"/>
          <w:lang w:val="ru-RU" w:eastAsia="ja-JP"/>
        </w:rPr>
        <w:instrText>ecular reactions compared to the natural base, Gua. The phosphorylation efficiency of the T4 polynucleotide kinase was highest when Oxa was located on the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-end of single stranded DNAs compared to when other nucleobases were in this position. The order o</w:instrText>
      </w:r>
      <w:r w:rsidR="00FB5E68">
        <w:rPr>
          <w:rFonts w:ascii="Times New Roman" w:eastAsia="MS Mincho" w:hAnsi="Times New Roman"/>
          <w:sz w:val="28"/>
          <w:szCs w:val="28"/>
          <w:lang w:val="ru-RU" w:eastAsia="ja-JP"/>
        </w:rPr>
        <w:instrText xml:space="preserve">f phosphorylation efficiency was as follows; Oxa &gt; Gua &gt; adenine (Ade) </w:instrText>
      </w:r>
      <w:r w:rsidR="00FB5E68">
        <w:rPr>
          <w:rFonts w:ascii="Cambria Math" w:eastAsia="MS Mincho" w:hAnsi="Cambria Math" w:cs="Cambria Math"/>
          <w:sz w:val="28"/>
          <w:szCs w:val="28"/>
          <w:lang w:val="ru-RU" w:eastAsia="ja-JP"/>
        </w:rPr>
        <w:instrText>∼</w:instrText>
      </w:r>
      <w:r w:rsidR="00FB5E68">
        <w:rPr>
          <w:rFonts w:ascii="Times New Roman" w:eastAsia="MS Mincho" w:hAnsi="Times New Roman"/>
          <w:sz w:val="28"/>
          <w:szCs w:val="28"/>
          <w:lang w:val="ru-RU" w:eastAsia="ja-JP"/>
        </w:rPr>
        <w:instrText xml:space="preserve"> thymine (Thy) &gt; cytosine (Cyt). Base-pairing of Oxa and Cyt (Oxa:Cyt) between the ligation fragment and template was found to influence the ligation performance of the T4 DNA ligase to a lesser degree compared to Gua:Cyt. In addition, EcoRI and BglII showed higher cleavage activities on DNA substrates containing Oxa:Cyt than those containing Gua:Cyt, while BamHI, HindIII and EcoRV showed lower cleavage activity; however, this decrease in activity was relatively small.\nAs for Cystic Fibrosis (CF) and many other hereditary diseases there is still a lack in understanding the relationship between genetic (e.g. allelic) and phenotypic diversity. Therefore methods which allow fine quantification of allelic proportions of mRNA transcripts are of high importance.\nWe used either genomic DNA (gDNA) or total RNA extracted from nasal cells as starting nucleic acid template for our assay. The subjects included in this study were 9 CF patients compound heterozygous for the F508del mutation and each one F508del homozygous and one wild type homozygous respectively. We established a novel ligation based quantification method which allows fine quantification of the allelic proportions of ss and ds CFTR cDNA. To verify reliability and accuracy of this novel assay we compared it with semiquantitative fluorescent PCR (SQF-PCR).\nWe established a novel assay for allele specific quantification of gene expression which combines the benefits of the specificity of the ligation reaction and the accuracy of quantitative real-time PCR. The comparison with SQF-PCR clearly demonstrates that LASQ allows fine quantification of allelic proportions.\nThis assay represents an alternative to other fine quantitative methods such as ARMS PCR and Pyrosequencing.\nNanopore sequencing is one of the most promising technologies being developed as a cheap and fast alternative to the conventional Sanger sequencing method. Protein or synthetic nanopores have been used to detect DNA or RNA molecules. Although none of the technologies to date has shown single-base resolution for de novo DNA sequencing, there have been several reports of α-hemolysin protein nanopores being used for basic DNA analyses, and various synthetic nanopores have been fabricated. This review will examine current nanopore sequencing technologies, including recent developments of new applications.","container-title":"Analytical Biochemistry","DOI":"10.1006/abio.1998.2900","ISSN":"0003-2697","issue":"2","jour</w:instrText>
      </w:r>
      <w:r w:rsidR="00FB5E68">
        <w:rPr>
          <w:rFonts w:ascii="Times New Roman" w:eastAsia="MS Mincho" w:hAnsi="Times New Roman" w:hint="eastAsia"/>
          <w:sz w:val="28"/>
          <w:szCs w:val="28"/>
          <w:lang w:val="ru-RU" w:eastAsia="ja-JP"/>
        </w:rPr>
        <w:instrText>nalAbbreviation":"Analytical Biochemistry","language":"en","page":"386-389","source":"ScienceDirect","title":"Labeling Efficiency of Oligonucleotides by T4 Polynucleotide Kinase Depends on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-Nucleotide","URL":"https://www.sciencedirect.com/science/articl</w:instrText>
      </w:r>
      <w:r w:rsidR="00FB5E68">
        <w:rPr>
          <w:rFonts w:ascii="Times New Roman" w:eastAsia="MS Mincho" w:hAnsi="Times New Roman"/>
          <w:sz w:val="28"/>
          <w:szCs w:val="28"/>
          <w:lang w:val="ru-RU" w:eastAsia="ja-JP"/>
        </w:rPr>
        <w:instrText xml:space="preserve">e/pii/S0003269798929001","volume":"265","author":[{"family":"Houten","given":"Viola","non-dropping-particle":"van"},{"family":"Denkers","given":"Fedor"},{"family":"Dijk","given":"Mirjam","non-dropping-particle":"van"},{"family":"Brekel","given":"Michiel","non-dropping-particle":"van den"},{"family":"Brakenhoff","given":"Ruud"}],"accessed":{"date-parts":[["2022",6,16]]},"issued":{"date-parts":[["1998",12,15]]}}}],"schema":"https://github.com/citation-style-language/schema/raw/master/csl-citation.json"} </w:instrText>
      </w:r>
      <w:r w:rsidR="002F2169"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[426]</w:t>
      </w:r>
      <w:r w:rsidR="002F2169"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(PerkinElmer), либо на 3'-конец с помощью терминальной дезоксинуклеотидилтрансферазы (New England Biolabs) в присутствии [α-</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ru-RU" w:eastAsia="ja-JP"/>
        </w:rPr>
        <w:t>P] -3'-dATP (кордицепин 5'-трифосфат, 5000 Ci.mmol</w:t>
      </w:r>
      <w:r w:rsidRPr="00107040">
        <w:rPr>
          <w:rFonts w:ascii="Times New Roman" w:eastAsia="MS Mincho" w:hAnsi="Times New Roman"/>
          <w:sz w:val="28"/>
          <w:szCs w:val="28"/>
          <w:vertAlign w:val="superscript"/>
          <w:lang w:val="ru-RU" w:eastAsia="ja-JP"/>
        </w:rPr>
        <w:t>−1</w:t>
      </w:r>
      <w:r w:rsidRPr="00107040">
        <w:rPr>
          <w:rFonts w:ascii="Times New Roman" w:eastAsia="MS Mincho" w:hAnsi="Times New Roman"/>
          <w:sz w:val="28"/>
          <w:szCs w:val="28"/>
          <w:lang w:val="ru-RU" w:eastAsia="ja-JP"/>
        </w:rPr>
        <w:t>; PerkinElmer)</w:t>
      </w:r>
      <w:r w:rsidR="00EA3606" w:rsidRPr="00107040">
        <w:rPr>
          <w:rFonts w:ascii="Times New Roman" w:eastAsia="MS Mincho" w:hAnsi="Times New Roman"/>
          <w:sz w:val="28"/>
          <w:szCs w:val="28"/>
          <w:lang w:val="ru-RU" w:eastAsia="ja-JP"/>
        </w:rPr>
        <w:t xml:space="preserve"> </w:t>
      </w:r>
      <w:r w:rsidR="00EA3606"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{"citationID":"tdsnciUt","properties":{"formattedCitation":"[427]","plainCitation":"[427]","noteIndex":0},"citationItems":[{"id":1414,"uris":["http://zotero.org/users/9078202/items/2A6LFLSC"],"itemData":{"id":1414,"type":"article-journal","abstract":"Terminal deoxynucleotidyl transferase (TdT, also simply called terminal transferase) is a template-independent polymerase that catalyzes the addition of deoxynucleotides and dideoxynucleotides to the 3'-hydroxyl terminus of a DNA molecule. Cobalt (Co2+) is a necessary cofactor for the activity of this enzyme. Incorporation at the 3' terminus can be limited to just 1 nt by using [α-32P]ddATP or biotin-, digoxigenin (DIG)-, or fluorescein-ddUTP. Because none of these molecules carries a 3'-hydroxyl group, no additional molecules can be incorporated. Alternatively, the enzyme is capable of adding several (2-100) nt to 3' ends in a so-called homopolymeric \"tailing\" reaction. A tailing reaction is performed in the presence of a mixture of labeled and unlabeled dNTPs. The rate of addition of dNTPs, and thus the length of the tail, is a function of the ratio of 3' DNA ends to dNTP concentration and, in addition, the specific dNTP that is used.","container-title":"Cold Spring Harbor Protocols","DOI":"10.1101/pdb.prot100685","ISSN":"1559-6095","issue":"8","journalAbbreviation":"Cold Spring Harb Protoc","language":"eng","note":"PMID: 34341178","source":"PubMed","title":"Labeling the 3' Termini of Oligonucleotides Using Terminal Deoxynucleotidyl Transferase","volume":"2021","author":[{"family":"Green","given":"Michael R."},{"family":"Sambrook","given":"Joseph"}],"issued":{"date-parts":[["2021",8,2]]}}}],"schema":"https://github.com/citation-style-language/schema/raw/master/csl-citation.json"} </w:instrText>
      </w:r>
      <w:r w:rsidR="00EA3606"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[427]</w:t>
      </w:r>
      <w:r w:rsidR="00EA3606"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в соответствии с протоколом производителя. Холодный АТФ в концентрации 1 мМ добавляли для фосфорилирования оставшихся немеченых олигонуклеотидов. После реакций радиоактивно меченные олигонуклеотиды обессоливали на колонке Sephadex G-25, уравновешенной водой, а затем отжигали с соответствующей дополнительной цепью в течение 3 минут при 65</w:t>
      </w:r>
      <w:r w:rsidR="000618A4"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°C в буфере, содержащем 20 мМ HEPES-KOH (pH 7,6) и 50 мМ KCl. Кроме того, радиоактивное мечение ДНК и белков выполняли с использованием [аденилат-</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ru-RU" w:eastAsia="ja-JP"/>
        </w:rPr>
        <w:t xml:space="preserve">P] </w:t>
      </w:r>
      <w:r w:rsidR="00DA5E49" w:rsidRPr="00107040">
        <w:rPr>
          <w:rFonts w:ascii="Times New Roman" w:eastAsia="MS Mincho" w:hAnsi="Times New Roman"/>
          <w:sz w:val="28"/>
          <w:szCs w:val="28"/>
          <w:lang w:val="ru-RU"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(800 Ci.mmol</w:t>
      </w:r>
      <w:r w:rsidRPr="00107040">
        <w:rPr>
          <w:rFonts w:ascii="Times New Roman" w:eastAsia="MS Mincho" w:hAnsi="Times New Roman"/>
          <w:sz w:val="28"/>
          <w:szCs w:val="28"/>
          <w:vertAlign w:val="superscript"/>
          <w:lang w:val="ru-RU" w:eastAsia="ja-JP"/>
        </w:rPr>
        <w:t>−1</w:t>
      </w:r>
      <w:r w:rsidRPr="00107040">
        <w:rPr>
          <w:rFonts w:ascii="Times New Roman" w:eastAsia="MS Mincho" w:hAnsi="Times New Roman"/>
          <w:sz w:val="28"/>
          <w:szCs w:val="28"/>
          <w:lang w:val="ru-RU" w:eastAsia="ja-JP"/>
        </w:rPr>
        <w:t xml:space="preserve">) (PerkinElmer) в присутствии </w:t>
      </w:r>
      <w:r w:rsidR="000618A4" w:rsidRPr="00107040">
        <w:rPr>
          <w:rFonts w:ascii="Times New Roman" w:eastAsia="MS Mincho" w:hAnsi="Times New Roman"/>
          <w:sz w:val="28"/>
          <w:szCs w:val="28"/>
          <w:lang w:val="ru-RU" w:eastAsia="ja-JP"/>
        </w:rPr>
        <w:t>A</w:t>
      </w:r>
      <w:r w:rsidRPr="00107040">
        <w:rPr>
          <w:rFonts w:ascii="Times New Roman" w:eastAsia="MS Mincho" w:hAnsi="Times New Roman"/>
          <w:sz w:val="28"/>
          <w:szCs w:val="28"/>
          <w:lang w:val="ru-RU" w:eastAsia="ja-JP"/>
        </w:rPr>
        <w:t xml:space="preserve">tPARP, олигонуклеотидов и 1 мМ холодного </w:t>
      </w:r>
      <w:r w:rsidR="00DA5E49" w:rsidRPr="00107040">
        <w:rPr>
          <w:rFonts w:ascii="Times New Roman" w:eastAsia="MS Mincho" w:hAnsi="Times New Roman"/>
          <w:sz w:val="28"/>
          <w:szCs w:val="28"/>
          <w:lang w:val="ru-RU"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Для приготовления 5'-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ru-RU" w:eastAsia="ja-JP"/>
        </w:rPr>
        <w:t xml:space="preserve">P] -меченного линеаризованного субстрата плазмидной ДНК, 50 мкМ плазмиды pML2 (такой же, как pBluescript, но содержит вставку уникального сайта PmlI) линеаризовали 30 U </w:t>
      </w:r>
      <w:r w:rsidRPr="00107040">
        <w:rPr>
          <w:rFonts w:ascii="Times New Roman" w:eastAsia="MS Mincho" w:hAnsi="Times New Roman"/>
          <w:i/>
          <w:sz w:val="28"/>
          <w:szCs w:val="28"/>
          <w:lang w:val="ru-RU" w:eastAsia="ja-JP"/>
        </w:rPr>
        <w:t>PmlI</w:t>
      </w:r>
      <w:r w:rsidRPr="00107040">
        <w:rPr>
          <w:rFonts w:ascii="Times New Roman" w:eastAsia="MS Mincho" w:hAnsi="Times New Roman"/>
          <w:sz w:val="28"/>
          <w:szCs w:val="28"/>
          <w:lang w:val="ru-RU" w:eastAsia="ja-JP"/>
        </w:rPr>
        <w:t xml:space="preserve"> в течение 1 ч при 37</w:t>
      </w:r>
      <w:r w:rsidR="000618A4"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°C в 1 × CutSmart (New England Biolabs, Франция), затем добавляли 15 U </w:t>
      </w:r>
      <w:r w:rsidRPr="00107040">
        <w:rPr>
          <w:rFonts w:ascii="Times New Roman" w:eastAsia="MS Mincho" w:hAnsi="Times New Roman"/>
          <w:i/>
          <w:sz w:val="28"/>
          <w:szCs w:val="28"/>
          <w:lang w:val="ru-RU" w:eastAsia="ja-JP"/>
        </w:rPr>
        <w:t>Nb.BsmI</w:t>
      </w:r>
      <w:r w:rsidRPr="00107040">
        <w:rPr>
          <w:rFonts w:ascii="Times New Roman" w:eastAsia="MS Mincho" w:hAnsi="Times New Roman"/>
          <w:sz w:val="28"/>
          <w:szCs w:val="28"/>
          <w:lang w:val="ru-RU" w:eastAsia="ja-JP"/>
        </w:rPr>
        <w:t xml:space="preserve"> и инкубировали в течение 1 ч при 65</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°C. Метка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ru-RU" w:eastAsia="ja-JP"/>
        </w:rPr>
        <w:t>P была введена путем повторного отжига линеаризованного pML2 с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ru-RU" w:eastAsia="ja-JP"/>
        </w:rPr>
        <w:t xml:space="preserve">P]-меченным олигонуклеотидом ExoA d(GTGGTTGTAAAACCTCAGCCAG), соответствующим 22-нуклеотидному фрагменту, охватывающему область между 5'-концом </w:t>
      </w:r>
      <w:r w:rsidRPr="00107040">
        <w:rPr>
          <w:rFonts w:ascii="Times New Roman" w:eastAsia="MS Mincho" w:hAnsi="Times New Roman"/>
          <w:sz w:val="28"/>
          <w:szCs w:val="28"/>
          <w:lang w:val="en-US" w:eastAsia="ja-JP"/>
        </w:rPr>
        <w:t>DSB</w:t>
      </w:r>
      <w:r w:rsidRPr="00107040">
        <w:rPr>
          <w:rFonts w:ascii="Times New Roman" w:eastAsia="MS Mincho" w:hAnsi="Times New Roman"/>
          <w:sz w:val="28"/>
          <w:szCs w:val="28"/>
          <w:lang w:val="ru-RU" w:eastAsia="ja-JP"/>
        </w:rPr>
        <w:t xml:space="preserve"> и индуцированным </w:t>
      </w:r>
      <w:r w:rsidRPr="00107040">
        <w:rPr>
          <w:rFonts w:ascii="Times New Roman" w:eastAsia="MS Mincho" w:hAnsi="Times New Roman"/>
          <w:i/>
          <w:sz w:val="28"/>
          <w:szCs w:val="28"/>
          <w:lang w:val="ru-RU" w:eastAsia="ja-JP"/>
        </w:rPr>
        <w:t>Nb.BsmI</w:t>
      </w:r>
      <w:r w:rsidRPr="00107040">
        <w:rPr>
          <w:rFonts w:ascii="Times New Roman" w:eastAsia="MS Mincho" w:hAnsi="Times New Roman"/>
          <w:sz w:val="28"/>
          <w:szCs w:val="28"/>
          <w:lang w:val="ru-RU" w:eastAsia="ja-JP"/>
        </w:rPr>
        <w:t xml:space="preserve"> с разрывом. ДНК-дуплексы с разрывом, пробелом или углублениями ExoA•RexT</w:t>
      </w:r>
      <w:r w:rsidRPr="00107040">
        <w:rPr>
          <w:rFonts w:ascii="Times New Roman" w:eastAsia="MS Mincho" w:hAnsi="Times New Roman"/>
          <w:sz w:val="28"/>
          <w:szCs w:val="28"/>
          <w:vertAlign w:val="superscript"/>
          <w:lang w:val="ru-RU" w:eastAsia="ja-JP"/>
        </w:rPr>
        <w:t>nick/gap/rec</w:t>
      </w:r>
      <w:r w:rsidRPr="00107040">
        <w:rPr>
          <w:rFonts w:ascii="Times New Roman" w:eastAsia="MS Mincho" w:hAnsi="Times New Roman"/>
          <w:sz w:val="28"/>
          <w:szCs w:val="28"/>
          <w:lang w:val="ru-RU" w:eastAsia="ja-JP"/>
        </w:rPr>
        <w:t xml:space="preserve">, состоящие из RexT d(GGAATTCCCCGCGCCAAATTTCTCTAAGTCTCCGCGCCAC), ExoA d(GTGGCGCGGAGACTTAGGAAAATTTGT), 5P-Exo19 d(pATTTGGCGCGGGGAATTCC), или 5P-Exo18, d(pTTTGGCGCGGGGAATTCC), где 5P представляет собой 5'-концевой фосфат (таблица </w:t>
      </w:r>
      <w:r w:rsidR="007B247C">
        <w:rPr>
          <w:rFonts w:ascii="Times New Roman" w:eastAsia="MS Mincho" w:hAnsi="Times New Roman"/>
          <w:sz w:val="28"/>
          <w:szCs w:val="28"/>
          <w:lang w:val="ru-RU" w:eastAsia="ja-JP"/>
        </w:rPr>
        <w:t>4</w:t>
      </w:r>
      <w:r w:rsidRPr="00107040">
        <w:rPr>
          <w:rFonts w:ascii="Times New Roman" w:eastAsia="MS Mincho" w:hAnsi="Times New Roman"/>
          <w:sz w:val="28"/>
          <w:szCs w:val="28"/>
          <w:lang w:val="ru-RU" w:eastAsia="ja-JP"/>
        </w:rPr>
        <w:t xml:space="preserve">), которые в основном использовались для количественного определения </w:t>
      </w:r>
      <w:r w:rsidR="00DA5E49" w:rsidRPr="00107040">
        <w:rPr>
          <w:rFonts w:ascii="Times New Roman" w:eastAsia="MS Mincho" w:hAnsi="Times New Roman"/>
          <w:sz w:val="28"/>
          <w:szCs w:val="28"/>
          <w:lang w:val="ru-RU" w:eastAsia="ja-JP"/>
        </w:rPr>
        <w:t>ПАР</w:t>
      </w:r>
      <w:r w:rsidRPr="00107040">
        <w:rPr>
          <w:rFonts w:ascii="Times New Roman" w:eastAsia="MS Mincho" w:hAnsi="Times New Roman"/>
          <w:sz w:val="28"/>
          <w:szCs w:val="28"/>
          <w:lang w:val="ru-RU" w:eastAsia="ja-JP"/>
        </w:rPr>
        <w:t xml:space="preserve">илирования концов ДНК с помощью </w:t>
      </w:r>
      <w:r w:rsidR="005C5030" w:rsidRPr="00107040">
        <w:rPr>
          <w:rFonts w:ascii="Times New Roman" w:eastAsia="MS Mincho" w:hAnsi="Times New Roman"/>
          <w:sz w:val="28"/>
          <w:szCs w:val="28"/>
          <w:lang w:val="ru-RU" w:eastAsia="ja-JP"/>
        </w:rPr>
        <w:t>A</w:t>
      </w:r>
      <w:r w:rsidRPr="00107040">
        <w:rPr>
          <w:rFonts w:ascii="Times New Roman" w:eastAsia="MS Mincho" w:hAnsi="Times New Roman"/>
          <w:sz w:val="28"/>
          <w:szCs w:val="28"/>
          <w:lang w:val="ru-RU" w:eastAsia="ja-JP"/>
        </w:rPr>
        <w:t>tPARP</w:t>
      </w:r>
      <w:r w:rsidR="00EA3606" w:rsidRPr="00107040">
        <w:rPr>
          <w:rFonts w:ascii="Times New Roman" w:eastAsia="MS Mincho" w:hAnsi="Times New Roman"/>
          <w:sz w:val="28"/>
          <w:szCs w:val="28"/>
          <w:lang w:val="ru-RU" w:eastAsia="ja-JP"/>
        </w:rPr>
        <w:t xml:space="preserve"> </w:t>
      </w:r>
      <w:r w:rsidR="00EA3606" w:rsidRPr="00107040">
        <w:rPr>
          <w:rFonts w:ascii="Times New Roman" w:eastAsia="MS Mincho" w:hAnsi="Times New Roman"/>
          <w:sz w:val="28"/>
          <w:szCs w:val="28"/>
          <w:lang w:val="en-US" w:eastAsia="ja-JP"/>
        </w:rPr>
        <w:fldChar w:fldCharType="begin"/>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ADDIN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ZOTERO</w:instrText>
      </w:r>
      <w:r w:rsidR="00EA3606" w:rsidRPr="00107040">
        <w:rPr>
          <w:rFonts w:ascii="Times New Roman" w:eastAsia="MS Mincho" w:hAnsi="Times New Roman"/>
          <w:sz w:val="28"/>
          <w:szCs w:val="28"/>
          <w:lang w:val="ru-RU" w:eastAsia="ja-JP"/>
        </w:rPr>
        <w:instrText>_</w:instrText>
      </w:r>
      <w:r w:rsidR="00EA3606" w:rsidRPr="00107040">
        <w:rPr>
          <w:rFonts w:ascii="Times New Roman" w:eastAsia="MS Mincho" w:hAnsi="Times New Roman"/>
          <w:sz w:val="28"/>
          <w:szCs w:val="28"/>
          <w:lang w:val="en-US" w:eastAsia="ja-JP"/>
        </w:rPr>
        <w:instrText>ITEM</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CSL</w:instrText>
      </w:r>
      <w:r w:rsidR="00EA3606" w:rsidRPr="00107040">
        <w:rPr>
          <w:rFonts w:ascii="Times New Roman" w:eastAsia="MS Mincho" w:hAnsi="Times New Roman"/>
          <w:sz w:val="28"/>
          <w:szCs w:val="28"/>
          <w:lang w:val="ru-RU" w:eastAsia="ja-JP"/>
        </w:rPr>
        <w:instrText>_</w:instrText>
      </w:r>
      <w:r w:rsidR="00EA3606" w:rsidRPr="00107040">
        <w:rPr>
          <w:rFonts w:ascii="Times New Roman" w:eastAsia="MS Mincho" w:hAnsi="Times New Roman"/>
          <w:sz w:val="28"/>
          <w:szCs w:val="28"/>
          <w:lang w:val="en-US" w:eastAsia="ja-JP"/>
        </w:rPr>
        <w:instrText>CITATION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citationID</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k</w:instrText>
      </w:r>
      <w:r w:rsidR="00EA3606" w:rsidRPr="00107040">
        <w:rPr>
          <w:rFonts w:ascii="Times New Roman" w:eastAsia="MS Mincho" w:hAnsi="Times New Roman"/>
          <w:sz w:val="28"/>
          <w:szCs w:val="28"/>
          <w:lang w:val="ru-RU" w:eastAsia="ja-JP"/>
        </w:rPr>
        <w:instrText>4</w:instrText>
      </w:r>
      <w:r w:rsidR="00EA3606" w:rsidRPr="00107040">
        <w:rPr>
          <w:rFonts w:ascii="Times New Roman" w:eastAsia="MS Mincho" w:hAnsi="Times New Roman"/>
          <w:sz w:val="28"/>
          <w:szCs w:val="28"/>
          <w:lang w:val="en-US" w:eastAsia="ja-JP"/>
        </w:rPr>
        <w:instrText>WaTANo</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properties</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formattedCitation</w:instrText>
      </w:r>
      <w:r w:rsidR="00EA3606" w:rsidRPr="00107040">
        <w:rPr>
          <w:rFonts w:ascii="Times New Roman" w:eastAsia="MS Mincho" w:hAnsi="Times New Roman"/>
          <w:sz w:val="28"/>
          <w:szCs w:val="28"/>
          <w:lang w:val="ru-RU" w:eastAsia="ja-JP"/>
        </w:rPr>
        <w:instrText>":"[31]","</w:instrText>
      </w:r>
      <w:r w:rsidR="00EA3606" w:rsidRPr="00107040">
        <w:rPr>
          <w:rFonts w:ascii="Times New Roman" w:eastAsia="MS Mincho" w:hAnsi="Times New Roman"/>
          <w:sz w:val="28"/>
          <w:szCs w:val="28"/>
          <w:lang w:val="en-US" w:eastAsia="ja-JP"/>
        </w:rPr>
        <w:instrText>plainCitation</w:instrText>
      </w:r>
      <w:r w:rsidR="00EA3606" w:rsidRPr="00107040">
        <w:rPr>
          <w:rFonts w:ascii="Times New Roman" w:eastAsia="MS Mincho" w:hAnsi="Times New Roman"/>
          <w:sz w:val="28"/>
          <w:szCs w:val="28"/>
          <w:lang w:val="ru-RU" w:eastAsia="ja-JP"/>
        </w:rPr>
        <w:instrText>":"[31]","</w:instrText>
      </w:r>
      <w:r w:rsidR="00EA3606" w:rsidRPr="00107040">
        <w:rPr>
          <w:rFonts w:ascii="Times New Roman" w:eastAsia="MS Mincho" w:hAnsi="Times New Roman"/>
          <w:sz w:val="28"/>
          <w:szCs w:val="28"/>
          <w:lang w:val="en-US" w:eastAsia="ja-JP"/>
        </w:rPr>
        <w:instrText>noteIndex</w:instrText>
      </w:r>
      <w:r w:rsidR="00EA3606" w:rsidRPr="00107040">
        <w:rPr>
          <w:rFonts w:ascii="Times New Roman" w:eastAsia="MS Mincho" w:hAnsi="Times New Roman"/>
          <w:sz w:val="28"/>
          <w:szCs w:val="28"/>
          <w:lang w:val="ru-RU" w:eastAsia="ja-JP"/>
        </w:rPr>
        <w:instrText>":0},"</w:instrText>
      </w:r>
      <w:r w:rsidR="00EA3606" w:rsidRPr="00107040">
        <w:rPr>
          <w:rFonts w:ascii="Times New Roman" w:eastAsia="MS Mincho" w:hAnsi="Times New Roman"/>
          <w:sz w:val="28"/>
          <w:szCs w:val="28"/>
          <w:lang w:val="en-US" w:eastAsia="ja-JP"/>
        </w:rPr>
        <w:instrText>citationItems</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id</w:instrText>
      </w:r>
      <w:r w:rsidR="00EA3606" w:rsidRPr="00107040">
        <w:rPr>
          <w:rFonts w:ascii="Times New Roman" w:eastAsia="MS Mincho" w:hAnsi="Times New Roman"/>
          <w:sz w:val="28"/>
          <w:szCs w:val="28"/>
          <w:lang w:val="ru-RU" w:eastAsia="ja-JP"/>
        </w:rPr>
        <w:instrText>":1295,"</w:instrText>
      </w:r>
      <w:r w:rsidR="00EA3606" w:rsidRPr="00107040">
        <w:rPr>
          <w:rFonts w:ascii="Times New Roman" w:eastAsia="MS Mincho" w:hAnsi="Times New Roman"/>
          <w:sz w:val="28"/>
          <w:szCs w:val="28"/>
          <w:lang w:val="en-US" w:eastAsia="ja-JP"/>
        </w:rPr>
        <w:instrText>uris</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http</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zotero</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org</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users</w:instrText>
      </w:r>
      <w:r w:rsidR="00EA3606" w:rsidRPr="00107040">
        <w:rPr>
          <w:rFonts w:ascii="Times New Roman" w:eastAsia="MS Mincho" w:hAnsi="Times New Roman"/>
          <w:sz w:val="28"/>
          <w:szCs w:val="28"/>
          <w:lang w:val="ru-RU" w:eastAsia="ja-JP"/>
        </w:rPr>
        <w:instrText>/9078202/</w:instrText>
      </w:r>
      <w:r w:rsidR="00EA3606" w:rsidRPr="00107040">
        <w:rPr>
          <w:rFonts w:ascii="Times New Roman" w:eastAsia="MS Mincho" w:hAnsi="Times New Roman"/>
          <w:sz w:val="28"/>
          <w:szCs w:val="28"/>
          <w:lang w:val="en-US" w:eastAsia="ja-JP"/>
        </w:rPr>
        <w:instrText>items</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V</w:instrText>
      </w:r>
      <w:r w:rsidR="00EA3606" w:rsidRPr="00107040">
        <w:rPr>
          <w:rFonts w:ascii="Times New Roman" w:eastAsia="MS Mincho" w:hAnsi="Times New Roman"/>
          <w:sz w:val="28"/>
          <w:szCs w:val="28"/>
          <w:lang w:val="ru-RU" w:eastAsia="ja-JP"/>
        </w:rPr>
        <w:instrText>43</w:instrText>
      </w:r>
      <w:r w:rsidR="00EA3606" w:rsidRPr="00107040">
        <w:rPr>
          <w:rFonts w:ascii="Times New Roman" w:eastAsia="MS Mincho" w:hAnsi="Times New Roman"/>
          <w:sz w:val="28"/>
          <w:szCs w:val="28"/>
          <w:lang w:val="en-US" w:eastAsia="ja-JP"/>
        </w:rPr>
        <w:instrText>W</w:instrText>
      </w:r>
      <w:r w:rsidR="00EA3606" w:rsidRPr="00107040">
        <w:rPr>
          <w:rFonts w:ascii="Times New Roman" w:eastAsia="MS Mincho" w:hAnsi="Times New Roman"/>
          <w:sz w:val="28"/>
          <w:szCs w:val="28"/>
          <w:lang w:val="ru-RU" w:eastAsia="ja-JP"/>
        </w:rPr>
        <w:instrText>7</w:instrText>
      </w:r>
      <w:r w:rsidR="00EA3606" w:rsidRPr="00107040">
        <w:rPr>
          <w:rFonts w:ascii="Times New Roman" w:eastAsia="MS Mincho" w:hAnsi="Times New Roman"/>
          <w:sz w:val="28"/>
          <w:szCs w:val="28"/>
          <w:lang w:val="en-US" w:eastAsia="ja-JP"/>
        </w:rPr>
        <w:instrText>KVW</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itemData</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id</w:instrText>
      </w:r>
      <w:r w:rsidR="00EA3606" w:rsidRPr="00107040">
        <w:rPr>
          <w:rFonts w:ascii="Times New Roman" w:eastAsia="MS Mincho" w:hAnsi="Times New Roman"/>
          <w:sz w:val="28"/>
          <w:szCs w:val="28"/>
          <w:lang w:val="ru-RU" w:eastAsia="ja-JP"/>
        </w:rPr>
        <w:instrText>":1295,"</w:instrText>
      </w:r>
      <w:r w:rsidR="00EA3606" w:rsidRPr="00107040">
        <w:rPr>
          <w:rFonts w:ascii="Times New Roman" w:eastAsia="MS Mincho" w:hAnsi="Times New Roman"/>
          <w:sz w:val="28"/>
          <w:szCs w:val="28"/>
          <w:lang w:val="en-US" w:eastAsia="ja-JP"/>
        </w:rPr>
        <w:instrText>type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article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journal</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abstract</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Poly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ADP</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ribose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polymerases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PARPs</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ARTDs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use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nicotinamide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adenine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dinucleotide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NAD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to</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catalyse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synthesis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long</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branched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poly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ADP</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ribose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polymer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attached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to</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acceptor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amino</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acid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residues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nuclear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proteins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PARPs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act</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single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and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double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stranded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DNA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breaks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by</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recruiting</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DNA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repair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factors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Here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in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in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vitro</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biochemical</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experiments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we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found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that</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mammalian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PARP</w:instrText>
      </w:r>
      <w:r w:rsidR="00EA3606" w:rsidRPr="00107040">
        <w:rPr>
          <w:rFonts w:ascii="Times New Roman" w:eastAsia="MS Mincho" w:hAnsi="Times New Roman"/>
          <w:sz w:val="28"/>
          <w:szCs w:val="28"/>
          <w:lang w:val="ru-RU" w:eastAsia="ja-JP"/>
        </w:rPr>
        <w:instrText xml:space="preserve">1 </w:instrText>
      </w:r>
      <w:r w:rsidR="00EA3606" w:rsidRPr="00107040">
        <w:rPr>
          <w:rFonts w:ascii="Times New Roman" w:eastAsia="MS Mincho" w:hAnsi="Times New Roman"/>
          <w:sz w:val="28"/>
          <w:szCs w:val="28"/>
          <w:lang w:val="en-US" w:eastAsia="ja-JP"/>
        </w:rPr>
        <w:instrText>and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PARP</w:instrText>
      </w:r>
      <w:r w:rsidR="00EA3606" w:rsidRPr="00107040">
        <w:rPr>
          <w:rFonts w:ascii="Times New Roman" w:eastAsia="MS Mincho" w:hAnsi="Times New Roman"/>
          <w:sz w:val="28"/>
          <w:szCs w:val="28"/>
          <w:lang w:val="ru-RU" w:eastAsia="ja-JP"/>
        </w:rPr>
        <w:instrText xml:space="preserve">2 </w:instrText>
      </w:r>
      <w:r w:rsidR="00EA3606" w:rsidRPr="00107040">
        <w:rPr>
          <w:rFonts w:ascii="Times New Roman" w:eastAsia="MS Mincho" w:hAnsi="Times New Roman"/>
          <w:sz w:val="28"/>
          <w:szCs w:val="28"/>
          <w:lang w:val="en-US" w:eastAsia="ja-JP"/>
        </w:rPr>
        <w:instrText>proteins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can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directly</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ADP</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ribosylate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termini</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DNA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oligonucleotides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PARP</w:instrText>
      </w:r>
      <w:r w:rsidR="00EA3606" w:rsidRPr="00107040">
        <w:rPr>
          <w:rFonts w:ascii="Times New Roman" w:eastAsia="MS Mincho" w:hAnsi="Times New Roman"/>
          <w:sz w:val="28"/>
          <w:szCs w:val="28"/>
          <w:lang w:val="ru-RU" w:eastAsia="ja-JP"/>
        </w:rPr>
        <w:instrText xml:space="preserve">1 </w:instrText>
      </w:r>
      <w:r w:rsidR="00EA3606" w:rsidRPr="00107040">
        <w:rPr>
          <w:rFonts w:ascii="Times New Roman" w:eastAsia="MS Mincho" w:hAnsi="Times New Roman"/>
          <w:sz w:val="28"/>
          <w:szCs w:val="28"/>
          <w:lang w:val="en-US" w:eastAsia="ja-JP"/>
        </w:rPr>
        <w:instrText>preferentially</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catalysed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covalent</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attachment</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ADP</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ribose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units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to</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ends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recessed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DNA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duplexes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containing</w:instrText>
      </w:r>
      <w:r w:rsidR="00EA3606" w:rsidRPr="00107040">
        <w:rPr>
          <w:rFonts w:ascii="Times New Roman" w:eastAsia="MS Mincho" w:hAnsi="Times New Roman"/>
          <w:sz w:val="28"/>
          <w:szCs w:val="28"/>
          <w:lang w:val="ru-RU" w:eastAsia="ja-JP"/>
        </w:rPr>
        <w:instrText xml:space="preserve"> 3'-</w:instrText>
      </w:r>
      <w:r w:rsidR="00EA3606" w:rsidRPr="00107040">
        <w:rPr>
          <w:rFonts w:ascii="Times New Roman" w:eastAsia="MS Mincho" w:hAnsi="Times New Roman"/>
          <w:sz w:val="28"/>
          <w:szCs w:val="28"/>
          <w:lang w:val="en-US" w:eastAsia="ja-JP"/>
        </w:rPr>
        <w:instrText>cordycepin</w:instrText>
      </w:r>
      <w:r w:rsidR="00EA3606" w:rsidRPr="00107040">
        <w:rPr>
          <w:rFonts w:ascii="Times New Roman" w:eastAsia="MS Mincho" w:hAnsi="Times New Roman"/>
          <w:sz w:val="28"/>
          <w:szCs w:val="28"/>
          <w:lang w:val="ru-RU" w:eastAsia="ja-JP"/>
        </w:rPr>
        <w:instrText xml:space="preserve">, 5'- </w:instrText>
      </w:r>
      <w:r w:rsidR="00EA3606" w:rsidRPr="00107040">
        <w:rPr>
          <w:rFonts w:ascii="Times New Roman" w:eastAsia="MS Mincho" w:hAnsi="Times New Roman"/>
          <w:sz w:val="28"/>
          <w:szCs w:val="28"/>
          <w:lang w:val="en-US" w:eastAsia="ja-JP"/>
        </w:rPr>
        <w:instrText>and</w:instrText>
      </w:r>
      <w:r w:rsidR="00EA3606" w:rsidRPr="00107040">
        <w:rPr>
          <w:rFonts w:ascii="Times New Roman" w:eastAsia="MS Mincho" w:hAnsi="Times New Roman"/>
          <w:sz w:val="28"/>
          <w:szCs w:val="28"/>
          <w:lang w:val="ru-RU" w:eastAsia="ja-JP"/>
        </w:rPr>
        <w:instrText xml:space="preserve"> 3'-</w:instrText>
      </w:r>
      <w:r w:rsidR="00EA3606" w:rsidRPr="00107040">
        <w:rPr>
          <w:rFonts w:ascii="Times New Roman" w:eastAsia="MS Mincho" w:hAnsi="Times New Roman"/>
          <w:sz w:val="28"/>
          <w:szCs w:val="28"/>
          <w:lang w:val="en-US" w:eastAsia="ja-JP"/>
        </w:rPr>
        <w:instrText>phosphate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and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also</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to</w:instrText>
      </w:r>
      <w:r w:rsidR="00EA3606" w:rsidRPr="00107040">
        <w:rPr>
          <w:rFonts w:ascii="Times New Roman" w:eastAsia="MS Mincho" w:hAnsi="Times New Roman"/>
          <w:sz w:val="28"/>
          <w:szCs w:val="28"/>
          <w:lang w:val="ru-RU" w:eastAsia="ja-JP"/>
        </w:rPr>
        <w:instrText xml:space="preserve"> 5'-</w:instrText>
      </w:r>
      <w:r w:rsidR="00EA3606" w:rsidRPr="00107040">
        <w:rPr>
          <w:rFonts w:ascii="Times New Roman" w:eastAsia="MS Mincho" w:hAnsi="Times New Roman"/>
          <w:sz w:val="28"/>
          <w:szCs w:val="28"/>
          <w:lang w:val="en-US" w:eastAsia="ja-JP"/>
        </w:rPr>
        <w:instrText>phosphate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single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stranded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oligonucleotide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PARP</w:instrText>
      </w:r>
      <w:r w:rsidR="00EA3606" w:rsidRPr="00107040">
        <w:rPr>
          <w:rFonts w:ascii="Times New Roman" w:eastAsia="MS Mincho" w:hAnsi="Times New Roman"/>
          <w:sz w:val="28"/>
          <w:szCs w:val="28"/>
          <w:lang w:val="ru-RU" w:eastAsia="ja-JP"/>
        </w:rPr>
        <w:instrText xml:space="preserve">2 </w:instrText>
      </w:r>
      <w:r w:rsidR="00EA3606" w:rsidRPr="00107040">
        <w:rPr>
          <w:rFonts w:ascii="Times New Roman" w:eastAsia="MS Mincho" w:hAnsi="Times New Roman"/>
          <w:sz w:val="28"/>
          <w:szCs w:val="28"/>
          <w:lang w:val="en-US" w:eastAsia="ja-JP"/>
        </w:rPr>
        <w:instrText>preferentially</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ADP</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ribosylated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nicked</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gapped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DNA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duplexes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containing</w:instrText>
      </w:r>
      <w:r w:rsidR="00EA3606" w:rsidRPr="00107040">
        <w:rPr>
          <w:rFonts w:ascii="Times New Roman" w:eastAsia="MS Mincho" w:hAnsi="Times New Roman"/>
          <w:sz w:val="28"/>
          <w:szCs w:val="28"/>
          <w:lang w:val="ru-RU" w:eastAsia="ja-JP"/>
        </w:rPr>
        <w:instrText xml:space="preserve"> 5'-</w:instrText>
      </w:r>
      <w:r w:rsidR="00EA3606" w:rsidRPr="00107040">
        <w:rPr>
          <w:rFonts w:ascii="Times New Roman" w:eastAsia="MS Mincho" w:hAnsi="Times New Roman"/>
          <w:sz w:val="28"/>
          <w:szCs w:val="28"/>
          <w:lang w:val="en-US" w:eastAsia="ja-JP"/>
        </w:rPr>
        <w:instrText>phosphate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at</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double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stranded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termini</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glycohydrolase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PARG</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restored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native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DNA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structure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by</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hydrolysing</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DNA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adducts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generated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by</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PARP</w:instrText>
      </w:r>
      <w:r w:rsidR="00EA3606" w:rsidRPr="00107040">
        <w:rPr>
          <w:rFonts w:ascii="Times New Roman" w:eastAsia="MS Mincho" w:hAnsi="Times New Roman"/>
          <w:sz w:val="28"/>
          <w:szCs w:val="28"/>
          <w:lang w:val="ru-RU" w:eastAsia="ja-JP"/>
        </w:rPr>
        <w:instrText xml:space="preserve">1 </w:instrText>
      </w:r>
      <w:r w:rsidR="00EA3606" w:rsidRPr="00107040">
        <w:rPr>
          <w:rFonts w:ascii="Times New Roman" w:eastAsia="MS Mincho" w:hAnsi="Times New Roman"/>
          <w:sz w:val="28"/>
          <w:szCs w:val="28"/>
          <w:lang w:val="en-US" w:eastAsia="ja-JP"/>
        </w:rPr>
        <w:instrText>and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PARP</w:instrText>
      </w:r>
      <w:r w:rsidR="00EA3606" w:rsidRPr="00107040">
        <w:rPr>
          <w:rFonts w:ascii="Times New Roman" w:eastAsia="MS Mincho" w:hAnsi="Times New Roman"/>
          <w:sz w:val="28"/>
          <w:szCs w:val="28"/>
          <w:lang w:val="ru-RU" w:eastAsia="ja-JP"/>
        </w:rPr>
        <w:instrText xml:space="preserve">2. </w:instrText>
      </w:r>
      <w:r w:rsidR="00EA3606" w:rsidRPr="00107040">
        <w:rPr>
          <w:rFonts w:ascii="Times New Roman" w:eastAsia="MS Mincho" w:hAnsi="Times New Roman"/>
          <w:sz w:val="28"/>
          <w:szCs w:val="28"/>
          <w:lang w:val="en-US" w:eastAsia="ja-JP"/>
        </w:rPr>
        <w:instrText>Biochemical</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and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mass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spectrometry</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analyses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adducts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suggested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that</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PARPs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utilise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DNA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termini</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alternative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to</w:instrText>
      </w:r>
      <w:r w:rsidR="00EA3606" w:rsidRPr="00107040">
        <w:rPr>
          <w:rFonts w:ascii="Times New Roman" w:eastAsia="MS Mincho" w:hAnsi="Times New Roman"/>
          <w:sz w:val="28"/>
          <w:szCs w:val="28"/>
          <w:lang w:val="ru-RU" w:eastAsia="ja-JP"/>
        </w:rPr>
        <w:instrText xml:space="preserve"> 2'-</w:instrText>
      </w:r>
      <w:r w:rsidR="00EA3606" w:rsidRPr="00107040">
        <w:rPr>
          <w:rFonts w:ascii="Times New Roman" w:eastAsia="MS Mincho" w:hAnsi="Times New Roman"/>
          <w:sz w:val="28"/>
          <w:szCs w:val="28"/>
          <w:lang w:val="en-US" w:eastAsia="ja-JP"/>
        </w:rPr>
        <w:instrText>hydroxyl</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ADP</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ribose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and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protein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acceptor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residues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to</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catalyse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chain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initiation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either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via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the</w:instrText>
      </w:r>
      <w:r w:rsidR="00EA3606" w:rsidRPr="00107040">
        <w:rPr>
          <w:rFonts w:ascii="Times New Roman" w:eastAsia="MS Mincho" w:hAnsi="Times New Roman"/>
          <w:sz w:val="28"/>
          <w:szCs w:val="28"/>
          <w:lang w:val="ru-RU" w:eastAsia="ja-JP"/>
        </w:rPr>
        <w:instrText xml:space="preserve"> 2',1″-</w:instrText>
      </w:r>
      <w:r w:rsidR="00EA3606" w:rsidRPr="00107040">
        <w:rPr>
          <w:rFonts w:ascii="Times New Roman" w:eastAsia="MS Mincho" w:hAnsi="Times New Roman"/>
          <w:sz w:val="28"/>
          <w:szCs w:val="28"/>
          <w:lang w:val="en-US" w:eastAsia="ja-JP"/>
        </w:rPr>
        <w:instrText>O</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glycosidic</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ribose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ribose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bond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via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phosphodiester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bond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formation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between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w:instrText>
      </w:r>
      <w:r w:rsidR="00EA3606" w:rsidRPr="00107040">
        <w:rPr>
          <w:rFonts w:ascii="Times New Roman" w:eastAsia="MS Mincho" w:hAnsi="Times New Roman"/>
          <w:sz w:val="28"/>
          <w:szCs w:val="28"/>
          <w:lang w:val="ru-RU" w:eastAsia="ja-JP"/>
        </w:rPr>
        <w:instrText xml:space="preserve">1'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ADP</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ribose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and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phosphate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terminal</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deoxyribonucleotide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This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new</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type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post</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replicative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modification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DNA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provides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novel</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insights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into</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the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molecular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mechanisms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underlying</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biological</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phenomena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of</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ADP</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ribosylation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mediated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by</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PARPs</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container</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title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Nucleic</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Acids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Research</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DOI</w:instrText>
      </w:r>
      <w:r w:rsidR="00EA3606" w:rsidRPr="00107040">
        <w:rPr>
          <w:rFonts w:ascii="Times New Roman" w:eastAsia="MS Mincho" w:hAnsi="Times New Roman"/>
          <w:sz w:val="28"/>
          <w:szCs w:val="28"/>
          <w:lang w:val="ru-RU" w:eastAsia="ja-JP"/>
        </w:rPr>
        <w:instrText>":"10.1093/</w:instrText>
      </w:r>
      <w:r w:rsidR="00EA3606" w:rsidRPr="00107040">
        <w:rPr>
          <w:rFonts w:ascii="Times New Roman" w:eastAsia="MS Mincho" w:hAnsi="Times New Roman"/>
          <w:sz w:val="28"/>
          <w:szCs w:val="28"/>
          <w:lang w:val="en-US" w:eastAsia="ja-JP"/>
        </w:rPr>
        <w:instrText>nar</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gkw</w:instrText>
      </w:r>
      <w:r w:rsidR="00EA3606" w:rsidRPr="00107040">
        <w:rPr>
          <w:rFonts w:ascii="Times New Roman" w:eastAsia="MS Mincho" w:hAnsi="Times New Roman"/>
          <w:sz w:val="28"/>
          <w:szCs w:val="28"/>
          <w:lang w:val="ru-RU" w:eastAsia="ja-JP"/>
        </w:rPr>
        <w:instrText>675","</w:instrText>
      </w:r>
      <w:r w:rsidR="00EA3606" w:rsidRPr="00107040">
        <w:rPr>
          <w:rFonts w:ascii="Times New Roman" w:eastAsia="MS Mincho" w:hAnsi="Times New Roman"/>
          <w:sz w:val="28"/>
          <w:szCs w:val="28"/>
          <w:lang w:val="en-US" w:eastAsia="ja-JP"/>
        </w:rPr>
        <w:instrText>ISSN</w:instrText>
      </w:r>
      <w:r w:rsidR="00EA3606" w:rsidRPr="00107040">
        <w:rPr>
          <w:rFonts w:ascii="Times New Roman" w:eastAsia="MS Mincho" w:hAnsi="Times New Roman"/>
          <w:sz w:val="28"/>
          <w:szCs w:val="28"/>
          <w:lang w:val="ru-RU" w:eastAsia="ja-JP"/>
        </w:rPr>
        <w:instrText>":"1362-4962","</w:instrText>
      </w:r>
      <w:r w:rsidR="00EA3606" w:rsidRPr="00107040">
        <w:rPr>
          <w:rFonts w:ascii="Times New Roman" w:eastAsia="MS Mincho" w:hAnsi="Times New Roman"/>
          <w:sz w:val="28"/>
          <w:szCs w:val="28"/>
          <w:lang w:val="en-US" w:eastAsia="ja-JP"/>
        </w:rPr>
        <w:instrText>issue</w:instrText>
      </w:r>
      <w:r w:rsidR="00EA3606" w:rsidRPr="00107040">
        <w:rPr>
          <w:rFonts w:ascii="Times New Roman" w:eastAsia="MS Mincho" w:hAnsi="Times New Roman"/>
          <w:sz w:val="28"/>
          <w:szCs w:val="28"/>
          <w:lang w:val="ru-RU" w:eastAsia="ja-JP"/>
        </w:rPr>
        <w:instrText>":"19","</w:instrText>
      </w:r>
      <w:r w:rsidR="00EA3606" w:rsidRPr="00107040">
        <w:rPr>
          <w:rFonts w:ascii="Times New Roman" w:eastAsia="MS Mincho" w:hAnsi="Times New Roman"/>
          <w:sz w:val="28"/>
          <w:szCs w:val="28"/>
          <w:lang w:val="en-US" w:eastAsia="ja-JP"/>
        </w:rPr>
        <w:instrText>journalAbbreviation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Nucleic</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Acids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Res</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language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eng</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note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PMID</w:instrText>
      </w:r>
      <w:r w:rsidR="00EA3606" w:rsidRPr="00107040">
        <w:rPr>
          <w:rFonts w:ascii="Times New Roman" w:eastAsia="MS Mincho" w:hAnsi="Times New Roman"/>
          <w:sz w:val="28"/>
          <w:szCs w:val="28"/>
          <w:lang w:val="ru-RU" w:eastAsia="ja-JP"/>
        </w:rPr>
        <w:instrText>: 27471034\</w:instrText>
      </w:r>
      <w:r w:rsidR="00EA3606" w:rsidRPr="00107040">
        <w:rPr>
          <w:rFonts w:ascii="Times New Roman" w:eastAsia="MS Mincho" w:hAnsi="Times New Roman"/>
          <w:sz w:val="28"/>
          <w:szCs w:val="28"/>
          <w:lang w:val="en-US" w:eastAsia="ja-JP"/>
        </w:rPr>
        <w:instrText>nPMCID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PMC</w:instrText>
      </w:r>
      <w:r w:rsidR="00EA3606" w:rsidRPr="00107040">
        <w:rPr>
          <w:rFonts w:ascii="Times New Roman" w:eastAsia="MS Mincho" w:hAnsi="Times New Roman"/>
          <w:sz w:val="28"/>
          <w:szCs w:val="28"/>
          <w:lang w:val="ru-RU" w:eastAsia="ja-JP"/>
        </w:rPr>
        <w:instrText>5100588","</w:instrText>
      </w:r>
      <w:r w:rsidR="00EA3606" w:rsidRPr="00107040">
        <w:rPr>
          <w:rFonts w:ascii="Times New Roman" w:eastAsia="MS Mincho" w:hAnsi="Times New Roman"/>
          <w:sz w:val="28"/>
          <w:szCs w:val="28"/>
          <w:lang w:val="en-US" w:eastAsia="ja-JP"/>
        </w:rPr>
        <w:instrText>page</w:instrText>
      </w:r>
      <w:r w:rsidR="00EA3606" w:rsidRPr="00107040">
        <w:rPr>
          <w:rFonts w:ascii="Times New Roman" w:eastAsia="MS Mincho" w:hAnsi="Times New Roman"/>
          <w:sz w:val="28"/>
          <w:szCs w:val="28"/>
          <w:lang w:val="ru-RU" w:eastAsia="ja-JP"/>
        </w:rPr>
        <w:instrText>":"9279-9295","</w:instrText>
      </w:r>
      <w:r w:rsidR="00EA3606" w:rsidRPr="00107040">
        <w:rPr>
          <w:rFonts w:ascii="Times New Roman" w:eastAsia="MS Mincho" w:hAnsi="Times New Roman"/>
          <w:sz w:val="28"/>
          <w:szCs w:val="28"/>
          <w:lang w:val="en-US" w:eastAsia="ja-JP"/>
        </w:rPr>
        <w:instrText>source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PubMed</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title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Poly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ADP</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ribose</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polymerases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covalently</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modify</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strand</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break</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termini</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in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DNA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fragments</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in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vitro</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volume</w:instrText>
      </w:r>
      <w:r w:rsidR="00EA3606" w:rsidRPr="00107040">
        <w:rPr>
          <w:rFonts w:ascii="Times New Roman" w:eastAsia="MS Mincho" w:hAnsi="Times New Roman"/>
          <w:sz w:val="28"/>
          <w:szCs w:val="28"/>
          <w:lang w:val="ru-RU" w:eastAsia="ja-JP"/>
        </w:rPr>
        <w:instrText>":"44","</w:instrText>
      </w:r>
      <w:r w:rsidR="00EA3606" w:rsidRPr="00107040">
        <w:rPr>
          <w:rFonts w:ascii="Times New Roman" w:eastAsia="MS Mincho" w:hAnsi="Times New Roman"/>
          <w:sz w:val="28"/>
          <w:szCs w:val="28"/>
          <w:lang w:val="en-US" w:eastAsia="ja-JP"/>
        </w:rPr>
        <w:instrText>author</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family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Talhaoui</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given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Ibtissam</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family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Lebedeva</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given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Natalia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family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Zarkovic</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given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Gabriella</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family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Saint</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Pierre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given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Christine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family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Kutuzov</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given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Mikhail</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M</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family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Sukhanova</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given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Maria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V</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family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Matkarimov</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given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Bakhyt</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T</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family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Gasparutto</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given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Didier</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family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Saparbaev</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given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Murat</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K</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family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Lavrik</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given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Olga</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I</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family</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Ishchenko</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given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Alexander</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instrText>A</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issued</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date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parts</w:instrText>
      </w:r>
      <w:r w:rsidR="00EA3606" w:rsidRPr="00107040">
        <w:rPr>
          <w:rFonts w:ascii="Times New Roman" w:eastAsia="MS Mincho" w:hAnsi="Times New Roman"/>
          <w:sz w:val="28"/>
          <w:szCs w:val="28"/>
          <w:lang w:val="ru-RU" w:eastAsia="ja-JP"/>
        </w:rPr>
        <w:instrText>":[["2016",11,2]]}}}],"</w:instrText>
      </w:r>
      <w:r w:rsidR="00EA3606" w:rsidRPr="00107040">
        <w:rPr>
          <w:rFonts w:ascii="Times New Roman" w:eastAsia="MS Mincho" w:hAnsi="Times New Roman"/>
          <w:sz w:val="28"/>
          <w:szCs w:val="28"/>
          <w:lang w:val="en-US" w:eastAsia="ja-JP"/>
        </w:rPr>
        <w:instrText>schema</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https</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github</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com</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citation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style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language</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schema</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raw</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master</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csl</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citation</w:instrText>
      </w:r>
      <w:r w:rsidR="00EA3606" w:rsidRPr="00107040">
        <w:rPr>
          <w:rFonts w:ascii="Times New Roman" w:eastAsia="MS Mincho" w:hAnsi="Times New Roman"/>
          <w:sz w:val="28"/>
          <w:szCs w:val="28"/>
          <w:lang w:val="ru-RU" w:eastAsia="ja-JP"/>
        </w:rPr>
        <w:instrText>.</w:instrText>
      </w:r>
      <w:r w:rsidR="00EA3606" w:rsidRPr="00107040">
        <w:rPr>
          <w:rFonts w:ascii="Times New Roman" w:eastAsia="MS Mincho" w:hAnsi="Times New Roman"/>
          <w:sz w:val="28"/>
          <w:szCs w:val="28"/>
          <w:lang w:val="en-US" w:eastAsia="ja-JP"/>
        </w:rPr>
        <w:instrText>json</w:instrText>
      </w:r>
      <w:r w:rsidR="00EA3606" w:rsidRPr="00107040">
        <w:rPr>
          <w:rFonts w:ascii="Times New Roman" w:eastAsia="MS Mincho" w:hAnsi="Times New Roman"/>
          <w:sz w:val="28"/>
          <w:szCs w:val="28"/>
          <w:lang w:val="ru-RU" w:eastAsia="ja-JP"/>
        </w:rPr>
        <w:instrText xml:space="preserve">"} </w:instrText>
      </w:r>
      <w:r w:rsidR="00EA3606" w:rsidRPr="00107040">
        <w:rPr>
          <w:rFonts w:ascii="Times New Roman" w:eastAsia="MS Mincho" w:hAnsi="Times New Roman"/>
          <w:sz w:val="28"/>
          <w:szCs w:val="28"/>
          <w:lang w:val="en-US" w:eastAsia="ja-JP"/>
        </w:rPr>
        <w:fldChar w:fldCharType="separate"/>
      </w:r>
      <w:r w:rsidR="00EA3606" w:rsidRPr="00107040">
        <w:rPr>
          <w:rFonts w:ascii="Times New Roman" w:hAnsi="Times New Roman"/>
          <w:sz w:val="28"/>
          <w:szCs w:val="28"/>
        </w:rPr>
        <w:t>[31]</w:t>
      </w:r>
      <w:r w:rsidR="00EA3606" w:rsidRPr="00107040">
        <w:rPr>
          <w:rFonts w:ascii="Times New Roman" w:eastAsia="MS Mincho" w:hAnsi="Times New Roman"/>
          <w:sz w:val="28"/>
          <w:szCs w:val="28"/>
          <w:lang w:val="en-US" w:eastAsia="ja-JP"/>
        </w:rPr>
        <w:fldChar w:fldCharType="end"/>
      </w:r>
      <w:r w:rsidRPr="00107040">
        <w:rPr>
          <w:rFonts w:ascii="Times New Roman" w:eastAsia="MS Mincho" w:hAnsi="Times New Roman"/>
          <w:sz w:val="28"/>
          <w:szCs w:val="28"/>
          <w:lang w:val="ru-RU" w:eastAsia="ja-JP"/>
        </w:rPr>
        <w:t>.</w:t>
      </w:r>
    </w:p>
    <w:p w14:paraId="2F802808" w14:textId="77777777" w:rsidR="001B0545" w:rsidRPr="00107040" w:rsidRDefault="001B0545" w:rsidP="000C16BB">
      <w:pPr>
        <w:spacing w:after="0" w:line="240" w:lineRule="auto"/>
        <w:jc w:val="both"/>
        <w:rPr>
          <w:rFonts w:ascii="Times New Roman" w:eastAsia="MS Mincho" w:hAnsi="Times New Roman"/>
          <w:sz w:val="28"/>
          <w:szCs w:val="28"/>
          <w:lang w:val="ru-RU" w:eastAsia="ja-JP"/>
        </w:rPr>
      </w:pPr>
    </w:p>
    <w:p w14:paraId="458F5C6E" w14:textId="77777777" w:rsidR="001B0545" w:rsidRPr="00107040" w:rsidRDefault="001B0545" w:rsidP="000C16BB">
      <w:pPr>
        <w:spacing w:after="0" w:line="240" w:lineRule="auto"/>
        <w:jc w:val="both"/>
        <w:rPr>
          <w:rFonts w:ascii="Times New Roman" w:eastAsia="MS Mincho" w:hAnsi="Times New Roman"/>
          <w:sz w:val="28"/>
          <w:szCs w:val="28"/>
          <w:lang w:val="ru-RU" w:eastAsia="ja-JP"/>
        </w:rPr>
      </w:pPr>
    </w:p>
    <w:p w14:paraId="68907FC5" w14:textId="77777777" w:rsidR="001B0545" w:rsidRPr="00107040" w:rsidRDefault="001B0545" w:rsidP="000C16BB">
      <w:pPr>
        <w:spacing w:after="0" w:line="240" w:lineRule="auto"/>
        <w:jc w:val="both"/>
        <w:rPr>
          <w:rFonts w:ascii="Times New Roman" w:eastAsia="MS Mincho" w:hAnsi="Times New Roman"/>
          <w:sz w:val="28"/>
          <w:szCs w:val="28"/>
          <w:lang w:val="ru-RU" w:eastAsia="ja-JP"/>
        </w:rPr>
      </w:pPr>
    </w:p>
    <w:p w14:paraId="50CB0829" w14:textId="77777777" w:rsidR="001B0545" w:rsidRPr="00107040" w:rsidRDefault="001B0545" w:rsidP="000C16BB">
      <w:pPr>
        <w:spacing w:after="0" w:line="240" w:lineRule="auto"/>
        <w:jc w:val="both"/>
        <w:rPr>
          <w:rFonts w:ascii="Times New Roman" w:eastAsia="MS Mincho" w:hAnsi="Times New Roman"/>
          <w:sz w:val="28"/>
          <w:szCs w:val="28"/>
          <w:lang w:val="ru-RU" w:eastAsia="ja-JP"/>
        </w:rPr>
      </w:pPr>
    </w:p>
    <w:p w14:paraId="1161D176" w14:textId="77777777" w:rsidR="001B0545" w:rsidRPr="00107040" w:rsidRDefault="001B0545" w:rsidP="000C16BB">
      <w:pPr>
        <w:spacing w:after="0" w:line="240" w:lineRule="auto"/>
        <w:jc w:val="both"/>
        <w:rPr>
          <w:rFonts w:ascii="Times New Roman" w:eastAsia="MS Mincho" w:hAnsi="Times New Roman"/>
          <w:sz w:val="28"/>
          <w:szCs w:val="28"/>
          <w:lang w:val="ru-RU" w:eastAsia="ja-JP"/>
        </w:rPr>
      </w:pPr>
    </w:p>
    <w:p w14:paraId="4398D6D7" w14:textId="77777777" w:rsidR="001B0545" w:rsidRPr="00107040" w:rsidRDefault="001B0545" w:rsidP="000C16BB">
      <w:pPr>
        <w:spacing w:after="0" w:line="240" w:lineRule="auto"/>
        <w:jc w:val="both"/>
        <w:rPr>
          <w:rFonts w:ascii="Times New Roman" w:eastAsia="MS Mincho" w:hAnsi="Times New Roman"/>
          <w:sz w:val="28"/>
          <w:szCs w:val="28"/>
          <w:lang w:val="ru-RU" w:eastAsia="ja-JP"/>
        </w:rPr>
      </w:pPr>
    </w:p>
    <w:p w14:paraId="3D0614BE" w14:textId="77777777" w:rsidR="001B0545" w:rsidRPr="00107040" w:rsidRDefault="001B0545" w:rsidP="000C16BB">
      <w:pPr>
        <w:spacing w:after="0" w:line="240" w:lineRule="auto"/>
        <w:jc w:val="both"/>
        <w:rPr>
          <w:rFonts w:ascii="Times New Roman" w:eastAsia="MS Mincho" w:hAnsi="Times New Roman"/>
          <w:sz w:val="28"/>
          <w:szCs w:val="28"/>
          <w:lang w:val="ru-RU" w:eastAsia="ja-JP"/>
        </w:rPr>
      </w:pPr>
    </w:p>
    <w:p w14:paraId="5DDA11D1" w14:textId="3C08E2A8" w:rsidR="001B0545" w:rsidRPr="00107040" w:rsidRDefault="001B0545" w:rsidP="000C16BB">
      <w:pPr>
        <w:spacing w:after="0" w:line="240" w:lineRule="auto"/>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lastRenderedPageBreak/>
        <w:t>Т</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блиц</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w:t>
      </w:r>
      <w:r w:rsidR="008C6134">
        <w:rPr>
          <w:rFonts w:ascii="Times New Roman" w:eastAsia="MS Mincho" w:hAnsi="Times New Roman"/>
          <w:sz w:val="28"/>
          <w:szCs w:val="28"/>
          <w:lang w:val="ru-RU" w:eastAsia="ja-JP"/>
        </w:rPr>
        <w:t>4</w:t>
      </w:r>
      <w:r w:rsidRPr="00107040">
        <w:rPr>
          <w:rFonts w:ascii="Times New Roman" w:eastAsia="MS Mincho" w:hAnsi="Times New Roman"/>
          <w:sz w:val="28"/>
          <w:szCs w:val="28"/>
          <w:lang w:val="ru-RU" w:eastAsia="ja-JP"/>
        </w:rPr>
        <w:t xml:space="preserve"> – Последовательности олигонуклеотидов и их дуплексов</w:t>
      </w:r>
    </w:p>
    <w:p w14:paraId="11EA5CF7" w14:textId="77777777" w:rsidR="001B0545" w:rsidRPr="00107040" w:rsidRDefault="001B0545" w:rsidP="000C16BB">
      <w:pPr>
        <w:spacing w:after="0" w:line="240" w:lineRule="auto"/>
        <w:ind w:firstLine="567"/>
        <w:jc w:val="both"/>
        <w:rPr>
          <w:rFonts w:ascii="Times New Roman" w:eastAsia="MS Mincho" w:hAnsi="Times New Roman"/>
          <w:sz w:val="28"/>
          <w:szCs w:val="28"/>
          <w:lang w:val="ru-RU"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8451"/>
      </w:tblGrid>
      <w:tr w:rsidR="001B0545" w:rsidRPr="00107040" w14:paraId="15C89F38" w14:textId="77777777" w:rsidTr="001B0545">
        <w:tc>
          <w:tcPr>
            <w:tcW w:w="1126" w:type="dxa"/>
            <w:shd w:val="clear" w:color="auto" w:fill="auto"/>
          </w:tcPr>
          <w:p w14:paraId="66FD38A2"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Имена</w:t>
            </w:r>
          </w:p>
        </w:tc>
        <w:tc>
          <w:tcPr>
            <w:tcW w:w="8451" w:type="dxa"/>
            <w:shd w:val="clear" w:color="auto" w:fill="auto"/>
          </w:tcPr>
          <w:p w14:paraId="1B7294F1"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Последовательности и структуры олигонуклеотидов</w:t>
            </w:r>
          </w:p>
        </w:tc>
      </w:tr>
      <w:tr w:rsidR="001B0545" w:rsidRPr="00107040" w14:paraId="60D53850" w14:textId="77777777" w:rsidTr="001B0545">
        <w:trPr>
          <w:trHeight w:val="1054"/>
        </w:trPr>
        <w:tc>
          <w:tcPr>
            <w:tcW w:w="1126" w:type="dxa"/>
            <w:shd w:val="clear" w:color="auto" w:fill="auto"/>
          </w:tcPr>
          <w:p w14:paraId="4C90EDA0"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S1</w:t>
            </w:r>
          </w:p>
        </w:tc>
        <w:tc>
          <w:tcPr>
            <w:tcW w:w="8451" w:type="dxa"/>
            <w:shd w:val="clear" w:color="auto" w:fill="auto"/>
          </w:tcPr>
          <w:p w14:paraId="6EF8FB7F"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170" w:dyaOrig="855" w14:anchorId="13ED6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3.5pt" o:ole="">
                  <v:imagedata r:id="rId17" o:title=""/>
                </v:shape>
                <o:OLEObject Type="Embed" ProgID="PBrush" ShapeID="_x0000_i1025" DrawAspect="Content" ObjectID="_1725460626" r:id="rId18"/>
              </w:object>
            </w:r>
          </w:p>
        </w:tc>
      </w:tr>
      <w:tr w:rsidR="001B0545" w:rsidRPr="00107040" w14:paraId="29285B16" w14:textId="77777777" w:rsidTr="001B0545">
        <w:trPr>
          <w:trHeight w:val="1127"/>
        </w:trPr>
        <w:tc>
          <w:tcPr>
            <w:tcW w:w="1126" w:type="dxa"/>
            <w:shd w:val="clear" w:color="auto" w:fill="auto"/>
          </w:tcPr>
          <w:p w14:paraId="6EDE3498"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S2</w:t>
            </w:r>
          </w:p>
        </w:tc>
        <w:tc>
          <w:tcPr>
            <w:tcW w:w="8451" w:type="dxa"/>
            <w:shd w:val="clear" w:color="auto" w:fill="auto"/>
          </w:tcPr>
          <w:p w14:paraId="5D949BC2"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125" w:dyaOrig="915" w14:anchorId="1666E321">
                <v:shape id="_x0000_i1026" type="#_x0000_t75" style="width:5in;height:43.5pt" o:ole="">
                  <v:imagedata r:id="rId19" o:title=""/>
                </v:shape>
                <o:OLEObject Type="Embed" ProgID="PBrush" ShapeID="_x0000_i1026" DrawAspect="Content" ObjectID="_1725460627" r:id="rId20"/>
              </w:object>
            </w:r>
          </w:p>
        </w:tc>
      </w:tr>
      <w:tr w:rsidR="001B0545" w:rsidRPr="00107040" w14:paraId="38758228" w14:textId="77777777" w:rsidTr="001B0545">
        <w:trPr>
          <w:trHeight w:val="1413"/>
        </w:trPr>
        <w:tc>
          <w:tcPr>
            <w:tcW w:w="1126" w:type="dxa"/>
            <w:shd w:val="clear" w:color="auto" w:fill="auto"/>
          </w:tcPr>
          <w:p w14:paraId="0C3B2D44"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S3</w:t>
            </w:r>
          </w:p>
        </w:tc>
        <w:tc>
          <w:tcPr>
            <w:tcW w:w="8451" w:type="dxa"/>
            <w:shd w:val="clear" w:color="auto" w:fill="auto"/>
          </w:tcPr>
          <w:p w14:paraId="55444E1D"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395" w:dyaOrig="1110" w14:anchorId="042430EC">
                <v:shape id="_x0000_i1027" type="#_x0000_t75" style="width:367.5pt;height:57.75pt" o:ole="">
                  <v:imagedata r:id="rId21" o:title=""/>
                </v:shape>
                <o:OLEObject Type="Embed" ProgID="PBrush" ShapeID="_x0000_i1027" DrawAspect="Content" ObjectID="_1725460628" r:id="rId22"/>
              </w:object>
            </w:r>
          </w:p>
        </w:tc>
      </w:tr>
      <w:tr w:rsidR="001B0545" w:rsidRPr="00107040" w14:paraId="1865E4A6" w14:textId="77777777" w:rsidTr="001B0545">
        <w:tc>
          <w:tcPr>
            <w:tcW w:w="1126" w:type="dxa"/>
            <w:shd w:val="clear" w:color="auto" w:fill="auto"/>
          </w:tcPr>
          <w:p w14:paraId="0F0F0749"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S4</w:t>
            </w:r>
          </w:p>
        </w:tc>
        <w:tc>
          <w:tcPr>
            <w:tcW w:w="8451" w:type="dxa"/>
            <w:shd w:val="clear" w:color="auto" w:fill="auto"/>
          </w:tcPr>
          <w:p w14:paraId="4E972B53"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350" w:dyaOrig="1080" w14:anchorId="7B758F98">
                <v:shape id="_x0000_i1028" type="#_x0000_t75" style="width:367.5pt;height:57.75pt" o:ole="">
                  <v:imagedata r:id="rId23" o:title=""/>
                </v:shape>
                <o:OLEObject Type="Embed" ProgID="PBrush" ShapeID="_x0000_i1028" DrawAspect="Content" ObjectID="_1725460629" r:id="rId24"/>
              </w:object>
            </w:r>
          </w:p>
        </w:tc>
      </w:tr>
      <w:tr w:rsidR="001B0545" w:rsidRPr="00107040" w14:paraId="20410CCE" w14:textId="77777777" w:rsidTr="001B0545">
        <w:tc>
          <w:tcPr>
            <w:tcW w:w="1126" w:type="dxa"/>
            <w:shd w:val="clear" w:color="auto" w:fill="auto"/>
          </w:tcPr>
          <w:p w14:paraId="18017173"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S5</w:t>
            </w:r>
          </w:p>
        </w:tc>
        <w:tc>
          <w:tcPr>
            <w:tcW w:w="8451" w:type="dxa"/>
            <w:shd w:val="clear" w:color="auto" w:fill="auto"/>
          </w:tcPr>
          <w:p w14:paraId="0A6A04A6"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425" w:dyaOrig="1125" w14:anchorId="6812AD75">
                <v:shape id="_x0000_i1029" type="#_x0000_t75" style="width:367.5pt;height:57.75pt" o:ole="">
                  <v:imagedata r:id="rId25" o:title=""/>
                </v:shape>
                <o:OLEObject Type="Embed" ProgID="PBrush" ShapeID="_x0000_i1029" DrawAspect="Content" ObjectID="_1725460630" r:id="rId26"/>
              </w:object>
            </w:r>
          </w:p>
        </w:tc>
      </w:tr>
      <w:tr w:rsidR="001B0545" w:rsidRPr="00107040" w14:paraId="6C57A017" w14:textId="77777777" w:rsidTr="001B0545">
        <w:tc>
          <w:tcPr>
            <w:tcW w:w="1126" w:type="dxa"/>
            <w:shd w:val="clear" w:color="auto" w:fill="auto"/>
          </w:tcPr>
          <w:p w14:paraId="7A94ECA9"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S6</w:t>
            </w:r>
          </w:p>
        </w:tc>
        <w:tc>
          <w:tcPr>
            <w:tcW w:w="8451" w:type="dxa"/>
            <w:shd w:val="clear" w:color="auto" w:fill="auto"/>
          </w:tcPr>
          <w:p w14:paraId="3E480794"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395" w:dyaOrig="1170" w14:anchorId="2F95496E">
                <v:shape id="_x0000_i1030" type="#_x0000_t75" style="width:367.5pt;height:57.75pt" o:ole="">
                  <v:imagedata r:id="rId27" o:title=""/>
                </v:shape>
                <o:OLEObject Type="Embed" ProgID="PBrush" ShapeID="_x0000_i1030" DrawAspect="Content" ObjectID="_1725460631" r:id="rId28"/>
              </w:object>
            </w:r>
          </w:p>
        </w:tc>
      </w:tr>
      <w:tr w:rsidR="001B0545" w:rsidRPr="00107040" w14:paraId="49DB54F1" w14:textId="77777777" w:rsidTr="001B0545">
        <w:tc>
          <w:tcPr>
            <w:tcW w:w="1126" w:type="dxa"/>
            <w:shd w:val="clear" w:color="auto" w:fill="auto"/>
          </w:tcPr>
          <w:p w14:paraId="78A57EB3"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S7</w:t>
            </w:r>
          </w:p>
        </w:tc>
        <w:tc>
          <w:tcPr>
            <w:tcW w:w="8451" w:type="dxa"/>
            <w:shd w:val="clear" w:color="auto" w:fill="auto"/>
          </w:tcPr>
          <w:p w14:paraId="7FFA8C0A"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410" w:dyaOrig="1155" w14:anchorId="0D2ED855">
                <v:shape id="_x0000_i1031" type="#_x0000_t75" style="width:367.5pt;height:57.75pt" o:ole="">
                  <v:imagedata r:id="rId29" o:title=""/>
                </v:shape>
                <o:OLEObject Type="Embed" ProgID="PBrush" ShapeID="_x0000_i1031" DrawAspect="Content" ObjectID="_1725460632" r:id="rId30"/>
              </w:object>
            </w:r>
          </w:p>
        </w:tc>
      </w:tr>
      <w:tr w:rsidR="001B0545" w:rsidRPr="00107040" w14:paraId="1F70CE2B" w14:textId="77777777" w:rsidTr="001B0545">
        <w:tc>
          <w:tcPr>
            <w:tcW w:w="1126" w:type="dxa"/>
            <w:shd w:val="clear" w:color="auto" w:fill="auto"/>
          </w:tcPr>
          <w:p w14:paraId="7E567E62"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S8</w:t>
            </w:r>
          </w:p>
        </w:tc>
        <w:tc>
          <w:tcPr>
            <w:tcW w:w="8451" w:type="dxa"/>
            <w:shd w:val="clear" w:color="auto" w:fill="auto"/>
          </w:tcPr>
          <w:p w14:paraId="573B77D3"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425" w:dyaOrig="1155" w14:anchorId="592DE069">
                <v:shape id="_x0000_i1032" type="#_x0000_t75" style="width:367.5pt;height:57.75pt" o:ole="">
                  <v:imagedata r:id="rId31" o:title=""/>
                </v:shape>
                <o:OLEObject Type="Embed" ProgID="PBrush" ShapeID="_x0000_i1032" DrawAspect="Content" ObjectID="_1725460633" r:id="rId32"/>
              </w:object>
            </w:r>
          </w:p>
        </w:tc>
      </w:tr>
      <w:tr w:rsidR="001B0545" w:rsidRPr="00107040" w14:paraId="6E94B53E" w14:textId="77777777" w:rsidTr="001B0545">
        <w:tc>
          <w:tcPr>
            <w:tcW w:w="1126" w:type="dxa"/>
            <w:tcBorders>
              <w:bottom w:val="single" w:sz="4" w:space="0" w:color="auto"/>
            </w:tcBorders>
            <w:shd w:val="clear" w:color="auto" w:fill="auto"/>
          </w:tcPr>
          <w:p w14:paraId="45A20C68"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S9</w:t>
            </w:r>
          </w:p>
        </w:tc>
        <w:tc>
          <w:tcPr>
            <w:tcW w:w="8451" w:type="dxa"/>
            <w:tcBorders>
              <w:bottom w:val="single" w:sz="4" w:space="0" w:color="auto"/>
            </w:tcBorders>
            <w:shd w:val="clear" w:color="auto" w:fill="auto"/>
          </w:tcPr>
          <w:p w14:paraId="74C2C1E0"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380" w:dyaOrig="1185" w14:anchorId="50070A70">
                <v:shape id="_x0000_i1033" type="#_x0000_t75" style="width:367.5pt;height:57.75pt" o:ole="">
                  <v:imagedata r:id="rId33" o:title=""/>
                </v:shape>
                <o:OLEObject Type="Embed" ProgID="PBrush" ShapeID="_x0000_i1033" DrawAspect="Content" ObjectID="_1725460634" r:id="rId34"/>
              </w:object>
            </w:r>
          </w:p>
        </w:tc>
      </w:tr>
      <w:tr w:rsidR="001B0545" w:rsidRPr="00107040" w14:paraId="20FF0669" w14:textId="77777777" w:rsidTr="001B0545">
        <w:tc>
          <w:tcPr>
            <w:tcW w:w="1126" w:type="dxa"/>
            <w:tcBorders>
              <w:bottom w:val="nil"/>
            </w:tcBorders>
            <w:shd w:val="clear" w:color="auto" w:fill="auto"/>
          </w:tcPr>
          <w:p w14:paraId="59FA09ED"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S10</w:t>
            </w:r>
          </w:p>
        </w:tc>
        <w:tc>
          <w:tcPr>
            <w:tcW w:w="8451" w:type="dxa"/>
            <w:tcBorders>
              <w:bottom w:val="nil"/>
            </w:tcBorders>
            <w:shd w:val="clear" w:color="auto" w:fill="auto"/>
          </w:tcPr>
          <w:p w14:paraId="685BB36B"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575" w:dyaOrig="1170" w14:anchorId="392852EA">
                <v:shape id="_x0000_i1034" type="#_x0000_t75" style="width:374.25pt;height:57.75pt" o:ole="">
                  <v:imagedata r:id="rId35" o:title=""/>
                </v:shape>
                <o:OLEObject Type="Embed" ProgID="PBrush" ShapeID="_x0000_i1034" DrawAspect="Content" ObjectID="_1725460635" r:id="rId36"/>
              </w:object>
            </w:r>
          </w:p>
        </w:tc>
      </w:tr>
    </w:tbl>
    <w:p w14:paraId="72A5AB41" w14:textId="77777777" w:rsidR="001B0545" w:rsidRPr="00107040" w:rsidRDefault="001B0545" w:rsidP="000C16BB">
      <w:pPr>
        <w:spacing w:after="0" w:line="240" w:lineRule="auto"/>
        <w:jc w:val="both"/>
        <w:rPr>
          <w:rFonts w:ascii="Times New Roman" w:eastAsia="MS Mincho" w:hAnsi="Times New Roman"/>
          <w:sz w:val="28"/>
          <w:szCs w:val="28"/>
          <w:lang w:val="kk-KZ" w:eastAsia="ja-JP"/>
        </w:rPr>
      </w:pPr>
    </w:p>
    <w:p w14:paraId="58A7D6E5" w14:textId="77777777" w:rsidR="001B0545" w:rsidRPr="00107040" w:rsidRDefault="001B0545" w:rsidP="000C16BB">
      <w:pPr>
        <w:spacing w:after="0" w:line="240" w:lineRule="auto"/>
        <w:jc w:val="both"/>
        <w:rPr>
          <w:rFonts w:ascii="Times New Roman" w:eastAsia="MS Mincho" w:hAnsi="Times New Roman"/>
          <w:sz w:val="28"/>
          <w:szCs w:val="28"/>
          <w:lang w:val="kk-KZ" w:eastAsia="ja-JP"/>
        </w:rPr>
      </w:pPr>
    </w:p>
    <w:p w14:paraId="39EBF9D1" w14:textId="77777777" w:rsidR="001B0545" w:rsidRPr="00107040" w:rsidRDefault="001B0545" w:rsidP="000C16BB">
      <w:pPr>
        <w:spacing w:after="0" w:line="240" w:lineRule="auto"/>
        <w:jc w:val="both"/>
        <w:rPr>
          <w:rFonts w:ascii="Times New Roman" w:eastAsia="MS Mincho" w:hAnsi="Times New Roman"/>
          <w:sz w:val="28"/>
          <w:szCs w:val="28"/>
          <w:lang w:val="kk-KZ" w:eastAsia="ja-JP"/>
        </w:rPr>
      </w:pPr>
    </w:p>
    <w:p w14:paraId="2CDB8C9C" w14:textId="77777777" w:rsidR="001B0545" w:rsidRPr="00107040" w:rsidRDefault="001B0545" w:rsidP="000C16BB">
      <w:pPr>
        <w:spacing w:after="0" w:line="240" w:lineRule="auto"/>
        <w:jc w:val="both"/>
        <w:rPr>
          <w:rFonts w:ascii="Times New Roman" w:eastAsia="MS Mincho" w:hAnsi="Times New Roman"/>
          <w:sz w:val="28"/>
          <w:szCs w:val="28"/>
          <w:lang w:val="kk-KZ" w:eastAsia="ja-JP"/>
        </w:rPr>
      </w:pPr>
    </w:p>
    <w:p w14:paraId="6E64E844" w14:textId="77777777" w:rsidR="001B0545" w:rsidRPr="00107040" w:rsidRDefault="001B0545" w:rsidP="000C16BB">
      <w:pPr>
        <w:spacing w:after="0" w:line="240" w:lineRule="auto"/>
        <w:jc w:val="both"/>
        <w:rPr>
          <w:rFonts w:ascii="Times New Roman" w:eastAsia="MS Mincho" w:hAnsi="Times New Roman"/>
          <w:sz w:val="28"/>
          <w:szCs w:val="28"/>
          <w:lang w:val="kk-KZ" w:eastAsia="ja-JP"/>
        </w:rPr>
      </w:pPr>
    </w:p>
    <w:p w14:paraId="7DAE13A9" w14:textId="6B430D5D" w:rsidR="001B0545" w:rsidRPr="00107040" w:rsidRDefault="001B0545" w:rsidP="000C16BB">
      <w:pPr>
        <w:spacing w:after="0" w:line="240" w:lineRule="auto"/>
        <w:jc w:val="both"/>
        <w:rPr>
          <w:rFonts w:ascii="Times New Roman" w:eastAsia="MS Mincho" w:hAnsi="Times New Roman"/>
          <w:sz w:val="28"/>
          <w:szCs w:val="28"/>
          <w:lang w:val="kk-KZ" w:eastAsia="ja-JP"/>
        </w:rPr>
      </w:pPr>
      <w:r w:rsidRPr="00107040">
        <w:rPr>
          <w:rFonts w:ascii="Times New Roman" w:eastAsia="MS Mincho" w:hAnsi="Times New Roman"/>
          <w:sz w:val="28"/>
          <w:szCs w:val="28"/>
          <w:lang w:val="kk-KZ" w:eastAsia="ja-JP"/>
        </w:rPr>
        <w:lastRenderedPageBreak/>
        <w:t xml:space="preserve">Продолжение таблицы </w:t>
      </w:r>
      <w:r w:rsidR="008C6134">
        <w:rPr>
          <w:rFonts w:ascii="Times New Roman" w:eastAsia="MS Mincho" w:hAnsi="Times New Roman"/>
          <w:sz w:val="28"/>
          <w:szCs w:val="28"/>
          <w:lang w:val="kk-KZ" w:eastAsia="ja-JP"/>
        </w:rPr>
        <w:t>4</w:t>
      </w:r>
    </w:p>
    <w:p w14:paraId="1A35362E" w14:textId="77777777" w:rsidR="001B0545" w:rsidRPr="00107040" w:rsidRDefault="001B0545" w:rsidP="000C16BB">
      <w:pPr>
        <w:spacing w:after="0" w:line="240" w:lineRule="auto"/>
        <w:jc w:val="both"/>
        <w:rPr>
          <w:rFonts w:ascii="Times New Roman" w:eastAsia="MS Mincho" w:hAnsi="Times New Roman"/>
          <w:sz w:val="28"/>
          <w:szCs w:val="28"/>
          <w:lang w:val="kk-KZ"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8451"/>
      </w:tblGrid>
      <w:tr w:rsidR="001B0545" w:rsidRPr="00107040" w14:paraId="24836CA1" w14:textId="77777777" w:rsidTr="001B0545">
        <w:tc>
          <w:tcPr>
            <w:tcW w:w="1126" w:type="dxa"/>
            <w:shd w:val="clear" w:color="auto" w:fill="auto"/>
          </w:tcPr>
          <w:p w14:paraId="066C38E3"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S11</w:t>
            </w:r>
          </w:p>
        </w:tc>
        <w:tc>
          <w:tcPr>
            <w:tcW w:w="8451" w:type="dxa"/>
            <w:shd w:val="clear" w:color="auto" w:fill="auto"/>
          </w:tcPr>
          <w:p w14:paraId="00CF1C75"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590" w:dyaOrig="1170" w14:anchorId="5B01A7E2">
                <v:shape id="_x0000_i1035" type="#_x0000_t75" style="width:381.75pt;height:57.75pt" o:ole="">
                  <v:imagedata r:id="rId37" o:title=""/>
                </v:shape>
                <o:OLEObject Type="Embed" ProgID="PBrush" ShapeID="_x0000_i1035" DrawAspect="Content" ObjectID="_1725460636" r:id="rId38"/>
              </w:object>
            </w:r>
          </w:p>
        </w:tc>
      </w:tr>
      <w:tr w:rsidR="001B0545" w:rsidRPr="00107040" w14:paraId="7C100442" w14:textId="77777777" w:rsidTr="001B0545">
        <w:tc>
          <w:tcPr>
            <w:tcW w:w="1126" w:type="dxa"/>
            <w:shd w:val="clear" w:color="auto" w:fill="auto"/>
          </w:tcPr>
          <w:p w14:paraId="60EB11D6"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S12</w:t>
            </w:r>
          </w:p>
        </w:tc>
        <w:tc>
          <w:tcPr>
            <w:tcW w:w="8451" w:type="dxa"/>
            <w:shd w:val="clear" w:color="auto" w:fill="auto"/>
          </w:tcPr>
          <w:p w14:paraId="351830AC"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620" w:dyaOrig="1200" w14:anchorId="699270E0">
                <v:shape id="_x0000_i1036" type="#_x0000_t75" style="width:381.75pt;height:57.75pt" o:ole="">
                  <v:imagedata r:id="rId39" o:title=""/>
                </v:shape>
                <o:OLEObject Type="Embed" ProgID="PBrush" ShapeID="_x0000_i1036" DrawAspect="Content" ObjectID="_1725460637" r:id="rId40"/>
              </w:object>
            </w:r>
          </w:p>
        </w:tc>
      </w:tr>
      <w:tr w:rsidR="001B0545" w:rsidRPr="00107040" w14:paraId="14ABD473" w14:textId="77777777" w:rsidTr="001B0545">
        <w:tc>
          <w:tcPr>
            <w:tcW w:w="1126" w:type="dxa"/>
            <w:shd w:val="clear" w:color="auto" w:fill="auto"/>
          </w:tcPr>
          <w:p w14:paraId="0D8046A6"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S13</w:t>
            </w:r>
          </w:p>
        </w:tc>
        <w:tc>
          <w:tcPr>
            <w:tcW w:w="8451" w:type="dxa"/>
            <w:shd w:val="clear" w:color="auto" w:fill="auto"/>
          </w:tcPr>
          <w:p w14:paraId="0D230CB9"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605" w:dyaOrig="1170" w14:anchorId="3201312B">
                <v:shape id="_x0000_i1037" type="#_x0000_t75" style="width:381.75pt;height:57.75pt" o:ole="">
                  <v:imagedata r:id="rId41" o:title=""/>
                </v:shape>
                <o:OLEObject Type="Embed" ProgID="PBrush" ShapeID="_x0000_i1037" DrawAspect="Content" ObjectID="_1725460638" r:id="rId42"/>
              </w:object>
            </w:r>
          </w:p>
        </w:tc>
      </w:tr>
      <w:tr w:rsidR="001B0545" w:rsidRPr="00107040" w14:paraId="145B0EDB" w14:textId="77777777" w:rsidTr="001B0545">
        <w:tc>
          <w:tcPr>
            <w:tcW w:w="1126" w:type="dxa"/>
            <w:shd w:val="clear" w:color="auto" w:fill="auto"/>
          </w:tcPr>
          <w:p w14:paraId="1F01FEF2"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S14</w:t>
            </w:r>
          </w:p>
        </w:tc>
        <w:tc>
          <w:tcPr>
            <w:tcW w:w="8451" w:type="dxa"/>
            <w:shd w:val="clear" w:color="auto" w:fill="auto"/>
          </w:tcPr>
          <w:p w14:paraId="2A9E421D"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635" w:dyaOrig="1185" w14:anchorId="72C818C2">
                <v:shape id="_x0000_i1038" type="#_x0000_t75" style="width:381.75pt;height:57.75pt" o:ole="">
                  <v:imagedata r:id="rId43" o:title=""/>
                </v:shape>
                <o:OLEObject Type="Embed" ProgID="PBrush" ShapeID="_x0000_i1038" DrawAspect="Content" ObjectID="_1725460639" r:id="rId44"/>
              </w:object>
            </w:r>
          </w:p>
        </w:tc>
      </w:tr>
      <w:tr w:rsidR="001B0545" w:rsidRPr="00107040" w14:paraId="764CA995" w14:textId="77777777" w:rsidTr="001B0545">
        <w:tc>
          <w:tcPr>
            <w:tcW w:w="1126" w:type="dxa"/>
            <w:shd w:val="clear" w:color="auto" w:fill="auto"/>
          </w:tcPr>
          <w:p w14:paraId="0455A381"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S15</w:t>
            </w:r>
          </w:p>
        </w:tc>
        <w:tc>
          <w:tcPr>
            <w:tcW w:w="8451" w:type="dxa"/>
            <w:shd w:val="clear" w:color="auto" w:fill="auto"/>
          </w:tcPr>
          <w:p w14:paraId="646E4B53"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6600" w:dyaOrig="1140" w14:anchorId="016AB807">
                <v:shape id="_x0000_i1039" type="#_x0000_t75" style="width:331.5pt;height:57.75pt" o:ole="">
                  <v:imagedata r:id="rId45" o:title=""/>
                </v:shape>
                <o:OLEObject Type="Embed" ProgID="PBrush" ShapeID="_x0000_i1039" DrawAspect="Content" ObjectID="_1725460640" r:id="rId46"/>
              </w:object>
            </w:r>
          </w:p>
        </w:tc>
      </w:tr>
      <w:tr w:rsidR="001B0545" w:rsidRPr="00107040" w14:paraId="5CBB80B5" w14:textId="77777777" w:rsidTr="001B0545">
        <w:tc>
          <w:tcPr>
            <w:tcW w:w="1126" w:type="dxa"/>
            <w:shd w:val="clear" w:color="auto" w:fill="auto"/>
          </w:tcPr>
          <w:p w14:paraId="7612B1B0"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S16</w:t>
            </w:r>
          </w:p>
        </w:tc>
        <w:tc>
          <w:tcPr>
            <w:tcW w:w="8451" w:type="dxa"/>
            <w:shd w:val="clear" w:color="auto" w:fill="auto"/>
          </w:tcPr>
          <w:p w14:paraId="463790D1"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530" w:dyaOrig="1185" w14:anchorId="7622873B">
                <v:shape id="_x0000_i1040" type="#_x0000_t75" style="width:374.25pt;height:57.75pt" o:ole="">
                  <v:imagedata r:id="rId47" o:title=""/>
                </v:shape>
                <o:OLEObject Type="Embed" ProgID="PBrush" ShapeID="_x0000_i1040" DrawAspect="Content" ObjectID="_1725460641" r:id="rId48"/>
              </w:object>
            </w:r>
          </w:p>
        </w:tc>
      </w:tr>
      <w:tr w:rsidR="001B0545" w:rsidRPr="00107040" w14:paraId="2AC073D0" w14:textId="77777777" w:rsidTr="001B0545">
        <w:tc>
          <w:tcPr>
            <w:tcW w:w="1126" w:type="dxa"/>
            <w:shd w:val="clear" w:color="auto" w:fill="auto"/>
          </w:tcPr>
          <w:p w14:paraId="20459757"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S17</w:t>
            </w:r>
          </w:p>
        </w:tc>
        <w:tc>
          <w:tcPr>
            <w:tcW w:w="8451" w:type="dxa"/>
            <w:shd w:val="clear" w:color="auto" w:fill="auto"/>
          </w:tcPr>
          <w:p w14:paraId="28CBBA8D" w14:textId="77777777" w:rsidR="001B0545" w:rsidRPr="00107040" w:rsidRDefault="001B0545" w:rsidP="000C16BB">
            <w:pPr>
              <w:spacing w:after="0" w:line="240" w:lineRule="auto"/>
              <w:jc w:val="both"/>
              <w:rPr>
                <w:rFonts w:ascii="Times New Roman" w:hAnsi="Times New Roman"/>
                <w:sz w:val="28"/>
                <w:szCs w:val="28"/>
                <w:lang w:val="en-US"/>
              </w:rPr>
            </w:pPr>
            <w:r w:rsidRPr="00107040">
              <w:rPr>
                <w:rFonts w:ascii="Times New Roman" w:hAnsi="Times New Roman"/>
                <w:sz w:val="28"/>
                <w:szCs w:val="28"/>
              </w:rPr>
              <w:object w:dxaOrig="7635" w:dyaOrig="1125" w14:anchorId="25AAE676">
                <v:shape id="_x0000_i1041" type="#_x0000_t75" style="width:381.75pt;height:57.75pt" o:ole="">
                  <v:imagedata r:id="rId49" o:title=""/>
                </v:shape>
                <o:OLEObject Type="Embed" ProgID="PBrush" ShapeID="_x0000_i1041" DrawAspect="Content" ObjectID="_1725460642" r:id="rId50"/>
              </w:object>
            </w:r>
          </w:p>
        </w:tc>
      </w:tr>
      <w:tr w:rsidR="001B0545" w:rsidRPr="00107040" w14:paraId="46DEE895" w14:textId="77777777" w:rsidTr="001B0545">
        <w:tc>
          <w:tcPr>
            <w:tcW w:w="1126" w:type="dxa"/>
            <w:shd w:val="clear" w:color="auto" w:fill="auto"/>
          </w:tcPr>
          <w:p w14:paraId="3427BC11"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S18</w:t>
            </w:r>
          </w:p>
        </w:tc>
        <w:tc>
          <w:tcPr>
            <w:tcW w:w="8451" w:type="dxa"/>
            <w:shd w:val="clear" w:color="auto" w:fill="auto"/>
          </w:tcPr>
          <w:p w14:paraId="7366B948"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5820" w:dyaOrig="1155" w14:anchorId="2857FDD5">
                <v:shape id="_x0000_i1042" type="#_x0000_t75" style="width:4in;height:57.75pt" o:ole="">
                  <v:imagedata r:id="rId51" o:title=""/>
                </v:shape>
                <o:OLEObject Type="Embed" ProgID="PBrush" ShapeID="_x0000_i1042" DrawAspect="Content" ObjectID="_1725460643" r:id="rId52"/>
              </w:object>
            </w:r>
          </w:p>
        </w:tc>
      </w:tr>
      <w:tr w:rsidR="001B0545" w:rsidRPr="00107040" w14:paraId="3C8344CC" w14:textId="77777777" w:rsidTr="001B0545">
        <w:tc>
          <w:tcPr>
            <w:tcW w:w="1126" w:type="dxa"/>
            <w:shd w:val="clear" w:color="auto" w:fill="auto"/>
          </w:tcPr>
          <w:p w14:paraId="708D657B"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S19</w:t>
            </w:r>
          </w:p>
        </w:tc>
        <w:tc>
          <w:tcPr>
            <w:tcW w:w="8451" w:type="dxa"/>
            <w:shd w:val="clear" w:color="auto" w:fill="auto"/>
          </w:tcPr>
          <w:p w14:paraId="7B7B1937" w14:textId="77777777" w:rsidR="001B0545" w:rsidRPr="00107040" w:rsidRDefault="001B0545" w:rsidP="000C16BB">
            <w:pPr>
              <w:spacing w:after="0" w:line="240" w:lineRule="auto"/>
              <w:jc w:val="both"/>
              <w:rPr>
                <w:rFonts w:ascii="Times New Roman" w:hAnsi="Times New Roman"/>
                <w:sz w:val="28"/>
                <w:szCs w:val="28"/>
                <w:lang w:val="en-US"/>
              </w:rPr>
            </w:pPr>
            <w:r w:rsidRPr="00107040">
              <w:rPr>
                <w:rFonts w:ascii="Times New Roman" w:hAnsi="Times New Roman"/>
                <w:sz w:val="28"/>
                <w:szCs w:val="28"/>
              </w:rPr>
              <w:object w:dxaOrig="8235" w:dyaOrig="1140" w14:anchorId="52B19A5C">
                <v:shape id="_x0000_i1043" type="#_x0000_t75" style="width:410.25pt;height:57.75pt" o:ole="">
                  <v:imagedata r:id="rId53" o:title=""/>
                </v:shape>
                <o:OLEObject Type="Embed" ProgID="PBrush" ShapeID="_x0000_i1043" DrawAspect="Content" ObjectID="_1725460644" r:id="rId54"/>
              </w:object>
            </w:r>
          </w:p>
        </w:tc>
      </w:tr>
      <w:tr w:rsidR="001B0545" w:rsidRPr="00107040" w14:paraId="5681D67A" w14:textId="77777777" w:rsidTr="001B0545">
        <w:tc>
          <w:tcPr>
            <w:tcW w:w="1126" w:type="dxa"/>
            <w:shd w:val="clear" w:color="auto" w:fill="auto"/>
          </w:tcPr>
          <w:p w14:paraId="12F31CA8"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t>S20</w:t>
            </w:r>
          </w:p>
        </w:tc>
        <w:tc>
          <w:tcPr>
            <w:tcW w:w="8451" w:type="dxa"/>
            <w:shd w:val="clear" w:color="auto" w:fill="auto"/>
          </w:tcPr>
          <w:p w14:paraId="139F04A4" w14:textId="77777777" w:rsidR="001B0545" w:rsidRPr="00107040" w:rsidRDefault="001B0545" w:rsidP="000C16BB">
            <w:pPr>
              <w:spacing w:after="0" w:line="240" w:lineRule="auto"/>
              <w:jc w:val="both"/>
              <w:rPr>
                <w:rFonts w:ascii="Times New Roman" w:hAnsi="Times New Roman"/>
                <w:sz w:val="28"/>
                <w:szCs w:val="28"/>
              </w:rPr>
            </w:pPr>
            <w:r w:rsidRPr="00107040">
              <w:rPr>
                <w:rFonts w:ascii="Times New Roman" w:hAnsi="Times New Roman"/>
                <w:sz w:val="28"/>
                <w:szCs w:val="28"/>
              </w:rPr>
              <w:object w:dxaOrig="7185" w:dyaOrig="1110" w14:anchorId="027BAE4B">
                <v:shape id="_x0000_i1044" type="#_x0000_t75" style="width:5in;height:57.75pt" o:ole="">
                  <v:imagedata r:id="rId55" o:title=""/>
                </v:shape>
                <o:OLEObject Type="Embed" ProgID="PBrush" ShapeID="_x0000_i1044" DrawAspect="Content" ObjectID="_1725460645" r:id="rId56"/>
              </w:object>
            </w:r>
          </w:p>
        </w:tc>
      </w:tr>
    </w:tbl>
    <w:p w14:paraId="4E0DEA6D" w14:textId="77777777" w:rsidR="001B0545" w:rsidRPr="00107040" w:rsidRDefault="001B0545" w:rsidP="000C16BB">
      <w:pPr>
        <w:spacing w:after="0" w:line="240" w:lineRule="auto"/>
        <w:ind w:firstLine="567"/>
        <w:jc w:val="both"/>
        <w:rPr>
          <w:rFonts w:ascii="Times New Roman" w:eastAsia="MS Mincho" w:hAnsi="Times New Roman"/>
          <w:b/>
          <w:bCs/>
          <w:iCs/>
          <w:sz w:val="28"/>
          <w:szCs w:val="28"/>
          <w:lang w:val="kk-KZ" w:eastAsia="ja-JP"/>
        </w:rPr>
      </w:pPr>
    </w:p>
    <w:p w14:paraId="06E724DA" w14:textId="77777777" w:rsidR="001B0545" w:rsidRPr="00107040" w:rsidRDefault="001B0545" w:rsidP="000C16BB">
      <w:pPr>
        <w:spacing w:after="0" w:line="240" w:lineRule="auto"/>
        <w:ind w:firstLine="567"/>
        <w:jc w:val="both"/>
        <w:rPr>
          <w:rFonts w:ascii="Times New Roman" w:eastAsia="MS Mincho" w:hAnsi="Times New Roman"/>
          <w:b/>
          <w:bCs/>
          <w:iCs/>
          <w:sz w:val="28"/>
          <w:szCs w:val="28"/>
          <w:lang w:val="kk-KZ" w:eastAsia="ja-JP"/>
        </w:rPr>
      </w:pPr>
    </w:p>
    <w:p w14:paraId="6C7D7D15" w14:textId="77777777" w:rsidR="001B0545" w:rsidRPr="00107040" w:rsidRDefault="001B0545" w:rsidP="000C16BB">
      <w:pPr>
        <w:spacing w:after="0" w:line="240" w:lineRule="auto"/>
        <w:ind w:firstLine="567"/>
        <w:jc w:val="both"/>
        <w:rPr>
          <w:rFonts w:ascii="Times New Roman" w:eastAsia="MS Mincho" w:hAnsi="Times New Roman"/>
          <w:b/>
          <w:bCs/>
          <w:iCs/>
          <w:sz w:val="28"/>
          <w:szCs w:val="28"/>
          <w:lang w:val="kk-KZ" w:eastAsia="ja-JP"/>
        </w:rPr>
      </w:pPr>
    </w:p>
    <w:p w14:paraId="2534902F" w14:textId="77777777" w:rsidR="001B0545" w:rsidRPr="00107040" w:rsidRDefault="001B0545" w:rsidP="000C16BB">
      <w:pPr>
        <w:spacing w:after="0" w:line="240" w:lineRule="auto"/>
        <w:ind w:firstLine="567"/>
        <w:jc w:val="both"/>
        <w:rPr>
          <w:rFonts w:ascii="Times New Roman" w:eastAsia="MS Mincho" w:hAnsi="Times New Roman"/>
          <w:b/>
          <w:bCs/>
          <w:iCs/>
          <w:sz w:val="28"/>
          <w:szCs w:val="28"/>
          <w:lang w:val="kk-KZ" w:eastAsia="ja-JP"/>
        </w:rPr>
      </w:pPr>
    </w:p>
    <w:p w14:paraId="6C8C10CC" w14:textId="77777777" w:rsidR="001B0545" w:rsidRPr="00107040" w:rsidRDefault="001B0545" w:rsidP="000C16BB">
      <w:pPr>
        <w:spacing w:after="0" w:line="240" w:lineRule="auto"/>
        <w:ind w:firstLine="567"/>
        <w:jc w:val="both"/>
        <w:rPr>
          <w:rFonts w:ascii="Times New Roman" w:eastAsia="MS Mincho" w:hAnsi="Times New Roman"/>
          <w:b/>
          <w:bCs/>
          <w:iCs/>
          <w:sz w:val="28"/>
          <w:szCs w:val="28"/>
          <w:lang w:val="kk-KZ" w:eastAsia="ja-JP"/>
        </w:rPr>
      </w:pPr>
    </w:p>
    <w:p w14:paraId="68CF84E2" w14:textId="77777777" w:rsidR="00FE3479" w:rsidRPr="00107040" w:rsidRDefault="00FE3479" w:rsidP="000C16BB">
      <w:pPr>
        <w:spacing w:after="0" w:line="240" w:lineRule="auto"/>
        <w:jc w:val="both"/>
        <w:rPr>
          <w:rFonts w:ascii="Times New Roman" w:eastAsia="MS Mincho" w:hAnsi="Times New Roman"/>
          <w:sz w:val="28"/>
          <w:szCs w:val="28"/>
          <w:lang w:val="ru-RU" w:eastAsia="ja-JP"/>
        </w:rPr>
      </w:pPr>
    </w:p>
    <w:p w14:paraId="2FEC0F10" w14:textId="77777777" w:rsidR="004F7934" w:rsidRPr="00107040" w:rsidRDefault="004F7934" w:rsidP="000C16BB">
      <w:pPr>
        <w:spacing w:after="0" w:line="240" w:lineRule="auto"/>
        <w:jc w:val="both"/>
        <w:rPr>
          <w:rFonts w:ascii="Times New Roman" w:eastAsia="MS Mincho" w:hAnsi="Times New Roman"/>
          <w:sz w:val="28"/>
          <w:szCs w:val="28"/>
          <w:lang w:val="ru-RU" w:eastAsia="ja-JP"/>
        </w:rPr>
      </w:pPr>
    </w:p>
    <w:p w14:paraId="7C29C3D7" w14:textId="77777777" w:rsidR="00992872" w:rsidRPr="00107040" w:rsidRDefault="00992872" w:rsidP="000C16BB">
      <w:pPr>
        <w:spacing w:after="0" w:line="240" w:lineRule="auto"/>
        <w:ind w:firstLine="567"/>
        <w:jc w:val="both"/>
        <w:rPr>
          <w:rFonts w:ascii="Times New Roman" w:eastAsia="MS Mincho" w:hAnsi="Times New Roman"/>
          <w:b/>
          <w:bCs/>
          <w:iCs/>
          <w:sz w:val="28"/>
          <w:szCs w:val="28"/>
          <w:lang w:val="kk-KZ" w:eastAsia="ja-JP"/>
        </w:rPr>
      </w:pPr>
      <w:r w:rsidRPr="00107040">
        <w:rPr>
          <w:rFonts w:ascii="Times New Roman" w:eastAsia="MS Mincho" w:hAnsi="Times New Roman"/>
          <w:b/>
          <w:bCs/>
          <w:iCs/>
          <w:sz w:val="28"/>
          <w:szCs w:val="28"/>
          <w:lang w:val="kk-KZ" w:eastAsia="ja-JP"/>
        </w:rPr>
        <w:lastRenderedPageBreak/>
        <w:t>2.3 Радиоактивное мечение олигонуклеотидов</w:t>
      </w:r>
    </w:p>
    <w:p w14:paraId="694B04F7" w14:textId="77046BC8" w:rsidR="00992872" w:rsidRPr="00107040" w:rsidRDefault="00992872" w:rsidP="000C16BB">
      <w:pPr>
        <w:spacing w:after="0" w:line="240" w:lineRule="auto"/>
        <w:ind w:firstLine="567"/>
        <w:jc w:val="both"/>
        <w:rPr>
          <w:rFonts w:ascii="Times New Roman" w:eastAsia="MS Mincho" w:hAnsi="Times New Roman"/>
          <w:bCs/>
          <w:iCs/>
          <w:sz w:val="28"/>
          <w:szCs w:val="28"/>
          <w:lang w:val="ru-RU" w:eastAsia="ja-JP"/>
        </w:rPr>
      </w:pPr>
      <w:r w:rsidRPr="00107040">
        <w:rPr>
          <w:rFonts w:ascii="Times New Roman" w:eastAsia="MS Mincho" w:hAnsi="Times New Roman"/>
          <w:bCs/>
          <w:iCs/>
          <w:sz w:val="28"/>
          <w:szCs w:val="28"/>
          <w:lang w:val="kk-KZ" w:eastAsia="ja-JP"/>
        </w:rPr>
        <w:t>Для мечения 5′-конца олигонуклеотида с радиоактивной меткой провели киназную реакцию в микроцентрифужной пробирке с содержанием 20 pmol олигонуклеотидов 5′-концом, 1 х T4 киназного буфера</w:t>
      </w:r>
      <w:r w:rsidRPr="00107040">
        <w:rPr>
          <w:rFonts w:ascii="Times New Roman" w:eastAsia="MS Mincho" w:hAnsi="Times New Roman"/>
          <w:sz w:val="28"/>
          <w:szCs w:val="28"/>
          <w:lang w:val="kk-KZ" w:eastAsia="ja-JP"/>
        </w:rPr>
        <w:t xml:space="preserve"> (</w:t>
      </w:r>
      <w:r w:rsidRPr="00107040">
        <w:rPr>
          <w:rFonts w:ascii="Times New Roman" w:eastAsia="MS Mincho" w:hAnsi="Times New Roman"/>
          <w:bCs/>
          <w:iCs/>
          <w:sz w:val="28"/>
          <w:szCs w:val="28"/>
          <w:lang w:val="kk-KZ" w:eastAsia="ja-JP"/>
        </w:rPr>
        <w:t>Tris-HCl (pH 7.5), MgCl</w:t>
      </w:r>
      <w:r w:rsidRPr="00107040">
        <w:rPr>
          <w:rFonts w:ascii="Times New Roman" w:eastAsia="MS Mincho" w:hAnsi="Times New Roman"/>
          <w:bCs/>
          <w:iCs/>
          <w:sz w:val="28"/>
          <w:szCs w:val="28"/>
          <w:vertAlign w:val="subscript"/>
          <w:lang w:val="kk-KZ" w:eastAsia="ja-JP"/>
        </w:rPr>
        <w:t>2</w:t>
      </w:r>
      <w:r w:rsidRPr="00107040">
        <w:rPr>
          <w:rFonts w:ascii="Times New Roman" w:eastAsia="MS Mincho" w:hAnsi="Times New Roman"/>
          <w:bCs/>
          <w:iCs/>
          <w:sz w:val="28"/>
          <w:szCs w:val="28"/>
          <w:lang w:val="kk-KZ" w:eastAsia="ja-JP"/>
        </w:rPr>
        <w:t>, дитиотреитол (ДТТ)), [</w:t>
      </w:r>
      <w:r w:rsidRPr="00107040">
        <w:rPr>
          <w:rFonts w:ascii="Times New Roman" w:eastAsia="MS Mincho" w:hAnsi="Times New Roman"/>
          <w:bCs/>
          <w:iCs/>
          <w:sz w:val="28"/>
          <w:szCs w:val="28"/>
          <w:lang w:val="ru-RU" w:eastAsia="ja-JP"/>
        </w:rPr>
        <w:t>γ</w:t>
      </w:r>
      <w:r w:rsidRPr="00107040">
        <w:rPr>
          <w:rFonts w:ascii="Times New Roman" w:eastAsia="MS Mincho" w:hAnsi="Times New Roman"/>
          <w:bCs/>
          <w:iCs/>
          <w:sz w:val="28"/>
          <w:szCs w:val="28"/>
          <w:vertAlign w:val="superscript"/>
          <w:lang w:val="kk-KZ" w:eastAsia="ja-JP"/>
        </w:rPr>
        <w:t>32</w:t>
      </w:r>
      <w:r w:rsidRPr="00107040">
        <w:rPr>
          <w:rFonts w:ascii="Times New Roman" w:eastAsia="MS Mincho" w:hAnsi="Times New Roman"/>
          <w:bCs/>
          <w:iCs/>
          <w:sz w:val="28"/>
          <w:szCs w:val="28"/>
          <w:lang w:val="kk-KZ" w:eastAsia="ja-JP"/>
        </w:rPr>
        <w:t>P] АТФ (3000 Ci.mmol</w:t>
      </w:r>
      <w:r w:rsidRPr="00107040">
        <w:rPr>
          <w:rFonts w:ascii="Times New Roman" w:eastAsia="MS Mincho" w:hAnsi="Times New Roman"/>
          <w:bCs/>
          <w:iCs/>
          <w:sz w:val="28"/>
          <w:szCs w:val="28"/>
          <w:vertAlign w:val="superscript"/>
          <w:lang w:val="kk-KZ" w:eastAsia="ja-JP"/>
        </w:rPr>
        <w:t>−1</w:t>
      </w:r>
      <w:r w:rsidRPr="00107040">
        <w:rPr>
          <w:rFonts w:ascii="Times New Roman" w:eastAsia="MS Mincho" w:hAnsi="Times New Roman"/>
          <w:bCs/>
          <w:iCs/>
          <w:sz w:val="28"/>
          <w:szCs w:val="28"/>
          <w:lang w:val="kk-KZ" w:eastAsia="ja-JP"/>
        </w:rPr>
        <w:t>) (PerkinElmer),</w:t>
      </w:r>
      <w:r w:rsidRPr="00107040">
        <w:rPr>
          <w:rFonts w:ascii="Times New Roman" w:eastAsia="MS Mincho" w:hAnsi="Times New Roman"/>
          <w:sz w:val="28"/>
          <w:szCs w:val="28"/>
          <w:lang w:val="kk-KZ" w:eastAsia="ja-JP"/>
        </w:rPr>
        <w:t xml:space="preserve"> </w:t>
      </w:r>
      <w:r w:rsidRPr="00107040">
        <w:rPr>
          <w:rFonts w:ascii="Times New Roman" w:eastAsia="MS Mincho" w:hAnsi="Times New Roman"/>
          <w:bCs/>
          <w:iCs/>
          <w:sz w:val="28"/>
          <w:szCs w:val="28"/>
          <w:lang w:val="kk-KZ" w:eastAsia="ja-JP"/>
        </w:rPr>
        <w:t>100 pmol</w:t>
      </w:r>
      <w:r w:rsidRPr="00107040">
        <w:rPr>
          <w:rFonts w:ascii="Times New Roman" w:eastAsia="MS Mincho" w:hAnsi="Times New Roman"/>
          <w:sz w:val="28"/>
          <w:szCs w:val="28"/>
          <w:lang w:val="kk-KZ" w:eastAsia="ja-JP"/>
        </w:rPr>
        <w:t xml:space="preserve"> </w:t>
      </w:r>
      <w:r w:rsidRPr="00107040">
        <w:rPr>
          <w:rFonts w:ascii="Times New Roman" w:eastAsia="MS Mincho" w:hAnsi="Times New Roman"/>
          <w:bCs/>
          <w:iCs/>
          <w:sz w:val="28"/>
          <w:szCs w:val="28"/>
          <w:lang w:val="kk-KZ" w:eastAsia="ja-JP"/>
        </w:rPr>
        <w:t>полинуклеотидкиназы Т4 (New England Biolabs, OZYME France) инкубируя 1 час при 37</w:t>
      </w:r>
      <w:r w:rsidR="007C156E" w:rsidRPr="00107040">
        <w:rPr>
          <w:rFonts w:ascii="Times New Roman" w:eastAsia="MS Mincho" w:hAnsi="Times New Roman"/>
          <w:bCs/>
          <w:iCs/>
          <w:sz w:val="28"/>
          <w:szCs w:val="28"/>
          <w:lang w:val="kk-KZ" w:eastAsia="ja-JP"/>
        </w:rPr>
        <w:t> </w:t>
      </w:r>
      <w:r w:rsidR="005C5030" w:rsidRPr="00107040">
        <w:rPr>
          <w:rFonts w:ascii="Times New Roman" w:eastAsia="MS Mincho" w:hAnsi="Times New Roman"/>
          <w:sz w:val="28"/>
          <w:szCs w:val="28"/>
          <w:lang w:val="kk-KZ" w:eastAsia="ja-JP"/>
        </w:rPr>
        <w:t>°</w:t>
      </w:r>
      <w:r w:rsidRPr="00107040">
        <w:rPr>
          <w:rFonts w:ascii="Times New Roman" w:eastAsia="MS Mincho" w:hAnsi="Times New Roman"/>
          <w:bCs/>
          <w:iCs/>
          <w:sz w:val="28"/>
          <w:szCs w:val="28"/>
          <w:lang w:val="kk-KZ" w:eastAsia="ja-JP"/>
        </w:rPr>
        <w:t xml:space="preserve">C. Останавливали реакцию, добавляя 50 мМ ЭДТА (pH 8,0). </w:t>
      </w:r>
      <w:r w:rsidRPr="00107040">
        <w:rPr>
          <w:rFonts w:ascii="Times New Roman" w:eastAsia="MS Mincho" w:hAnsi="Times New Roman"/>
          <w:bCs/>
          <w:iCs/>
          <w:sz w:val="28"/>
          <w:szCs w:val="28"/>
          <w:lang w:val="ru-RU" w:eastAsia="ja-JP"/>
        </w:rPr>
        <w:t>Не включённую радиоактивность удаляли с помощью центрифуги на колонке Sephadex G-25, уравновешенной водой</w:t>
      </w:r>
      <w:r w:rsidR="00EA3606" w:rsidRPr="00107040">
        <w:rPr>
          <w:rFonts w:ascii="Times New Roman" w:eastAsia="MS Mincho" w:hAnsi="Times New Roman"/>
          <w:bCs/>
          <w:iCs/>
          <w:sz w:val="28"/>
          <w:szCs w:val="28"/>
          <w:lang w:val="ru-RU" w:eastAsia="ja-JP"/>
        </w:rPr>
        <w:t xml:space="preserve"> </w:t>
      </w:r>
      <w:r w:rsidR="00EA3606" w:rsidRPr="00107040">
        <w:rPr>
          <w:rFonts w:ascii="Times New Roman" w:eastAsia="MS Mincho" w:hAnsi="Times New Roman"/>
          <w:bCs/>
          <w:iCs/>
          <w:sz w:val="28"/>
          <w:szCs w:val="28"/>
          <w:lang w:val="ru-RU" w:eastAsia="ja-JP"/>
        </w:rPr>
        <w:fldChar w:fldCharType="begin"/>
      </w:r>
      <w:r w:rsidR="00FB5E68">
        <w:rPr>
          <w:rFonts w:ascii="Times New Roman" w:eastAsia="MS Mincho" w:hAnsi="Times New Roman"/>
          <w:bCs/>
          <w:iCs/>
          <w:sz w:val="28"/>
          <w:szCs w:val="28"/>
          <w:lang w:val="ru-RU" w:eastAsia="ja-JP"/>
        </w:rPr>
        <w:instrText xml:space="preserve"> ADDIN ZOTERO_ITEM CSL_CITATION {"citationID":"MJHX2dfd","properties":{"formattedCitation":"[426]","plainCitation":"[426]","noteIndex":0},"citationItems":[{"id":"MPjqK5ng/622nXCtJ","uris":["http://zotero.org/users/9078202/items/QJ2DZVAY"],"itemData":{"id":1408,"type":"article-journal","abstract":"The replication machinery that synthesizes new copies of chromosomal DNA is located at the junction where double-stranded DNA is separated into its two strands. This replication fork DNA structure is at the heart of most assays involving DNA helicases. The helicase enzyme unwinds the replication fork structure into two single-stranded templates which are converted into two daughter duplexes by other proteins, including DNA polymerases. In eukaryotes, the CMG (Cdc45/Mcm2-7/GINS) helicase plays the pivotal role of unwinding the parental duplex DNA and at the same time interacts with numerous other proteins, including the leading strand polymerase, Pol ɛ. This chapter first describes how we design and prepare synthetic replication forks used in our CMG-related assays. Then we describe how to load CMG onto the fork. The Mcm2-7 motor subunits of CMG form a closed ring, as do all cellular replicative helicases, that encircles ssDNA for helicase function. Thus, the first step in these assays is the loading of CMG onto the fork DNA, followed by DNA unwinding and replication. We explain protocols for different strategies of preloading CMG onto the DNA fork using different ATP analogues. Additionally, the presence of Mcm10, an intimate partner of CMG, affects how CMG is preloaded onto a fork substrate.\nPrior work documented use of γ-phosphate modified ATP analogs to label DNA using T4 polynucleotide kinases (T4PNK), although applications have been limited. To fully charac</w:instrText>
      </w:r>
      <w:r w:rsidR="00FB5E68">
        <w:rPr>
          <w:rFonts w:ascii="Times New Roman" w:eastAsia="MS Mincho" w:hAnsi="Times New Roman" w:hint="eastAsia"/>
          <w:bCs/>
          <w:iCs/>
          <w:sz w:val="28"/>
          <w:szCs w:val="28"/>
          <w:lang w:val="ru-RU" w:eastAsia="ja-JP"/>
        </w:rPr>
        <w:instrText>terize kinase-catalyzed labeling of nucleic acids, we explored use of ATP-biotin as a cosubstrate with T4PNK. T4PNK accepted ATP-biotin to 5</w:instrText>
      </w:r>
      <w:r w:rsidR="00FB5E68">
        <w:rPr>
          <w:rFonts w:ascii="Times New Roman" w:eastAsia="MS Mincho" w:hAnsi="Times New Roman" w:hint="eastAsia"/>
          <w:bCs/>
          <w:iCs/>
          <w:sz w:val="28"/>
          <w:szCs w:val="28"/>
          <w:lang w:val="ru-RU" w:eastAsia="ja-JP"/>
        </w:rPr>
        <w:instrText>′</w:instrText>
      </w:r>
      <w:r w:rsidR="00FB5E68">
        <w:rPr>
          <w:rFonts w:ascii="Times New Roman" w:eastAsia="MS Mincho" w:hAnsi="Times New Roman" w:hint="eastAsia"/>
          <w:bCs/>
          <w:iCs/>
          <w:sz w:val="28"/>
          <w:szCs w:val="28"/>
          <w:lang w:val="ru-RU" w:eastAsia="ja-JP"/>
        </w:rPr>
        <w:instrText>-label single stranded DNA. However, T4PNK-mediated labeling of double stranded substrates was low yielding. In ad</w:instrText>
      </w:r>
      <w:r w:rsidR="00FB5E68">
        <w:rPr>
          <w:rFonts w:ascii="Times New Roman" w:eastAsia="MS Mincho" w:hAnsi="Times New Roman"/>
          <w:bCs/>
          <w:iCs/>
          <w:sz w:val="28"/>
          <w:szCs w:val="28"/>
          <w:lang w:val="ru-RU" w:eastAsia="ja-JP"/>
        </w:rPr>
        <w:instrText>dition, the phosphoramidate bond connecting the biotin group to the DNA was unstable. These results suggest that kinase-catalyzed biotinylation will be useful with single stranded DNA substrates and mild reaction conditions. By revealing the scope and limitations of kinase-catalyzed biotinylation, these studies provide a foundation for future development and application of kinase-catalyzed labeling to DNA-based biological studies.\nDNA phosphorylation catalyzed by polynucleotide kinase (PNK) is an indispensable process in the repair, replication, and recombination of nucleic acids. Here, an enzyme-assisted amplification strategy was developed for the ultrasensitive monitoring activity and inhibition of T4 PNK. A hairpin oligonucleotide (hpDNA) was designe</w:instrText>
      </w:r>
      <w:r w:rsidR="00FB5E68">
        <w:rPr>
          <w:rFonts w:ascii="Times New Roman" w:eastAsia="MS Mincho" w:hAnsi="Times New Roman" w:hint="eastAsia"/>
          <w:bCs/>
          <w:iCs/>
          <w:sz w:val="28"/>
          <w:szCs w:val="28"/>
          <w:lang w:val="ru-RU" w:eastAsia="ja-JP"/>
        </w:rPr>
        <w:instrText>d as a probe whose stem can be degraded from the 5</w:instrText>
      </w:r>
      <w:r w:rsidR="00FB5E68">
        <w:rPr>
          <w:rFonts w:ascii="Times New Roman" w:eastAsia="MS Mincho" w:hAnsi="Times New Roman" w:hint="eastAsia"/>
          <w:bCs/>
          <w:iCs/>
          <w:sz w:val="28"/>
          <w:szCs w:val="28"/>
          <w:lang w:val="ru-RU" w:eastAsia="ja-JP"/>
        </w:rPr>
        <w:instrText>′</w:instrText>
      </w:r>
      <w:r w:rsidR="00FB5E68">
        <w:rPr>
          <w:rFonts w:ascii="Times New Roman" w:eastAsia="MS Mincho" w:hAnsi="Times New Roman" w:hint="eastAsia"/>
          <w:bCs/>
          <w:iCs/>
          <w:sz w:val="28"/>
          <w:szCs w:val="28"/>
          <w:lang w:val="ru-RU" w:eastAsia="ja-JP"/>
        </w:rPr>
        <w:instrText xml:space="preserve"> to 3</w:instrText>
      </w:r>
      <w:r w:rsidR="00FB5E68">
        <w:rPr>
          <w:rFonts w:ascii="Times New Roman" w:eastAsia="MS Mincho" w:hAnsi="Times New Roman" w:hint="eastAsia"/>
          <w:bCs/>
          <w:iCs/>
          <w:sz w:val="28"/>
          <w:szCs w:val="28"/>
          <w:lang w:val="ru-RU" w:eastAsia="ja-JP"/>
        </w:rPr>
        <w:instrText>′</w:instrText>
      </w:r>
      <w:r w:rsidR="00FB5E68">
        <w:rPr>
          <w:rFonts w:ascii="Times New Roman" w:eastAsia="MS Mincho" w:hAnsi="Times New Roman" w:hint="eastAsia"/>
          <w:bCs/>
          <w:iCs/>
          <w:sz w:val="28"/>
          <w:szCs w:val="28"/>
          <w:lang w:val="ru-RU" w:eastAsia="ja-JP"/>
        </w:rPr>
        <w:instrText xml:space="preserve"> direction by lambda exonuclease (</w:instrText>
      </w:r>
      <w:r w:rsidR="00FB5E68">
        <w:rPr>
          <w:rFonts w:ascii="Times New Roman" w:eastAsia="MS Mincho" w:hAnsi="Times New Roman" w:hint="eastAsia"/>
          <w:bCs/>
          <w:iCs/>
          <w:sz w:val="28"/>
          <w:szCs w:val="28"/>
          <w:lang w:val="ru-RU" w:eastAsia="ja-JP"/>
        </w:rPr>
        <w:instrText>λ</w:instrText>
      </w:r>
      <w:r w:rsidR="00FB5E68">
        <w:rPr>
          <w:rFonts w:ascii="Times New Roman" w:eastAsia="MS Mincho" w:hAnsi="Times New Roman" w:hint="eastAsia"/>
          <w:bCs/>
          <w:iCs/>
          <w:sz w:val="28"/>
          <w:szCs w:val="28"/>
          <w:lang w:val="ru-RU" w:eastAsia="ja-JP"/>
        </w:rPr>
        <w:instrText xml:space="preserve"> exo) when its 5</w:instrText>
      </w:r>
      <w:r w:rsidR="00FB5E68">
        <w:rPr>
          <w:rFonts w:ascii="Times New Roman" w:eastAsia="MS Mincho" w:hAnsi="Times New Roman" w:hint="eastAsia"/>
          <w:bCs/>
          <w:iCs/>
          <w:sz w:val="28"/>
          <w:szCs w:val="28"/>
          <w:lang w:val="ru-RU" w:eastAsia="ja-JP"/>
        </w:rPr>
        <w:instrText>′</w:instrText>
      </w:r>
      <w:r w:rsidR="00FB5E68">
        <w:rPr>
          <w:rFonts w:ascii="Times New Roman" w:eastAsia="MS Mincho" w:hAnsi="Times New Roman" w:hint="eastAsia"/>
          <w:bCs/>
          <w:iCs/>
          <w:sz w:val="28"/>
          <w:szCs w:val="28"/>
          <w:lang w:val="ru-RU" w:eastAsia="ja-JP"/>
        </w:rPr>
        <w:instrText xml:space="preserve"> end is phosphorylated by PNK. So, the 3</w:instrText>
      </w:r>
      <w:r w:rsidR="00FB5E68">
        <w:rPr>
          <w:rFonts w:ascii="Times New Roman" w:eastAsia="MS Mincho" w:hAnsi="Times New Roman" w:hint="eastAsia"/>
          <w:bCs/>
          <w:iCs/>
          <w:sz w:val="28"/>
          <w:szCs w:val="28"/>
          <w:lang w:val="ru-RU" w:eastAsia="ja-JP"/>
        </w:rPr>
        <w:instrText>′</w:instrText>
      </w:r>
      <w:r w:rsidR="00FB5E68">
        <w:rPr>
          <w:rFonts w:ascii="Times New Roman" w:eastAsia="MS Mincho" w:hAnsi="Times New Roman" w:hint="eastAsia"/>
          <w:bCs/>
          <w:iCs/>
          <w:sz w:val="28"/>
          <w:szCs w:val="28"/>
          <w:lang w:val="ru-RU" w:eastAsia="ja-JP"/>
        </w:rPr>
        <w:instrText xml:space="preserve"> stem and loop part of hpDNA was released as an initiator strand to open a molecular beacon (MB) that was</w:instrText>
      </w:r>
      <w:r w:rsidR="00FB5E68">
        <w:rPr>
          <w:rFonts w:ascii="Times New Roman" w:eastAsia="MS Mincho" w:hAnsi="Times New Roman"/>
          <w:bCs/>
          <w:iCs/>
          <w:sz w:val="28"/>
          <w:szCs w:val="28"/>
          <w:lang w:val="ru-RU" w:eastAsia="ja-JP"/>
        </w:rPr>
        <w:instrText xml:space="preserve"> designed as a fluorescence reporter, leading to a fluorescence restoration. Then, the initiator strand was released again by the nicking endonuclease (Nt.BbvCI) to hybridize with another MB, resulting in a cyclic reaction and accumulation of fluorescence signal. Based on enzyme-assisted amplification, PNK activity can be sensitively and rapidly detected with a detection limit of 1.0 × 10−4 U/ml, which is superior to those of most existing approaches. Furthermore, the application of the proposed strategy for screening PNK inhibitors also demonstrated satisfactory results. Therefore, it provided a promising platform for monitoring activity and inhibition of PNK as well as for studying the activity of other nucleases.\nOxanine (Oxa), generated from guanine (Gua) by NO- or HNO2-induced nitrosative oxidation, has been thought to cause mutagenic problems in cellular systems. In this study, the response of Oxa to different enzymatic functions was explored to understand how similarly it can participate in biomol</w:instrText>
      </w:r>
      <w:r w:rsidR="00FB5E68">
        <w:rPr>
          <w:rFonts w:ascii="Times New Roman" w:eastAsia="MS Mincho" w:hAnsi="Times New Roman" w:hint="eastAsia"/>
          <w:bCs/>
          <w:iCs/>
          <w:sz w:val="28"/>
          <w:szCs w:val="28"/>
          <w:lang w:val="ru-RU" w:eastAsia="ja-JP"/>
        </w:rPr>
        <w:instrText>ecular reactions compared to the natural base, Gua. The phosphorylation efficiency of the T4 polynucleotide kinase was highest when Oxa was located on the 5</w:instrText>
      </w:r>
      <w:r w:rsidR="00FB5E68">
        <w:rPr>
          <w:rFonts w:ascii="Times New Roman" w:eastAsia="MS Mincho" w:hAnsi="Times New Roman" w:hint="eastAsia"/>
          <w:bCs/>
          <w:iCs/>
          <w:sz w:val="28"/>
          <w:szCs w:val="28"/>
          <w:lang w:val="ru-RU" w:eastAsia="ja-JP"/>
        </w:rPr>
        <w:instrText>′</w:instrText>
      </w:r>
      <w:r w:rsidR="00FB5E68">
        <w:rPr>
          <w:rFonts w:ascii="Times New Roman" w:eastAsia="MS Mincho" w:hAnsi="Times New Roman" w:hint="eastAsia"/>
          <w:bCs/>
          <w:iCs/>
          <w:sz w:val="28"/>
          <w:szCs w:val="28"/>
          <w:lang w:val="ru-RU" w:eastAsia="ja-JP"/>
        </w:rPr>
        <w:instrText>-end of single stranded DNAs compared to when other nucleobases were in this position. The order o</w:instrText>
      </w:r>
      <w:r w:rsidR="00FB5E68">
        <w:rPr>
          <w:rFonts w:ascii="Times New Roman" w:eastAsia="MS Mincho" w:hAnsi="Times New Roman"/>
          <w:bCs/>
          <w:iCs/>
          <w:sz w:val="28"/>
          <w:szCs w:val="28"/>
          <w:lang w:val="ru-RU" w:eastAsia="ja-JP"/>
        </w:rPr>
        <w:instrText xml:space="preserve">f phosphorylation efficiency was as follows; Oxa &gt; Gua &gt; adenine (Ade) </w:instrText>
      </w:r>
      <w:r w:rsidR="00FB5E68">
        <w:rPr>
          <w:rFonts w:ascii="Cambria Math" w:eastAsia="MS Mincho" w:hAnsi="Cambria Math" w:cs="Cambria Math"/>
          <w:bCs/>
          <w:iCs/>
          <w:sz w:val="28"/>
          <w:szCs w:val="28"/>
          <w:lang w:val="ru-RU" w:eastAsia="ja-JP"/>
        </w:rPr>
        <w:instrText>∼</w:instrText>
      </w:r>
      <w:r w:rsidR="00FB5E68">
        <w:rPr>
          <w:rFonts w:ascii="Times New Roman" w:eastAsia="MS Mincho" w:hAnsi="Times New Roman"/>
          <w:bCs/>
          <w:iCs/>
          <w:sz w:val="28"/>
          <w:szCs w:val="28"/>
          <w:lang w:val="ru-RU" w:eastAsia="ja-JP"/>
        </w:rPr>
        <w:instrText xml:space="preserve"> thymine (Thy) &gt; cytosine (Cyt). Base-pairing of Oxa and Cyt (Oxa:Cyt) between the ligation fragment and template was found to influence the ligation performance of the T4 DNA ligase to a lesser degree compared to Gua:Cyt. In addition, EcoRI and BglII showed higher cleavage activities on DNA substrates containing Oxa:Cyt than those containing Gua:Cyt, while BamHI, HindIII and EcoRV showed lower cleavage activity; however, this decrease in activity was relatively small.\nAs for Cystic Fibrosis (CF) and many other hereditary diseases there is still a lack in understanding the relationship between genetic (e.g. allelic) and phenotypic diversity. Therefore methods which allow fine quantification of allelic proportions of mRNA transcripts are of high importance.\nWe used either genomic DNA (gDNA) or total RNA extracted from nasal cells as starting nucleic acid template for our assay. The subjects included in this study were 9 CF patients compound heterozygous for the F508del mutation and each one F508del homozygous and one wild type homozygous respectively. We established a novel ligation based quantification method which allows fine quantification of the allelic proportions of ss and ds CFTR cDNA. To verify reliability and accuracy of this novel assay we compared it with semiquantitative fluorescent PCR (SQF-PCR).\nWe established a novel assay for allele specific quantification of gene expression which combines the benefits of the specificity of the ligation reaction and the accuracy of quantitative real-time PCR. The comparison with SQF-PCR clearly demonstrates that LASQ allows fine quantification of allelic proportions.\nThis assay represents an alternative to other fine quantitative methods such as ARMS PCR and Pyrosequencing.\nNanopore sequencing is one of the most promising technologies being developed as a cheap and fast alternative to the conventional Sanger sequencing method. Protein or synthetic nanopores have been used to detect DNA or RNA molecules. Although none of the technologies to date has shown single-base resolution for de novo DNA sequencing, there have been several reports of α-hemolysin protein nanopores being used for basic DNA analyses, and various synthetic nanopores have been fabricated. This review will examine current nanopore sequencing technologies, including recent developments of new applications.","container-title":"Analytical Biochemistry","DOI":"10.1006/abio.1998.2900","ISSN":"0003-2697","issue":"2","jour</w:instrText>
      </w:r>
      <w:r w:rsidR="00FB5E68">
        <w:rPr>
          <w:rFonts w:ascii="Times New Roman" w:eastAsia="MS Mincho" w:hAnsi="Times New Roman" w:hint="eastAsia"/>
          <w:bCs/>
          <w:iCs/>
          <w:sz w:val="28"/>
          <w:szCs w:val="28"/>
          <w:lang w:val="ru-RU" w:eastAsia="ja-JP"/>
        </w:rPr>
        <w:instrText>nalAbbreviation":"Analytical Biochemistry","language":"en","page":"386-389","source":"ScienceDirect","title":"Labeling Efficiency of Oligonucleotides by T4 Polynucleotide Kinase Depends on 5</w:instrText>
      </w:r>
      <w:r w:rsidR="00FB5E68">
        <w:rPr>
          <w:rFonts w:ascii="Times New Roman" w:eastAsia="MS Mincho" w:hAnsi="Times New Roman" w:hint="eastAsia"/>
          <w:bCs/>
          <w:iCs/>
          <w:sz w:val="28"/>
          <w:szCs w:val="28"/>
          <w:lang w:val="ru-RU" w:eastAsia="ja-JP"/>
        </w:rPr>
        <w:instrText>′</w:instrText>
      </w:r>
      <w:r w:rsidR="00FB5E68">
        <w:rPr>
          <w:rFonts w:ascii="Times New Roman" w:eastAsia="MS Mincho" w:hAnsi="Times New Roman" w:hint="eastAsia"/>
          <w:bCs/>
          <w:iCs/>
          <w:sz w:val="28"/>
          <w:szCs w:val="28"/>
          <w:lang w:val="ru-RU" w:eastAsia="ja-JP"/>
        </w:rPr>
        <w:instrText>-Nucleotide","URL":"https://www.sciencedirect.com/science/articl</w:instrText>
      </w:r>
      <w:r w:rsidR="00FB5E68">
        <w:rPr>
          <w:rFonts w:ascii="Times New Roman" w:eastAsia="MS Mincho" w:hAnsi="Times New Roman"/>
          <w:bCs/>
          <w:iCs/>
          <w:sz w:val="28"/>
          <w:szCs w:val="28"/>
          <w:lang w:val="ru-RU" w:eastAsia="ja-JP"/>
        </w:rPr>
        <w:instrText xml:space="preserve">e/pii/S0003269798929001","volume":"265","author":[{"family":"Houten","given":"Viola","non-dropping-particle":"van"},{"family":"Denkers","given":"Fedor"},{"family":"Dijk","given":"Mirjam","non-dropping-particle":"van"},{"family":"Brekel","given":"Michiel","non-dropping-particle":"van den"},{"family":"Brakenhoff","given":"Ruud"}],"accessed":{"date-parts":[["2022",6,16]]},"issued":{"date-parts":[["1998",12,15]]}}}],"schema":"https://github.com/citation-style-language/schema/raw/master/csl-citation.json"} </w:instrText>
      </w:r>
      <w:r w:rsidR="00EA3606" w:rsidRPr="00107040">
        <w:rPr>
          <w:rFonts w:ascii="Times New Roman" w:eastAsia="MS Mincho" w:hAnsi="Times New Roman"/>
          <w:bCs/>
          <w:iCs/>
          <w:sz w:val="28"/>
          <w:szCs w:val="28"/>
          <w:lang w:val="ru-RU" w:eastAsia="ja-JP"/>
        </w:rPr>
        <w:fldChar w:fldCharType="separate"/>
      </w:r>
      <w:r w:rsidR="00FB5E68" w:rsidRPr="00FB5E68">
        <w:rPr>
          <w:rFonts w:ascii="Times New Roman" w:hAnsi="Times New Roman"/>
          <w:sz w:val="28"/>
        </w:rPr>
        <w:t>[426]</w:t>
      </w:r>
      <w:r w:rsidR="00EA3606" w:rsidRPr="00107040">
        <w:rPr>
          <w:rFonts w:ascii="Times New Roman" w:eastAsia="MS Mincho" w:hAnsi="Times New Roman"/>
          <w:bCs/>
          <w:iCs/>
          <w:sz w:val="28"/>
          <w:szCs w:val="28"/>
          <w:lang w:val="ru-RU" w:eastAsia="ja-JP"/>
        </w:rPr>
        <w:fldChar w:fldCharType="end"/>
      </w:r>
      <w:r w:rsidRPr="00107040">
        <w:rPr>
          <w:rFonts w:ascii="Times New Roman" w:eastAsia="MS Mincho" w:hAnsi="Times New Roman"/>
          <w:bCs/>
          <w:iCs/>
          <w:sz w:val="28"/>
          <w:szCs w:val="28"/>
          <w:lang w:val="ru-RU" w:eastAsia="ja-JP"/>
        </w:rPr>
        <w:t>.</w:t>
      </w:r>
    </w:p>
    <w:p w14:paraId="7E0A6D4A" w14:textId="24B01F2D" w:rsidR="00992872" w:rsidRPr="00107040" w:rsidRDefault="00992872" w:rsidP="000C16BB">
      <w:pPr>
        <w:spacing w:after="0" w:line="240" w:lineRule="auto"/>
        <w:ind w:firstLine="567"/>
        <w:jc w:val="both"/>
        <w:rPr>
          <w:rFonts w:ascii="Times New Roman" w:eastAsia="MS Mincho" w:hAnsi="Times New Roman"/>
          <w:bCs/>
          <w:iCs/>
          <w:sz w:val="28"/>
          <w:szCs w:val="28"/>
          <w:lang w:val="ru-RU" w:eastAsia="ja-JP"/>
        </w:rPr>
      </w:pPr>
      <w:r w:rsidRPr="00107040">
        <w:rPr>
          <w:rFonts w:ascii="Times New Roman" w:eastAsia="MS Mincho" w:hAnsi="Times New Roman"/>
          <w:bCs/>
          <w:iCs/>
          <w:sz w:val="28"/>
          <w:szCs w:val="28"/>
          <w:lang w:val="ru-RU" w:eastAsia="ja-JP"/>
        </w:rPr>
        <w:t>Для радиоактивного мечения 3'-конца олигонуклеотида провели реакцию в присутствии [α-32P] -3'-dATP (кордицепин 5'-трифосфат, 5000 Ci.mmol</w:t>
      </w:r>
      <w:r w:rsidRPr="00107040">
        <w:rPr>
          <w:rFonts w:ascii="Times New Roman" w:eastAsia="MS Mincho" w:hAnsi="Times New Roman"/>
          <w:bCs/>
          <w:iCs/>
          <w:sz w:val="28"/>
          <w:szCs w:val="28"/>
          <w:vertAlign w:val="superscript"/>
          <w:lang w:val="ru-RU" w:eastAsia="ja-JP"/>
        </w:rPr>
        <w:t>−1</w:t>
      </w:r>
      <w:r w:rsidRPr="00107040">
        <w:rPr>
          <w:rFonts w:ascii="Times New Roman" w:eastAsia="MS Mincho" w:hAnsi="Times New Roman"/>
          <w:bCs/>
          <w:iCs/>
          <w:sz w:val="28"/>
          <w:szCs w:val="28"/>
          <w:lang w:val="ru-RU" w:eastAsia="ja-JP"/>
        </w:rPr>
        <w:t>; PerkinElmer), 100 pmol терминальной дезоксинуклеотидилтрансферазы (</w:t>
      </w:r>
      <w:r w:rsidRPr="00107040">
        <w:rPr>
          <w:rFonts w:ascii="Times New Roman" w:eastAsia="MS Mincho" w:hAnsi="Times New Roman"/>
          <w:bCs/>
          <w:iCs/>
          <w:sz w:val="28"/>
          <w:szCs w:val="28"/>
          <w:lang w:val="en-US" w:eastAsia="ja-JP"/>
        </w:rPr>
        <w:t>New</w:t>
      </w:r>
      <w:r w:rsidRPr="00107040">
        <w:rPr>
          <w:rFonts w:ascii="Times New Roman" w:eastAsia="MS Mincho" w:hAnsi="Times New Roman"/>
          <w:bCs/>
          <w:iCs/>
          <w:sz w:val="28"/>
          <w:szCs w:val="28"/>
          <w:lang w:val="ru-RU" w:eastAsia="ja-JP"/>
        </w:rPr>
        <w:t xml:space="preserve"> </w:t>
      </w:r>
      <w:r w:rsidRPr="00107040">
        <w:rPr>
          <w:rFonts w:ascii="Times New Roman" w:eastAsia="MS Mincho" w:hAnsi="Times New Roman"/>
          <w:bCs/>
          <w:iCs/>
          <w:sz w:val="28"/>
          <w:szCs w:val="28"/>
          <w:lang w:val="en-US" w:eastAsia="ja-JP"/>
        </w:rPr>
        <w:t>England</w:t>
      </w:r>
      <w:r w:rsidRPr="00107040">
        <w:rPr>
          <w:rFonts w:ascii="Times New Roman" w:eastAsia="MS Mincho" w:hAnsi="Times New Roman"/>
          <w:bCs/>
          <w:iCs/>
          <w:sz w:val="28"/>
          <w:szCs w:val="28"/>
          <w:lang w:val="ru-RU" w:eastAsia="ja-JP"/>
        </w:rPr>
        <w:t xml:space="preserve"> </w:t>
      </w:r>
      <w:r w:rsidRPr="00107040">
        <w:rPr>
          <w:rFonts w:ascii="Times New Roman" w:eastAsia="MS Mincho" w:hAnsi="Times New Roman"/>
          <w:bCs/>
          <w:iCs/>
          <w:sz w:val="28"/>
          <w:szCs w:val="28"/>
          <w:lang w:val="en-US" w:eastAsia="ja-JP"/>
        </w:rPr>
        <w:t>Biolabs</w:t>
      </w:r>
      <w:r w:rsidRPr="00107040">
        <w:rPr>
          <w:rFonts w:ascii="Times New Roman" w:eastAsia="MS Mincho" w:hAnsi="Times New Roman"/>
          <w:bCs/>
          <w:iCs/>
          <w:sz w:val="28"/>
          <w:szCs w:val="28"/>
          <w:lang w:val="ru-RU" w:eastAsia="ja-JP"/>
        </w:rPr>
        <w:t>), 2,5mM CoCl</w:t>
      </w:r>
      <w:r w:rsidRPr="00107040">
        <w:rPr>
          <w:rFonts w:ascii="Times New Roman" w:eastAsia="MS Mincho" w:hAnsi="Times New Roman"/>
          <w:bCs/>
          <w:iCs/>
          <w:sz w:val="28"/>
          <w:szCs w:val="28"/>
          <w:vertAlign w:val="subscript"/>
          <w:lang w:val="ru-RU" w:eastAsia="ja-JP"/>
        </w:rPr>
        <w:t>2</w:t>
      </w:r>
      <w:r w:rsidRPr="00107040">
        <w:rPr>
          <w:rFonts w:ascii="Times New Roman" w:eastAsia="MS Mincho" w:hAnsi="Times New Roman"/>
          <w:bCs/>
          <w:iCs/>
          <w:sz w:val="28"/>
          <w:szCs w:val="28"/>
          <w:lang w:val="ru-RU" w:eastAsia="ja-JP"/>
        </w:rPr>
        <w:t xml:space="preserve">, 1 </w:t>
      </w:r>
      <w:r w:rsidRPr="00107040">
        <w:rPr>
          <w:rFonts w:ascii="Times New Roman" w:eastAsia="MS Mincho" w:hAnsi="Times New Roman"/>
          <w:bCs/>
          <w:iCs/>
          <w:sz w:val="28"/>
          <w:szCs w:val="28"/>
          <w:lang w:val="en-US" w:eastAsia="ja-JP"/>
        </w:rPr>
        <w:t>x</w:t>
      </w:r>
      <w:r w:rsidRPr="00107040">
        <w:rPr>
          <w:rFonts w:ascii="Times New Roman" w:eastAsia="MS Mincho" w:hAnsi="Times New Roman"/>
          <w:bCs/>
          <w:iCs/>
          <w:sz w:val="28"/>
          <w:szCs w:val="28"/>
          <w:lang w:val="ru-RU" w:eastAsia="ja-JP"/>
        </w:rPr>
        <w:t xml:space="preserve"> TdT буфера и инкубировали 40 минут при 37</w:t>
      </w:r>
      <w:r w:rsidR="005C5030" w:rsidRPr="00107040">
        <w:rPr>
          <w:rFonts w:ascii="Times New Roman" w:eastAsia="MS Mincho" w:hAnsi="Times New Roman"/>
          <w:bCs/>
          <w:iCs/>
          <w:sz w:val="28"/>
          <w:szCs w:val="28"/>
          <w:lang w:val="ru-RU" w:eastAsia="ja-JP"/>
        </w:rPr>
        <w:t xml:space="preserve"> </w:t>
      </w:r>
      <w:r w:rsidR="005C5030" w:rsidRPr="00107040">
        <w:rPr>
          <w:rFonts w:ascii="Times New Roman" w:eastAsia="MS Mincho" w:hAnsi="Times New Roman"/>
          <w:sz w:val="28"/>
          <w:szCs w:val="28"/>
          <w:lang w:val="ru-RU" w:eastAsia="ja-JP"/>
        </w:rPr>
        <w:t>°</w:t>
      </w:r>
      <w:r w:rsidRPr="00107040">
        <w:rPr>
          <w:rFonts w:ascii="Times New Roman" w:eastAsia="MS Mincho" w:hAnsi="Times New Roman"/>
          <w:bCs/>
          <w:iCs/>
          <w:sz w:val="28"/>
          <w:szCs w:val="28"/>
          <w:lang w:val="ru-RU" w:eastAsia="ja-JP"/>
        </w:rPr>
        <w:t>C. Не включённую радиоактивность удаляли с помощью центрифуги на колонке Sephadex G-25, уравновешенной водой</w:t>
      </w:r>
      <w:r w:rsidR="00EA3606" w:rsidRPr="00107040">
        <w:rPr>
          <w:rFonts w:ascii="Times New Roman" w:eastAsia="MS Mincho" w:hAnsi="Times New Roman"/>
          <w:bCs/>
          <w:iCs/>
          <w:sz w:val="28"/>
          <w:szCs w:val="28"/>
          <w:lang w:val="ru-RU" w:eastAsia="ja-JP"/>
        </w:rPr>
        <w:t xml:space="preserve"> </w:t>
      </w:r>
      <w:r w:rsidR="00EA3606" w:rsidRPr="00107040">
        <w:rPr>
          <w:rFonts w:ascii="Times New Roman" w:eastAsia="MS Mincho" w:hAnsi="Times New Roman"/>
          <w:bCs/>
          <w:iCs/>
          <w:sz w:val="28"/>
          <w:szCs w:val="28"/>
          <w:lang w:val="ru-RU" w:eastAsia="ja-JP"/>
        </w:rPr>
        <w:fldChar w:fldCharType="begin"/>
      </w:r>
      <w:r w:rsidR="00FB5E68">
        <w:rPr>
          <w:rFonts w:ascii="Times New Roman" w:eastAsia="MS Mincho" w:hAnsi="Times New Roman"/>
          <w:bCs/>
          <w:iCs/>
          <w:sz w:val="28"/>
          <w:szCs w:val="28"/>
          <w:lang w:val="ru-RU" w:eastAsia="ja-JP"/>
        </w:rPr>
        <w:instrText xml:space="preserve"> ADDIN ZOTERO_ITEM CSL_CITATION {"citationID":"At2lwgY0","properties":{"formattedCitation":"[427]","plainCitation":"[427]","noteIndex":0},"citationItems":[{"id":1414,"uris":["http://zotero.org/users/9078202/items/2A6LFLSC"],"itemData":{"id":1414,"type":"article-journal","abstract":"Terminal deoxynucleotidyl transferase (TdT, also simply called terminal transferase) is a template-independent polymerase that catalyzes the addition of deoxynucleotides and dideoxynucleotides to the 3'-hydroxyl terminus of a DNA molecule. Cobalt (Co2+) is a necessary cofactor for the activity of this enzyme. Incorporation at the 3' terminus can be limited to just 1 nt by using [α-32P]ddATP or biotin-, digoxigenin (DIG)-, or fluorescein-ddUTP. Because none of these molecules carries a 3'-hydroxyl group, no additional molecules can be incorporated. Alternatively, the enzyme is capable of adding several (2-100) nt to 3' ends in a so-called homopolymeric \"tailing\" reaction. A tailing reaction is performed in the presence of a mixture of labeled and unlabeled dNTPs. The rate of addition of dNTPs, and thus the length of the tail, is a function of the ratio of 3' DNA ends to dNTP concentration and, in addition, the specific dNTP that is used.","container-title":"Cold Spring Harbor Protocols","DOI":"10.1101/pdb.prot100685","ISSN":"1559-6095","issue":"8","journalAbbreviation":"Cold Spring Harb Protoc","language":"eng","note":"PMID: 34341178","source":"PubMed","title":"Labeling the 3' Termini of Oligonucleotides Using Terminal Deoxynucleotidyl Transferase","volume":"2021","author":[{"family":"Green","given":"Michael R."},{"family":"Sambrook","given":"Joseph"}],"issued":{"date-parts":[["2021",8,2]]}}}],"schema":"https://github.com/citation-style-language/schema/raw/master/csl-citation.json"} </w:instrText>
      </w:r>
      <w:r w:rsidR="00EA3606" w:rsidRPr="00107040">
        <w:rPr>
          <w:rFonts w:ascii="Times New Roman" w:eastAsia="MS Mincho" w:hAnsi="Times New Roman"/>
          <w:bCs/>
          <w:iCs/>
          <w:sz w:val="28"/>
          <w:szCs w:val="28"/>
          <w:lang w:val="ru-RU" w:eastAsia="ja-JP"/>
        </w:rPr>
        <w:fldChar w:fldCharType="separate"/>
      </w:r>
      <w:r w:rsidR="00FB5E68" w:rsidRPr="00FB5E68">
        <w:rPr>
          <w:rFonts w:ascii="Times New Roman" w:hAnsi="Times New Roman"/>
          <w:sz w:val="28"/>
        </w:rPr>
        <w:t>[427]</w:t>
      </w:r>
      <w:r w:rsidR="00EA3606" w:rsidRPr="00107040">
        <w:rPr>
          <w:rFonts w:ascii="Times New Roman" w:eastAsia="MS Mincho" w:hAnsi="Times New Roman"/>
          <w:bCs/>
          <w:iCs/>
          <w:sz w:val="28"/>
          <w:szCs w:val="28"/>
          <w:lang w:val="ru-RU" w:eastAsia="ja-JP"/>
        </w:rPr>
        <w:fldChar w:fldCharType="end"/>
      </w:r>
      <w:r w:rsidRPr="00107040">
        <w:rPr>
          <w:rFonts w:ascii="Times New Roman" w:eastAsia="MS Mincho" w:hAnsi="Times New Roman"/>
          <w:bCs/>
          <w:iCs/>
          <w:sz w:val="28"/>
          <w:szCs w:val="28"/>
          <w:lang w:val="ru-RU" w:eastAsia="ja-JP"/>
        </w:rPr>
        <w:t>.</w:t>
      </w:r>
    </w:p>
    <w:p w14:paraId="710FAFDC" w14:textId="77777777" w:rsidR="00992872" w:rsidRPr="00107040" w:rsidRDefault="00992872" w:rsidP="000C16BB">
      <w:pPr>
        <w:spacing w:after="0" w:line="240" w:lineRule="auto"/>
        <w:jc w:val="both"/>
        <w:rPr>
          <w:rFonts w:ascii="Times New Roman" w:eastAsia="MS Mincho" w:hAnsi="Times New Roman"/>
          <w:bCs/>
          <w:iCs/>
          <w:sz w:val="28"/>
          <w:szCs w:val="28"/>
          <w:lang w:val="ru-RU" w:eastAsia="ja-JP"/>
        </w:rPr>
      </w:pPr>
    </w:p>
    <w:p w14:paraId="01DA6E0E" w14:textId="77777777" w:rsidR="00992872" w:rsidRPr="00107040" w:rsidRDefault="00992872" w:rsidP="000C16BB">
      <w:pPr>
        <w:spacing w:after="0" w:line="240" w:lineRule="auto"/>
        <w:ind w:firstLine="567"/>
        <w:jc w:val="both"/>
        <w:rPr>
          <w:rFonts w:ascii="Times New Roman" w:eastAsia="MS Mincho" w:hAnsi="Times New Roman"/>
          <w:b/>
          <w:bCs/>
          <w:iCs/>
          <w:sz w:val="28"/>
          <w:szCs w:val="28"/>
          <w:lang w:val="ru-RU" w:eastAsia="ja-JP"/>
        </w:rPr>
      </w:pPr>
      <w:r w:rsidRPr="00107040">
        <w:rPr>
          <w:rFonts w:ascii="Times New Roman" w:eastAsia="MS Mincho" w:hAnsi="Times New Roman"/>
          <w:b/>
          <w:bCs/>
          <w:iCs/>
          <w:sz w:val="28"/>
          <w:szCs w:val="28"/>
          <w:lang w:val="ru-RU" w:eastAsia="ja-JP"/>
        </w:rPr>
        <w:t>2.4 Растительный материал</w:t>
      </w:r>
    </w:p>
    <w:p w14:paraId="33BCCE8D" w14:textId="7C77D099" w:rsidR="00435518" w:rsidRPr="00107040" w:rsidRDefault="00992872" w:rsidP="000C16BB">
      <w:pPr>
        <w:spacing w:after="0" w:line="240" w:lineRule="auto"/>
        <w:ind w:firstLine="567"/>
        <w:jc w:val="both"/>
        <w:rPr>
          <w:rFonts w:ascii="Times New Roman" w:eastAsia="MS Mincho" w:hAnsi="Times New Roman"/>
          <w:bCs/>
          <w:sz w:val="28"/>
          <w:szCs w:val="28"/>
          <w:lang w:val="ru-RU" w:eastAsia="ja-JP"/>
        </w:rPr>
      </w:pPr>
      <w:r w:rsidRPr="00107040">
        <w:rPr>
          <w:rFonts w:ascii="Times New Roman" w:eastAsia="MS Mincho" w:hAnsi="Times New Roman"/>
          <w:bCs/>
          <w:sz w:val="28"/>
          <w:szCs w:val="28"/>
          <w:lang w:val="ru-RU" w:eastAsia="ja-JP"/>
        </w:rPr>
        <w:t xml:space="preserve">Штамм </w:t>
      </w:r>
      <w:r w:rsidRPr="00107040">
        <w:rPr>
          <w:rFonts w:ascii="Times New Roman" w:eastAsia="MS Mincho" w:hAnsi="Times New Roman"/>
          <w:bCs/>
          <w:sz w:val="28"/>
          <w:szCs w:val="28"/>
          <w:lang w:val="en-US" w:eastAsia="ja-JP"/>
        </w:rPr>
        <w:t>Col</w:t>
      </w:r>
      <w:r w:rsidRPr="00107040">
        <w:rPr>
          <w:rFonts w:ascii="Times New Roman" w:eastAsia="MS Mincho" w:hAnsi="Times New Roman"/>
          <w:bCs/>
          <w:sz w:val="28"/>
          <w:szCs w:val="28"/>
          <w:lang w:val="ru-RU" w:eastAsia="ja-JP"/>
        </w:rPr>
        <w:t>-0 дикого типа (</w:t>
      </w:r>
      <w:r w:rsidRPr="00107040">
        <w:rPr>
          <w:rFonts w:ascii="Times New Roman" w:eastAsia="MS Mincho" w:hAnsi="Times New Roman"/>
          <w:bCs/>
          <w:sz w:val="28"/>
          <w:szCs w:val="28"/>
          <w:lang w:val="en-US" w:eastAsia="ja-JP"/>
        </w:rPr>
        <w:t>WT</w:t>
      </w:r>
      <w:r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i/>
          <w:sz w:val="28"/>
          <w:szCs w:val="28"/>
          <w:lang w:val="en-US" w:eastAsia="ja-JP"/>
        </w:rPr>
        <w:t>A</w:t>
      </w:r>
      <w:r w:rsidRPr="00107040">
        <w:rPr>
          <w:rFonts w:ascii="Times New Roman" w:eastAsia="MS Mincho" w:hAnsi="Times New Roman"/>
          <w:bCs/>
          <w:i/>
          <w:sz w:val="28"/>
          <w:szCs w:val="28"/>
          <w:lang w:val="ru-RU" w:eastAsia="ja-JP"/>
        </w:rPr>
        <w:t xml:space="preserve">. </w:t>
      </w:r>
      <w:r w:rsidRPr="00107040">
        <w:rPr>
          <w:rFonts w:ascii="Times New Roman" w:eastAsia="MS Mincho" w:hAnsi="Times New Roman"/>
          <w:bCs/>
          <w:i/>
          <w:sz w:val="28"/>
          <w:szCs w:val="28"/>
          <w:lang w:val="en-US" w:eastAsia="ja-JP"/>
        </w:rPr>
        <w:t>thaliana</w:t>
      </w:r>
      <w:r w:rsidRPr="00107040">
        <w:rPr>
          <w:rFonts w:ascii="Times New Roman" w:eastAsia="MS Mincho" w:hAnsi="Times New Roman"/>
          <w:bCs/>
          <w:sz w:val="28"/>
          <w:szCs w:val="28"/>
          <w:lang w:val="ru-RU" w:eastAsia="ja-JP"/>
        </w:rPr>
        <w:t xml:space="preserve"> и мутантные линии, несущие вставки Т-ДНК в генах </w:t>
      </w:r>
      <w:r w:rsidR="005C5030" w:rsidRPr="00107040">
        <w:rPr>
          <w:rFonts w:ascii="Times New Roman" w:eastAsia="MS Mincho" w:hAnsi="Times New Roman"/>
          <w:bCs/>
          <w:i/>
          <w:sz w:val="28"/>
          <w:szCs w:val="28"/>
          <w:lang w:val="en-US" w:eastAsia="ja-JP"/>
        </w:rPr>
        <w:t>A</w:t>
      </w:r>
      <w:r w:rsidRPr="00107040">
        <w:rPr>
          <w:rFonts w:ascii="Times New Roman" w:eastAsia="MS Mincho" w:hAnsi="Times New Roman"/>
          <w:bCs/>
          <w:i/>
          <w:sz w:val="28"/>
          <w:szCs w:val="28"/>
          <w:lang w:val="en-US" w:eastAsia="ja-JP"/>
        </w:rPr>
        <w:t>tPARP</w:t>
      </w:r>
      <w:r w:rsidRPr="00107040">
        <w:rPr>
          <w:rFonts w:ascii="Times New Roman" w:eastAsia="MS Mincho" w:hAnsi="Times New Roman"/>
          <w:bCs/>
          <w:sz w:val="28"/>
          <w:szCs w:val="28"/>
          <w:lang w:val="ru-RU" w:eastAsia="ja-JP"/>
        </w:rPr>
        <w:t>, получены из Центра Биологических Ресурсов арабидопсиса (</w:t>
      </w:r>
      <w:hyperlink r:id="rId57" w:history="1">
        <w:r w:rsidRPr="00107040">
          <w:rPr>
            <w:rFonts w:ascii="Times New Roman" w:eastAsia="MS Mincho" w:hAnsi="Times New Roman"/>
            <w:sz w:val="28"/>
            <w:szCs w:val="28"/>
            <w:u w:val="single"/>
            <w:lang w:val="en-US" w:eastAsia="ja-JP"/>
          </w:rPr>
          <w:t>http</w:t>
        </w:r>
        <w:r w:rsidRPr="00107040">
          <w:rPr>
            <w:rFonts w:ascii="Times New Roman" w:eastAsia="MS Mincho" w:hAnsi="Times New Roman"/>
            <w:sz w:val="28"/>
            <w:szCs w:val="28"/>
            <w:u w:val="single"/>
            <w:lang w:val="ru-RU" w:eastAsia="ja-JP"/>
          </w:rPr>
          <w:t>://</w:t>
        </w:r>
        <w:r w:rsidRPr="00107040">
          <w:rPr>
            <w:rFonts w:ascii="Times New Roman" w:eastAsia="MS Mincho" w:hAnsi="Times New Roman"/>
            <w:sz w:val="28"/>
            <w:szCs w:val="28"/>
            <w:u w:val="single"/>
            <w:lang w:val="en-US" w:eastAsia="ja-JP"/>
          </w:rPr>
          <w:t>www</w:t>
        </w:r>
        <w:r w:rsidRPr="00107040">
          <w:rPr>
            <w:rFonts w:ascii="Times New Roman" w:eastAsia="MS Mincho" w:hAnsi="Times New Roman"/>
            <w:sz w:val="28"/>
            <w:szCs w:val="28"/>
            <w:u w:val="single"/>
            <w:lang w:val="ru-RU" w:eastAsia="ja-JP"/>
          </w:rPr>
          <w:t>.</w:t>
        </w:r>
        <w:r w:rsidRPr="00107040">
          <w:rPr>
            <w:rFonts w:ascii="Times New Roman" w:eastAsia="MS Mincho" w:hAnsi="Times New Roman"/>
            <w:sz w:val="28"/>
            <w:szCs w:val="28"/>
            <w:u w:val="single"/>
            <w:lang w:val="en-US" w:eastAsia="ja-JP"/>
          </w:rPr>
          <w:t>arabidopsis</w:t>
        </w:r>
        <w:r w:rsidRPr="00107040">
          <w:rPr>
            <w:rFonts w:ascii="Times New Roman" w:eastAsia="MS Mincho" w:hAnsi="Times New Roman"/>
            <w:sz w:val="28"/>
            <w:szCs w:val="28"/>
            <w:u w:val="single"/>
            <w:lang w:val="ru-RU" w:eastAsia="ja-JP"/>
          </w:rPr>
          <w:t>.</w:t>
        </w:r>
        <w:r w:rsidRPr="00107040">
          <w:rPr>
            <w:rFonts w:ascii="Times New Roman" w:eastAsia="MS Mincho" w:hAnsi="Times New Roman"/>
            <w:sz w:val="28"/>
            <w:szCs w:val="28"/>
            <w:u w:val="single"/>
            <w:lang w:val="en-US" w:eastAsia="ja-JP"/>
          </w:rPr>
          <w:t>org</w:t>
        </w:r>
      </w:hyperlink>
      <w:r w:rsidRPr="00107040">
        <w:rPr>
          <w:rFonts w:ascii="Times New Roman" w:eastAsia="MS Mincho" w:hAnsi="Times New Roman"/>
          <w:bCs/>
          <w:sz w:val="28"/>
          <w:szCs w:val="28"/>
          <w:lang w:val="ru-RU" w:eastAsia="ja-JP"/>
        </w:rPr>
        <w:t>).</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bCs/>
          <w:sz w:val="28"/>
          <w:szCs w:val="28"/>
          <w:lang w:val="ru-RU" w:eastAsia="ja-JP"/>
        </w:rPr>
        <w:t>Для всех растений семена высевали на чашки с агаром 1/2 Murashige-Skoog (MS</w:t>
      </w:r>
      <w:r w:rsidR="008D4840" w:rsidRPr="008D4840">
        <w:rPr>
          <w:rFonts w:ascii="Times New Roman" w:eastAsia="MS Mincho" w:hAnsi="Times New Roman"/>
          <w:bCs/>
          <w:sz w:val="28"/>
          <w:szCs w:val="28"/>
          <w:lang w:val="ru-RU" w:eastAsia="ja-JP"/>
        </w:rPr>
        <w:t xml:space="preserve">) </w:t>
      </w:r>
      <w:r w:rsidR="008D4840">
        <w:rPr>
          <w:rFonts w:ascii="Times New Roman" w:eastAsia="MS Mincho" w:hAnsi="Times New Roman"/>
          <w:bCs/>
          <w:sz w:val="28"/>
          <w:szCs w:val="28"/>
          <w:lang w:val="ru-RU" w:eastAsia="ja-JP"/>
        </w:rPr>
        <w:fldChar w:fldCharType="begin"/>
      </w:r>
      <w:r w:rsidR="00FB5E68">
        <w:rPr>
          <w:rFonts w:ascii="Times New Roman" w:eastAsia="MS Mincho" w:hAnsi="Times New Roman"/>
          <w:bCs/>
          <w:sz w:val="28"/>
          <w:szCs w:val="28"/>
          <w:lang w:val="ru-RU" w:eastAsia="ja-JP"/>
        </w:rPr>
        <w:instrText xml:space="preserve"> ADDIN ZOTERO_ITEM CSL_CITATION {"citationID":"w5vDKXel","properties":{"formattedCitation":"[428]","plainCitation":"[428]","noteIndex":0},"citationItems":[{"id":1903,"uris":["http://zotero.org/users/9078202/items/CTE8HBWH"],"itemData":{"id":1903,"type":"article-journal","container-title":"Physiologia Plantarum","DOI":"10.1111/j.1399-3054.1962.tb08052.x","ISSN":"1399-3054","issue":"3","language":"en","note":"_eprint: https://onlinelibrary.wiley.com/doi/pdf/10.1111/j.1399-3054.1962.tb08052.x","page":"473-497","source":"Wiley Online Library","title":"A Revised Medium for Rapid Growth and Bio Assays with Tobacco Tissue Cultures","URL":"https://onlinelibrary.wiley.com/doi/abs/10.1111/j.1399-3054.1962.tb08052.x","volume":"15","author":[{"family":"Murashige","given":"Toshio"},{"family":"Skoog","given":"Folke"}],"accessed":{"date-parts":[["2022",9,14]]},"issued":{"date-parts":[["1962"]]}}}],"schema":"https://github.com/citation-style-language/schema/raw/master/csl-citation.json"} </w:instrText>
      </w:r>
      <w:r w:rsidR="008D4840">
        <w:rPr>
          <w:rFonts w:ascii="Times New Roman" w:eastAsia="MS Mincho" w:hAnsi="Times New Roman"/>
          <w:bCs/>
          <w:sz w:val="28"/>
          <w:szCs w:val="28"/>
          <w:lang w:val="ru-RU" w:eastAsia="ja-JP"/>
        </w:rPr>
        <w:fldChar w:fldCharType="separate"/>
      </w:r>
      <w:r w:rsidR="00FB5E68" w:rsidRPr="00FB5E68">
        <w:rPr>
          <w:rFonts w:ascii="Times New Roman" w:hAnsi="Times New Roman"/>
          <w:sz w:val="28"/>
        </w:rPr>
        <w:t>[428]</w:t>
      </w:r>
      <w:r w:rsidR="008D4840">
        <w:rPr>
          <w:rFonts w:ascii="Times New Roman" w:eastAsia="MS Mincho" w:hAnsi="Times New Roman"/>
          <w:bCs/>
          <w:sz w:val="28"/>
          <w:szCs w:val="28"/>
          <w:lang w:val="ru-RU" w:eastAsia="ja-JP"/>
        </w:rPr>
        <w:fldChar w:fldCharType="end"/>
      </w:r>
      <w:r w:rsidRPr="00107040">
        <w:rPr>
          <w:rFonts w:ascii="Times New Roman" w:eastAsia="MS Mincho" w:hAnsi="Times New Roman"/>
          <w:bCs/>
          <w:sz w:val="28"/>
          <w:szCs w:val="28"/>
          <w:lang w:val="ru-RU" w:eastAsia="ja-JP"/>
        </w:rPr>
        <w:t>, содержащим 1</w:t>
      </w:r>
      <w:r w:rsidR="007562BE"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ru-RU" w:eastAsia="ja-JP"/>
        </w:rPr>
        <w:t>% сахарозы и 1</w:t>
      </w:r>
      <w:r w:rsidR="007562BE"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ru-RU" w:eastAsia="ja-JP"/>
        </w:rPr>
        <w:t>% агара, стратифицировали в течение 48 часов при 4</w:t>
      </w:r>
      <w:r w:rsidR="005C5030"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ru-RU" w:eastAsia="ja-JP"/>
        </w:rPr>
        <w:t>°C и выращивали в условиях длинного дня при 22</w:t>
      </w:r>
      <w:r w:rsidR="005C5030"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ru-RU" w:eastAsia="ja-JP"/>
        </w:rPr>
        <w:t>°C и циклов из 16 часов света</w:t>
      </w:r>
      <w:r w:rsidR="005C5030"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ru-RU" w:eastAsia="ja-JP"/>
        </w:rPr>
        <w:t>/</w:t>
      </w:r>
      <w:r w:rsidR="005C5030"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ru-RU" w:eastAsia="ja-JP"/>
        </w:rPr>
        <w:t xml:space="preserve">8 часов темноты. </w:t>
      </w:r>
      <w:r w:rsidR="001472FC" w:rsidRPr="00107040">
        <w:rPr>
          <w:rFonts w:ascii="Times New Roman" w:eastAsia="MS Mincho" w:hAnsi="Times New Roman"/>
          <w:bCs/>
          <w:sz w:val="28"/>
          <w:szCs w:val="28"/>
          <w:lang w:val="ru-RU" w:eastAsia="ja-JP"/>
        </w:rPr>
        <w:t>Растения собирали через 18 дней и пересаживали в почву из смеси земли, перлита и вермикулита в соотношении 4:2:3, и выращивали в условиях длинного дня при 22 °C (16-часовой световой день/8 ч темноты)</w:t>
      </w:r>
      <w:r w:rsidRPr="00107040">
        <w:rPr>
          <w:rFonts w:ascii="Times New Roman" w:eastAsia="MS Mincho" w:hAnsi="Times New Roman"/>
          <w:bCs/>
          <w:sz w:val="28"/>
          <w:szCs w:val="28"/>
          <w:lang w:val="ru-RU" w:eastAsia="ja-JP"/>
        </w:rPr>
        <w:t xml:space="preserve">. </w:t>
      </w:r>
    </w:p>
    <w:p w14:paraId="6D4CCB4B" w14:textId="77777777" w:rsidR="00992872" w:rsidRPr="00107040" w:rsidRDefault="00435518" w:rsidP="000C16BB">
      <w:pPr>
        <w:spacing w:after="0" w:line="240" w:lineRule="auto"/>
        <w:ind w:firstLine="567"/>
        <w:jc w:val="both"/>
        <w:rPr>
          <w:rFonts w:ascii="Times New Roman" w:eastAsia="MS Mincho" w:hAnsi="Times New Roman"/>
          <w:bCs/>
          <w:sz w:val="28"/>
          <w:szCs w:val="28"/>
          <w:lang w:val="ru-RU" w:eastAsia="ja-JP"/>
        </w:rPr>
      </w:pPr>
      <w:r w:rsidRPr="00107040">
        <w:rPr>
          <w:rFonts w:ascii="Times New Roman" w:eastAsia="MS Mincho" w:hAnsi="Times New Roman"/>
          <w:bCs/>
          <w:sz w:val="28"/>
          <w:szCs w:val="28"/>
          <w:lang w:val="ru-RU" w:eastAsia="ja-JP"/>
        </w:rPr>
        <w:t xml:space="preserve">Для изучения действия генотоксических агентов, </w:t>
      </w:r>
      <w:r w:rsidR="00992872" w:rsidRPr="00107040">
        <w:rPr>
          <w:rFonts w:ascii="Times New Roman" w:eastAsia="MS Mincho" w:hAnsi="Times New Roman"/>
          <w:bCs/>
          <w:i/>
          <w:sz w:val="28"/>
          <w:szCs w:val="28"/>
          <w:lang w:val="ru-RU" w:eastAsia="ja-JP"/>
        </w:rPr>
        <w:t>A. thaliana</w:t>
      </w:r>
      <w:r w:rsidR="00992872" w:rsidRPr="00107040">
        <w:rPr>
          <w:rFonts w:ascii="Times New Roman" w:eastAsia="MS Mincho" w:hAnsi="Times New Roman"/>
          <w:bCs/>
          <w:sz w:val="28"/>
          <w:szCs w:val="28"/>
          <w:lang w:val="ru-RU" w:eastAsia="ja-JP"/>
        </w:rPr>
        <w:t xml:space="preserve"> дикого типа Col-0 и семена мутантных линий стратифицировали и затем выращивали в течение 14 дней на чашке с агаром MS. </w:t>
      </w:r>
      <w:r w:rsidRPr="00107040">
        <w:rPr>
          <w:rFonts w:ascii="Times New Roman" w:eastAsia="MS Mincho" w:hAnsi="Times New Roman"/>
          <w:bCs/>
          <w:sz w:val="28"/>
          <w:szCs w:val="28"/>
          <w:lang w:val="ru-RU" w:eastAsia="ja-JP"/>
        </w:rPr>
        <w:t>Затем, дв</w:t>
      </w:r>
      <w:r w:rsidR="00992872" w:rsidRPr="00107040">
        <w:rPr>
          <w:rFonts w:ascii="Times New Roman" w:eastAsia="MS Mincho" w:hAnsi="Times New Roman"/>
          <w:bCs/>
          <w:sz w:val="28"/>
          <w:szCs w:val="28"/>
          <w:lang w:val="ru-RU" w:eastAsia="ja-JP"/>
        </w:rPr>
        <w:t xml:space="preserve">ухнедельные проростки арабидопсиса обрабатывали блеомицином </w:t>
      </w:r>
      <w:r w:rsidRPr="00107040">
        <w:rPr>
          <w:rFonts w:ascii="Times New Roman" w:eastAsia="MS Mincho" w:hAnsi="Times New Roman"/>
          <w:bCs/>
          <w:sz w:val="28"/>
          <w:szCs w:val="28"/>
          <w:lang w:val="ru-RU" w:eastAsia="ja-JP"/>
        </w:rPr>
        <w:t xml:space="preserve">в концентрации </w:t>
      </w:r>
      <w:r w:rsidR="00992872" w:rsidRPr="00107040">
        <w:rPr>
          <w:rFonts w:ascii="Times New Roman" w:eastAsia="MS Mincho" w:hAnsi="Times New Roman"/>
          <w:bCs/>
          <w:sz w:val="28"/>
          <w:szCs w:val="28"/>
          <w:lang w:val="ru-RU" w:eastAsia="ja-JP"/>
        </w:rPr>
        <w:t>50 мкг•мл</w:t>
      </w:r>
      <w:r w:rsidR="00992872" w:rsidRPr="00107040">
        <w:rPr>
          <w:rFonts w:ascii="Times New Roman" w:eastAsia="MS Mincho" w:hAnsi="Times New Roman"/>
          <w:bCs/>
          <w:sz w:val="28"/>
          <w:szCs w:val="28"/>
          <w:vertAlign w:val="superscript"/>
          <w:lang w:val="ru-RU" w:eastAsia="ja-JP"/>
        </w:rPr>
        <w:t>-1</w:t>
      </w:r>
      <w:r w:rsidR="00992872" w:rsidRPr="00107040">
        <w:rPr>
          <w:rFonts w:ascii="Times New Roman" w:eastAsia="MS Mincho" w:hAnsi="Times New Roman"/>
          <w:bCs/>
          <w:sz w:val="28"/>
          <w:szCs w:val="28"/>
          <w:lang w:val="ru-RU" w:eastAsia="ja-JP"/>
        </w:rPr>
        <w:t xml:space="preserve"> (чашки </w:t>
      </w:r>
      <w:r w:rsidR="00992872" w:rsidRPr="00107040">
        <w:rPr>
          <w:rFonts w:ascii="Times New Roman" w:eastAsia="MS Mincho" w:hAnsi="Times New Roman"/>
          <w:bCs/>
          <w:sz w:val="28"/>
          <w:szCs w:val="28"/>
          <w:lang w:val="en-US" w:eastAsia="ja-JP"/>
        </w:rPr>
        <w:t>MS</w:t>
      </w:r>
      <w:r w:rsidR="00992872" w:rsidRPr="00107040">
        <w:rPr>
          <w:rFonts w:ascii="Times New Roman" w:eastAsia="MS Mincho" w:hAnsi="Times New Roman"/>
          <w:bCs/>
          <w:sz w:val="28"/>
          <w:szCs w:val="28"/>
          <w:lang w:val="ru-RU" w:eastAsia="ja-JP"/>
        </w:rPr>
        <w:t xml:space="preserve"> с растениями покрывали 5 мл </w:t>
      </w:r>
      <w:r w:rsidR="00992872" w:rsidRPr="00107040">
        <w:rPr>
          <w:rFonts w:ascii="Times New Roman" w:eastAsia="MS Mincho" w:hAnsi="Times New Roman"/>
          <w:bCs/>
          <w:sz w:val="28"/>
          <w:szCs w:val="28"/>
          <w:lang w:val="en-US" w:eastAsia="ja-JP"/>
        </w:rPr>
        <w:t>PBS</w:t>
      </w:r>
      <w:r w:rsidR="00992872" w:rsidRPr="00107040">
        <w:rPr>
          <w:rFonts w:ascii="Times New Roman" w:eastAsia="MS Mincho" w:hAnsi="Times New Roman"/>
          <w:bCs/>
          <w:sz w:val="28"/>
          <w:szCs w:val="28"/>
          <w:lang w:val="ru-RU" w:eastAsia="ja-JP"/>
        </w:rPr>
        <w:t>, содержащ</w:t>
      </w:r>
      <w:r w:rsidRPr="00107040">
        <w:rPr>
          <w:rFonts w:ascii="Times New Roman" w:eastAsia="MS Mincho" w:hAnsi="Times New Roman"/>
          <w:bCs/>
          <w:sz w:val="28"/>
          <w:szCs w:val="28"/>
          <w:lang w:val="ru-RU" w:eastAsia="ja-JP"/>
        </w:rPr>
        <w:t>ий блеомицин</w:t>
      </w:r>
      <w:r w:rsidR="00992872" w:rsidRPr="00107040">
        <w:rPr>
          <w:rFonts w:ascii="Times New Roman" w:eastAsia="MS Mincho" w:hAnsi="Times New Roman"/>
          <w:bCs/>
          <w:sz w:val="28"/>
          <w:szCs w:val="28"/>
          <w:lang w:val="ru-RU" w:eastAsia="ja-JP"/>
        </w:rPr>
        <w:t xml:space="preserve">), и </w:t>
      </w:r>
      <w:r w:rsidR="001472FC" w:rsidRPr="00107040">
        <w:rPr>
          <w:rFonts w:ascii="Times New Roman" w:eastAsia="MS Mincho" w:hAnsi="Times New Roman"/>
          <w:bCs/>
          <w:sz w:val="28"/>
          <w:szCs w:val="28"/>
          <w:lang w:val="ru-RU" w:eastAsia="ja-JP"/>
        </w:rPr>
        <w:t>проростки</w:t>
      </w:r>
      <w:r w:rsidR="00992872" w:rsidRPr="00107040">
        <w:rPr>
          <w:rFonts w:ascii="Times New Roman" w:eastAsia="MS Mincho" w:hAnsi="Times New Roman"/>
          <w:bCs/>
          <w:sz w:val="28"/>
          <w:szCs w:val="28"/>
          <w:lang w:val="ru-RU" w:eastAsia="ja-JP"/>
        </w:rPr>
        <w:t xml:space="preserve"> собирали через 24 часа.</w:t>
      </w:r>
    </w:p>
    <w:p w14:paraId="361FE572" w14:textId="77777777" w:rsidR="00992872" w:rsidRPr="00107040" w:rsidRDefault="00992872" w:rsidP="000C16BB">
      <w:pPr>
        <w:spacing w:after="0" w:line="240" w:lineRule="auto"/>
        <w:ind w:firstLine="567"/>
        <w:jc w:val="both"/>
        <w:rPr>
          <w:rFonts w:ascii="Times New Roman" w:eastAsia="MS Mincho" w:hAnsi="Times New Roman"/>
          <w:bCs/>
          <w:sz w:val="28"/>
          <w:szCs w:val="28"/>
          <w:lang w:val="ru-RU" w:eastAsia="ja-JP"/>
        </w:rPr>
      </w:pPr>
    </w:p>
    <w:p w14:paraId="00B22128" w14:textId="77777777" w:rsidR="00992872" w:rsidRPr="00107040" w:rsidRDefault="00992872" w:rsidP="000C16BB">
      <w:pPr>
        <w:spacing w:after="0" w:line="240" w:lineRule="auto"/>
        <w:ind w:firstLine="567"/>
        <w:jc w:val="both"/>
        <w:rPr>
          <w:rFonts w:ascii="Times New Roman" w:eastAsia="MS Mincho" w:hAnsi="Times New Roman"/>
          <w:b/>
          <w:bCs/>
          <w:sz w:val="28"/>
          <w:szCs w:val="28"/>
          <w:lang w:val="ru-RU" w:eastAsia="ja-JP"/>
        </w:rPr>
      </w:pPr>
      <w:r w:rsidRPr="00107040">
        <w:rPr>
          <w:rFonts w:ascii="Times New Roman" w:eastAsia="MS Mincho" w:hAnsi="Times New Roman"/>
          <w:b/>
          <w:bCs/>
          <w:sz w:val="28"/>
          <w:szCs w:val="28"/>
          <w:lang w:val="ru-RU" w:eastAsia="ja-JP"/>
        </w:rPr>
        <w:t xml:space="preserve">2.5 Бесклеточные экстракты </w:t>
      </w:r>
      <w:r w:rsidRPr="00107040">
        <w:rPr>
          <w:rFonts w:ascii="Times New Roman" w:eastAsia="MS Mincho" w:hAnsi="Times New Roman"/>
          <w:b/>
          <w:bCs/>
          <w:i/>
          <w:sz w:val="28"/>
          <w:szCs w:val="28"/>
          <w:lang w:val="ru-RU" w:eastAsia="ja-JP"/>
        </w:rPr>
        <w:t>A. thaliana</w:t>
      </w:r>
    </w:p>
    <w:p w14:paraId="4CAEADBC" w14:textId="3EC9D5C2" w:rsidR="00992872" w:rsidRPr="00107040" w:rsidRDefault="001472FC" w:rsidP="000C16BB">
      <w:pPr>
        <w:spacing w:after="0" w:line="240" w:lineRule="auto"/>
        <w:ind w:firstLine="567"/>
        <w:jc w:val="both"/>
        <w:rPr>
          <w:rFonts w:ascii="Times New Roman" w:eastAsia="MS Mincho" w:hAnsi="Times New Roman"/>
          <w:bCs/>
          <w:sz w:val="28"/>
          <w:szCs w:val="28"/>
          <w:lang w:val="ru-RU" w:eastAsia="ja-JP"/>
        </w:rPr>
      </w:pPr>
      <w:r w:rsidRPr="00107040">
        <w:rPr>
          <w:rFonts w:ascii="Times New Roman" w:eastAsia="MS Mincho" w:hAnsi="Times New Roman"/>
          <w:bCs/>
          <w:sz w:val="28"/>
          <w:szCs w:val="28"/>
          <w:lang w:val="ru-RU" w:eastAsia="ja-JP"/>
        </w:rPr>
        <w:t>Экстракты готовили из 100 мг свежих необработанных или обработанных блеомицином 14-дневных проростков. Гомогенизировали в заранее охлажденной фарфоровой ступке с помощью буфера  для экстракции (20 мМ HEPES-KOH, pH 7,6, 50 мМ KCl, 5 мМ MgCl</w:t>
      </w:r>
      <w:r w:rsidRPr="00107040">
        <w:rPr>
          <w:rFonts w:ascii="Times New Roman" w:eastAsia="MS Mincho" w:hAnsi="Times New Roman"/>
          <w:bCs/>
          <w:sz w:val="28"/>
          <w:szCs w:val="28"/>
          <w:vertAlign w:val="subscript"/>
          <w:lang w:val="ru-RU" w:eastAsia="ja-JP"/>
        </w:rPr>
        <w:t>2</w:t>
      </w:r>
      <w:r w:rsidRPr="00107040">
        <w:rPr>
          <w:rFonts w:ascii="Times New Roman" w:eastAsia="MS Mincho" w:hAnsi="Times New Roman"/>
          <w:bCs/>
          <w:sz w:val="28"/>
          <w:szCs w:val="28"/>
          <w:lang w:val="ru-RU" w:eastAsia="ja-JP"/>
        </w:rPr>
        <w:t>, 1 мМ DTT, 10 % глицерин, 0,1 % NP-40 и смесь ингибиторов протеаз в соотношении 1: 100). Гомогенат перенесли в пробирку и инкубировали в течение 1 часа при температуре 4 °C. Затем, центрифугировали при 13000 x g в течение 30 минут при температуре 4 ºС.</w:t>
      </w:r>
      <w:r w:rsidR="00EA3606" w:rsidRPr="00107040">
        <w:rPr>
          <w:rFonts w:ascii="Times New Roman" w:eastAsia="MS Mincho" w:hAnsi="Times New Roman"/>
          <w:bCs/>
          <w:sz w:val="28"/>
          <w:szCs w:val="28"/>
          <w:lang w:val="ru-RU" w:eastAsia="ja-JP"/>
        </w:rPr>
        <w:t xml:space="preserve"> </w:t>
      </w:r>
      <w:r w:rsidR="00EA3606" w:rsidRPr="00107040">
        <w:rPr>
          <w:rFonts w:ascii="Times New Roman" w:eastAsia="MS Mincho" w:hAnsi="Times New Roman"/>
          <w:bCs/>
          <w:sz w:val="28"/>
          <w:szCs w:val="28"/>
          <w:lang w:val="ru-RU" w:eastAsia="ja-JP"/>
        </w:rPr>
        <w:fldChar w:fldCharType="begin"/>
      </w:r>
      <w:r w:rsidR="00EA3606" w:rsidRPr="00107040">
        <w:rPr>
          <w:rFonts w:ascii="Times New Roman" w:eastAsia="MS Mincho" w:hAnsi="Times New Roman"/>
          <w:bCs/>
          <w:sz w:val="28"/>
          <w:szCs w:val="28"/>
          <w:lang w:val="ru-RU" w:eastAsia="ja-JP"/>
        </w:rPr>
        <w:instrText xml:space="preserve"> ADDIN ZOTERO_ITEM CSL_CITATION {"citationID":"XFLNYcml","properties":{"formattedCitation":"[30]","plainCitation":"[30]","noteIndex":0},"citationItems":[{"id":1293,"uris":["http://zotero.org/users/9078202/items/AFXBPMPX"],"itemData":{"id":1293,"type":"article-journal","abstract":"Apurinic/apyrimidinic (AP) endonucleases are important DNA repair enzymes involved in two overlapping pathways: DNA glycosylase-initiated base excision (BER) and AP endonuclease-initiated nucleotide incision repair (NIR). In the BER pathway, AP endonucleases cleave DNA at AP sites and 3'-blocking moieties generated by DNA glycosylases, whereas in NIR, the same AP endonucleases incise DNA 5' to a wide variety of oxidized bases. The flowering plant Arabidopsis thaliana contains three genes encoding homologues of major human AP endonuclease 1 (APE1): Arp, Ape1L and Ape2. It has been shown that all three proteins contain AP site cleavage and 3'-repair phosphodiesterase activities; however, it was not known whether the plant AP endonucleases contain the NIR activity. Here, we report that ARP proteins from Arabidopsis and common wheat (Triticum aestivum) contain NIR and 3'→5' exonuclease activities in addition to their AP endonuclease and 3'-repair phosphodiesterase functions. The steady-state kinetic parameters of reactions indicate that Arabidopsis ARP cleaves oligonucleotide duplexes containing α-anomeric 2'-deoxyadenosine (αdA) and 5,6-dihydrouridine (DHU) with efficiencies (kcat/KM=134 and 7.3 μM-1·min-1, respectively) comparable to those of the human counterpart. However, the ARP-catalyzed 3'-repair phosphodiesterase and 3'→5' exonuclease activities (kcat/KM=314 and 34 μM-1·min-1, respectively) were about 10-fold less efficient as compared to those of APE1. Interestingly, homozygous A. thaliana arp-/- mutant exhibited high sensitivity to methyl methanesulfonate and tert-butyl hydroperoxide, but not to H2O2, suggesting that ARP is a major plant AP endonuclease that removes abasic sites and specific types of oxidative DNA base damage. Taken together, these data establish the presence of the NIR pathway in plants and suggest its possible role in the repair of DNA damage generated by oxidative stress.","container-title":"DNA repair","DOI":"10.1016/j.dnarep.2016.10.009","ISSN":"1568-7856","journalAbbreviation":"DNA Repair (Amst)","language":"eng","note":"PMID: 27836324","page":"30-42","source":"PubMed","title":"The major Arabidopsis thaliana apurinic/apyrimidinic endonuclease, ARP is involved in the plant nucleotide incision repair pathway","volume":"48","author":[{"family":"Akishev","given":"Zhiger"},{"family":"Taipakova","given":"Sabira"},{"family":"Joldybayeva","given":"Botagoz"},{"family":"Zutterling","given":"Caroline"},{"family":"Smekenov","given":"Izat"},{"family":"Ishchenko","given":"Alexander A."},{"family":"Zharkov","given":"Dmitry O."},{"family":"Bissenbaev","given":"Amangeldy K."},{"family":"Saparbaev","given":"Murat"}],"issued":{"date-parts":[["2016",12]]}}}],"schema":"https://github.com/citation-style-language/schema/raw/master/csl-citation.json"} </w:instrText>
      </w:r>
      <w:r w:rsidR="00EA3606" w:rsidRPr="00107040">
        <w:rPr>
          <w:rFonts w:ascii="Times New Roman" w:eastAsia="MS Mincho" w:hAnsi="Times New Roman"/>
          <w:bCs/>
          <w:sz w:val="28"/>
          <w:szCs w:val="28"/>
          <w:lang w:val="ru-RU" w:eastAsia="ja-JP"/>
        </w:rPr>
        <w:fldChar w:fldCharType="separate"/>
      </w:r>
      <w:r w:rsidR="00EA3606" w:rsidRPr="00107040">
        <w:rPr>
          <w:rFonts w:ascii="Times New Roman" w:hAnsi="Times New Roman"/>
          <w:sz w:val="28"/>
          <w:szCs w:val="28"/>
        </w:rPr>
        <w:t>[30]</w:t>
      </w:r>
      <w:r w:rsidR="00EA3606" w:rsidRPr="00107040">
        <w:rPr>
          <w:rFonts w:ascii="Times New Roman" w:eastAsia="MS Mincho" w:hAnsi="Times New Roman"/>
          <w:bCs/>
          <w:sz w:val="28"/>
          <w:szCs w:val="28"/>
          <w:lang w:val="ru-RU" w:eastAsia="ja-JP"/>
        </w:rPr>
        <w:fldChar w:fldCharType="end"/>
      </w:r>
      <w:r w:rsidR="00992872" w:rsidRPr="00107040">
        <w:rPr>
          <w:rFonts w:ascii="Times New Roman" w:eastAsia="MS Mincho" w:hAnsi="Times New Roman"/>
          <w:bCs/>
          <w:sz w:val="28"/>
          <w:szCs w:val="28"/>
          <w:lang w:val="ru-RU" w:eastAsia="ja-JP"/>
        </w:rPr>
        <w:t>.</w:t>
      </w:r>
    </w:p>
    <w:p w14:paraId="644BD399" w14:textId="77777777" w:rsidR="00992872" w:rsidRPr="00107040" w:rsidRDefault="00992872" w:rsidP="000C16BB">
      <w:pPr>
        <w:shd w:val="clear" w:color="auto" w:fill="FFFFFF"/>
        <w:spacing w:after="0" w:line="240" w:lineRule="auto"/>
        <w:ind w:firstLine="567"/>
        <w:jc w:val="both"/>
        <w:textAlignment w:val="baseline"/>
        <w:rPr>
          <w:rFonts w:ascii="Times New Roman" w:eastAsia="Times New Roman" w:hAnsi="Times New Roman"/>
          <w:bCs/>
          <w:sz w:val="28"/>
          <w:szCs w:val="28"/>
          <w:lang w:val="ru-RU" w:eastAsia="ru-RU"/>
        </w:rPr>
      </w:pPr>
    </w:p>
    <w:p w14:paraId="6E9CAF67" w14:textId="77777777" w:rsidR="00992872" w:rsidRPr="00107040" w:rsidRDefault="00992872" w:rsidP="000C16BB">
      <w:pPr>
        <w:shd w:val="clear" w:color="auto" w:fill="FFFFFF"/>
        <w:spacing w:after="0" w:line="240" w:lineRule="auto"/>
        <w:ind w:firstLine="567"/>
        <w:jc w:val="both"/>
        <w:textAlignment w:val="baseline"/>
        <w:rPr>
          <w:rFonts w:ascii="Times New Roman" w:eastAsia="Times New Roman" w:hAnsi="Times New Roman"/>
          <w:b/>
          <w:bCs/>
          <w:i/>
          <w:sz w:val="28"/>
          <w:szCs w:val="28"/>
          <w:lang w:val="ru-RU" w:eastAsia="ru-RU"/>
        </w:rPr>
      </w:pPr>
      <w:r w:rsidRPr="00107040">
        <w:rPr>
          <w:rFonts w:ascii="Times New Roman" w:eastAsia="Times New Roman" w:hAnsi="Times New Roman"/>
          <w:b/>
          <w:bCs/>
          <w:sz w:val="28"/>
          <w:szCs w:val="28"/>
          <w:lang w:val="ru-RU" w:eastAsia="ru-RU"/>
        </w:rPr>
        <w:t>2.6</w:t>
      </w:r>
      <w:r w:rsidRPr="00107040">
        <w:rPr>
          <w:rFonts w:ascii="Times New Roman" w:eastAsia="Times New Roman" w:hAnsi="Times New Roman"/>
          <w:b/>
          <w:bCs/>
          <w:i/>
          <w:sz w:val="28"/>
          <w:szCs w:val="28"/>
          <w:lang w:val="ru-RU" w:eastAsia="ru-RU"/>
        </w:rPr>
        <w:t xml:space="preserve"> </w:t>
      </w:r>
      <w:r w:rsidRPr="00107040">
        <w:rPr>
          <w:rFonts w:ascii="Times New Roman" w:eastAsia="Times New Roman" w:hAnsi="Times New Roman"/>
          <w:b/>
          <w:bCs/>
          <w:sz w:val="28"/>
          <w:szCs w:val="28"/>
          <w:lang w:val="ru-RU" w:eastAsia="ru-RU"/>
        </w:rPr>
        <w:t xml:space="preserve">Экстракция геномной ДНК </w:t>
      </w:r>
      <w:r w:rsidRPr="00107040">
        <w:rPr>
          <w:rFonts w:ascii="Times New Roman" w:eastAsia="Times New Roman" w:hAnsi="Times New Roman"/>
          <w:b/>
          <w:bCs/>
          <w:i/>
          <w:sz w:val="28"/>
          <w:szCs w:val="28"/>
          <w:lang w:val="ru-RU" w:eastAsia="ru-RU"/>
        </w:rPr>
        <w:t>A. thaliana</w:t>
      </w:r>
    </w:p>
    <w:p w14:paraId="0C01F955" w14:textId="5374E3B8" w:rsidR="00992872" w:rsidRPr="00107040" w:rsidRDefault="00992872" w:rsidP="000C16BB">
      <w:pPr>
        <w:shd w:val="clear" w:color="auto" w:fill="FFFFFF"/>
        <w:spacing w:after="0" w:line="240" w:lineRule="auto"/>
        <w:ind w:firstLine="567"/>
        <w:jc w:val="both"/>
        <w:textAlignment w:val="baseline"/>
        <w:rPr>
          <w:rFonts w:ascii="Times New Roman" w:eastAsia="Times New Roman" w:hAnsi="Times New Roman"/>
          <w:sz w:val="28"/>
          <w:szCs w:val="28"/>
          <w:lang w:val="ru-RU" w:eastAsia="ru-RU"/>
        </w:rPr>
      </w:pPr>
      <w:r w:rsidRPr="00107040">
        <w:rPr>
          <w:rFonts w:ascii="Times New Roman" w:eastAsia="Times New Roman" w:hAnsi="Times New Roman"/>
          <w:bCs/>
          <w:sz w:val="28"/>
          <w:szCs w:val="28"/>
          <w:lang w:val="ru-RU" w:eastAsia="ru-RU"/>
        </w:rPr>
        <w:t xml:space="preserve">Геномную ДНК растений экстрагировали из 100 мг свежих необработанных или обработанных блеомицином 14-дневных проростков в жидком азоте с </w:t>
      </w:r>
      <w:r w:rsidRPr="00107040">
        <w:rPr>
          <w:rFonts w:ascii="Times New Roman" w:eastAsia="Times New Roman" w:hAnsi="Times New Roman"/>
          <w:bCs/>
          <w:sz w:val="28"/>
          <w:szCs w:val="28"/>
          <w:lang w:val="ru-RU" w:eastAsia="ru-RU"/>
        </w:rPr>
        <w:lastRenderedPageBreak/>
        <w:t xml:space="preserve">использованием метода </w:t>
      </w:r>
      <w:r w:rsidRPr="00107040">
        <w:rPr>
          <w:rFonts w:ascii="Times New Roman" w:eastAsia="Times New Roman" w:hAnsi="Times New Roman"/>
          <w:bCs/>
          <w:sz w:val="28"/>
          <w:szCs w:val="28"/>
          <w:lang w:val="en-US" w:eastAsia="ru-RU"/>
        </w:rPr>
        <w:t>CTAB</w:t>
      </w:r>
      <w:r w:rsidRPr="00107040">
        <w:rPr>
          <w:rFonts w:ascii="Times New Roman" w:eastAsia="Times New Roman" w:hAnsi="Times New Roman"/>
          <w:bCs/>
          <w:sz w:val="28"/>
          <w:szCs w:val="28"/>
          <w:lang w:val="ru-RU" w:eastAsia="ru-RU"/>
        </w:rPr>
        <w:t>. На каждые 100 мг гомогенизированной ткани использовали 500 мкл CTAB экстракционного буфера. После тщательного перемешивания гомогенат перенесли в баню с температурой 60</w:t>
      </w:r>
      <w:r w:rsidR="005C5030" w:rsidRPr="00107040">
        <w:rPr>
          <w:rFonts w:ascii="Times New Roman" w:eastAsia="Times New Roman" w:hAnsi="Times New Roman"/>
          <w:bCs/>
          <w:sz w:val="28"/>
          <w:szCs w:val="28"/>
          <w:lang w:val="ru-RU" w:eastAsia="ru-RU"/>
        </w:rPr>
        <w:t xml:space="preserve"> </w:t>
      </w:r>
      <w:r w:rsidRPr="00107040">
        <w:rPr>
          <w:rFonts w:ascii="Times New Roman" w:eastAsia="Times New Roman" w:hAnsi="Times New Roman"/>
          <w:bCs/>
          <w:sz w:val="28"/>
          <w:szCs w:val="28"/>
          <w:lang w:val="ru-RU" w:eastAsia="ru-RU"/>
        </w:rPr>
        <w:t xml:space="preserve">°C на 30 минут. По окончании инкубационного периода гомогенат центрифугировали в течение 5 минут при 14000 x g. Добавляли 10 </w:t>
      </w:r>
      <w:r w:rsidRPr="00107040">
        <w:rPr>
          <w:rFonts w:ascii="Times New Roman" w:eastAsia="Times New Roman" w:hAnsi="Times New Roman"/>
          <w:bCs/>
          <w:sz w:val="28"/>
          <w:szCs w:val="28"/>
          <w:lang w:val="en-US" w:eastAsia="ru-RU"/>
        </w:rPr>
        <w:t>U</w:t>
      </w:r>
      <w:r w:rsidRPr="00107040">
        <w:rPr>
          <w:rFonts w:ascii="Times New Roman" w:eastAsia="Times New Roman" w:hAnsi="Times New Roman"/>
          <w:bCs/>
          <w:sz w:val="28"/>
          <w:szCs w:val="28"/>
          <w:lang w:val="ru-RU" w:eastAsia="ru-RU"/>
        </w:rPr>
        <w:t xml:space="preserve"> РНКазы А в перенесенный в новую пробирку супернатант и инкубировали при 37</w:t>
      </w:r>
      <w:r w:rsidR="005C5030" w:rsidRPr="00107040">
        <w:rPr>
          <w:rFonts w:ascii="Times New Roman" w:eastAsia="Times New Roman" w:hAnsi="Times New Roman"/>
          <w:bCs/>
          <w:sz w:val="28"/>
          <w:szCs w:val="28"/>
          <w:lang w:val="ru-RU" w:eastAsia="ru-RU"/>
        </w:rPr>
        <w:t xml:space="preserve"> </w:t>
      </w:r>
      <w:r w:rsidRPr="00107040">
        <w:rPr>
          <w:rFonts w:ascii="Times New Roman" w:eastAsia="Times New Roman" w:hAnsi="Times New Roman"/>
          <w:bCs/>
          <w:sz w:val="28"/>
          <w:szCs w:val="28"/>
          <w:lang w:val="ru-RU" w:eastAsia="ru-RU"/>
        </w:rPr>
        <w:t>°C в течение 20 минут. Для удаления белков и липидов добавляли равный объем хлороформа/изоамилового спирта (24: 1), перемешивали на вортексе в течение 5 секунд, затем образец центрифугировали в течение 1 минуты при 14000 x g, чтобы разделить фазы. Повторяли экстракцию, пока верхняя фаза не станет прозрачной.</w:t>
      </w:r>
      <w:r w:rsidRPr="00107040">
        <w:rPr>
          <w:rFonts w:ascii="Times New Roman" w:eastAsia="Times New Roman" w:hAnsi="Times New Roman"/>
          <w:sz w:val="28"/>
          <w:szCs w:val="28"/>
          <w:lang w:val="ru-RU" w:eastAsia="ru-RU"/>
        </w:rPr>
        <w:t xml:space="preserve"> Для осаждения ДНК добавляли 0,7 объема холодного изопропанола </w:t>
      </w:r>
      <w:r w:rsidRPr="00107040">
        <w:rPr>
          <w:rFonts w:ascii="Times New Roman" w:eastAsia="Times New Roman" w:hAnsi="Times New Roman"/>
          <w:bCs/>
          <w:sz w:val="28"/>
          <w:szCs w:val="28"/>
          <w:lang w:val="ru-RU" w:eastAsia="ru-RU"/>
        </w:rPr>
        <w:t>в перенесенную</w:t>
      </w:r>
      <w:r w:rsidRPr="00107040">
        <w:rPr>
          <w:rFonts w:ascii="Times New Roman" w:eastAsia="Times New Roman" w:hAnsi="Times New Roman"/>
          <w:sz w:val="28"/>
          <w:szCs w:val="28"/>
          <w:lang w:val="ru-RU" w:eastAsia="ru-RU"/>
        </w:rPr>
        <w:t xml:space="preserve"> </w:t>
      </w:r>
      <w:r w:rsidRPr="00107040">
        <w:rPr>
          <w:rFonts w:ascii="Times New Roman" w:eastAsia="Times New Roman" w:hAnsi="Times New Roman"/>
          <w:bCs/>
          <w:sz w:val="28"/>
          <w:szCs w:val="28"/>
          <w:lang w:val="ru-RU" w:eastAsia="ru-RU"/>
        </w:rPr>
        <w:t>в новую пробирку верхнюю водную фазу и инкубировали при -20</w:t>
      </w:r>
      <w:r w:rsidR="005C5030" w:rsidRPr="00107040">
        <w:rPr>
          <w:rFonts w:ascii="Times New Roman" w:eastAsia="Times New Roman" w:hAnsi="Times New Roman"/>
          <w:bCs/>
          <w:sz w:val="28"/>
          <w:szCs w:val="28"/>
          <w:lang w:val="ru-RU" w:eastAsia="ru-RU"/>
        </w:rPr>
        <w:t xml:space="preserve"> </w:t>
      </w:r>
      <w:r w:rsidRPr="00107040">
        <w:rPr>
          <w:rFonts w:ascii="Times New Roman" w:eastAsia="Times New Roman" w:hAnsi="Times New Roman"/>
          <w:bCs/>
          <w:sz w:val="28"/>
          <w:szCs w:val="28"/>
          <w:lang w:val="ru-RU" w:eastAsia="ru-RU"/>
        </w:rPr>
        <w:t>°C в течение 15 минут. Образец центрифугировали при 14000 x g в течение 10 минут. Оставшийся осадок промывали 500 мкл ледяного 70</w:t>
      </w:r>
      <w:r w:rsidR="005C5030" w:rsidRPr="00107040">
        <w:rPr>
          <w:rFonts w:ascii="Times New Roman" w:eastAsia="Times New Roman" w:hAnsi="Times New Roman"/>
          <w:bCs/>
          <w:sz w:val="28"/>
          <w:szCs w:val="28"/>
          <w:lang w:val="ru-RU" w:eastAsia="ru-RU"/>
        </w:rPr>
        <w:t xml:space="preserve"> </w:t>
      </w:r>
      <w:r w:rsidRPr="00107040">
        <w:rPr>
          <w:rFonts w:ascii="Times New Roman" w:eastAsia="Times New Roman" w:hAnsi="Times New Roman"/>
          <w:bCs/>
          <w:sz w:val="28"/>
          <w:szCs w:val="28"/>
          <w:lang w:val="ru-RU" w:eastAsia="ru-RU"/>
        </w:rPr>
        <w:t>% этанола. Высушенный осадок растворили в 20 мкл буфере ТЕ (10 мМ Трис, pH 8, 1 мМ ЭДТА)</w:t>
      </w:r>
      <w:r w:rsidR="005F23EC" w:rsidRPr="00107040">
        <w:rPr>
          <w:rFonts w:ascii="Times New Roman" w:eastAsia="Times New Roman" w:hAnsi="Times New Roman"/>
          <w:bCs/>
          <w:sz w:val="28"/>
          <w:szCs w:val="28"/>
          <w:lang w:val="ru-RU" w:eastAsia="ru-RU"/>
        </w:rPr>
        <w:t xml:space="preserve"> </w:t>
      </w:r>
      <w:r w:rsidR="005F23EC" w:rsidRPr="00107040">
        <w:rPr>
          <w:rFonts w:ascii="Times New Roman" w:eastAsia="Times New Roman" w:hAnsi="Times New Roman"/>
          <w:bCs/>
          <w:sz w:val="28"/>
          <w:szCs w:val="28"/>
          <w:lang w:val="ru-RU" w:eastAsia="ru-RU"/>
        </w:rPr>
        <w:fldChar w:fldCharType="begin"/>
      </w:r>
      <w:r w:rsidR="00FB5E68">
        <w:rPr>
          <w:rFonts w:ascii="Times New Roman" w:eastAsia="Times New Roman" w:hAnsi="Times New Roman"/>
          <w:bCs/>
          <w:sz w:val="28"/>
          <w:szCs w:val="28"/>
          <w:lang w:val="ru-RU" w:eastAsia="ru-RU"/>
        </w:rPr>
        <w:instrText xml:space="preserve"> ADDIN ZOTERO_ITEM CSL_CITATION {"citationID":"fo8bOn01","properties":{"formattedCitation":"[429]","plainCitation":"[429]","noteIndex":0},"citationItems":[{"id":1424,"uris":["http://zotero.org/users/9078202/items/TYRV9IG5"],"itemData":{"id":1424,"type":"book","abstract":"Open access peer-reviewed chapter","ISBN":"978-953-51-0185-7","language":"en","note":"container-title: Genetic Diversity in Plants\nDOI: 10.5772/38367","publisher":"IntechOpen","source":"www.intechopen.com","title":"Isolation of High-Quality DNA from a Desert Plant Reaumuria soongorica","URL":"https://www.intechopen.com/chapters/undefined/state.item.id","author":[{"family":"Wang","given":"Xiaohua"},{"family":"Xiao","given":"Honglang"},{"family":"Zhao","given":"Xin"},{"family":"Li","given":"Caizhi"},{"family":"Ren","given":"Juan"},{"family":"Wang","given":"Fang"},{"family":"Pang","given":"Lei"}],"accessed":{"date-parts":[["2022",6,16]]},"issued":{"date-parts":[["2012",3,14]]}}}],"schema":"https://github.com/citation-style-language/schema/raw/master/csl-citation.json"} </w:instrText>
      </w:r>
      <w:r w:rsidR="005F23EC" w:rsidRPr="00107040">
        <w:rPr>
          <w:rFonts w:ascii="Times New Roman" w:eastAsia="Times New Roman" w:hAnsi="Times New Roman"/>
          <w:bCs/>
          <w:sz w:val="28"/>
          <w:szCs w:val="28"/>
          <w:lang w:val="ru-RU" w:eastAsia="ru-RU"/>
        </w:rPr>
        <w:fldChar w:fldCharType="separate"/>
      </w:r>
      <w:r w:rsidR="00FB5E68" w:rsidRPr="00FB5E68">
        <w:rPr>
          <w:rFonts w:ascii="Times New Roman" w:hAnsi="Times New Roman"/>
          <w:sz w:val="28"/>
        </w:rPr>
        <w:t>[429]</w:t>
      </w:r>
      <w:r w:rsidR="005F23EC" w:rsidRPr="00107040">
        <w:rPr>
          <w:rFonts w:ascii="Times New Roman" w:eastAsia="Times New Roman" w:hAnsi="Times New Roman"/>
          <w:bCs/>
          <w:sz w:val="28"/>
          <w:szCs w:val="28"/>
          <w:lang w:val="ru-RU" w:eastAsia="ru-RU"/>
        </w:rPr>
        <w:fldChar w:fldCharType="end"/>
      </w:r>
      <w:r w:rsidRPr="00107040">
        <w:rPr>
          <w:rFonts w:ascii="Times New Roman" w:eastAsia="Times New Roman" w:hAnsi="Times New Roman"/>
          <w:bCs/>
          <w:sz w:val="28"/>
          <w:szCs w:val="28"/>
          <w:lang w:val="ru-RU" w:eastAsia="ru-RU"/>
        </w:rPr>
        <w:t>.</w:t>
      </w:r>
    </w:p>
    <w:p w14:paraId="42C6EF8C" w14:textId="77777777" w:rsidR="00992872" w:rsidRPr="00107040" w:rsidRDefault="00992872" w:rsidP="000C16BB">
      <w:pPr>
        <w:spacing w:after="0" w:line="240" w:lineRule="auto"/>
        <w:ind w:firstLine="567"/>
        <w:jc w:val="both"/>
        <w:rPr>
          <w:rFonts w:ascii="Times New Roman" w:eastAsia="MS Mincho" w:hAnsi="Times New Roman"/>
          <w:bCs/>
          <w:iCs/>
          <w:sz w:val="28"/>
          <w:szCs w:val="28"/>
          <w:lang w:val="ru-RU" w:eastAsia="ja-JP"/>
        </w:rPr>
      </w:pPr>
    </w:p>
    <w:p w14:paraId="64E09424" w14:textId="77777777" w:rsidR="00992872" w:rsidRPr="00107040" w:rsidRDefault="00992872" w:rsidP="000C16BB">
      <w:pPr>
        <w:spacing w:after="0" w:line="240" w:lineRule="auto"/>
        <w:ind w:firstLine="567"/>
        <w:jc w:val="both"/>
        <w:rPr>
          <w:rFonts w:ascii="Times New Roman" w:eastAsia="MS Mincho" w:hAnsi="Times New Roman"/>
          <w:b/>
          <w:iCs/>
          <w:sz w:val="28"/>
          <w:szCs w:val="28"/>
          <w:lang w:val="ru-RU" w:eastAsia="ja-JP"/>
        </w:rPr>
      </w:pPr>
      <w:r w:rsidRPr="00107040">
        <w:rPr>
          <w:rFonts w:ascii="Times New Roman" w:eastAsia="MS Mincho" w:hAnsi="Times New Roman"/>
          <w:b/>
          <w:bCs/>
          <w:iCs/>
          <w:sz w:val="28"/>
          <w:szCs w:val="28"/>
          <w:lang w:val="ru-RU" w:eastAsia="ja-JP"/>
        </w:rPr>
        <w:t>2.7 Выделение тотальной РНК</w:t>
      </w:r>
    </w:p>
    <w:p w14:paraId="16A01175" w14:textId="5B56D0DC"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Тотальную РНК экстрагировали из 100 мг свежих тканей листьев </w:t>
      </w:r>
      <w:r w:rsidRPr="00107040">
        <w:rPr>
          <w:rFonts w:ascii="Times New Roman" w:eastAsia="MS Mincho" w:hAnsi="Times New Roman"/>
          <w:i/>
          <w:sz w:val="28"/>
          <w:szCs w:val="28"/>
          <w:lang w:val="en-US" w:eastAsia="ja-JP"/>
        </w:rPr>
        <w:t>A</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thaliana</w:t>
      </w:r>
      <w:r w:rsidRPr="00107040">
        <w:rPr>
          <w:rFonts w:ascii="Times New Roman" w:eastAsia="MS Mincho" w:hAnsi="Times New Roman"/>
          <w:sz w:val="28"/>
          <w:szCs w:val="28"/>
          <w:lang w:val="ru-RU" w:eastAsia="ja-JP"/>
        </w:rPr>
        <w:t xml:space="preserve"> в жидком азоте с использованием реагента </w:t>
      </w:r>
      <w:r w:rsidRPr="00107040">
        <w:rPr>
          <w:rFonts w:ascii="Times New Roman" w:eastAsia="MS Mincho" w:hAnsi="Times New Roman"/>
          <w:sz w:val="28"/>
          <w:szCs w:val="28"/>
          <w:lang w:val="en-US" w:eastAsia="ja-JP"/>
        </w:rPr>
        <w:t>Trizol</w:t>
      </w:r>
      <w:r w:rsidRPr="00107040">
        <w:rPr>
          <w:rFonts w:ascii="Times New Roman" w:eastAsia="MS Mincho" w:hAnsi="Times New Roman"/>
          <w:sz w:val="28"/>
          <w:szCs w:val="28"/>
          <w:lang w:val="ru-RU" w:eastAsia="ja-JP"/>
        </w:rPr>
        <w:t>™ (</w:t>
      </w:r>
      <w:r w:rsidRPr="00107040">
        <w:rPr>
          <w:rFonts w:ascii="Times New Roman" w:eastAsia="MS Mincho" w:hAnsi="Times New Roman"/>
          <w:sz w:val="28"/>
          <w:szCs w:val="28"/>
          <w:lang w:val="en-US" w:eastAsia="ja-JP"/>
        </w:rPr>
        <w:t>Invitrogen</w:t>
      </w:r>
      <w:r w:rsidRPr="00107040">
        <w:rPr>
          <w:rFonts w:ascii="Times New Roman" w:eastAsia="MS Mincho" w:hAnsi="Times New Roman"/>
          <w:sz w:val="28"/>
          <w:szCs w:val="28"/>
          <w:lang w:val="ru-RU" w:eastAsia="ja-JP"/>
        </w:rPr>
        <w:t xml:space="preserve">). Для лизирования клеток на измельчённую в жидком азоте 100 мг свежих тканей листьев </w:t>
      </w:r>
      <w:r w:rsidRPr="00107040">
        <w:rPr>
          <w:rFonts w:ascii="Times New Roman" w:eastAsia="MS Mincho" w:hAnsi="Times New Roman"/>
          <w:i/>
          <w:sz w:val="28"/>
          <w:szCs w:val="28"/>
          <w:lang w:val="ru-RU" w:eastAsia="ja-JP"/>
        </w:rPr>
        <w:t xml:space="preserve">A. </w:t>
      </w:r>
      <w:r w:rsidRPr="00107040">
        <w:rPr>
          <w:rFonts w:ascii="Times New Roman" w:eastAsia="MS Mincho" w:hAnsi="Times New Roman"/>
          <w:i/>
          <w:sz w:val="28"/>
          <w:szCs w:val="28"/>
          <w:lang w:val="en-US" w:eastAsia="ja-JP"/>
        </w:rPr>
        <w:t>t</w:t>
      </w:r>
      <w:r w:rsidRPr="00107040">
        <w:rPr>
          <w:rFonts w:ascii="Times New Roman" w:eastAsia="MS Mincho" w:hAnsi="Times New Roman"/>
          <w:i/>
          <w:sz w:val="28"/>
          <w:szCs w:val="28"/>
          <w:lang w:val="ru-RU" w:eastAsia="ja-JP"/>
        </w:rPr>
        <w:t>haliana</w:t>
      </w:r>
      <w:r w:rsidRPr="00107040">
        <w:rPr>
          <w:rFonts w:ascii="Times New Roman" w:eastAsia="MS Mincho" w:hAnsi="Times New Roman"/>
          <w:sz w:val="28"/>
          <w:szCs w:val="28"/>
          <w:lang w:val="ru-RU" w:eastAsia="ja-JP"/>
        </w:rPr>
        <w:t xml:space="preserve"> добавляли 0,3</w:t>
      </w:r>
      <w:r w:rsidR="007C156E"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ru-RU" w:eastAsia="ja-JP"/>
        </w:rPr>
        <w:t>0,4 мл реагента TRIzol™</w:t>
      </w:r>
      <w:r w:rsidR="005E4B8E" w:rsidRPr="00107040">
        <w:rPr>
          <w:rFonts w:ascii="Times New Roman" w:eastAsia="MS Mincho" w:hAnsi="Times New Roman"/>
          <w:sz w:val="28"/>
          <w:szCs w:val="28"/>
          <w:lang w:val="ru-RU" w:eastAsia="ja-JP"/>
        </w:rPr>
        <w:t xml:space="preserve"> </w:t>
      </w:r>
      <w:r w:rsidR="005E4B8E"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{"citationID":"YO6IlH25","properties":{"formattedCitation":"[430]","plainCitation":"[430]","noteIndex":0},"citationItems":[{"id":1406,"uris":["http://zotero.org/users/9078202/items/THQ3XWA9"],"itemData":{"id":1406,"type":"article-journal","abstract":"A new method of total RNA isolation by a single extraction with an acid guanidinium thiocyanate-phenol-chloroform mixture is described. The method provides a pure preparation of undegraded RNA in high yield and can be completed within 4 h. It is particularly useful for processing large numbers of samples and for isolation of RNA from minute quantities of cells or tissue samples.","container-title":"Analytical Biochemistry","DOI":"10.1006/abio.1987.9999","ISSN":"0003-2697","issue":"1","journalAbbreviation":"Anal Biochem","language":"eng","note":"PMID: 2440339","page":"156-159","source":"PubMed","title":"Single-step method of RNA isolation by acid guanidinium thiocyanate-phenol-chloroform extraction","volume":"162","author":[{"family":"Chomczynski","given":"P."},{"family":"Sacchi","given":"N."}],"issued":{"date-parts":[["1987",4]]}}}],"schema":"https://github.com/citation-style-language/schema/raw/master/csl-citation.json"} </w:instrText>
      </w:r>
      <w:r w:rsidR="005E4B8E"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[430]</w:t>
      </w:r>
      <w:r w:rsidR="005E4B8E"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Для обеспечения полной диссоциации комплекса нуклеопротеинов, лизат инкубировали в течение 5 минут. Добавляли 0,2 мл хлороформа на 1 мл реагента TRIzol™, используемого для лизиса и инкубировали 2–3 минуты. После образец центрифугировали в течение 15 минут при 12000 х g при 4</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°C. Переносили бесцветную верхнюю водную фазу содержащую РНК в новую пробирку. Осаждали РНК из водной фазы путем смешивания с изопропиловым спиртом. Использовали 0,5 мл изопропилового спирта на 1 мл реагента TRIzol™, используемого для начальной гомогенизации. Инкубировали образцы при температуре от 15 до 30</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 в течение 10 минут и центрифугировали при не более 12 000 </w:t>
      </w:r>
      <w:r w:rsidRPr="00107040">
        <w:rPr>
          <w:rFonts w:ascii="Times New Roman" w:eastAsia="MS Mincho" w:hAnsi="Times New Roman"/>
          <w:sz w:val="28"/>
          <w:szCs w:val="28"/>
          <w:lang w:val="en-US" w:eastAsia="ja-JP"/>
        </w:rPr>
        <w:t>x</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g</w:t>
      </w:r>
      <w:r w:rsidRPr="00107040">
        <w:rPr>
          <w:rFonts w:ascii="Times New Roman" w:eastAsia="MS Mincho" w:hAnsi="Times New Roman"/>
          <w:sz w:val="28"/>
          <w:szCs w:val="28"/>
          <w:lang w:val="ru-RU" w:eastAsia="ja-JP"/>
        </w:rPr>
        <w:t xml:space="preserve"> в течение 10 минут при температуре от 2 до 4</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Осадок РНК, часто невидимый перед центрифугированием, образует гелеобразный осадок на стенках и дне пробирки. После полного удаления супернатанта, осадок РНК промывали один раз 75</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этанолом, добавив 1 мл 75</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этанола на 1 мл реагента TRIzol™, использованного для начальной гомогенизации. Перемешали образцы встряхиванием и центрифугированием при 7500 x g в течение 5 минут при температуре от 2 до 8</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°C. После повторной промывки удалили оставшийся этанол. Растворяли РНК в ультрачистой воде, обработанной </w:t>
      </w:r>
      <w:r w:rsidRPr="00107040">
        <w:rPr>
          <w:rFonts w:ascii="Times New Roman" w:eastAsia="MS Mincho" w:hAnsi="Times New Roman"/>
          <w:sz w:val="28"/>
          <w:szCs w:val="28"/>
          <w:lang w:val="en-US" w:eastAsia="ja-JP"/>
        </w:rPr>
        <w:t>DEPC</w:t>
      </w:r>
      <w:r w:rsidRPr="00107040">
        <w:rPr>
          <w:rFonts w:ascii="Times New Roman" w:eastAsia="MS Mincho" w:hAnsi="Times New Roman"/>
          <w:sz w:val="28"/>
          <w:szCs w:val="28"/>
          <w:lang w:val="ru-RU" w:eastAsia="ja-JP"/>
        </w:rPr>
        <w:t>.</w:t>
      </w:r>
    </w:p>
    <w:p w14:paraId="15CA69F5" w14:textId="77777777" w:rsidR="00992872" w:rsidRPr="00107040" w:rsidRDefault="00992872" w:rsidP="000C16BB">
      <w:pPr>
        <w:spacing w:after="0" w:line="240" w:lineRule="auto"/>
        <w:jc w:val="both"/>
        <w:rPr>
          <w:rFonts w:ascii="Times New Roman" w:eastAsia="MS Mincho" w:hAnsi="Times New Roman"/>
          <w:sz w:val="28"/>
          <w:szCs w:val="28"/>
          <w:lang w:val="ru-RU" w:eastAsia="ja-JP"/>
        </w:rPr>
      </w:pPr>
    </w:p>
    <w:p w14:paraId="114F952D" w14:textId="77777777" w:rsidR="00992872" w:rsidRPr="00107040" w:rsidRDefault="00992872" w:rsidP="000C16BB">
      <w:pPr>
        <w:spacing w:after="0" w:line="240" w:lineRule="auto"/>
        <w:ind w:firstLine="567"/>
        <w:jc w:val="both"/>
        <w:rPr>
          <w:rFonts w:ascii="Times New Roman" w:eastAsia="MS Mincho" w:hAnsi="Times New Roman"/>
          <w:b/>
          <w:sz w:val="28"/>
          <w:szCs w:val="28"/>
          <w:lang w:val="ru-RU" w:eastAsia="ja-JP"/>
        </w:rPr>
      </w:pPr>
      <w:r w:rsidRPr="00107040">
        <w:rPr>
          <w:rFonts w:ascii="Times New Roman" w:eastAsia="MS Mincho" w:hAnsi="Times New Roman"/>
          <w:b/>
          <w:sz w:val="28"/>
          <w:szCs w:val="28"/>
          <w:lang w:val="ru-RU" w:eastAsia="ja-JP"/>
        </w:rPr>
        <w:t>2.8 Ре</w:t>
      </w:r>
      <w:r w:rsidRPr="00107040">
        <w:rPr>
          <w:rFonts w:ascii="Times New Roman" w:eastAsia="MS Mincho" w:hAnsi="Times New Roman"/>
          <w:b/>
          <w:sz w:val="28"/>
          <w:szCs w:val="28"/>
          <w:lang w:val="en-US" w:eastAsia="ja-JP"/>
        </w:rPr>
        <w:t>a</w:t>
      </w:r>
      <w:r w:rsidRPr="00107040">
        <w:rPr>
          <w:rFonts w:ascii="Times New Roman" w:eastAsia="MS Mincho" w:hAnsi="Times New Roman"/>
          <w:b/>
          <w:sz w:val="28"/>
          <w:szCs w:val="28"/>
          <w:lang w:val="ru-RU" w:eastAsia="ja-JP"/>
        </w:rPr>
        <w:t>кция обр</w:t>
      </w:r>
      <w:r w:rsidRPr="00107040">
        <w:rPr>
          <w:rFonts w:ascii="Times New Roman" w:eastAsia="MS Mincho" w:hAnsi="Times New Roman"/>
          <w:b/>
          <w:sz w:val="28"/>
          <w:szCs w:val="28"/>
          <w:lang w:val="en-US" w:eastAsia="ja-JP"/>
        </w:rPr>
        <w:t>a</w:t>
      </w:r>
      <w:r w:rsidRPr="00107040">
        <w:rPr>
          <w:rFonts w:ascii="Times New Roman" w:eastAsia="MS Mincho" w:hAnsi="Times New Roman"/>
          <w:b/>
          <w:sz w:val="28"/>
          <w:szCs w:val="28"/>
          <w:lang w:val="ru-RU" w:eastAsia="ja-JP"/>
        </w:rPr>
        <w:t>тной тр</w:t>
      </w:r>
      <w:r w:rsidRPr="00107040">
        <w:rPr>
          <w:rFonts w:ascii="Times New Roman" w:eastAsia="MS Mincho" w:hAnsi="Times New Roman"/>
          <w:b/>
          <w:sz w:val="28"/>
          <w:szCs w:val="28"/>
          <w:lang w:val="en-US" w:eastAsia="ja-JP"/>
        </w:rPr>
        <w:t>a</w:t>
      </w:r>
      <w:r w:rsidRPr="00107040">
        <w:rPr>
          <w:rFonts w:ascii="Times New Roman" w:eastAsia="MS Mincho" w:hAnsi="Times New Roman"/>
          <w:b/>
          <w:sz w:val="28"/>
          <w:szCs w:val="28"/>
          <w:lang w:val="ru-RU" w:eastAsia="ja-JP"/>
        </w:rPr>
        <w:t>нскрипции (ОТ)</w:t>
      </w:r>
    </w:p>
    <w:p w14:paraId="351AA987" w14:textId="7E09535E"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Пять мкг свободной от ДНК тотальной РНК превращали в одноцепочечную ДНК с использованием смеси праймеров олиго-</w:t>
      </w:r>
      <w:r w:rsidRPr="00107040">
        <w:rPr>
          <w:rFonts w:ascii="Times New Roman" w:eastAsia="MS Mincho" w:hAnsi="Times New Roman"/>
          <w:sz w:val="28"/>
          <w:szCs w:val="28"/>
          <w:lang w:val="en-US" w:eastAsia="ja-JP"/>
        </w:rPr>
        <w:t>dT</w:t>
      </w:r>
      <w:r w:rsidRPr="00107040">
        <w:rPr>
          <w:rFonts w:ascii="Times New Roman" w:eastAsia="MS Mincho" w:hAnsi="Times New Roman"/>
          <w:sz w:val="28"/>
          <w:szCs w:val="28"/>
          <w:vertAlign w:val="subscript"/>
          <w:lang w:val="ru-RU" w:eastAsia="ja-JP"/>
        </w:rPr>
        <w:t>20</w:t>
      </w:r>
      <w:r w:rsidRPr="00107040">
        <w:rPr>
          <w:rFonts w:ascii="Times New Roman" w:eastAsia="MS Mincho" w:hAnsi="Times New Roman"/>
          <w:sz w:val="28"/>
          <w:szCs w:val="28"/>
          <w:lang w:val="ru-RU" w:eastAsia="ja-JP"/>
        </w:rPr>
        <w:t>. Для синтезa кДНК в стерильную пробирку добaвляли (в укaзaнной последовaтельности): РНК (0,5 мкг тотaльной РНК или 500 нг поли-A РНК), прaймер (15-20 пмоль ген-специфичного прaймерa), стерильной dH</w:t>
      </w:r>
      <w:r w:rsidRPr="00107040">
        <w:rPr>
          <w:rFonts w:ascii="Times New Roman" w:eastAsia="MS Mincho" w:hAnsi="Times New Roman"/>
          <w:sz w:val="28"/>
          <w:szCs w:val="28"/>
          <w:vertAlign w:val="subscript"/>
          <w:lang w:val="ru-RU" w:eastAsia="ja-JP"/>
        </w:rPr>
        <w:t>2</w:t>
      </w:r>
      <w:r w:rsidRPr="00107040">
        <w:rPr>
          <w:rFonts w:ascii="Times New Roman" w:eastAsia="MS Mincho" w:hAnsi="Times New Roman"/>
          <w:sz w:val="28"/>
          <w:szCs w:val="28"/>
          <w:lang w:val="ru-RU" w:eastAsia="ja-JP"/>
        </w:rPr>
        <w:t>O до 12,5 мкл. Ре</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кционную смесь </w:t>
      </w:r>
      <w:r w:rsidRPr="00107040">
        <w:rPr>
          <w:rFonts w:ascii="Times New Roman" w:eastAsia="MS Mincho" w:hAnsi="Times New Roman"/>
          <w:sz w:val="28"/>
          <w:szCs w:val="28"/>
          <w:lang w:val="ru-RU" w:eastAsia="ja-JP"/>
        </w:rPr>
        <w:lastRenderedPageBreak/>
        <w:t>прогрев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при 70</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 в течение 5 минут, затем охл</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жд</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льду. Д</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лее, к смеси доб</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вляли (в ук</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з</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нной последов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тельности): при 25</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°C 1</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х ре</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кционный буфер (250 мМ </w:t>
      </w:r>
      <w:r w:rsidRPr="00107040">
        <w:rPr>
          <w:rFonts w:ascii="Times New Roman" w:eastAsia="MS Mincho" w:hAnsi="Times New Roman"/>
          <w:sz w:val="28"/>
          <w:szCs w:val="28"/>
          <w:lang w:val="en-US" w:eastAsia="ja-JP"/>
        </w:rPr>
        <w:t>Tris</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HCl</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pH</w:t>
      </w:r>
      <w:r w:rsidRPr="00107040">
        <w:rPr>
          <w:rFonts w:ascii="Times New Roman" w:eastAsia="MS Mincho" w:hAnsi="Times New Roman"/>
          <w:sz w:val="28"/>
          <w:szCs w:val="28"/>
          <w:lang w:val="ru-RU" w:eastAsia="ja-JP"/>
        </w:rPr>
        <w:t xml:space="preserve"> 8.3, 20 мМ </w:t>
      </w:r>
      <w:r w:rsidRPr="00107040">
        <w:rPr>
          <w:rFonts w:ascii="Times New Roman" w:eastAsia="MS Mincho" w:hAnsi="Times New Roman"/>
          <w:sz w:val="28"/>
          <w:szCs w:val="28"/>
          <w:lang w:val="en-US" w:eastAsia="ja-JP"/>
        </w:rPr>
        <w:t>MgCl</w:t>
      </w:r>
      <w:r w:rsidRPr="00107040">
        <w:rPr>
          <w:rFonts w:ascii="Times New Roman" w:eastAsia="MS Mincho" w:hAnsi="Times New Roman"/>
          <w:sz w:val="28"/>
          <w:szCs w:val="28"/>
          <w:vertAlign w:val="subscript"/>
          <w:lang w:val="ru-RU" w:eastAsia="ja-JP"/>
        </w:rPr>
        <w:t>2</w:t>
      </w:r>
      <w:r w:rsidRPr="00107040">
        <w:rPr>
          <w:rFonts w:ascii="Times New Roman" w:eastAsia="MS Mincho" w:hAnsi="Times New Roman"/>
          <w:sz w:val="28"/>
          <w:szCs w:val="28"/>
          <w:lang w:val="ru-RU" w:eastAsia="ja-JP"/>
        </w:rPr>
        <w:t xml:space="preserve">, 250 мМ KCl, 50 мМ </w:t>
      </w:r>
      <w:r w:rsidRPr="00107040">
        <w:rPr>
          <w:rFonts w:ascii="Times New Roman" w:eastAsia="MS Mincho" w:hAnsi="Times New Roman"/>
          <w:sz w:val="28"/>
          <w:szCs w:val="28"/>
          <w:lang w:val="en-US" w:eastAsia="ja-JP"/>
        </w:rPr>
        <w:t>DTT</w:t>
      </w:r>
      <w:r w:rsidRPr="00107040">
        <w:rPr>
          <w:rFonts w:ascii="Times New Roman" w:eastAsia="MS Mincho" w:hAnsi="Times New Roman"/>
          <w:sz w:val="28"/>
          <w:szCs w:val="28"/>
          <w:lang w:val="ru-RU" w:eastAsia="ja-JP"/>
        </w:rPr>
        <w:t xml:space="preserve">), 20 ед. </w:t>
      </w:r>
      <w:r w:rsidRPr="00107040">
        <w:rPr>
          <w:rFonts w:ascii="Times New Roman" w:eastAsia="MS Mincho" w:hAnsi="Times New Roman"/>
          <w:sz w:val="28"/>
          <w:szCs w:val="28"/>
          <w:lang w:val="en-US" w:eastAsia="ja-JP"/>
        </w:rPr>
        <w:t>RiboLock™ RN</w:t>
      </w:r>
      <w:r w:rsidRPr="00107040">
        <w:rPr>
          <w:rFonts w:ascii="Times New Roman" w:eastAsia="MS Mincho" w:hAnsi="Times New Roman"/>
          <w:sz w:val="28"/>
          <w:szCs w:val="28"/>
          <w:lang w:val="ru-RU" w:eastAsia="ja-JP"/>
        </w:rPr>
        <w:t>А</w:t>
      </w:r>
      <w:r w:rsidRPr="00107040">
        <w:rPr>
          <w:rFonts w:ascii="Times New Roman" w:eastAsia="MS Mincho" w:hAnsi="Times New Roman"/>
          <w:sz w:val="28"/>
          <w:szCs w:val="28"/>
          <w:lang w:val="en-US" w:eastAsia="ja-JP"/>
        </w:rPr>
        <w:t xml:space="preserve">se Inhibitor, 1 </w:t>
      </w:r>
      <w:r w:rsidRPr="00107040">
        <w:rPr>
          <w:rFonts w:ascii="Times New Roman" w:eastAsia="MS Mincho" w:hAnsi="Times New Roman"/>
          <w:sz w:val="28"/>
          <w:szCs w:val="28"/>
          <w:lang w:val="ru-RU" w:eastAsia="ja-JP"/>
        </w:rPr>
        <w:t>мМ</w:t>
      </w:r>
      <w:r w:rsidRPr="00107040">
        <w:rPr>
          <w:rFonts w:ascii="Times New Roman" w:eastAsia="MS Mincho" w:hAnsi="Times New Roman"/>
          <w:sz w:val="28"/>
          <w:szCs w:val="28"/>
          <w:lang w:val="en-US" w:eastAsia="ja-JP"/>
        </w:rPr>
        <w:t xml:space="preserve"> </w:t>
      </w:r>
      <w:r w:rsidRPr="00107040">
        <w:rPr>
          <w:rFonts w:ascii="Times New Roman" w:eastAsia="MS Mincho" w:hAnsi="Times New Roman"/>
          <w:sz w:val="28"/>
          <w:szCs w:val="28"/>
          <w:lang w:val="ru-RU" w:eastAsia="ja-JP"/>
        </w:rPr>
        <w:t>смеси</w:t>
      </w:r>
      <w:r w:rsidRPr="00107040">
        <w:rPr>
          <w:rFonts w:ascii="Times New Roman" w:eastAsia="MS Mincho" w:hAnsi="Times New Roman"/>
          <w:sz w:val="28"/>
          <w:szCs w:val="28"/>
          <w:lang w:val="en-US" w:eastAsia="ja-JP"/>
        </w:rPr>
        <w:t xml:space="preserve"> dNTP, 200 </w:t>
      </w:r>
      <w:r w:rsidRPr="00107040">
        <w:rPr>
          <w:rFonts w:ascii="Times New Roman" w:eastAsia="MS Mincho" w:hAnsi="Times New Roman"/>
          <w:sz w:val="28"/>
          <w:szCs w:val="28"/>
          <w:lang w:val="ru-RU" w:eastAsia="ja-JP"/>
        </w:rPr>
        <w:t>ед</w:t>
      </w:r>
      <w:r w:rsidRPr="00107040">
        <w:rPr>
          <w:rFonts w:ascii="Times New Roman" w:eastAsia="MS Mincho" w:hAnsi="Times New Roman"/>
          <w:sz w:val="28"/>
          <w:szCs w:val="28"/>
          <w:lang w:val="en-US" w:eastAsia="ja-JP"/>
        </w:rPr>
        <w:t xml:space="preserve">. RevertAid™ H Minus M-MuLV Reverse Transcriptase. </w:t>
      </w:r>
      <w:r w:rsidRPr="00107040">
        <w:rPr>
          <w:rFonts w:ascii="Times New Roman" w:eastAsia="MS Mincho" w:hAnsi="Times New Roman"/>
          <w:sz w:val="28"/>
          <w:szCs w:val="28"/>
          <w:lang w:val="ru-RU" w:eastAsia="ja-JP"/>
        </w:rPr>
        <w:t>З</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тем осторожно перемешив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и инкубиров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смесь при 37</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 в течение 5 мин. Ре</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кцию проводили в водяной бaне при 42</w:t>
      </w:r>
      <w:r w:rsidRPr="00107040">
        <w:rPr>
          <w:rFonts w:ascii="Times New Roman" w:eastAsia="MS Mincho" w:hAnsi="Times New Roman"/>
          <w:sz w:val="28"/>
          <w:szCs w:val="28"/>
          <w:vertAlign w:val="superscript"/>
          <w:lang w:val="ru-RU" w:eastAsia="ja-JP"/>
        </w:rPr>
        <w:t>о</w:t>
      </w:r>
      <w:r w:rsidRPr="00107040">
        <w:rPr>
          <w:rFonts w:ascii="Times New Roman" w:eastAsia="MS Mincho" w:hAnsi="Times New Roman"/>
          <w:sz w:val="28"/>
          <w:szCs w:val="28"/>
          <w:lang w:val="ru-RU" w:eastAsia="ja-JP"/>
        </w:rPr>
        <w:t>С в течение 1,5 чaсов. Ре</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кцию остан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влив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прогрев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нием при 70</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vertAlign w:val="superscript"/>
          <w:lang w:val="ru-RU" w:eastAsia="ja-JP"/>
        </w:rPr>
        <w:t>о</w:t>
      </w:r>
      <w:r w:rsidRPr="00107040">
        <w:rPr>
          <w:rFonts w:ascii="Times New Roman" w:eastAsia="MS Mincho" w:hAnsi="Times New Roman"/>
          <w:sz w:val="28"/>
          <w:szCs w:val="28"/>
          <w:lang w:val="ru-RU" w:eastAsia="ja-JP"/>
        </w:rPr>
        <w:t>С в течени</w:t>
      </w:r>
      <w:r w:rsidR="007C156E" w:rsidRPr="00107040">
        <w:rPr>
          <w:rFonts w:ascii="Times New Roman" w:eastAsia="MS Mincho" w:hAnsi="Times New Roman"/>
          <w:sz w:val="28"/>
          <w:szCs w:val="28"/>
          <w:lang w:val="ru-RU" w:eastAsia="ja-JP"/>
        </w:rPr>
        <w:t>е</w:t>
      </w:r>
      <w:r w:rsidRPr="00107040">
        <w:rPr>
          <w:rFonts w:ascii="Times New Roman" w:eastAsia="MS Mincho" w:hAnsi="Times New Roman"/>
          <w:sz w:val="28"/>
          <w:szCs w:val="28"/>
          <w:lang w:val="ru-RU" w:eastAsia="ja-JP"/>
        </w:rPr>
        <w:t xml:space="preserve"> 10 мин. Полученный продукт хр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нили при -20</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w:t>
      </w:r>
      <w:r w:rsidR="005F23EC" w:rsidRPr="00107040">
        <w:rPr>
          <w:rFonts w:ascii="Times New Roman" w:eastAsia="MS Mincho" w:hAnsi="Times New Roman"/>
          <w:sz w:val="28"/>
          <w:szCs w:val="28"/>
          <w:lang w:val="ru-RU" w:eastAsia="ja-JP"/>
        </w:rPr>
        <w:t xml:space="preserve"> </w:t>
      </w:r>
      <w:r w:rsidR="005F23EC" w:rsidRPr="00107040">
        <w:rPr>
          <w:rFonts w:ascii="Times New Roman" w:eastAsia="MS Mincho" w:hAnsi="Times New Roman"/>
          <w:sz w:val="28"/>
          <w:szCs w:val="28"/>
          <w:lang w:val="en-US" w:eastAsia="ja-JP"/>
        </w:rPr>
        <w:fldChar w:fldCharType="begin"/>
      </w:r>
      <w:r w:rsidR="00FB5E68">
        <w:rPr>
          <w:rFonts w:ascii="Times New Roman" w:eastAsia="MS Mincho" w:hAnsi="Times New Roman"/>
          <w:sz w:val="28"/>
          <w:szCs w:val="28"/>
          <w:lang w:val="ru-RU" w:eastAsia="ja-JP"/>
        </w:rPr>
        <w:instrText xml:space="preserve"> ADDIN ZOTERO_ITEM CSL_CITATION {"citationID":"XXUACXZK","properties":{"formattedCitation":"[431]","plainCitation":"[431]","noteIndex":0},"citationItems":[{"id":1427,"uris":["http://zotero.org/users/9078202/items/KHDZP435"],"itemData":{"id":1427,"type":"article-journal","abstract":"Quantitative competitive reverse-transcriptase PCR is the most sensitive method for studying gene expression. To investigate whether the accuracy of the calculated target mRNA copy number is affected by the cDNA priming process, we utilized primers of different lengths, concentrations and primer sequences to prime cDNA synthesis reactions. Our results show a approximately 19-fold increase in the calculated mRNA copy number from cDNA synthesis reactions primed with random hexamers (P&lt;0.001, n=4), and a approximately 4-fold increase in copy number with a specific hexamer (P&lt;0.001, n=4) compared with that obtained with a 22-mer-sequence-specific primer. The increase in calculated mRNA copy number obtained by priming cDNA synthesis with the shorter specific and non-specific primers could be explained largely by the synthesis of truncated standard cDNA molecules lacking a requisite binding site for amplification with PCR primers. Since these truncated standard cDNA molecules could not be amplified and standard RNA is used to quantify target mRNA copy number, this phenomenon resulted in overestimation of target mRNA copy number. In conclusion, accurate determination of target mRNA copy number is most likely if a long specific antisense primer is used to prime cDNA synthesis.","container-title":"The Biochemical Journal","ISSN":"0264-6021","journalAbbreviation":"Biochem J","language":"eng","note":"PMID: 9882620\nPMCID: PMC1219957","page":"231-241","source":"PubMed","title":"Differential priming of RNA templates during cDNA synthesis markedly affects both accuracy and reproducibility of quantitative competitive reverse-transcriptase PCR","volume":"337 ( Pt 2)","author":[{"family":"Zhang","given":"J."},{"family":"Byrne","given":"C. D."}],"issued":{"date-parts":[["1999",1,15]]}}}],"schema":"https://github.com/citation-style-language/schema/raw/master/csl-citation.json"} </w:instrText>
      </w:r>
      <w:r w:rsidR="005F23EC" w:rsidRPr="00107040">
        <w:rPr>
          <w:rFonts w:ascii="Times New Roman" w:eastAsia="MS Mincho" w:hAnsi="Times New Roman"/>
          <w:sz w:val="28"/>
          <w:szCs w:val="28"/>
          <w:lang w:val="en-US" w:eastAsia="ja-JP"/>
        </w:rPr>
        <w:fldChar w:fldCharType="separate"/>
      </w:r>
      <w:r w:rsidR="00FB5E68" w:rsidRPr="00FB5E68">
        <w:rPr>
          <w:rFonts w:ascii="Times New Roman" w:hAnsi="Times New Roman"/>
          <w:sz w:val="28"/>
        </w:rPr>
        <w:t>[431]</w:t>
      </w:r>
      <w:r w:rsidR="005F23EC" w:rsidRPr="00107040">
        <w:rPr>
          <w:rFonts w:ascii="Times New Roman" w:eastAsia="MS Mincho" w:hAnsi="Times New Roman"/>
          <w:sz w:val="28"/>
          <w:szCs w:val="28"/>
          <w:lang w:val="en-US" w:eastAsia="ja-JP"/>
        </w:rPr>
        <w:fldChar w:fldCharType="end"/>
      </w:r>
      <w:r w:rsidRPr="00107040">
        <w:rPr>
          <w:rFonts w:ascii="Times New Roman" w:eastAsia="MS Mincho" w:hAnsi="Times New Roman"/>
          <w:sz w:val="28"/>
          <w:szCs w:val="28"/>
          <w:lang w:val="ru-RU" w:eastAsia="ja-JP"/>
        </w:rPr>
        <w:t>.</w:t>
      </w:r>
    </w:p>
    <w:p w14:paraId="5AE67323" w14:textId="77777777" w:rsidR="00992872" w:rsidRPr="00107040" w:rsidRDefault="00992872" w:rsidP="000C16BB">
      <w:pPr>
        <w:spacing w:after="0" w:line="240" w:lineRule="auto"/>
        <w:jc w:val="both"/>
        <w:rPr>
          <w:rFonts w:ascii="Times New Roman" w:eastAsia="MS Mincho" w:hAnsi="Times New Roman"/>
          <w:sz w:val="28"/>
          <w:szCs w:val="28"/>
          <w:lang w:val="ru-RU" w:eastAsia="ja-JP"/>
        </w:rPr>
      </w:pPr>
    </w:p>
    <w:p w14:paraId="55DBF069" w14:textId="77777777" w:rsidR="00992872" w:rsidRPr="00107040" w:rsidRDefault="00992872" w:rsidP="000C16BB">
      <w:pPr>
        <w:spacing w:after="0" w:line="240" w:lineRule="auto"/>
        <w:ind w:firstLine="567"/>
        <w:jc w:val="both"/>
        <w:rPr>
          <w:rFonts w:ascii="Times New Roman" w:eastAsia="MS Mincho" w:hAnsi="Times New Roman"/>
          <w:b/>
          <w:sz w:val="28"/>
          <w:szCs w:val="28"/>
          <w:lang w:val="ru-RU" w:eastAsia="ja-JP"/>
        </w:rPr>
      </w:pPr>
      <w:r w:rsidRPr="00107040">
        <w:rPr>
          <w:rFonts w:ascii="Times New Roman" w:eastAsia="MS Mincho" w:hAnsi="Times New Roman"/>
          <w:b/>
          <w:sz w:val="28"/>
          <w:szCs w:val="28"/>
          <w:lang w:val="ru-RU" w:eastAsia="ja-JP"/>
        </w:rPr>
        <w:t>2.</w:t>
      </w:r>
      <w:r w:rsidRPr="00107040">
        <w:rPr>
          <w:rFonts w:ascii="Times New Roman" w:eastAsia="MS Mincho" w:hAnsi="Times New Roman"/>
          <w:b/>
          <w:sz w:val="28"/>
          <w:szCs w:val="28"/>
          <w:lang w:val="kk-KZ" w:eastAsia="ja-JP"/>
        </w:rPr>
        <w:t>9</w:t>
      </w:r>
      <w:r w:rsidRPr="00107040">
        <w:rPr>
          <w:rFonts w:ascii="Times New Roman" w:eastAsia="MS Mincho" w:hAnsi="Times New Roman"/>
          <w:b/>
          <w:sz w:val="28"/>
          <w:szCs w:val="28"/>
          <w:lang w:val="ru-RU" w:eastAsia="ja-JP"/>
        </w:rPr>
        <w:t xml:space="preserve"> Полимер</w:t>
      </w:r>
      <w:r w:rsidRPr="00107040">
        <w:rPr>
          <w:rFonts w:ascii="Times New Roman" w:eastAsia="MS Mincho" w:hAnsi="Times New Roman"/>
          <w:b/>
          <w:sz w:val="28"/>
          <w:szCs w:val="28"/>
          <w:lang w:val="en-US" w:eastAsia="ja-JP"/>
        </w:rPr>
        <w:t>a</w:t>
      </w:r>
      <w:r w:rsidRPr="00107040">
        <w:rPr>
          <w:rFonts w:ascii="Times New Roman" w:eastAsia="MS Mincho" w:hAnsi="Times New Roman"/>
          <w:b/>
          <w:sz w:val="28"/>
          <w:szCs w:val="28"/>
          <w:lang w:val="ru-RU" w:eastAsia="ja-JP"/>
        </w:rPr>
        <w:t>зн</w:t>
      </w:r>
      <w:r w:rsidRPr="00107040">
        <w:rPr>
          <w:rFonts w:ascii="Times New Roman" w:eastAsia="MS Mincho" w:hAnsi="Times New Roman"/>
          <w:b/>
          <w:sz w:val="28"/>
          <w:szCs w:val="28"/>
          <w:lang w:val="en-US" w:eastAsia="ja-JP"/>
        </w:rPr>
        <w:t>a</w:t>
      </w:r>
      <w:r w:rsidRPr="00107040">
        <w:rPr>
          <w:rFonts w:ascii="Times New Roman" w:eastAsia="MS Mincho" w:hAnsi="Times New Roman"/>
          <w:b/>
          <w:sz w:val="28"/>
          <w:szCs w:val="28"/>
          <w:lang w:val="ru-RU" w:eastAsia="ja-JP"/>
        </w:rPr>
        <w:t>я цепн</w:t>
      </w:r>
      <w:r w:rsidRPr="00107040">
        <w:rPr>
          <w:rFonts w:ascii="Times New Roman" w:eastAsia="MS Mincho" w:hAnsi="Times New Roman"/>
          <w:b/>
          <w:sz w:val="28"/>
          <w:szCs w:val="28"/>
          <w:lang w:val="en-US" w:eastAsia="ja-JP"/>
        </w:rPr>
        <w:t>a</w:t>
      </w:r>
      <w:r w:rsidRPr="00107040">
        <w:rPr>
          <w:rFonts w:ascii="Times New Roman" w:eastAsia="MS Mincho" w:hAnsi="Times New Roman"/>
          <w:b/>
          <w:sz w:val="28"/>
          <w:szCs w:val="28"/>
          <w:lang w:val="ru-RU" w:eastAsia="ja-JP"/>
        </w:rPr>
        <w:t>я ре</w:t>
      </w:r>
      <w:r w:rsidRPr="00107040">
        <w:rPr>
          <w:rFonts w:ascii="Times New Roman" w:eastAsia="MS Mincho" w:hAnsi="Times New Roman"/>
          <w:b/>
          <w:sz w:val="28"/>
          <w:szCs w:val="28"/>
          <w:lang w:val="en-US" w:eastAsia="ja-JP"/>
        </w:rPr>
        <w:t>a</w:t>
      </w:r>
      <w:r w:rsidRPr="00107040">
        <w:rPr>
          <w:rFonts w:ascii="Times New Roman" w:eastAsia="MS Mincho" w:hAnsi="Times New Roman"/>
          <w:b/>
          <w:sz w:val="28"/>
          <w:szCs w:val="28"/>
          <w:lang w:val="ru-RU" w:eastAsia="ja-JP"/>
        </w:rPr>
        <w:t>кция (ПЦР)</w:t>
      </w:r>
    </w:p>
    <w:p w14:paraId="71A2DF28" w14:textId="2F5970B7"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ПЦР проводили с использованием 2 мкл 20-кратного разведения кДНК, 15 пмоль каждого праймера и 1 единицы полимеразы </w:t>
      </w:r>
      <w:r w:rsidRPr="00107040">
        <w:rPr>
          <w:rFonts w:ascii="Times New Roman" w:eastAsia="MS Mincho" w:hAnsi="Times New Roman"/>
          <w:sz w:val="28"/>
          <w:szCs w:val="28"/>
          <w:lang w:val="en-US" w:eastAsia="ja-JP"/>
        </w:rPr>
        <w:t>Taq</w:t>
      </w:r>
      <w:r w:rsidRPr="00107040">
        <w:rPr>
          <w:rFonts w:ascii="Times New Roman" w:eastAsia="MS Mincho" w:hAnsi="Times New Roman"/>
          <w:sz w:val="28"/>
          <w:szCs w:val="28"/>
          <w:lang w:val="ru-RU" w:eastAsia="ja-JP"/>
        </w:rPr>
        <w:t xml:space="preserve"> в реакционном объеме 25 мкл. Чтобы сгенерировать кДНК для полноразмерных </w:t>
      </w:r>
      <w:r w:rsidR="005C5030" w:rsidRPr="00107040">
        <w:rPr>
          <w:rFonts w:ascii="Times New Roman" w:eastAsia="MS Mincho" w:hAnsi="Times New Roman"/>
          <w:i/>
          <w:sz w:val="28"/>
          <w:szCs w:val="28"/>
          <w:lang w:val="ru-RU" w:eastAsia="ja-JP"/>
        </w:rPr>
        <w:t>A</w:t>
      </w:r>
      <w:r w:rsidRPr="00107040">
        <w:rPr>
          <w:rFonts w:ascii="Times New Roman" w:eastAsia="MS Mincho" w:hAnsi="Times New Roman"/>
          <w:i/>
          <w:sz w:val="28"/>
          <w:szCs w:val="28"/>
          <w:lang w:val="ru-RU" w:eastAsia="ja-JP"/>
        </w:rPr>
        <w:t>tPARP1</w:t>
      </w:r>
      <w:r w:rsidRPr="00107040">
        <w:rPr>
          <w:rFonts w:ascii="Times New Roman" w:eastAsia="MS Mincho" w:hAnsi="Times New Roman"/>
          <w:sz w:val="28"/>
          <w:szCs w:val="28"/>
          <w:lang w:val="ru-RU" w:eastAsia="ja-JP"/>
        </w:rPr>
        <w:t xml:space="preserve"> (соответствует гену At2g31320) и </w:t>
      </w:r>
      <w:r w:rsidR="005C5030" w:rsidRPr="00107040">
        <w:rPr>
          <w:rFonts w:ascii="Times New Roman" w:eastAsia="MS Mincho" w:hAnsi="Times New Roman"/>
          <w:i/>
          <w:sz w:val="28"/>
          <w:szCs w:val="28"/>
          <w:lang w:val="ru-RU" w:eastAsia="ja-JP"/>
        </w:rPr>
        <w:t>A</w:t>
      </w:r>
      <w:r w:rsidRPr="00107040">
        <w:rPr>
          <w:rFonts w:ascii="Times New Roman" w:eastAsia="MS Mincho" w:hAnsi="Times New Roman"/>
          <w:i/>
          <w:sz w:val="28"/>
          <w:szCs w:val="28"/>
          <w:lang w:val="ru-RU" w:eastAsia="ja-JP"/>
        </w:rPr>
        <w:t>tPARP2</w:t>
      </w:r>
      <w:r w:rsidRPr="00107040">
        <w:rPr>
          <w:rFonts w:ascii="Times New Roman" w:eastAsia="MS Mincho" w:hAnsi="Times New Roman"/>
          <w:sz w:val="28"/>
          <w:szCs w:val="28"/>
          <w:lang w:val="ru-RU" w:eastAsia="ja-JP"/>
        </w:rPr>
        <w:t xml:space="preserve"> (соответствует гену At4g02390), кодирующие последовательности были амплифицированы с помощью ПЦР с использованием праймеров </w:t>
      </w:r>
      <w:r w:rsidR="005C5030"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1</w:t>
      </w:r>
      <w:r w:rsidRPr="00107040">
        <w:rPr>
          <w:rFonts w:ascii="Times New Roman" w:eastAsia="MS Mincho" w:hAnsi="Times New Roman"/>
          <w:i/>
          <w:sz w:val="28"/>
          <w:szCs w:val="28"/>
          <w:lang w:val="en-US" w:eastAsia="ja-JP"/>
        </w:rPr>
        <w:t>NdeI</w:t>
      </w:r>
      <w:r w:rsidRPr="00107040">
        <w:rPr>
          <w:rFonts w:ascii="Times New Roman" w:eastAsia="MS Mincho" w:hAnsi="Times New Roman"/>
          <w:sz w:val="28"/>
          <w:szCs w:val="28"/>
          <w:lang w:val="ru-RU" w:eastAsia="ja-JP"/>
        </w:rPr>
        <w:t>_</w:t>
      </w:r>
      <w:r w:rsidRPr="00107040">
        <w:rPr>
          <w:rFonts w:ascii="Times New Roman" w:eastAsia="MS Mincho" w:hAnsi="Times New Roman"/>
          <w:sz w:val="28"/>
          <w:szCs w:val="28"/>
          <w:lang w:val="en-US" w:eastAsia="ja-JP"/>
        </w:rPr>
        <w:t>F</w:t>
      </w:r>
      <w:r w:rsidRPr="00107040">
        <w:rPr>
          <w:rFonts w:ascii="Times New Roman" w:eastAsia="MS Mincho" w:hAnsi="Times New Roman"/>
          <w:sz w:val="28"/>
          <w:szCs w:val="28"/>
          <w:lang w:val="ru-RU" w:eastAsia="ja-JP"/>
        </w:rPr>
        <w:t>/</w:t>
      </w:r>
      <w:r w:rsidR="005C5030"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1</w:t>
      </w:r>
      <w:r w:rsidRPr="00107040">
        <w:rPr>
          <w:rFonts w:ascii="Times New Roman" w:eastAsia="MS Mincho" w:hAnsi="Times New Roman"/>
          <w:i/>
          <w:sz w:val="28"/>
          <w:szCs w:val="28"/>
          <w:lang w:val="en-US" w:eastAsia="ja-JP"/>
        </w:rPr>
        <w:t>BamHI</w:t>
      </w:r>
      <w:r w:rsidRPr="00107040">
        <w:rPr>
          <w:rFonts w:ascii="Times New Roman" w:eastAsia="MS Mincho" w:hAnsi="Times New Roman"/>
          <w:sz w:val="28"/>
          <w:szCs w:val="28"/>
          <w:lang w:val="ru-RU" w:eastAsia="ja-JP"/>
        </w:rPr>
        <w:t>_</w:t>
      </w:r>
      <w:r w:rsidRPr="00107040">
        <w:rPr>
          <w:rFonts w:ascii="Times New Roman" w:eastAsia="MS Mincho" w:hAnsi="Times New Roman"/>
          <w:sz w:val="28"/>
          <w:szCs w:val="28"/>
          <w:lang w:val="en-US" w:eastAsia="ja-JP"/>
        </w:rPr>
        <w:t>R</w:t>
      </w:r>
      <w:r w:rsidRPr="00107040">
        <w:rPr>
          <w:rFonts w:ascii="Times New Roman" w:eastAsia="MS Mincho" w:hAnsi="Times New Roman"/>
          <w:sz w:val="28"/>
          <w:szCs w:val="28"/>
          <w:lang w:val="ru-RU" w:eastAsia="ja-JP"/>
        </w:rPr>
        <w:t xml:space="preserve"> для </w:t>
      </w:r>
      <w:r w:rsidR="005C5030"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1, </w:t>
      </w:r>
      <w:r w:rsidR="005C5030"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2</w:t>
      </w:r>
      <w:r w:rsidRPr="00107040">
        <w:rPr>
          <w:rFonts w:ascii="Times New Roman" w:eastAsia="MS Mincho" w:hAnsi="Times New Roman"/>
          <w:i/>
          <w:sz w:val="28"/>
          <w:szCs w:val="28"/>
          <w:lang w:val="en-US" w:eastAsia="ja-JP"/>
        </w:rPr>
        <w:t>NdeI</w:t>
      </w:r>
      <w:r w:rsidRPr="00107040">
        <w:rPr>
          <w:rFonts w:ascii="Times New Roman" w:eastAsia="MS Mincho" w:hAnsi="Times New Roman"/>
          <w:sz w:val="28"/>
          <w:szCs w:val="28"/>
          <w:lang w:val="ru-RU" w:eastAsia="ja-JP"/>
        </w:rPr>
        <w:t>_</w:t>
      </w:r>
      <w:r w:rsidRPr="00107040">
        <w:rPr>
          <w:rFonts w:ascii="Times New Roman" w:eastAsia="MS Mincho" w:hAnsi="Times New Roman"/>
          <w:sz w:val="28"/>
          <w:szCs w:val="28"/>
          <w:lang w:val="en-US" w:eastAsia="ja-JP"/>
        </w:rPr>
        <w:t>F</w:t>
      </w:r>
      <w:r w:rsidRPr="00107040">
        <w:rPr>
          <w:rFonts w:ascii="Times New Roman" w:eastAsia="MS Mincho" w:hAnsi="Times New Roman"/>
          <w:sz w:val="28"/>
          <w:szCs w:val="28"/>
          <w:lang w:val="ru-RU" w:eastAsia="ja-JP"/>
        </w:rPr>
        <w:t>/</w:t>
      </w:r>
      <w:r w:rsidR="005C5030"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2</w:t>
      </w:r>
      <w:r w:rsidRPr="00107040">
        <w:rPr>
          <w:rFonts w:ascii="Times New Roman" w:eastAsia="MS Mincho" w:hAnsi="Times New Roman"/>
          <w:i/>
          <w:sz w:val="28"/>
          <w:szCs w:val="28"/>
          <w:lang w:val="en-US" w:eastAsia="ja-JP"/>
        </w:rPr>
        <w:t>BamHI</w:t>
      </w:r>
      <w:r w:rsidRPr="00107040">
        <w:rPr>
          <w:rFonts w:ascii="Times New Roman" w:eastAsia="MS Mincho" w:hAnsi="Times New Roman"/>
          <w:sz w:val="28"/>
          <w:szCs w:val="28"/>
          <w:lang w:val="ru-RU" w:eastAsia="ja-JP"/>
        </w:rPr>
        <w:t>_</w:t>
      </w:r>
      <w:r w:rsidRPr="00107040">
        <w:rPr>
          <w:rFonts w:ascii="Times New Roman" w:eastAsia="MS Mincho" w:hAnsi="Times New Roman"/>
          <w:sz w:val="28"/>
          <w:szCs w:val="28"/>
          <w:lang w:val="en-US" w:eastAsia="ja-JP"/>
        </w:rPr>
        <w:t>R</w:t>
      </w:r>
      <w:r w:rsidRPr="00107040">
        <w:rPr>
          <w:rFonts w:ascii="Times New Roman" w:eastAsia="MS Mincho" w:hAnsi="Times New Roman"/>
          <w:sz w:val="28"/>
          <w:szCs w:val="28"/>
          <w:lang w:val="ru-RU" w:eastAsia="ja-JP"/>
        </w:rPr>
        <w:t xml:space="preserve"> для </w:t>
      </w:r>
      <w:r w:rsidR="005C5030"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2 (Таблица </w:t>
      </w:r>
      <w:r w:rsidR="007B247C">
        <w:rPr>
          <w:rFonts w:ascii="Times New Roman" w:eastAsia="MS Mincho" w:hAnsi="Times New Roman"/>
          <w:sz w:val="28"/>
          <w:szCs w:val="28"/>
          <w:lang w:val="ru-RU" w:eastAsia="ja-JP"/>
        </w:rPr>
        <w:t>5</w:t>
      </w:r>
      <w:r w:rsidRPr="00107040">
        <w:rPr>
          <w:rFonts w:ascii="Times New Roman" w:eastAsia="MS Mincho" w:hAnsi="Times New Roman"/>
          <w:sz w:val="28"/>
          <w:szCs w:val="28"/>
          <w:lang w:val="ru-RU" w:eastAsia="ja-JP"/>
        </w:rPr>
        <w:t>).</w:t>
      </w:r>
    </w:p>
    <w:p w14:paraId="1057FAC5" w14:textId="4A01C062"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ПЦР-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мплифик</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цию проводили в следующих темпер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турных режимах: ден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тур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ция при 94</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vertAlign w:val="superscript"/>
          <w:lang w:val="ru-RU" w:eastAsia="ja-JP"/>
        </w:rPr>
        <w:t>о</w:t>
      </w:r>
      <w:r w:rsidRPr="00107040">
        <w:rPr>
          <w:rFonts w:ascii="Times New Roman" w:eastAsia="MS Mincho" w:hAnsi="Times New Roman"/>
          <w:sz w:val="28"/>
          <w:szCs w:val="28"/>
          <w:lang w:val="ru-RU" w:eastAsia="ja-JP"/>
        </w:rPr>
        <w:t xml:space="preserve">С </w:t>
      </w:r>
      <w:r w:rsidR="001B6384" w:rsidRPr="00107040">
        <w:rPr>
          <w:rStyle w:val="jlqj4b"/>
          <w:rFonts w:ascii="Times New Roman" w:hAnsi="Times New Roman"/>
          <w:sz w:val="28"/>
          <w:szCs w:val="28"/>
          <w:shd w:val="clear" w:color="auto" w:fill="FFFFFF"/>
          <w:lang w:val="ru-RU"/>
        </w:rPr>
        <w:sym w:font="Symbol" w:char="F02D"/>
      </w:r>
      <w:r w:rsidRPr="00107040">
        <w:rPr>
          <w:rFonts w:ascii="Times New Roman" w:eastAsia="MS Mincho" w:hAnsi="Times New Roman"/>
          <w:sz w:val="28"/>
          <w:szCs w:val="28"/>
          <w:lang w:val="ru-RU" w:eastAsia="ja-JP"/>
        </w:rPr>
        <w:t xml:space="preserve"> 5 мин, 30 циклов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мплифик</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ции при 94</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vertAlign w:val="superscript"/>
          <w:lang w:val="ru-RU" w:eastAsia="ja-JP"/>
        </w:rPr>
        <w:t>о</w:t>
      </w:r>
      <w:r w:rsidRPr="00107040">
        <w:rPr>
          <w:rFonts w:ascii="Times New Roman" w:eastAsia="MS Mincho" w:hAnsi="Times New Roman"/>
          <w:sz w:val="28"/>
          <w:szCs w:val="28"/>
          <w:lang w:val="ru-RU" w:eastAsia="ja-JP"/>
        </w:rPr>
        <w:t>С – 30 сек, 45-65</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vertAlign w:val="superscript"/>
          <w:lang w:val="ru-RU" w:eastAsia="ja-JP"/>
        </w:rPr>
        <w:t>о</w:t>
      </w:r>
      <w:r w:rsidRPr="00107040">
        <w:rPr>
          <w:rFonts w:ascii="Times New Roman" w:eastAsia="MS Mincho" w:hAnsi="Times New Roman"/>
          <w:sz w:val="28"/>
          <w:szCs w:val="28"/>
          <w:lang w:val="ru-RU" w:eastAsia="ja-JP"/>
        </w:rPr>
        <w:t xml:space="preserve">С (в зависимости от используемых праймеров) </w:t>
      </w:r>
      <w:r w:rsidR="001B6384" w:rsidRPr="00107040">
        <w:rPr>
          <w:rStyle w:val="jlqj4b"/>
          <w:rFonts w:ascii="Times New Roman" w:hAnsi="Times New Roman"/>
          <w:sz w:val="28"/>
          <w:szCs w:val="28"/>
          <w:shd w:val="clear" w:color="auto" w:fill="FFFFFF"/>
          <w:lang w:val="ru-RU"/>
        </w:rPr>
        <w:sym w:font="Symbol" w:char="F02D"/>
      </w:r>
      <w:r w:rsidRPr="00107040">
        <w:rPr>
          <w:rFonts w:ascii="Times New Roman" w:eastAsia="MS Mincho" w:hAnsi="Times New Roman"/>
          <w:sz w:val="28"/>
          <w:szCs w:val="28"/>
          <w:lang w:val="ru-RU" w:eastAsia="ja-JP"/>
        </w:rPr>
        <w:t xml:space="preserve"> 30 сек, 72</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vertAlign w:val="superscript"/>
          <w:lang w:val="ru-RU" w:eastAsia="ja-JP"/>
        </w:rPr>
        <w:t>о</w:t>
      </w:r>
      <w:r w:rsidRPr="00107040">
        <w:rPr>
          <w:rFonts w:ascii="Times New Roman" w:eastAsia="MS Mincho" w:hAnsi="Times New Roman"/>
          <w:sz w:val="28"/>
          <w:szCs w:val="28"/>
          <w:lang w:val="ru-RU" w:eastAsia="ja-JP"/>
        </w:rPr>
        <w:t>С – 30-150 сек (в зависимости от длины генов) и з</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ключительн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я элонг</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ция при 72</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vertAlign w:val="superscript"/>
          <w:lang w:val="ru-RU" w:eastAsia="ja-JP"/>
        </w:rPr>
        <w:t>о</w:t>
      </w:r>
      <w:r w:rsidRPr="00107040">
        <w:rPr>
          <w:rFonts w:ascii="Times New Roman" w:eastAsia="MS Mincho" w:hAnsi="Times New Roman"/>
          <w:sz w:val="28"/>
          <w:szCs w:val="28"/>
          <w:lang w:val="ru-RU" w:eastAsia="ja-JP"/>
        </w:rPr>
        <w:t xml:space="preserve">С </w:t>
      </w:r>
      <w:r w:rsidR="001B6384" w:rsidRPr="00107040">
        <w:rPr>
          <w:rStyle w:val="jlqj4b"/>
          <w:rFonts w:ascii="Times New Roman" w:hAnsi="Times New Roman"/>
          <w:sz w:val="28"/>
          <w:szCs w:val="28"/>
          <w:shd w:val="clear" w:color="auto" w:fill="FFFFFF"/>
          <w:lang w:val="ru-RU"/>
        </w:rPr>
        <w:sym w:font="Symbol" w:char="F02D"/>
      </w:r>
      <w:r w:rsidRPr="00107040">
        <w:rPr>
          <w:rFonts w:ascii="Times New Roman" w:eastAsia="MS Mincho" w:hAnsi="Times New Roman"/>
          <w:sz w:val="28"/>
          <w:szCs w:val="28"/>
          <w:lang w:val="ru-RU" w:eastAsia="ja-JP"/>
        </w:rPr>
        <w:t xml:space="preserve"> 5 мин, после</w:t>
      </w:r>
      <w:r w:rsidR="001B6384" w:rsidRPr="00107040">
        <w:rPr>
          <w:rFonts w:ascii="Times New Roman" w:eastAsia="MS Mincho" w:hAnsi="Times New Roman"/>
          <w:sz w:val="28"/>
          <w:szCs w:val="28"/>
          <w:lang w:val="ru-RU" w:eastAsia="ja-JP"/>
        </w:rPr>
        <w:t xml:space="preserve"> чего</w:t>
      </w:r>
      <w:r w:rsidRPr="00107040">
        <w:rPr>
          <w:rFonts w:ascii="Times New Roman" w:eastAsia="MS Mincho" w:hAnsi="Times New Roman"/>
          <w:sz w:val="28"/>
          <w:szCs w:val="28"/>
          <w:lang w:val="ru-RU" w:eastAsia="ja-JP"/>
        </w:rPr>
        <w:t xml:space="preserve"> была пауза при 4</w:t>
      </w:r>
      <w:r w:rsidR="005C503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vertAlign w:val="superscript"/>
          <w:lang w:val="ru-RU" w:eastAsia="ja-JP"/>
        </w:rPr>
        <w:t>о</w:t>
      </w:r>
      <w:r w:rsidRPr="00107040">
        <w:rPr>
          <w:rFonts w:ascii="Times New Roman" w:eastAsia="MS Mincho" w:hAnsi="Times New Roman"/>
          <w:sz w:val="28"/>
          <w:szCs w:val="28"/>
          <w:lang w:val="ru-RU" w:eastAsia="ja-JP"/>
        </w:rPr>
        <w:t>С</w:t>
      </w:r>
      <w:r w:rsidR="008A7A10" w:rsidRPr="00107040">
        <w:rPr>
          <w:rFonts w:ascii="Times New Roman" w:eastAsia="MS Mincho" w:hAnsi="Times New Roman"/>
          <w:sz w:val="28"/>
          <w:szCs w:val="28"/>
          <w:lang w:val="ru-RU" w:eastAsia="ja-JP"/>
        </w:rPr>
        <w:t xml:space="preserve"> </w:t>
      </w:r>
      <w:r w:rsidR="008A7A10"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{"citationID":"fn8BcTSw","properties":{"formattedCitation":"[432]","plainCitation":"[432]","noteIndex":0},"citationItems":[{"id":1431,"uris":["http://zotero.org/users/9078202/items/44KQCZSR"],"itemData":{"id":1431,"type":"article-journal","abstract":"This protocol describes the reagents and procedures required to amplify a segment of double-stranded DNA in a chain reaction catalyzed by a thermostable DNA polymerase. It is the foundation for all subsequent variations of the polymerase chain reaction (PCR).","container-title":"Cold Spring Harbor Protocols","DOI":"10.1101/pdb.prot095117","ISSN":"1559-6095","issue":"5","journalAbbreviation":"Cold Spring Harb Protoc","language":"eng","note":"PMID: 29717051","source":"PubMed","title":"The Basic Polymerase Chain Reaction (PCR)","volume":"2018","author":[{"family":"Green","given":"Michael R."},{"family":"Sambrook","given":"Joseph"}],"issued":{"date-parts":[["2018",5,1]]}}}],"schema":"https://github.com/citation-style-language/schema/raw/master/csl-citation.json"} </w:instrText>
      </w:r>
      <w:r w:rsidR="008A7A10"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[432]</w:t>
      </w:r>
      <w:r w:rsidR="008A7A10"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w:t>
      </w:r>
      <w:r w:rsidR="008A7A10" w:rsidRPr="00107040">
        <w:rPr>
          <w:rFonts w:ascii="Times New Roman" w:eastAsia="MS Mincho" w:hAnsi="Times New Roman"/>
          <w:sz w:val="28"/>
          <w:szCs w:val="28"/>
          <w:lang w:val="ru-RU" w:eastAsia="ja-JP"/>
        </w:rPr>
        <w:t xml:space="preserve"> </w:t>
      </w:r>
      <w:r w:rsidR="008A7A10" w:rsidRPr="00107040">
        <w:rPr>
          <w:rStyle w:val="a5"/>
          <w:rFonts w:ascii="Times New Roman" w:hAnsi="Times New Roman"/>
          <w:b w:val="0"/>
          <w:sz w:val="28"/>
          <w:szCs w:val="28"/>
          <w:lang w:val="ru-RU"/>
        </w:rPr>
        <w:t xml:space="preserve">Праймеры, приведенные в таблице </w:t>
      </w:r>
      <w:r w:rsidR="00FD760C">
        <w:rPr>
          <w:rStyle w:val="a5"/>
          <w:rFonts w:ascii="Times New Roman" w:hAnsi="Times New Roman"/>
          <w:b w:val="0"/>
          <w:sz w:val="28"/>
          <w:szCs w:val="28"/>
          <w:lang w:val="ru-RU"/>
        </w:rPr>
        <w:t>5</w:t>
      </w:r>
      <w:r w:rsidR="008A7A10" w:rsidRPr="00107040">
        <w:rPr>
          <w:rStyle w:val="a5"/>
          <w:rFonts w:ascii="Times New Roman" w:hAnsi="Times New Roman"/>
          <w:b w:val="0"/>
          <w:sz w:val="28"/>
          <w:szCs w:val="28"/>
          <w:lang w:val="ru-RU"/>
        </w:rPr>
        <w:t>, были разработаны с использованием бесплатного программного обеспечения Primer 3 0.4.0 (http://frodo.wi.mit.edu/ primer3/).</w:t>
      </w:r>
    </w:p>
    <w:p w14:paraId="293728BB" w14:textId="77777777" w:rsidR="001B0545" w:rsidRPr="00107040" w:rsidRDefault="001B0545" w:rsidP="000C16BB">
      <w:pPr>
        <w:spacing w:after="0" w:line="240" w:lineRule="auto"/>
        <w:jc w:val="both"/>
        <w:rPr>
          <w:rFonts w:ascii="Times New Roman" w:eastAsia="MS Mincho" w:hAnsi="Times New Roman"/>
          <w:sz w:val="28"/>
          <w:szCs w:val="28"/>
          <w:lang w:val="ru-RU" w:eastAsia="ja-JP"/>
        </w:rPr>
      </w:pPr>
    </w:p>
    <w:p w14:paraId="46338623" w14:textId="5DD0ADCC" w:rsidR="001B0545" w:rsidRPr="00107040" w:rsidRDefault="001B0545" w:rsidP="000C16BB">
      <w:pPr>
        <w:spacing w:after="0" w:line="240" w:lineRule="auto"/>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Таблица </w:t>
      </w:r>
      <w:r w:rsidR="008C6134">
        <w:rPr>
          <w:rFonts w:ascii="Times New Roman" w:eastAsia="MS Mincho" w:hAnsi="Times New Roman"/>
          <w:sz w:val="28"/>
          <w:szCs w:val="28"/>
          <w:lang w:val="ru-RU" w:eastAsia="ja-JP"/>
        </w:rPr>
        <w:t>5</w:t>
      </w:r>
      <w:r w:rsidRPr="00107040">
        <w:rPr>
          <w:rFonts w:ascii="Times New Roman" w:eastAsia="MS Mincho" w:hAnsi="Times New Roman"/>
          <w:sz w:val="28"/>
          <w:szCs w:val="28"/>
          <w:lang w:val="ru-RU" w:eastAsia="ja-JP"/>
        </w:rPr>
        <w:t xml:space="preserve"> – Список праймеров ПЦР, используемых для клонирования и сайт-направленного мутагенеза.</w:t>
      </w:r>
    </w:p>
    <w:p w14:paraId="41ADC68E" w14:textId="77777777" w:rsidR="001B0545" w:rsidRPr="00107040" w:rsidRDefault="001B0545" w:rsidP="000C16BB">
      <w:pPr>
        <w:spacing w:after="0" w:line="240" w:lineRule="auto"/>
        <w:ind w:firstLine="567"/>
        <w:jc w:val="both"/>
        <w:rPr>
          <w:rFonts w:ascii="Times New Roman" w:eastAsia="MS Mincho" w:hAnsi="Times New Roman"/>
          <w:sz w:val="28"/>
          <w:szCs w:val="28"/>
          <w:lang w:val="ru-RU" w:eastAsia="ja-JP"/>
        </w:rPr>
      </w:pP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6714"/>
      </w:tblGrid>
      <w:tr w:rsidR="001B0545" w:rsidRPr="00107040" w14:paraId="30BB0C60" w14:textId="77777777" w:rsidTr="001B0545">
        <w:trPr>
          <w:trHeight w:hRule="exact" w:val="340"/>
        </w:trPr>
        <w:tc>
          <w:tcPr>
            <w:tcW w:w="2943" w:type="dxa"/>
          </w:tcPr>
          <w:p w14:paraId="42A70742"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AtPARP1</w:t>
            </w:r>
            <w:r w:rsidRPr="00107040">
              <w:rPr>
                <w:rFonts w:ascii="Times New Roman" w:eastAsia="MS Mincho" w:hAnsi="Times New Roman"/>
                <w:i/>
                <w:iCs/>
                <w:sz w:val="28"/>
                <w:szCs w:val="28"/>
                <w:lang w:val="en-US" w:eastAsia="ja-JP"/>
              </w:rPr>
              <w:t>Nde</w:t>
            </w:r>
            <w:r w:rsidRPr="00107040">
              <w:rPr>
                <w:rFonts w:ascii="Times New Roman" w:eastAsia="MS Mincho" w:hAnsi="Times New Roman"/>
                <w:iCs/>
                <w:sz w:val="28"/>
                <w:szCs w:val="28"/>
                <w:lang w:val="en-US" w:eastAsia="ja-JP"/>
              </w:rPr>
              <w:t>I</w:t>
            </w:r>
            <w:r w:rsidRPr="00107040">
              <w:rPr>
                <w:rFonts w:ascii="Times New Roman" w:eastAsia="MS Mincho" w:hAnsi="Times New Roman"/>
                <w:sz w:val="28"/>
                <w:szCs w:val="28"/>
                <w:lang w:val="en-US" w:eastAsia="ja-JP"/>
              </w:rPr>
              <w:t>_F</w:t>
            </w:r>
          </w:p>
        </w:tc>
        <w:tc>
          <w:tcPr>
            <w:tcW w:w="6714" w:type="dxa"/>
          </w:tcPr>
          <w:p w14:paraId="1CCE485E"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CAGCCATATGGCAAGCCCTCATAAGC</w:t>
            </w:r>
          </w:p>
        </w:tc>
      </w:tr>
      <w:tr w:rsidR="001B0545" w:rsidRPr="00107040" w14:paraId="16E4CC1E" w14:textId="77777777" w:rsidTr="001B0545">
        <w:trPr>
          <w:trHeight w:hRule="exact" w:val="340"/>
        </w:trPr>
        <w:tc>
          <w:tcPr>
            <w:tcW w:w="2943" w:type="dxa"/>
          </w:tcPr>
          <w:p w14:paraId="12D68AA1"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AtPARP1</w:t>
            </w:r>
            <w:r w:rsidRPr="00107040">
              <w:rPr>
                <w:rFonts w:ascii="Times New Roman" w:eastAsia="MS Mincho" w:hAnsi="Times New Roman"/>
                <w:i/>
                <w:iCs/>
                <w:sz w:val="28"/>
                <w:szCs w:val="28"/>
                <w:lang w:val="en-US" w:eastAsia="ja-JP"/>
              </w:rPr>
              <w:t>Bam</w:t>
            </w:r>
            <w:r w:rsidRPr="00107040">
              <w:rPr>
                <w:rFonts w:ascii="Times New Roman" w:eastAsia="MS Mincho" w:hAnsi="Times New Roman"/>
                <w:sz w:val="28"/>
                <w:szCs w:val="28"/>
                <w:lang w:val="en-US" w:eastAsia="ja-JP"/>
              </w:rPr>
              <w:t>HI_R</w:t>
            </w:r>
          </w:p>
        </w:tc>
        <w:tc>
          <w:tcPr>
            <w:tcW w:w="6714" w:type="dxa"/>
          </w:tcPr>
          <w:p w14:paraId="4B910E77"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AGGCGGATCCTTAGCGTTTGTGTTTAAAGC</w:t>
            </w:r>
          </w:p>
        </w:tc>
      </w:tr>
      <w:tr w:rsidR="001B0545" w:rsidRPr="00107040" w14:paraId="7E769802" w14:textId="77777777" w:rsidTr="001B0545">
        <w:trPr>
          <w:trHeight w:hRule="exact" w:val="340"/>
        </w:trPr>
        <w:tc>
          <w:tcPr>
            <w:tcW w:w="2943" w:type="dxa"/>
          </w:tcPr>
          <w:p w14:paraId="6277490D"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AtPARP2</w:t>
            </w:r>
            <w:r w:rsidRPr="00107040">
              <w:rPr>
                <w:rFonts w:ascii="Times New Roman" w:eastAsia="MS Mincho" w:hAnsi="Times New Roman"/>
                <w:i/>
                <w:iCs/>
                <w:sz w:val="28"/>
                <w:szCs w:val="28"/>
                <w:lang w:val="en-US" w:eastAsia="ja-JP"/>
              </w:rPr>
              <w:t>Nde</w:t>
            </w:r>
            <w:r w:rsidRPr="00107040">
              <w:rPr>
                <w:rFonts w:ascii="Times New Roman" w:eastAsia="MS Mincho" w:hAnsi="Times New Roman"/>
                <w:iCs/>
                <w:sz w:val="28"/>
                <w:szCs w:val="28"/>
                <w:lang w:val="en-US" w:eastAsia="ja-JP"/>
              </w:rPr>
              <w:t>I</w:t>
            </w:r>
            <w:r w:rsidRPr="00107040">
              <w:rPr>
                <w:rFonts w:ascii="Times New Roman" w:eastAsia="MS Mincho" w:hAnsi="Times New Roman"/>
                <w:sz w:val="28"/>
                <w:szCs w:val="28"/>
                <w:lang w:val="en-US" w:eastAsia="ja-JP"/>
              </w:rPr>
              <w:t>_F</w:t>
            </w:r>
          </w:p>
        </w:tc>
        <w:tc>
          <w:tcPr>
            <w:tcW w:w="6714" w:type="dxa"/>
          </w:tcPr>
          <w:p w14:paraId="153A73BB"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CAGCCATATGGCAAACAAGCTGAAGG</w:t>
            </w:r>
          </w:p>
        </w:tc>
      </w:tr>
      <w:tr w:rsidR="001B0545" w:rsidRPr="00107040" w14:paraId="34445565" w14:textId="77777777" w:rsidTr="001B0545">
        <w:trPr>
          <w:trHeight w:hRule="exact" w:val="340"/>
        </w:trPr>
        <w:tc>
          <w:tcPr>
            <w:tcW w:w="2943" w:type="dxa"/>
          </w:tcPr>
          <w:p w14:paraId="26B28515"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AtPARP2</w:t>
            </w:r>
            <w:r w:rsidRPr="00107040">
              <w:rPr>
                <w:rFonts w:ascii="Times New Roman" w:eastAsia="MS Mincho" w:hAnsi="Times New Roman"/>
                <w:i/>
                <w:iCs/>
                <w:sz w:val="28"/>
                <w:szCs w:val="28"/>
                <w:lang w:val="en-US" w:eastAsia="ja-JP"/>
              </w:rPr>
              <w:t>Bam</w:t>
            </w:r>
            <w:r w:rsidRPr="00107040">
              <w:rPr>
                <w:rFonts w:ascii="Times New Roman" w:eastAsia="MS Mincho" w:hAnsi="Times New Roman"/>
                <w:sz w:val="28"/>
                <w:szCs w:val="28"/>
                <w:lang w:val="en-US" w:eastAsia="ja-JP"/>
              </w:rPr>
              <w:t>HI_R</w:t>
            </w:r>
          </w:p>
        </w:tc>
        <w:tc>
          <w:tcPr>
            <w:tcW w:w="6714" w:type="dxa"/>
          </w:tcPr>
          <w:p w14:paraId="29A82FF3"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AGGCGGATCCTTAATGTTTGTAGTTG</w:t>
            </w:r>
          </w:p>
        </w:tc>
      </w:tr>
      <w:tr w:rsidR="001B0545" w:rsidRPr="00107040" w14:paraId="29712A86" w14:textId="77777777" w:rsidTr="001B0545">
        <w:trPr>
          <w:trHeight w:hRule="exact" w:val="340"/>
        </w:trPr>
        <w:tc>
          <w:tcPr>
            <w:tcW w:w="2943" w:type="dxa"/>
          </w:tcPr>
          <w:p w14:paraId="3C8CCE8C" w14:textId="77777777" w:rsidR="001B0545" w:rsidRPr="00107040" w:rsidRDefault="001B0545" w:rsidP="000C16BB">
            <w:pPr>
              <w:spacing w:after="0" w:line="240" w:lineRule="auto"/>
              <w:jc w:val="both"/>
              <w:rPr>
                <w:rFonts w:ascii="Times New Roman" w:eastAsia="MS Mincho" w:hAnsi="Times New Roman"/>
                <w:bCs/>
                <w:sz w:val="28"/>
                <w:szCs w:val="28"/>
                <w:lang w:val="en-GB" w:eastAsia="ja-JP"/>
              </w:rPr>
            </w:pPr>
            <w:r w:rsidRPr="00107040">
              <w:rPr>
                <w:rFonts w:ascii="Times New Roman" w:eastAsia="MS Mincho" w:hAnsi="Times New Roman"/>
                <w:bCs/>
                <w:sz w:val="28"/>
                <w:szCs w:val="28"/>
                <w:lang w:val="en-GB" w:eastAsia="ja-JP"/>
              </w:rPr>
              <w:t>AtPARP1_E960K</w:t>
            </w:r>
            <w:r w:rsidRPr="00107040">
              <w:rPr>
                <w:rFonts w:ascii="Times New Roman" w:eastAsia="MS Mincho" w:hAnsi="Times New Roman"/>
                <w:sz w:val="28"/>
                <w:szCs w:val="28"/>
                <w:lang w:val="en-US" w:eastAsia="ja-JP"/>
              </w:rPr>
              <w:t>_F</w:t>
            </w:r>
          </w:p>
        </w:tc>
        <w:tc>
          <w:tcPr>
            <w:tcW w:w="6714" w:type="dxa"/>
          </w:tcPr>
          <w:p w14:paraId="00DC95F3"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CGAACTGATGTATAACAAATATATTGTATATGATAC</w:t>
            </w:r>
          </w:p>
        </w:tc>
      </w:tr>
      <w:tr w:rsidR="001B0545" w:rsidRPr="00107040" w14:paraId="6AB9E2E2" w14:textId="77777777" w:rsidTr="001B0545">
        <w:trPr>
          <w:trHeight w:hRule="exact" w:val="340"/>
        </w:trPr>
        <w:tc>
          <w:tcPr>
            <w:tcW w:w="2943" w:type="dxa"/>
          </w:tcPr>
          <w:p w14:paraId="757926B4" w14:textId="77777777" w:rsidR="001B0545" w:rsidRPr="00107040" w:rsidRDefault="001B0545" w:rsidP="000C16BB">
            <w:pPr>
              <w:spacing w:after="0" w:line="240" w:lineRule="auto"/>
              <w:jc w:val="both"/>
              <w:rPr>
                <w:rFonts w:ascii="Times New Roman" w:eastAsia="MS Mincho" w:hAnsi="Times New Roman"/>
                <w:bCs/>
                <w:sz w:val="28"/>
                <w:szCs w:val="28"/>
                <w:lang w:val="en-GB" w:eastAsia="ja-JP"/>
              </w:rPr>
            </w:pPr>
            <w:r w:rsidRPr="00107040">
              <w:rPr>
                <w:rFonts w:ascii="Times New Roman" w:eastAsia="MS Mincho" w:hAnsi="Times New Roman"/>
                <w:bCs/>
                <w:sz w:val="28"/>
                <w:szCs w:val="28"/>
                <w:lang w:val="en-GB" w:eastAsia="ja-JP"/>
              </w:rPr>
              <w:t>AtPARP1_E960K</w:t>
            </w:r>
            <w:r w:rsidRPr="00107040">
              <w:rPr>
                <w:rFonts w:ascii="Times New Roman" w:eastAsia="MS Mincho" w:hAnsi="Times New Roman"/>
                <w:sz w:val="28"/>
                <w:szCs w:val="28"/>
                <w:lang w:val="en-US" w:eastAsia="ja-JP"/>
              </w:rPr>
              <w:t>_R</w:t>
            </w:r>
          </w:p>
        </w:tc>
        <w:tc>
          <w:tcPr>
            <w:tcW w:w="6714" w:type="dxa"/>
          </w:tcPr>
          <w:p w14:paraId="43CEAC6E"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GTATCATATACAATATATTTGTTATACATCAGTTCG</w:t>
            </w:r>
          </w:p>
        </w:tc>
      </w:tr>
      <w:tr w:rsidR="001B0545" w:rsidRPr="00107040" w14:paraId="0FA4EAEA" w14:textId="77777777" w:rsidTr="001B0545">
        <w:trPr>
          <w:trHeight w:hRule="exact" w:val="340"/>
        </w:trPr>
        <w:tc>
          <w:tcPr>
            <w:tcW w:w="2943" w:type="dxa"/>
          </w:tcPr>
          <w:p w14:paraId="7841D9A8" w14:textId="77777777" w:rsidR="001B0545" w:rsidRPr="00107040" w:rsidRDefault="001B0545" w:rsidP="000C16BB">
            <w:pPr>
              <w:spacing w:after="0" w:line="240" w:lineRule="auto"/>
              <w:jc w:val="both"/>
              <w:rPr>
                <w:rFonts w:ascii="Times New Roman" w:eastAsia="MS Mincho" w:hAnsi="Times New Roman"/>
                <w:bCs/>
                <w:sz w:val="28"/>
                <w:szCs w:val="28"/>
                <w:lang w:val="en-GB" w:eastAsia="ja-JP"/>
              </w:rPr>
            </w:pPr>
            <w:r w:rsidRPr="00107040">
              <w:rPr>
                <w:rFonts w:ascii="Times New Roman" w:eastAsia="MS Mincho" w:hAnsi="Times New Roman"/>
                <w:bCs/>
                <w:sz w:val="28"/>
                <w:szCs w:val="28"/>
                <w:lang w:val="en-GB" w:eastAsia="ja-JP"/>
              </w:rPr>
              <w:t>AtPARP</w:t>
            </w:r>
            <w:r w:rsidRPr="00107040">
              <w:rPr>
                <w:rFonts w:ascii="Times New Roman" w:eastAsia="MS Mincho" w:hAnsi="Times New Roman"/>
                <w:bCs/>
                <w:sz w:val="28"/>
                <w:szCs w:val="28"/>
                <w:lang w:val="pt-BR" w:eastAsia="ja-JP"/>
              </w:rPr>
              <w:t>1_</w:t>
            </w:r>
            <w:r w:rsidRPr="00107040">
              <w:rPr>
                <w:rFonts w:ascii="Times New Roman" w:eastAsia="MS Mincho" w:hAnsi="Times New Roman"/>
                <w:bCs/>
                <w:sz w:val="28"/>
                <w:szCs w:val="28"/>
                <w:lang w:val="en-GB" w:eastAsia="ja-JP"/>
              </w:rPr>
              <w:t>E960Q</w:t>
            </w:r>
            <w:r w:rsidRPr="00107040">
              <w:rPr>
                <w:rFonts w:ascii="Times New Roman" w:eastAsia="MS Mincho" w:hAnsi="Times New Roman"/>
                <w:sz w:val="28"/>
                <w:szCs w:val="28"/>
                <w:lang w:val="en-US" w:eastAsia="ja-JP"/>
              </w:rPr>
              <w:t>_F</w:t>
            </w:r>
          </w:p>
        </w:tc>
        <w:tc>
          <w:tcPr>
            <w:tcW w:w="6714" w:type="dxa"/>
          </w:tcPr>
          <w:p w14:paraId="1147EEE8"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CGAACTGATGTATAACCAATATATTGTATATGATAC</w:t>
            </w:r>
          </w:p>
        </w:tc>
      </w:tr>
      <w:tr w:rsidR="001B0545" w:rsidRPr="00107040" w14:paraId="0FB788B0" w14:textId="77777777" w:rsidTr="001B0545">
        <w:trPr>
          <w:trHeight w:hRule="exact" w:val="340"/>
        </w:trPr>
        <w:tc>
          <w:tcPr>
            <w:tcW w:w="2943" w:type="dxa"/>
            <w:tcBorders>
              <w:bottom w:val="single" w:sz="4" w:space="0" w:color="auto"/>
            </w:tcBorders>
          </w:tcPr>
          <w:p w14:paraId="44D4C210" w14:textId="77777777" w:rsidR="001B0545" w:rsidRPr="00107040" w:rsidRDefault="001B0545" w:rsidP="000C16BB">
            <w:pPr>
              <w:spacing w:after="0" w:line="240" w:lineRule="auto"/>
              <w:jc w:val="both"/>
              <w:rPr>
                <w:rFonts w:ascii="Times New Roman" w:eastAsia="MS Mincho" w:hAnsi="Times New Roman"/>
                <w:bCs/>
                <w:sz w:val="28"/>
                <w:szCs w:val="28"/>
                <w:lang w:val="en-GB" w:eastAsia="ja-JP"/>
              </w:rPr>
            </w:pPr>
            <w:r w:rsidRPr="00107040">
              <w:rPr>
                <w:rFonts w:ascii="Times New Roman" w:eastAsia="MS Mincho" w:hAnsi="Times New Roman"/>
                <w:bCs/>
                <w:sz w:val="28"/>
                <w:szCs w:val="28"/>
                <w:lang w:val="en-GB" w:eastAsia="ja-JP"/>
              </w:rPr>
              <w:t>AtPARP</w:t>
            </w:r>
            <w:r w:rsidRPr="00107040">
              <w:rPr>
                <w:rFonts w:ascii="Times New Roman" w:eastAsia="MS Mincho" w:hAnsi="Times New Roman"/>
                <w:bCs/>
                <w:sz w:val="28"/>
                <w:szCs w:val="28"/>
                <w:lang w:val="pt-BR" w:eastAsia="ja-JP"/>
              </w:rPr>
              <w:t>1_</w:t>
            </w:r>
            <w:r w:rsidRPr="00107040">
              <w:rPr>
                <w:rFonts w:ascii="Times New Roman" w:eastAsia="MS Mincho" w:hAnsi="Times New Roman"/>
                <w:bCs/>
                <w:sz w:val="28"/>
                <w:szCs w:val="28"/>
                <w:lang w:val="en-GB" w:eastAsia="ja-JP"/>
              </w:rPr>
              <w:t>E960Q</w:t>
            </w:r>
            <w:r w:rsidRPr="00107040">
              <w:rPr>
                <w:rFonts w:ascii="Times New Roman" w:eastAsia="MS Mincho" w:hAnsi="Times New Roman"/>
                <w:b/>
                <w:sz w:val="28"/>
                <w:szCs w:val="28"/>
                <w:lang w:val="en-US" w:eastAsia="ja-JP"/>
              </w:rPr>
              <w:t>_</w:t>
            </w:r>
            <w:r w:rsidRPr="00107040">
              <w:rPr>
                <w:rFonts w:ascii="Times New Roman" w:eastAsia="MS Mincho" w:hAnsi="Times New Roman"/>
                <w:sz w:val="28"/>
                <w:szCs w:val="28"/>
                <w:lang w:val="en-US" w:eastAsia="ja-JP"/>
              </w:rPr>
              <w:t>R</w:t>
            </w:r>
          </w:p>
        </w:tc>
        <w:tc>
          <w:tcPr>
            <w:tcW w:w="6714" w:type="dxa"/>
            <w:tcBorders>
              <w:bottom w:val="single" w:sz="4" w:space="0" w:color="auto"/>
            </w:tcBorders>
          </w:tcPr>
          <w:p w14:paraId="3125BC5A"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GTATCATATACAATATATTGGTTATACATCAGTTCG</w:t>
            </w:r>
          </w:p>
        </w:tc>
      </w:tr>
      <w:tr w:rsidR="001B0545" w:rsidRPr="00107040" w14:paraId="0CD15A53" w14:textId="77777777" w:rsidTr="001B0545">
        <w:trPr>
          <w:trHeight w:hRule="exact" w:val="340"/>
        </w:trPr>
        <w:tc>
          <w:tcPr>
            <w:tcW w:w="2943" w:type="dxa"/>
            <w:tcBorders>
              <w:bottom w:val="nil"/>
            </w:tcBorders>
          </w:tcPr>
          <w:p w14:paraId="0F038010"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bCs/>
                <w:sz w:val="28"/>
                <w:szCs w:val="28"/>
                <w:lang w:val="en-GB" w:eastAsia="ja-JP"/>
              </w:rPr>
              <w:t>AtPARP2_E614K</w:t>
            </w:r>
            <w:r w:rsidRPr="00107040">
              <w:rPr>
                <w:rFonts w:ascii="Times New Roman" w:eastAsia="MS Mincho" w:hAnsi="Times New Roman"/>
                <w:sz w:val="28"/>
                <w:szCs w:val="28"/>
                <w:lang w:val="en-US" w:eastAsia="ja-JP"/>
              </w:rPr>
              <w:t>_F</w:t>
            </w:r>
          </w:p>
        </w:tc>
        <w:tc>
          <w:tcPr>
            <w:tcW w:w="6714" w:type="dxa"/>
            <w:tcBorders>
              <w:bottom w:val="nil"/>
            </w:tcBorders>
          </w:tcPr>
          <w:p w14:paraId="14549B2A"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GCATGCTGCTGTATAACAAATATATTGTTTATAAC</w:t>
            </w:r>
          </w:p>
        </w:tc>
      </w:tr>
      <w:tr w:rsidR="001B0545" w:rsidRPr="00107040" w14:paraId="051AE456" w14:textId="77777777" w:rsidTr="001B0545">
        <w:trPr>
          <w:trHeight w:hRule="exact" w:val="340"/>
        </w:trPr>
        <w:tc>
          <w:tcPr>
            <w:tcW w:w="2943" w:type="dxa"/>
            <w:tcBorders>
              <w:top w:val="single" w:sz="4" w:space="0" w:color="auto"/>
            </w:tcBorders>
          </w:tcPr>
          <w:p w14:paraId="27074257"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bCs/>
                <w:sz w:val="28"/>
                <w:szCs w:val="28"/>
                <w:lang w:val="en-GB" w:eastAsia="ja-JP"/>
              </w:rPr>
              <w:t>AtPARP2_E614K</w:t>
            </w:r>
            <w:r w:rsidRPr="00107040">
              <w:rPr>
                <w:rFonts w:ascii="Times New Roman" w:eastAsia="MS Mincho" w:hAnsi="Times New Roman"/>
                <w:sz w:val="28"/>
                <w:szCs w:val="28"/>
                <w:lang w:val="en-US" w:eastAsia="ja-JP"/>
              </w:rPr>
              <w:t>_R</w:t>
            </w:r>
          </w:p>
        </w:tc>
        <w:tc>
          <w:tcPr>
            <w:tcW w:w="6714" w:type="dxa"/>
            <w:tcBorders>
              <w:top w:val="single" w:sz="4" w:space="0" w:color="auto"/>
            </w:tcBorders>
          </w:tcPr>
          <w:p w14:paraId="5C88BF2C"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GTTATAAACAATATATTTGTTATACAGCAGCATGC</w:t>
            </w:r>
          </w:p>
        </w:tc>
      </w:tr>
      <w:tr w:rsidR="001B0545" w:rsidRPr="00107040" w14:paraId="5E9615B1" w14:textId="77777777" w:rsidTr="001B0545">
        <w:trPr>
          <w:trHeight w:hRule="exact" w:val="340"/>
        </w:trPr>
        <w:tc>
          <w:tcPr>
            <w:tcW w:w="2943" w:type="dxa"/>
          </w:tcPr>
          <w:p w14:paraId="73B6798D" w14:textId="77777777" w:rsidR="001B0545" w:rsidRPr="00107040" w:rsidRDefault="001B0545" w:rsidP="000C16BB">
            <w:pPr>
              <w:spacing w:after="0" w:line="240" w:lineRule="auto"/>
              <w:jc w:val="both"/>
              <w:rPr>
                <w:rFonts w:ascii="Times New Roman" w:eastAsia="MS Mincho" w:hAnsi="Times New Roman"/>
                <w:bCs/>
                <w:sz w:val="28"/>
                <w:szCs w:val="28"/>
                <w:lang w:val="en-GB" w:eastAsia="ja-JP"/>
              </w:rPr>
            </w:pPr>
            <w:r w:rsidRPr="00107040">
              <w:rPr>
                <w:rFonts w:ascii="Times New Roman" w:eastAsia="MS Mincho" w:hAnsi="Times New Roman"/>
                <w:bCs/>
                <w:sz w:val="28"/>
                <w:szCs w:val="28"/>
                <w:lang w:val="en-GB" w:eastAsia="ja-JP"/>
              </w:rPr>
              <w:t>∆N273AtPARP3</w:t>
            </w:r>
            <w:r w:rsidRPr="00107040">
              <w:rPr>
                <w:rFonts w:ascii="Times New Roman" w:eastAsia="MS Mincho" w:hAnsi="Times New Roman"/>
                <w:bCs/>
                <w:i/>
                <w:sz w:val="28"/>
                <w:szCs w:val="28"/>
                <w:lang w:val="en-GB" w:eastAsia="ja-JP"/>
              </w:rPr>
              <w:t>NdeI</w:t>
            </w:r>
            <w:r w:rsidRPr="00107040">
              <w:rPr>
                <w:rFonts w:ascii="Times New Roman" w:eastAsia="MS Mincho" w:hAnsi="Times New Roman"/>
                <w:bCs/>
                <w:sz w:val="28"/>
                <w:szCs w:val="28"/>
                <w:lang w:val="en-GB" w:eastAsia="ja-JP"/>
              </w:rPr>
              <w:t>_F</w:t>
            </w:r>
          </w:p>
        </w:tc>
        <w:tc>
          <w:tcPr>
            <w:tcW w:w="6714" w:type="dxa"/>
          </w:tcPr>
          <w:p w14:paraId="3A620CE9"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AATGCTCATATGGATGTAGTTAGCGAC</w:t>
            </w:r>
          </w:p>
        </w:tc>
      </w:tr>
      <w:tr w:rsidR="001B0545" w:rsidRPr="00107040" w14:paraId="33C3A0D3" w14:textId="77777777" w:rsidTr="001B0545">
        <w:trPr>
          <w:trHeight w:hRule="exact" w:val="340"/>
        </w:trPr>
        <w:tc>
          <w:tcPr>
            <w:tcW w:w="2943" w:type="dxa"/>
          </w:tcPr>
          <w:p w14:paraId="3ECB1958" w14:textId="77777777" w:rsidR="001B0545" w:rsidRPr="00107040" w:rsidRDefault="001B0545" w:rsidP="000C16BB">
            <w:pPr>
              <w:spacing w:after="0" w:line="240" w:lineRule="auto"/>
              <w:jc w:val="both"/>
              <w:rPr>
                <w:rFonts w:ascii="Times New Roman" w:eastAsia="MS Mincho" w:hAnsi="Times New Roman"/>
                <w:bCs/>
                <w:sz w:val="28"/>
                <w:szCs w:val="28"/>
                <w:lang w:val="en-GB" w:eastAsia="ja-JP"/>
              </w:rPr>
            </w:pPr>
            <w:r w:rsidRPr="00107040">
              <w:rPr>
                <w:rFonts w:ascii="Times New Roman" w:eastAsia="MS Mincho" w:hAnsi="Times New Roman"/>
                <w:bCs/>
                <w:sz w:val="28"/>
                <w:szCs w:val="28"/>
                <w:lang w:val="en-GB" w:eastAsia="ja-JP"/>
              </w:rPr>
              <w:t>∆N273AtPARP3</w:t>
            </w:r>
            <w:r w:rsidRPr="00107040">
              <w:rPr>
                <w:rFonts w:ascii="Times New Roman" w:eastAsia="MS Mincho" w:hAnsi="Times New Roman"/>
                <w:bCs/>
                <w:i/>
                <w:sz w:val="28"/>
                <w:szCs w:val="28"/>
                <w:lang w:val="en-GB" w:eastAsia="ja-JP"/>
              </w:rPr>
              <w:t>BamHI</w:t>
            </w:r>
            <w:r w:rsidRPr="00107040">
              <w:rPr>
                <w:rFonts w:ascii="Times New Roman" w:eastAsia="MS Mincho" w:hAnsi="Times New Roman"/>
                <w:sz w:val="28"/>
                <w:szCs w:val="28"/>
                <w:lang w:val="en-US" w:eastAsia="ja-JP"/>
              </w:rPr>
              <w:t>_R</w:t>
            </w:r>
          </w:p>
        </w:tc>
        <w:tc>
          <w:tcPr>
            <w:tcW w:w="6714" w:type="dxa"/>
          </w:tcPr>
          <w:p w14:paraId="109809FB"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AGCTGGATCCTTAGTATGCTTCTAACGGCTG</w:t>
            </w:r>
          </w:p>
        </w:tc>
      </w:tr>
      <w:tr w:rsidR="001B0545" w:rsidRPr="00107040" w14:paraId="57A0DE43" w14:textId="77777777" w:rsidTr="001B0545">
        <w:trPr>
          <w:trHeight w:hRule="exact" w:val="340"/>
        </w:trPr>
        <w:tc>
          <w:tcPr>
            <w:tcW w:w="2943" w:type="dxa"/>
          </w:tcPr>
          <w:p w14:paraId="72FD92CB" w14:textId="77777777" w:rsidR="001B0545" w:rsidRPr="00107040" w:rsidRDefault="001B0545" w:rsidP="000C16BB">
            <w:pPr>
              <w:spacing w:after="0" w:line="240" w:lineRule="auto"/>
              <w:jc w:val="both"/>
              <w:rPr>
                <w:rFonts w:ascii="Times New Roman" w:eastAsia="MS Mincho" w:hAnsi="Times New Roman"/>
                <w:bCs/>
                <w:sz w:val="28"/>
                <w:szCs w:val="28"/>
                <w:lang w:val="en-GB" w:eastAsia="ja-JP"/>
              </w:rPr>
            </w:pPr>
            <w:r w:rsidRPr="00107040">
              <w:rPr>
                <w:rFonts w:ascii="Times New Roman" w:eastAsia="MS Mincho" w:hAnsi="Times New Roman"/>
                <w:bCs/>
                <w:sz w:val="28"/>
                <w:szCs w:val="28"/>
                <w:lang w:val="en-GB" w:eastAsia="ja-JP"/>
              </w:rPr>
              <w:t>ΔHDAtPARP3_F</w:t>
            </w:r>
          </w:p>
        </w:tc>
        <w:tc>
          <w:tcPr>
            <w:tcW w:w="6714" w:type="dxa"/>
          </w:tcPr>
          <w:p w14:paraId="04F57547"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GGTGATATGCGTGGTGATACC</w:t>
            </w:r>
          </w:p>
        </w:tc>
      </w:tr>
      <w:tr w:rsidR="001B0545" w:rsidRPr="00107040" w14:paraId="39FF6D2B" w14:textId="77777777" w:rsidTr="001B0545">
        <w:trPr>
          <w:trHeight w:hRule="exact" w:val="340"/>
        </w:trPr>
        <w:tc>
          <w:tcPr>
            <w:tcW w:w="2943" w:type="dxa"/>
          </w:tcPr>
          <w:p w14:paraId="517B9664" w14:textId="77777777" w:rsidR="001B0545" w:rsidRPr="00107040" w:rsidRDefault="001B0545" w:rsidP="000C16BB">
            <w:pPr>
              <w:spacing w:after="0" w:line="240" w:lineRule="auto"/>
              <w:jc w:val="both"/>
              <w:rPr>
                <w:rFonts w:ascii="Times New Roman" w:eastAsia="MS Mincho" w:hAnsi="Times New Roman"/>
                <w:bCs/>
                <w:sz w:val="28"/>
                <w:szCs w:val="28"/>
                <w:lang w:val="en-GB" w:eastAsia="ja-JP"/>
              </w:rPr>
            </w:pPr>
            <w:r w:rsidRPr="00107040">
              <w:rPr>
                <w:rFonts w:ascii="Times New Roman" w:eastAsia="MS Mincho" w:hAnsi="Times New Roman"/>
                <w:bCs/>
                <w:sz w:val="28"/>
                <w:szCs w:val="28"/>
                <w:lang w:val="en-GB" w:eastAsia="ja-JP"/>
              </w:rPr>
              <w:t>ΔHDAtPARP3_</w:t>
            </w:r>
            <w:r w:rsidRPr="00107040">
              <w:rPr>
                <w:rFonts w:ascii="Times New Roman" w:eastAsia="MS Mincho" w:hAnsi="Times New Roman"/>
                <w:sz w:val="28"/>
                <w:szCs w:val="28"/>
                <w:lang w:val="en-US" w:eastAsia="ja-JP"/>
              </w:rPr>
              <w:t xml:space="preserve"> R</w:t>
            </w:r>
          </w:p>
        </w:tc>
        <w:tc>
          <w:tcPr>
            <w:tcW w:w="6714" w:type="dxa"/>
          </w:tcPr>
          <w:p w14:paraId="0D45634E" w14:textId="77777777" w:rsidR="001B0545" w:rsidRPr="00107040" w:rsidRDefault="001B0545" w:rsidP="000C16BB">
            <w:pPr>
              <w:spacing w:after="0" w:line="240" w:lineRule="auto"/>
              <w:jc w:val="both"/>
              <w:rPr>
                <w:rFonts w:ascii="Times New Roman" w:eastAsia="MS Mincho" w:hAnsi="Times New Roman"/>
                <w:sz w:val="28"/>
                <w:szCs w:val="28"/>
                <w:lang w:val="en-US" w:eastAsia="ja-JP"/>
              </w:rPr>
            </w:pPr>
            <w:r w:rsidRPr="00107040">
              <w:rPr>
                <w:rFonts w:ascii="Times New Roman" w:eastAsia="MS Mincho" w:hAnsi="Times New Roman"/>
                <w:sz w:val="28"/>
                <w:szCs w:val="28"/>
                <w:lang w:val="en-US" w:eastAsia="ja-JP"/>
              </w:rPr>
              <w:t>ATAATTATAAATTTCCTGACCACAC</w:t>
            </w:r>
          </w:p>
        </w:tc>
      </w:tr>
    </w:tbl>
    <w:p w14:paraId="170BEF8D" w14:textId="77777777" w:rsidR="001B0545" w:rsidRPr="00107040" w:rsidRDefault="001B0545" w:rsidP="000C16BB">
      <w:pPr>
        <w:tabs>
          <w:tab w:val="left" w:pos="142"/>
        </w:tabs>
        <w:spacing w:after="0" w:line="240" w:lineRule="auto"/>
        <w:ind w:firstLine="567"/>
        <w:jc w:val="both"/>
        <w:rPr>
          <w:rStyle w:val="a5"/>
          <w:rFonts w:ascii="Times New Roman" w:hAnsi="Times New Roman"/>
          <w:b w:val="0"/>
          <w:sz w:val="28"/>
          <w:szCs w:val="28"/>
          <w:lang w:val="ru-RU"/>
        </w:rPr>
      </w:pPr>
    </w:p>
    <w:p w14:paraId="1A3C0726" w14:textId="77777777" w:rsidR="00822B55" w:rsidRPr="00107040" w:rsidRDefault="00822B55" w:rsidP="000C16BB">
      <w:pPr>
        <w:tabs>
          <w:tab w:val="left" w:pos="142"/>
        </w:tabs>
        <w:spacing w:after="0" w:line="240" w:lineRule="auto"/>
        <w:jc w:val="both"/>
        <w:rPr>
          <w:rStyle w:val="a5"/>
          <w:rFonts w:ascii="Times New Roman" w:hAnsi="Times New Roman"/>
          <w:b w:val="0"/>
          <w:sz w:val="28"/>
          <w:szCs w:val="28"/>
          <w:lang w:val="ru-RU"/>
        </w:rPr>
      </w:pPr>
    </w:p>
    <w:p w14:paraId="0BEAFD65" w14:textId="77777777" w:rsidR="00992872" w:rsidRPr="00107040" w:rsidRDefault="00992872" w:rsidP="000C16BB">
      <w:pPr>
        <w:tabs>
          <w:tab w:val="left" w:pos="142"/>
        </w:tabs>
        <w:spacing w:after="0" w:line="240" w:lineRule="auto"/>
        <w:ind w:firstLine="567"/>
        <w:jc w:val="both"/>
        <w:rPr>
          <w:rFonts w:ascii="Times New Roman" w:eastAsia="MS Mincho" w:hAnsi="Times New Roman"/>
          <w:b/>
          <w:bCs/>
          <w:sz w:val="28"/>
          <w:szCs w:val="28"/>
          <w:lang w:val="ru-RU" w:eastAsia="ja-JP"/>
        </w:rPr>
      </w:pPr>
      <w:r w:rsidRPr="00107040">
        <w:rPr>
          <w:rFonts w:ascii="Times New Roman" w:eastAsia="MS Mincho" w:hAnsi="Times New Roman"/>
          <w:b/>
          <w:bCs/>
          <w:sz w:val="28"/>
          <w:szCs w:val="28"/>
          <w:lang w:val="ru-RU" w:eastAsia="ja-JP"/>
        </w:rPr>
        <w:lastRenderedPageBreak/>
        <w:t>2.10 Сайт направленный мутагенез</w:t>
      </w:r>
    </w:p>
    <w:p w14:paraId="5107D532" w14:textId="3439054E" w:rsidR="00992872" w:rsidRPr="00107040" w:rsidRDefault="00992872" w:rsidP="000C16BB">
      <w:pPr>
        <w:tabs>
          <w:tab w:val="left" w:pos="142"/>
        </w:tabs>
        <w:spacing w:after="0" w:line="240" w:lineRule="auto"/>
        <w:ind w:firstLine="567"/>
        <w:jc w:val="both"/>
        <w:rPr>
          <w:rFonts w:ascii="Times New Roman" w:eastAsia="MS Mincho" w:hAnsi="Times New Roman"/>
          <w:bCs/>
          <w:sz w:val="28"/>
          <w:szCs w:val="28"/>
          <w:lang w:val="ru-RU" w:eastAsia="ja-JP"/>
        </w:rPr>
      </w:pPr>
      <w:r w:rsidRPr="00107040">
        <w:rPr>
          <w:rFonts w:ascii="Times New Roman" w:eastAsia="MS Mincho" w:hAnsi="Times New Roman"/>
          <w:bCs/>
          <w:sz w:val="28"/>
          <w:szCs w:val="28"/>
          <w:lang w:val="ru-RU" w:eastAsia="ja-JP"/>
        </w:rPr>
        <w:t xml:space="preserve">Следующие мутанты </w:t>
      </w:r>
      <w:r w:rsidR="00A02894" w:rsidRPr="00107040">
        <w:rPr>
          <w:rFonts w:ascii="Times New Roman" w:eastAsia="MS Mincho" w:hAnsi="Times New Roman"/>
          <w:bCs/>
          <w:sz w:val="28"/>
          <w:szCs w:val="28"/>
          <w:lang w:val="ru-RU" w:eastAsia="ja-JP"/>
        </w:rPr>
        <w:t>A</w:t>
      </w:r>
      <w:r w:rsidRPr="00107040">
        <w:rPr>
          <w:rFonts w:ascii="Times New Roman" w:eastAsia="MS Mincho" w:hAnsi="Times New Roman"/>
          <w:bCs/>
          <w:sz w:val="28"/>
          <w:szCs w:val="28"/>
          <w:lang w:val="ru-RU" w:eastAsia="ja-JP"/>
        </w:rPr>
        <w:t>tPARP1</w:t>
      </w:r>
      <w:r w:rsidRPr="00107040">
        <w:rPr>
          <w:rFonts w:ascii="Times New Roman" w:eastAsia="MS Mincho" w:hAnsi="Times New Roman"/>
          <w:bCs/>
          <w:sz w:val="28"/>
          <w:szCs w:val="28"/>
          <w:vertAlign w:val="superscript"/>
          <w:lang w:val="ru-RU" w:eastAsia="ja-JP"/>
        </w:rPr>
        <w:t>E960K</w:t>
      </w:r>
      <w:r w:rsidRPr="00107040">
        <w:rPr>
          <w:rFonts w:ascii="Times New Roman" w:eastAsia="MS Mincho" w:hAnsi="Times New Roman"/>
          <w:bCs/>
          <w:sz w:val="28"/>
          <w:szCs w:val="28"/>
          <w:lang w:val="ru-RU" w:eastAsia="ja-JP"/>
        </w:rPr>
        <w:t xml:space="preserve">, </w:t>
      </w:r>
      <w:r w:rsidR="00A02894" w:rsidRPr="00107040">
        <w:rPr>
          <w:rFonts w:ascii="Times New Roman" w:eastAsia="MS Mincho" w:hAnsi="Times New Roman"/>
          <w:bCs/>
          <w:sz w:val="28"/>
          <w:szCs w:val="28"/>
          <w:lang w:val="ru-RU" w:eastAsia="ja-JP"/>
        </w:rPr>
        <w:t>A</w:t>
      </w:r>
      <w:r w:rsidRPr="00107040">
        <w:rPr>
          <w:rFonts w:ascii="Times New Roman" w:eastAsia="MS Mincho" w:hAnsi="Times New Roman"/>
          <w:bCs/>
          <w:sz w:val="28"/>
          <w:szCs w:val="28"/>
          <w:lang w:val="ru-RU" w:eastAsia="ja-JP"/>
        </w:rPr>
        <w:t>tPARP1</w:t>
      </w:r>
      <w:r w:rsidRPr="00107040">
        <w:rPr>
          <w:rFonts w:ascii="Times New Roman" w:eastAsia="MS Mincho" w:hAnsi="Times New Roman"/>
          <w:bCs/>
          <w:sz w:val="28"/>
          <w:szCs w:val="28"/>
          <w:vertAlign w:val="superscript"/>
          <w:lang w:val="ru-RU" w:eastAsia="ja-JP"/>
        </w:rPr>
        <w:t>E960Q</w:t>
      </w:r>
      <w:r w:rsidR="00A02894" w:rsidRPr="00107040">
        <w:rPr>
          <w:rFonts w:ascii="Times New Roman" w:eastAsia="MS Mincho" w:hAnsi="Times New Roman"/>
          <w:bCs/>
          <w:sz w:val="28"/>
          <w:szCs w:val="28"/>
          <w:lang w:val="ru-RU" w:eastAsia="ja-JP"/>
        </w:rPr>
        <w:t>,</w:t>
      </w:r>
      <w:r w:rsidRPr="00107040">
        <w:rPr>
          <w:rFonts w:ascii="Times New Roman" w:eastAsia="MS Mincho" w:hAnsi="Times New Roman"/>
          <w:bCs/>
          <w:sz w:val="28"/>
          <w:szCs w:val="28"/>
          <w:lang w:val="ru-RU" w:eastAsia="ja-JP"/>
        </w:rPr>
        <w:t xml:space="preserve"> </w:t>
      </w:r>
      <w:r w:rsidR="00A02894" w:rsidRPr="00107040">
        <w:rPr>
          <w:rFonts w:ascii="Times New Roman" w:eastAsia="MS Mincho" w:hAnsi="Times New Roman"/>
          <w:bCs/>
          <w:sz w:val="28"/>
          <w:szCs w:val="28"/>
          <w:lang w:val="ru-RU" w:eastAsia="ja-JP"/>
        </w:rPr>
        <w:t>A</w:t>
      </w:r>
      <w:r w:rsidRPr="00107040">
        <w:rPr>
          <w:rFonts w:ascii="Times New Roman" w:eastAsia="MS Mincho" w:hAnsi="Times New Roman"/>
          <w:bCs/>
          <w:sz w:val="28"/>
          <w:szCs w:val="28"/>
          <w:lang w:val="ru-RU" w:eastAsia="ja-JP"/>
        </w:rPr>
        <w:t>tPARP2</w:t>
      </w:r>
      <w:r w:rsidRPr="00107040">
        <w:rPr>
          <w:rFonts w:ascii="Times New Roman" w:eastAsia="MS Mincho" w:hAnsi="Times New Roman"/>
          <w:bCs/>
          <w:sz w:val="28"/>
          <w:szCs w:val="28"/>
          <w:vertAlign w:val="superscript"/>
          <w:lang w:val="ru-RU" w:eastAsia="ja-JP"/>
        </w:rPr>
        <w:t>E614K</w:t>
      </w:r>
      <w:r w:rsidRPr="00107040">
        <w:rPr>
          <w:rFonts w:ascii="Times New Roman" w:eastAsia="MS Mincho" w:hAnsi="Times New Roman"/>
          <w:bCs/>
          <w:sz w:val="28"/>
          <w:szCs w:val="28"/>
          <w:lang w:val="ru-RU" w:eastAsia="ja-JP"/>
        </w:rPr>
        <w:t xml:space="preserve"> </w:t>
      </w:r>
      <w:r w:rsidR="00A02894" w:rsidRPr="00107040">
        <w:rPr>
          <w:rFonts w:ascii="Times New Roman" w:eastAsia="MS Mincho" w:hAnsi="Times New Roman"/>
          <w:bCs/>
          <w:sz w:val="28"/>
          <w:szCs w:val="28"/>
          <w:lang w:val="ru-RU" w:eastAsia="ja-JP"/>
        </w:rPr>
        <w:t xml:space="preserve">и </w:t>
      </w:r>
      <w:r w:rsidR="00A02894" w:rsidRPr="00107040">
        <w:rPr>
          <w:rFonts w:ascii="Times New Roman" w:eastAsia="MS Mincho" w:hAnsi="Times New Roman"/>
          <w:bCs/>
          <w:sz w:val="28"/>
          <w:szCs w:val="28"/>
          <w:lang w:val="en-GB" w:eastAsia="ja-JP"/>
        </w:rPr>
        <w:t>ΔHD</w:t>
      </w:r>
      <w:r w:rsidR="00A02894" w:rsidRPr="00107040">
        <w:rPr>
          <w:rFonts w:ascii="Times New Roman" w:eastAsia="MS Mincho" w:hAnsi="Times New Roman"/>
          <w:bCs/>
          <w:sz w:val="28"/>
          <w:szCs w:val="28"/>
          <w:lang w:val="ru-RU" w:eastAsia="ja-JP"/>
        </w:rPr>
        <w:t xml:space="preserve"> </w:t>
      </w:r>
      <w:r w:rsidR="00A02894" w:rsidRPr="00107040">
        <w:rPr>
          <w:rFonts w:ascii="Times New Roman" w:eastAsia="MS Mincho" w:hAnsi="Times New Roman"/>
          <w:bCs/>
          <w:sz w:val="28"/>
          <w:szCs w:val="28"/>
          <w:lang w:val="en-GB" w:eastAsia="ja-JP"/>
        </w:rPr>
        <w:t>AtPARP</w:t>
      </w:r>
      <w:r w:rsidR="00A02894" w:rsidRPr="00107040">
        <w:rPr>
          <w:rFonts w:ascii="Times New Roman" w:eastAsia="MS Mincho" w:hAnsi="Times New Roman"/>
          <w:bCs/>
          <w:sz w:val="28"/>
          <w:szCs w:val="28"/>
          <w:lang w:val="ru-RU" w:eastAsia="ja-JP"/>
        </w:rPr>
        <w:t xml:space="preserve">3 </w:t>
      </w:r>
      <w:r w:rsidRPr="00107040">
        <w:rPr>
          <w:rFonts w:ascii="Times New Roman" w:eastAsia="MS Mincho" w:hAnsi="Times New Roman"/>
          <w:bCs/>
          <w:sz w:val="28"/>
          <w:szCs w:val="28"/>
          <w:lang w:val="ru-RU" w:eastAsia="ja-JP"/>
        </w:rPr>
        <w:t xml:space="preserve">были сконструированы с использованием набора для сайт-направленного мутагенеза QuikChange (Stratagene) и олигонуклеотидных праймеров, показанных в таблице </w:t>
      </w:r>
      <w:r w:rsidR="007B247C">
        <w:rPr>
          <w:rFonts w:ascii="Times New Roman" w:eastAsia="MS Mincho" w:hAnsi="Times New Roman"/>
          <w:bCs/>
          <w:sz w:val="28"/>
          <w:szCs w:val="28"/>
          <w:lang w:val="ru-RU" w:eastAsia="ja-JP"/>
        </w:rPr>
        <w:t>5</w:t>
      </w:r>
      <w:r w:rsidRPr="00107040">
        <w:rPr>
          <w:rFonts w:ascii="Times New Roman" w:eastAsia="MS Mincho" w:hAnsi="Times New Roman"/>
          <w:bCs/>
          <w:sz w:val="28"/>
          <w:szCs w:val="28"/>
          <w:lang w:val="ru-RU" w:eastAsia="ja-JP"/>
        </w:rPr>
        <w:t xml:space="preserve">. Первый этап сайт направленного мутагенеза – это проведение ПЦР в присутствии следующих реагентов: 1 х </w:t>
      </w:r>
      <w:r w:rsidRPr="00107040">
        <w:rPr>
          <w:rFonts w:ascii="Times New Roman" w:eastAsia="MS Mincho" w:hAnsi="Times New Roman"/>
          <w:bCs/>
          <w:sz w:val="28"/>
          <w:szCs w:val="28"/>
          <w:lang w:val="en-US" w:eastAsia="ja-JP"/>
        </w:rPr>
        <w:t>Q</w:t>
      </w:r>
      <w:r w:rsidRPr="00107040">
        <w:rPr>
          <w:rFonts w:ascii="Times New Roman" w:eastAsia="MS Mincho" w:hAnsi="Times New Roman"/>
          <w:bCs/>
          <w:sz w:val="28"/>
          <w:szCs w:val="28"/>
          <w:lang w:val="ru-RU" w:eastAsia="ja-JP"/>
        </w:rPr>
        <w:t xml:space="preserve">5 </w:t>
      </w:r>
      <w:r w:rsidRPr="00107040">
        <w:rPr>
          <w:rFonts w:ascii="Times New Roman" w:eastAsia="MS Mincho" w:hAnsi="Times New Roman"/>
          <w:bCs/>
          <w:sz w:val="28"/>
          <w:szCs w:val="28"/>
          <w:lang w:val="en-US" w:eastAsia="ja-JP"/>
        </w:rPr>
        <w:t>Hot</w:t>
      </w:r>
      <w:r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en-US" w:eastAsia="ja-JP"/>
        </w:rPr>
        <w:t>Start</w:t>
      </w:r>
      <w:r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en-US" w:eastAsia="ja-JP"/>
        </w:rPr>
        <w:t>High</w:t>
      </w:r>
      <w:r w:rsidRPr="00107040">
        <w:rPr>
          <w:rFonts w:ascii="Times New Roman" w:eastAsia="MS Mincho" w:hAnsi="Times New Roman"/>
          <w:bCs/>
          <w:sz w:val="28"/>
          <w:szCs w:val="28"/>
          <w:lang w:val="ru-RU" w:eastAsia="ja-JP"/>
        </w:rPr>
        <w:t>-</w:t>
      </w:r>
      <w:r w:rsidRPr="00107040">
        <w:rPr>
          <w:rFonts w:ascii="Times New Roman" w:eastAsia="MS Mincho" w:hAnsi="Times New Roman"/>
          <w:bCs/>
          <w:sz w:val="28"/>
          <w:szCs w:val="28"/>
          <w:lang w:val="en-US" w:eastAsia="ja-JP"/>
        </w:rPr>
        <w:t>Fidelity</w:t>
      </w:r>
      <w:r w:rsidRPr="00107040">
        <w:rPr>
          <w:rFonts w:ascii="Times New Roman" w:eastAsia="MS Mincho" w:hAnsi="Times New Roman"/>
          <w:bCs/>
          <w:sz w:val="28"/>
          <w:szCs w:val="28"/>
          <w:lang w:val="ru-RU" w:eastAsia="ja-JP"/>
        </w:rPr>
        <w:t xml:space="preserve"> 2</w:t>
      </w:r>
      <w:r w:rsidRPr="00107040">
        <w:rPr>
          <w:rFonts w:ascii="Times New Roman" w:eastAsia="MS Mincho" w:hAnsi="Times New Roman"/>
          <w:bCs/>
          <w:sz w:val="28"/>
          <w:szCs w:val="28"/>
          <w:lang w:val="en-US" w:eastAsia="ja-JP"/>
        </w:rPr>
        <w:t>X</w:t>
      </w:r>
      <w:r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en-US" w:eastAsia="ja-JP"/>
        </w:rPr>
        <w:t>Master</w:t>
      </w:r>
      <w:r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en-US" w:eastAsia="ja-JP"/>
        </w:rPr>
        <w:t>Mix</w:t>
      </w:r>
      <w:r w:rsidRPr="00107040">
        <w:rPr>
          <w:rFonts w:ascii="Times New Roman" w:eastAsia="MS Mincho" w:hAnsi="Times New Roman"/>
          <w:bCs/>
          <w:sz w:val="28"/>
          <w:szCs w:val="28"/>
          <w:lang w:val="ru-RU" w:eastAsia="ja-JP"/>
        </w:rPr>
        <w:t xml:space="preserve">, 0.5 </w:t>
      </w:r>
      <w:bookmarkStart w:id="56" w:name="_Hlk103855991"/>
      <w:r w:rsidR="00A02894" w:rsidRPr="00107040">
        <w:rPr>
          <w:rFonts w:ascii="Times New Roman" w:eastAsia="MS Mincho" w:hAnsi="Times New Roman"/>
          <w:bCs/>
          <w:sz w:val="28"/>
          <w:szCs w:val="28"/>
          <w:lang w:val="ru-RU" w:eastAsia="ja-JP"/>
        </w:rPr>
        <w:t>мк</w:t>
      </w:r>
      <w:r w:rsidRPr="00107040">
        <w:rPr>
          <w:rFonts w:ascii="Times New Roman" w:eastAsia="MS Mincho" w:hAnsi="Times New Roman"/>
          <w:bCs/>
          <w:sz w:val="28"/>
          <w:szCs w:val="28"/>
          <w:lang w:val="ru-RU" w:eastAsia="ja-JP"/>
        </w:rPr>
        <w:t>M</w:t>
      </w:r>
      <w:bookmarkEnd w:id="56"/>
      <w:r w:rsidRPr="00107040">
        <w:rPr>
          <w:rFonts w:ascii="Times New Roman" w:eastAsia="MS Mincho" w:hAnsi="Times New Roman"/>
          <w:bCs/>
          <w:sz w:val="28"/>
          <w:szCs w:val="28"/>
          <w:lang w:val="ru-RU" w:eastAsia="ja-JP"/>
        </w:rPr>
        <w:t xml:space="preserve"> праймеры, 1-25 </w:t>
      </w:r>
      <w:r w:rsidR="00A02894" w:rsidRPr="00107040">
        <w:rPr>
          <w:rFonts w:ascii="Times New Roman" w:eastAsia="MS Mincho" w:hAnsi="Times New Roman"/>
          <w:bCs/>
          <w:sz w:val="28"/>
          <w:szCs w:val="28"/>
          <w:lang w:val="kk-KZ" w:eastAsia="ja-JP"/>
        </w:rPr>
        <w:t>нг</w:t>
      </w:r>
      <w:r w:rsidRPr="00107040">
        <w:rPr>
          <w:rFonts w:ascii="Times New Roman" w:eastAsia="MS Mincho" w:hAnsi="Times New Roman"/>
          <w:bCs/>
          <w:sz w:val="28"/>
          <w:szCs w:val="28"/>
          <w:lang w:val="ru-RU" w:eastAsia="ja-JP"/>
        </w:rPr>
        <w:t xml:space="preserve"> матричная ДНК, вода свободная от нуклеаз. Полностью перемешанные реагенты перенесли в термоциклер. Условия термоциклирования для проведения ПЦР: денaтурaция при 98</w:t>
      </w:r>
      <w:r w:rsidR="00A02894"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vertAlign w:val="superscript"/>
          <w:lang w:val="ru-RU" w:eastAsia="ja-JP"/>
        </w:rPr>
        <w:t>о</w:t>
      </w:r>
      <w:r w:rsidRPr="00107040">
        <w:rPr>
          <w:rFonts w:ascii="Times New Roman" w:eastAsia="MS Mincho" w:hAnsi="Times New Roman"/>
          <w:bCs/>
          <w:sz w:val="28"/>
          <w:szCs w:val="28"/>
          <w:lang w:val="ru-RU" w:eastAsia="ja-JP"/>
        </w:rPr>
        <w:t>С - 5 мин, 25 циклов aмплификaции при 98</w:t>
      </w:r>
      <w:r w:rsidR="00A02894"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vertAlign w:val="superscript"/>
          <w:lang w:val="ru-RU" w:eastAsia="ja-JP"/>
        </w:rPr>
        <w:t>о</w:t>
      </w:r>
      <w:r w:rsidRPr="00107040">
        <w:rPr>
          <w:rFonts w:ascii="Times New Roman" w:eastAsia="MS Mincho" w:hAnsi="Times New Roman"/>
          <w:bCs/>
          <w:sz w:val="28"/>
          <w:szCs w:val="28"/>
          <w:lang w:val="ru-RU" w:eastAsia="ja-JP"/>
        </w:rPr>
        <w:t>С – 10 сек, 50-72</w:t>
      </w:r>
      <w:r w:rsidR="00A02894"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vertAlign w:val="superscript"/>
          <w:lang w:val="ru-RU" w:eastAsia="ja-JP"/>
        </w:rPr>
        <w:t>о</w:t>
      </w:r>
      <w:r w:rsidRPr="00107040">
        <w:rPr>
          <w:rFonts w:ascii="Times New Roman" w:eastAsia="MS Mincho" w:hAnsi="Times New Roman"/>
          <w:bCs/>
          <w:sz w:val="28"/>
          <w:szCs w:val="28"/>
          <w:lang w:val="ru-RU" w:eastAsia="ja-JP"/>
        </w:rPr>
        <w:t>С (в зависимости от используемых праймеров) – 10-30 сек, 72</w:t>
      </w:r>
      <w:r w:rsidR="00A02894"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vertAlign w:val="superscript"/>
          <w:lang w:val="ru-RU" w:eastAsia="ja-JP"/>
        </w:rPr>
        <w:t>о</w:t>
      </w:r>
      <w:r w:rsidRPr="00107040">
        <w:rPr>
          <w:rFonts w:ascii="Times New Roman" w:eastAsia="MS Mincho" w:hAnsi="Times New Roman"/>
          <w:bCs/>
          <w:sz w:val="28"/>
          <w:szCs w:val="28"/>
          <w:lang w:val="ru-RU" w:eastAsia="ja-JP"/>
        </w:rPr>
        <w:t>С – 30-150 сек (в зависимости от длины генов) и зaключительнaя элонгaция при 72</w:t>
      </w:r>
      <w:r w:rsidR="00A02894"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vertAlign w:val="superscript"/>
          <w:lang w:val="ru-RU" w:eastAsia="ja-JP"/>
        </w:rPr>
        <w:t>о</w:t>
      </w:r>
      <w:r w:rsidRPr="00107040">
        <w:rPr>
          <w:rFonts w:ascii="Times New Roman" w:eastAsia="MS Mincho" w:hAnsi="Times New Roman"/>
          <w:bCs/>
          <w:sz w:val="28"/>
          <w:szCs w:val="28"/>
          <w:lang w:val="ru-RU" w:eastAsia="ja-JP"/>
        </w:rPr>
        <w:t xml:space="preserve">С </w:t>
      </w:r>
      <w:r w:rsidR="001B6384" w:rsidRPr="00107040">
        <w:rPr>
          <w:rStyle w:val="jlqj4b"/>
          <w:rFonts w:ascii="Times New Roman" w:hAnsi="Times New Roman"/>
          <w:sz w:val="28"/>
          <w:szCs w:val="28"/>
          <w:shd w:val="clear" w:color="auto" w:fill="FFFFFF"/>
          <w:lang w:val="ru-RU"/>
        </w:rPr>
        <w:sym w:font="Symbol" w:char="F02D"/>
      </w:r>
      <w:r w:rsidRPr="00107040">
        <w:rPr>
          <w:rFonts w:ascii="Times New Roman" w:eastAsia="MS Mincho" w:hAnsi="Times New Roman"/>
          <w:bCs/>
          <w:sz w:val="28"/>
          <w:szCs w:val="28"/>
          <w:lang w:val="ru-RU" w:eastAsia="ja-JP"/>
        </w:rPr>
        <w:t xml:space="preserve"> 5 мин, после была пауза при 4</w:t>
      </w:r>
      <w:r w:rsidR="00A02894"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vertAlign w:val="superscript"/>
          <w:lang w:val="ru-RU" w:eastAsia="ja-JP"/>
        </w:rPr>
        <w:t>о</w:t>
      </w:r>
      <w:r w:rsidRPr="00107040">
        <w:rPr>
          <w:rFonts w:ascii="Times New Roman" w:eastAsia="MS Mincho" w:hAnsi="Times New Roman"/>
          <w:bCs/>
          <w:sz w:val="28"/>
          <w:szCs w:val="28"/>
          <w:lang w:val="ru-RU" w:eastAsia="ja-JP"/>
        </w:rPr>
        <w:t>С.</w:t>
      </w:r>
    </w:p>
    <w:p w14:paraId="348AC046" w14:textId="51D9A6D0" w:rsidR="00992872" w:rsidRPr="00107040" w:rsidRDefault="00992872" w:rsidP="000C16BB">
      <w:pPr>
        <w:tabs>
          <w:tab w:val="left" w:pos="142"/>
        </w:tabs>
        <w:spacing w:after="0" w:line="240" w:lineRule="auto"/>
        <w:ind w:firstLine="567"/>
        <w:jc w:val="both"/>
        <w:rPr>
          <w:rFonts w:ascii="Times New Roman" w:eastAsia="MS Mincho" w:hAnsi="Times New Roman"/>
          <w:bCs/>
          <w:sz w:val="28"/>
          <w:szCs w:val="28"/>
          <w:lang w:val="ru-RU" w:eastAsia="ja-JP"/>
        </w:rPr>
      </w:pPr>
      <w:r w:rsidRPr="00107040">
        <w:rPr>
          <w:rFonts w:ascii="Times New Roman" w:eastAsia="MS Mincho" w:hAnsi="Times New Roman"/>
          <w:bCs/>
          <w:sz w:val="28"/>
          <w:szCs w:val="28"/>
          <w:lang w:val="ru-RU" w:eastAsia="ja-JP"/>
        </w:rPr>
        <w:t xml:space="preserve">На втором этапе происходит обработка киназой, лигазой и DpnI (KLD). 1 мкл ПЦР продукта инкубируется в пробирке содержащий 1 х KLD реакционный буфер, 1 х ферментативной смеси из киназы, лигазы и </w:t>
      </w:r>
      <w:r w:rsidRPr="00107040">
        <w:rPr>
          <w:rFonts w:ascii="Times New Roman" w:eastAsia="MS Mincho" w:hAnsi="Times New Roman"/>
          <w:bCs/>
          <w:i/>
          <w:sz w:val="28"/>
          <w:szCs w:val="28"/>
          <w:lang w:val="ru-RU" w:eastAsia="ja-JP"/>
        </w:rPr>
        <w:t>DpnI</w:t>
      </w:r>
      <w:r w:rsidRPr="00107040">
        <w:rPr>
          <w:rFonts w:ascii="Times New Roman" w:eastAsia="MS Mincho" w:hAnsi="Times New Roman"/>
          <w:bCs/>
          <w:sz w:val="28"/>
          <w:szCs w:val="28"/>
          <w:lang w:val="ru-RU" w:eastAsia="ja-JP"/>
        </w:rPr>
        <w:t xml:space="preserve">. Расщепление ПЦР продукта </w:t>
      </w:r>
      <w:r w:rsidRPr="00107040">
        <w:rPr>
          <w:rFonts w:ascii="Times New Roman" w:eastAsia="MS Mincho" w:hAnsi="Times New Roman"/>
          <w:bCs/>
          <w:i/>
          <w:sz w:val="28"/>
          <w:szCs w:val="28"/>
          <w:lang w:val="ru-RU" w:eastAsia="ja-JP"/>
        </w:rPr>
        <w:t>DpnI</w:t>
      </w:r>
      <w:r w:rsidRPr="00107040">
        <w:rPr>
          <w:rFonts w:ascii="Times New Roman" w:eastAsia="MS Mincho" w:hAnsi="Times New Roman"/>
          <w:bCs/>
          <w:sz w:val="28"/>
          <w:szCs w:val="28"/>
          <w:lang w:val="ru-RU" w:eastAsia="ja-JP"/>
        </w:rPr>
        <w:t xml:space="preserve"> является важной частью работы. </w:t>
      </w:r>
      <w:r w:rsidRPr="00107040">
        <w:rPr>
          <w:rFonts w:ascii="Times New Roman" w:eastAsia="MS Mincho" w:hAnsi="Times New Roman"/>
          <w:bCs/>
          <w:i/>
          <w:sz w:val="28"/>
          <w:szCs w:val="28"/>
          <w:lang w:val="ru-RU" w:eastAsia="ja-JP"/>
        </w:rPr>
        <w:t>DpnI</w:t>
      </w:r>
      <w:r w:rsidRPr="00107040">
        <w:rPr>
          <w:rFonts w:ascii="Times New Roman" w:eastAsia="MS Mincho" w:hAnsi="Times New Roman"/>
          <w:bCs/>
          <w:sz w:val="28"/>
          <w:szCs w:val="28"/>
          <w:lang w:val="ru-RU" w:eastAsia="ja-JP"/>
        </w:rPr>
        <w:t xml:space="preserve"> разрезает только по метилированным сайтам, расщепляя матричную плазмиду, но не продукт ПЦР, что позволяет отбирать трансформированные клетки с плазмидой с сайт направленным мутагенезом</w:t>
      </w:r>
      <w:r w:rsidR="008A7A10" w:rsidRPr="00107040">
        <w:rPr>
          <w:rFonts w:ascii="Times New Roman" w:eastAsia="MS Mincho" w:hAnsi="Times New Roman"/>
          <w:bCs/>
          <w:sz w:val="28"/>
          <w:szCs w:val="28"/>
          <w:lang w:val="ru-RU" w:eastAsia="ja-JP"/>
        </w:rPr>
        <w:t xml:space="preserve"> </w:t>
      </w:r>
      <w:r w:rsidR="008A7A10" w:rsidRPr="00107040">
        <w:rPr>
          <w:rFonts w:ascii="Times New Roman" w:eastAsia="MS Mincho" w:hAnsi="Times New Roman"/>
          <w:bCs/>
          <w:sz w:val="28"/>
          <w:szCs w:val="28"/>
          <w:lang w:val="ru-RU" w:eastAsia="ja-JP"/>
        </w:rPr>
        <w:fldChar w:fldCharType="begin"/>
      </w:r>
      <w:r w:rsidR="00FB5E68">
        <w:rPr>
          <w:rFonts w:ascii="Times New Roman" w:eastAsia="MS Mincho" w:hAnsi="Times New Roman"/>
          <w:bCs/>
          <w:sz w:val="28"/>
          <w:szCs w:val="28"/>
          <w:lang w:val="ru-RU" w:eastAsia="ja-JP"/>
        </w:rPr>
        <w:instrText xml:space="preserve"> ADDIN ZOTERO_ITEM CSL_CITATION {"citationID":"QidloL7k","properties":{"formattedCitation":"[433]","plainCitation":"[433]","noteIndex":0},"citationItems":[{"id":1429,"uris":["http://zotero.org/users/9078202/items/XDR4YS2M"],"itemData":{"id":1429,"type":"article-journal","abstract":"Several single-base substitution mutations have been introduced into the lacZ alpha gene in cloning vector M13mp2, at 40-60% efficiency, in a rapid procedure requiring only transfection of the unfractionated products of standard in vitro mutagenesis reactions. Two simple additional treatments of the DNA, before transfection, produce a site-specific mutation frequency approaching 100%. The approach is applicable to phenotypically silent mutations in addition to those that can be selected. The high efficiency, approximately equal to 10-fold greater than that observed using current methods without enrichment procedures, is obtained by using a DNA template containing several uracil residues in place of thymine. This template has normal coding potential for the in vitro reactions typical of site-directed mutagenesis protocols but is not biologically active upon transfection into a wild-type (i.e., ung+) Escherichia coli host cell. Expression of the desired change, present in the newly synthesized non-uracil-containing covalently closed circular complementary strand, is thus strongly favored. The procedure has been applied to mutations introduced via both oligonucleotides and error-prone polymerization. In addition to its utility in changing DNA sequences, this approach can potentially be used to examine the biological consequences of specific lesions placed at defined positions within a gene.","container-title":"Proceedings of the National Academy of Sciences of the United States of America","DOI":"10.1073/pnas.82.2.488","ISSN":"0027-8424","issue":"2","journalAbbreviation":"Proc Natl Acad Sci U S A","language":"eng","note":"PMID: 3881765\nPMCID: PMC397064","page":"488-492","source":"PubMed","title":"Rapid and efficient site-specific mutagenesis without phenotypic selection","volume":"82","author":[{"family":"Kunkel","given":"T. A."}],"issued":{"date-parts":[["1985",1]]}}}],"schema":"https://github.com/citation-style-language/schema/raw/master/csl-citation.json"} </w:instrText>
      </w:r>
      <w:r w:rsidR="008A7A10" w:rsidRPr="00107040">
        <w:rPr>
          <w:rFonts w:ascii="Times New Roman" w:eastAsia="MS Mincho" w:hAnsi="Times New Roman"/>
          <w:bCs/>
          <w:sz w:val="28"/>
          <w:szCs w:val="28"/>
          <w:lang w:val="ru-RU" w:eastAsia="ja-JP"/>
        </w:rPr>
        <w:fldChar w:fldCharType="separate"/>
      </w:r>
      <w:r w:rsidR="00FB5E68" w:rsidRPr="00FB5E68">
        <w:rPr>
          <w:rFonts w:ascii="Times New Roman" w:hAnsi="Times New Roman"/>
          <w:sz w:val="28"/>
        </w:rPr>
        <w:t>[433]</w:t>
      </w:r>
      <w:r w:rsidR="008A7A10" w:rsidRPr="00107040">
        <w:rPr>
          <w:rFonts w:ascii="Times New Roman" w:eastAsia="MS Mincho" w:hAnsi="Times New Roman"/>
          <w:bCs/>
          <w:sz w:val="28"/>
          <w:szCs w:val="28"/>
          <w:lang w:val="ru-RU" w:eastAsia="ja-JP"/>
        </w:rPr>
        <w:fldChar w:fldCharType="end"/>
      </w:r>
      <w:r w:rsidRPr="00107040">
        <w:rPr>
          <w:rFonts w:ascii="Times New Roman" w:eastAsia="MS Mincho" w:hAnsi="Times New Roman"/>
          <w:bCs/>
          <w:sz w:val="28"/>
          <w:szCs w:val="28"/>
          <w:lang w:val="ru-RU" w:eastAsia="ja-JP"/>
        </w:rPr>
        <w:t>.</w:t>
      </w:r>
    </w:p>
    <w:p w14:paraId="49FF007D" w14:textId="77777777" w:rsidR="00992872" w:rsidRPr="00107040" w:rsidRDefault="00992872" w:rsidP="000C16BB">
      <w:pPr>
        <w:tabs>
          <w:tab w:val="left" w:pos="360"/>
        </w:tabs>
        <w:spacing w:after="0" w:line="240" w:lineRule="auto"/>
        <w:jc w:val="both"/>
        <w:rPr>
          <w:rFonts w:ascii="Times New Roman" w:eastAsia="MS Mincho" w:hAnsi="Times New Roman"/>
          <w:bCs/>
          <w:sz w:val="28"/>
          <w:szCs w:val="28"/>
          <w:lang w:val="ru-RU" w:eastAsia="ja-JP"/>
        </w:rPr>
      </w:pPr>
    </w:p>
    <w:p w14:paraId="56C2AB0D" w14:textId="77777777" w:rsidR="00992872" w:rsidRPr="00107040" w:rsidRDefault="00992872" w:rsidP="000C16BB">
      <w:pPr>
        <w:tabs>
          <w:tab w:val="left" w:pos="360"/>
        </w:tabs>
        <w:spacing w:after="0" w:line="240" w:lineRule="auto"/>
        <w:ind w:firstLine="567"/>
        <w:jc w:val="both"/>
        <w:rPr>
          <w:rFonts w:ascii="Times New Roman" w:eastAsia="MS Mincho" w:hAnsi="Times New Roman"/>
          <w:b/>
          <w:sz w:val="28"/>
          <w:szCs w:val="28"/>
          <w:lang w:val="ru-RU" w:eastAsia="ja-JP"/>
        </w:rPr>
      </w:pPr>
      <w:r w:rsidRPr="00107040">
        <w:rPr>
          <w:rFonts w:ascii="Times New Roman" w:eastAsia="MS Mincho" w:hAnsi="Times New Roman"/>
          <w:b/>
          <w:sz w:val="28"/>
          <w:szCs w:val="28"/>
          <w:lang w:val="ru-RU" w:eastAsia="ja-JP"/>
        </w:rPr>
        <w:t>2.11 Создание рекомбинантной плазмидной конструкции</w:t>
      </w:r>
    </w:p>
    <w:p w14:paraId="0529044B" w14:textId="4C228BF5" w:rsidR="00992872" w:rsidRPr="00107040" w:rsidRDefault="00992872" w:rsidP="000C16BB">
      <w:pPr>
        <w:tabs>
          <w:tab w:val="left" w:pos="360"/>
        </w:tabs>
        <w:spacing w:after="0" w:line="240" w:lineRule="auto"/>
        <w:ind w:firstLine="567"/>
        <w:jc w:val="both"/>
        <w:rPr>
          <w:rFonts w:ascii="Times New Roman" w:eastAsia="MS Mincho" w:hAnsi="Times New Roman"/>
          <w:i/>
          <w:iCs/>
          <w:sz w:val="28"/>
          <w:szCs w:val="28"/>
          <w:lang w:val="kk-KZ" w:eastAsia="ja-JP"/>
        </w:rPr>
      </w:pPr>
      <w:r w:rsidRPr="00107040">
        <w:rPr>
          <w:rFonts w:ascii="Times New Roman" w:eastAsia="MS Mincho" w:hAnsi="Times New Roman"/>
          <w:sz w:val="28"/>
          <w:szCs w:val="28"/>
          <w:lang w:val="ru-RU" w:eastAsia="ja-JP"/>
        </w:rPr>
        <w:t>Вектор pET28с (Novagen, Германия) был выбран для функциональной экспрессии кДНК</w:t>
      </w:r>
      <w:r w:rsidRPr="00107040">
        <w:rPr>
          <w:rFonts w:ascii="Times New Roman" w:eastAsia="MS Mincho" w:hAnsi="Times New Roman"/>
          <w:sz w:val="28"/>
          <w:szCs w:val="28"/>
          <w:lang w:val="kk-KZ" w:eastAsia="ja-JP"/>
        </w:rPr>
        <w:t xml:space="preserve"> </w:t>
      </w:r>
      <w:r w:rsidRPr="00107040">
        <w:rPr>
          <w:rFonts w:ascii="Times New Roman" w:eastAsia="MS Mincho" w:hAnsi="Times New Roman"/>
          <w:i/>
          <w:sz w:val="28"/>
          <w:szCs w:val="28"/>
          <w:lang w:val="en-US" w:eastAsia="ja-JP"/>
        </w:rPr>
        <w:t>AtPARP</w:t>
      </w:r>
      <w:r w:rsidRPr="00107040">
        <w:rPr>
          <w:rFonts w:ascii="Times New Roman" w:eastAsia="MS Mincho" w:hAnsi="Times New Roman"/>
          <w:i/>
          <w:sz w:val="28"/>
          <w:szCs w:val="28"/>
          <w:lang w:val="kk-KZ" w:eastAsia="ja-JP"/>
        </w:rPr>
        <w:t xml:space="preserve"> </w:t>
      </w:r>
      <w:r w:rsidRPr="00107040">
        <w:rPr>
          <w:rFonts w:ascii="Times New Roman" w:eastAsia="MS Mincho" w:hAnsi="Times New Roman"/>
          <w:sz w:val="28"/>
          <w:szCs w:val="28"/>
          <w:lang w:val="kk-KZ" w:eastAsia="ja-JP"/>
        </w:rPr>
        <w:t>в прокариотической системе</w:t>
      </w:r>
      <w:r w:rsidRPr="00107040">
        <w:rPr>
          <w:rFonts w:ascii="Times New Roman" w:eastAsia="MS Mincho" w:hAnsi="Times New Roman"/>
          <w:sz w:val="28"/>
          <w:szCs w:val="28"/>
          <w:lang w:val="ru-RU" w:eastAsia="ja-JP"/>
        </w:rPr>
        <w:t xml:space="preserve">, который обладает необходимыми для экспрессии генов качествами: </w:t>
      </w:r>
      <w:r w:rsidRPr="00107040">
        <w:rPr>
          <w:rFonts w:ascii="Times New Roman" w:eastAsia="MS Mincho" w:hAnsi="Times New Roman"/>
          <w:sz w:val="28"/>
          <w:szCs w:val="28"/>
          <w:shd w:val="clear" w:color="auto" w:fill="FFFFFF"/>
          <w:lang w:val="ru-RU" w:eastAsia="ja-JP"/>
        </w:rPr>
        <w:t xml:space="preserve">сильным, </w:t>
      </w:r>
      <w:r w:rsidRPr="00107040">
        <w:rPr>
          <w:rFonts w:ascii="Times New Roman" w:eastAsia="MS Mincho" w:hAnsi="Times New Roman"/>
          <w:i/>
          <w:iCs/>
          <w:sz w:val="28"/>
          <w:szCs w:val="28"/>
          <w:lang w:val="en-US" w:eastAsia="ja-JP"/>
        </w:rPr>
        <w:t>lac</w:t>
      </w:r>
      <w:r w:rsidRPr="00107040">
        <w:rPr>
          <w:rFonts w:ascii="Times New Roman" w:eastAsia="MS Mincho" w:hAnsi="Times New Roman"/>
          <w:sz w:val="28"/>
          <w:szCs w:val="28"/>
          <w:shd w:val="clear" w:color="auto" w:fill="FFFFFF"/>
          <w:lang w:val="ru-RU" w:eastAsia="ja-JP"/>
        </w:rPr>
        <w:t xml:space="preserve"> индуцибельным промотором бактериофага Т7</w:t>
      </w:r>
      <w:r w:rsidRPr="00107040">
        <w:rPr>
          <w:rFonts w:ascii="Times New Roman" w:eastAsia="MS Mincho" w:hAnsi="Times New Roman"/>
          <w:sz w:val="28"/>
          <w:szCs w:val="28"/>
          <w:lang w:val="ru-RU" w:eastAsia="ja-JP"/>
        </w:rPr>
        <w:t xml:space="preserve">, подходящей для вставки емкостью, и простотой селекции, с </w:t>
      </w:r>
      <w:r w:rsidRPr="00107040">
        <w:rPr>
          <w:rFonts w:ascii="Times New Roman" w:eastAsia="MS Mincho" w:hAnsi="Times New Roman"/>
          <w:sz w:val="28"/>
          <w:szCs w:val="28"/>
          <w:lang w:val="kk-KZ" w:eastAsia="ja-JP"/>
        </w:rPr>
        <w:t xml:space="preserve">6xHis </w:t>
      </w:r>
      <w:r w:rsidRPr="00107040">
        <w:rPr>
          <w:rFonts w:ascii="Times New Roman" w:eastAsia="MS Mincho" w:hAnsi="Times New Roman"/>
          <w:sz w:val="28"/>
          <w:szCs w:val="28"/>
          <w:lang w:val="en-US" w:eastAsia="ja-JP"/>
        </w:rPr>
        <w:t>tag</w:t>
      </w:r>
      <w:r w:rsidRPr="00107040">
        <w:rPr>
          <w:rFonts w:ascii="Times New Roman" w:eastAsia="MS Mincho" w:hAnsi="Times New Roman"/>
          <w:sz w:val="28"/>
          <w:szCs w:val="28"/>
          <w:lang w:val="ru-RU" w:eastAsia="ja-JP"/>
        </w:rPr>
        <w:t xml:space="preserve"> последовательностью на С – конце, </w:t>
      </w:r>
      <w:r w:rsidRPr="00107040">
        <w:rPr>
          <w:rFonts w:ascii="Times New Roman" w:eastAsia="MS Mincho" w:hAnsi="Times New Roman"/>
          <w:sz w:val="28"/>
          <w:szCs w:val="28"/>
          <w:lang w:val="kk-KZ" w:eastAsia="ja-JP"/>
        </w:rPr>
        <w:t xml:space="preserve">что позволяет аффинной очистке белкового продукта на основе </w:t>
      </w:r>
      <w:r w:rsidRPr="00107040">
        <w:rPr>
          <w:rFonts w:ascii="Times New Roman" w:eastAsia="MS Mincho" w:hAnsi="Times New Roman"/>
          <w:sz w:val="28"/>
          <w:szCs w:val="28"/>
          <w:lang w:val="en-US" w:eastAsia="ja-JP"/>
        </w:rPr>
        <w:t>Ni</w:t>
      </w:r>
      <w:r w:rsidRPr="00107040">
        <w:rPr>
          <w:rFonts w:ascii="Times New Roman" w:eastAsia="MS Mincho" w:hAnsi="Times New Roman"/>
          <w:sz w:val="28"/>
          <w:szCs w:val="28"/>
          <w:vertAlign w:val="superscript"/>
          <w:lang w:val="ru-RU" w:eastAsia="ja-JP"/>
        </w:rPr>
        <w:t>2+</w:t>
      </w:r>
      <w:r w:rsidRPr="00107040">
        <w:rPr>
          <w:rFonts w:ascii="Times New Roman" w:eastAsia="MS Mincho" w:hAnsi="Times New Roman"/>
          <w:sz w:val="28"/>
          <w:szCs w:val="28"/>
          <w:lang w:val="kk-KZ" w:eastAsia="ja-JP"/>
        </w:rPr>
        <w:t>-основанной хроматографии</w:t>
      </w:r>
      <w:r w:rsidRPr="00107040">
        <w:rPr>
          <w:rFonts w:ascii="Times New Roman" w:eastAsia="MS Mincho" w:hAnsi="Times New Roman"/>
          <w:sz w:val="28"/>
          <w:szCs w:val="28"/>
          <w:lang w:val="ru-RU" w:eastAsia="ja-JP"/>
        </w:rPr>
        <w:t>. Для создание рекомбинантной плазмидной конструкции</w:t>
      </w:r>
      <w:r w:rsidRPr="00107040">
        <w:rPr>
          <w:rFonts w:ascii="Times New Roman" w:eastAsia="MS Mincho" w:hAnsi="Times New Roman"/>
          <w:b/>
          <w:sz w:val="28"/>
          <w:szCs w:val="28"/>
          <w:lang w:val="ru-RU" w:eastAsia="ja-JP"/>
        </w:rPr>
        <w:t xml:space="preserve"> </w:t>
      </w:r>
      <w:r w:rsidRPr="00107040">
        <w:rPr>
          <w:rFonts w:ascii="Times New Roman" w:eastAsia="MS Mincho" w:hAnsi="Times New Roman"/>
          <w:sz w:val="28"/>
          <w:szCs w:val="28"/>
          <w:lang w:val="ru-RU" w:eastAsia="ja-JP"/>
        </w:rPr>
        <w:t xml:space="preserve">продукт ОТ </w:t>
      </w:r>
      <w:r w:rsidR="009B0FA5" w:rsidRPr="00107040">
        <w:rPr>
          <w:rStyle w:val="jlqj4b"/>
          <w:rFonts w:ascii="Times New Roman" w:hAnsi="Times New Roman"/>
          <w:sz w:val="28"/>
          <w:szCs w:val="28"/>
          <w:shd w:val="clear" w:color="auto" w:fill="FFFFFF"/>
          <w:lang w:val="ru-RU"/>
        </w:rPr>
        <w:sym w:font="Symbol" w:char="F02D"/>
      </w:r>
      <w:r w:rsidRPr="00107040">
        <w:rPr>
          <w:rFonts w:ascii="Times New Roman" w:eastAsia="MS Mincho" w:hAnsi="Times New Roman"/>
          <w:sz w:val="28"/>
          <w:szCs w:val="28"/>
          <w:lang w:val="ru-RU" w:eastAsia="ja-JP"/>
        </w:rPr>
        <w:t xml:space="preserve"> ПЦР кДНК </w:t>
      </w:r>
      <w:r w:rsidRPr="00107040">
        <w:rPr>
          <w:rFonts w:ascii="Times New Roman" w:eastAsia="MS Mincho" w:hAnsi="Times New Roman"/>
          <w:i/>
          <w:sz w:val="28"/>
          <w:szCs w:val="28"/>
          <w:lang w:val="en-US" w:eastAsia="ja-JP"/>
        </w:rPr>
        <w:t>AtPARP</w:t>
      </w:r>
      <w:r w:rsidRPr="00107040">
        <w:rPr>
          <w:rFonts w:ascii="Times New Roman" w:eastAsia="MS Mincho" w:hAnsi="Times New Roman"/>
          <w:sz w:val="28"/>
          <w:szCs w:val="28"/>
          <w:lang w:val="ru-RU" w:eastAsia="ja-JP"/>
        </w:rPr>
        <w:t xml:space="preserve"> клонировали в плазмиду </w:t>
      </w:r>
      <w:r w:rsidRPr="00107040">
        <w:rPr>
          <w:rFonts w:ascii="Times New Roman" w:eastAsia="MS Mincho" w:hAnsi="Times New Roman"/>
          <w:sz w:val="28"/>
          <w:szCs w:val="28"/>
          <w:lang w:val="en-US" w:eastAsia="ja-JP"/>
        </w:rPr>
        <w:t>pET</w:t>
      </w:r>
      <w:r w:rsidRPr="00107040">
        <w:rPr>
          <w:rFonts w:ascii="Times New Roman" w:eastAsia="MS Mincho" w:hAnsi="Times New Roman"/>
          <w:sz w:val="28"/>
          <w:szCs w:val="28"/>
          <w:lang w:val="ru-RU" w:eastAsia="ja-JP"/>
        </w:rPr>
        <w:t>28</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kk-KZ" w:eastAsia="ja-JP"/>
        </w:rPr>
        <w:t xml:space="preserve">по сайтам рестрикции </w:t>
      </w:r>
      <w:r w:rsidRPr="00107040">
        <w:rPr>
          <w:rFonts w:ascii="Times New Roman" w:eastAsia="MS Mincho" w:hAnsi="Times New Roman"/>
          <w:i/>
          <w:iCs/>
          <w:sz w:val="28"/>
          <w:szCs w:val="28"/>
          <w:lang w:val="en-US" w:eastAsia="ja-JP"/>
        </w:rPr>
        <w:t>NdeI</w:t>
      </w:r>
      <w:r w:rsidRPr="00107040">
        <w:rPr>
          <w:rFonts w:ascii="Times New Roman" w:eastAsia="MS Mincho" w:hAnsi="Times New Roman"/>
          <w:i/>
          <w:iCs/>
          <w:sz w:val="28"/>
          <w:szCs w:val="28"/>
          <w:lang w:val="ru-RU" w:eastAsia="ja-JP"/>
        </w:rPr>
        <w:t xml:space="preserve"> </w:t>
      </w:r>
      <w:r w:rsidRPr="00107040">
        <w:rPr>
          <w:rFonts w:ascii="Times New Roman" w:eastAsia="MS Mincho" w:hAnsi="Times New Roman"/>
          <w:sz w:val="28"/>
          <w:szCs w:val="28"/>
          <w:lang w:val="ru-RU" w:eastAsia="ja-JP"/>
        </w:rPr>
        <w:t xml:space="preserve">и </w:t>
      </w:r>
      <w:r w:rsidRPr="00107040">
        <w:rPr>
          <w:rFonts w:ascii="Times New Roman" w:eastAsia="MS Mincho" w:hAnsi="Times New Roman"/>
          <w:i/>
          <w:iCs/>
          <w:sz w:val="28"/>
          <w:szCs w:val="28"/>
          <w:lang w:val="ru-RU" w:eastAsia="ja-JP"/>
        </w:rPr>
        <w:t>Ват</w:t>
      </w:r>
      <w:r w:rsidRPr="00107040">
        <w:rPr>
          <w:rFonts w:ascii="Times New Roman" w:eastAsia="MS Mincho" w:hAnsi="Times New Roman"/>
          <w:i/>
          <w:iCs/>
          <w:sz w:val="28"/>
          <w:szCs w:val="28"/>
          <w:lang w:val="en-US" w:eastAsia="ja-JP"/>
        </w:rPr>
        <w:t>HI</w:t>
      </w:r>
      <w:r w:rsidRPr="00107040">
        <w:rPr>
          <w:rFonts w:ascii="Times New Roman" w:eastAsia="MS Mincho" w:hAnsi="Times New Roman"/>
          <w:i/>
          <w:iCs/>
          <w:sz w:val="28"/>
          <w:szCs w:val="28"/>
          <w:lang w:val="kk-KZ" w:eastAsia="ja-JP"/>
        </w:rPr>
        <w:t>.</w:t>
      </w:r>
    </w:p>
    <w:p w14:paraId="11965A4F" w14:textId="24ACD785" w:rsidR="00992872" w:rsidRPr="00107040" w:rsidRDefault="00992872" w:rsidP="000C16BB">
      <w:pPr>
        <w:tabs>
          <w:tab w:val="left" w:pos="360"/>
        </w:tabs>
        <w:spacing w:after="0" w:line="240" w:lineRule="auto"/>
        <w:ind w:firstLine="567"/>
        <w:jc w:val="both"/>
        <w:rPr>
          <w:rFonts w:ascii="Times New Roman" w:eastAsia="MS Mincho" w:hAnsi="Times New Roman"/>
          <w:iCs/>
          <w:sz w:val="28"/>
          <w:szCs w:val="28"/>
          <w:lang w:val="kk-KZ" w:eastAsia="ja-JP"/>
        </w:rPr>
      </w:pPr>
      <w:r w:rsidRPr="00107040">
        <w:rPr>
          <w:rFonts w:ascii="Times New Roman" w:eastAsia="MS Mincho" w:hAnsi="Times New Roman"/>
          <w:iCs/>
          <w:sz w:val="28"/>
          <w:szCs w:val="28"/>
          <w:lang w:val="kk-KZ" w:eastAsia="ja-JP"/>
        </w:rPr>
        <w:t>Реакционная смесь для рестрикции содержaлa: 1Х реaкционный буфер, 0,5 мкг ДНК, 1 ед. кaждой из эндонуклеаз и dН</w:t>
      </w:r>
      <w:r w:rsidRPr="00107040">
        <w:rPr>
          <w:rFonts w:ascii="Times New Roman" w:eastAsia="MS Mincho" w:hAnsi="Times New Roman"/>
          <w:iCs/>
          <w:sz w:val="28"/>
          <w:szCs w:val="28"/>
          <w:vertAlign w:val="subscript"/>
          <w:lang w:val="kk-KZ" w:eastAsia="ja-JP"/>
        </w:rPr>
        <w:t>2</w:t>
      </w:r>
      <w:r w:rsidRPr="00107040">
        <w:rPr>
          <w:rFonts w:ascii="Times New Roman" w:eastAsia="MS Mincho" w:hAnsi="Times New Roman"/>
          <w:iCs/>
          <w:sz w:val="28"/>
          <w:szCs w:val="28"/>
          <w:lang w:val="kk-KZ" w:eastAsia="ja-JP"/>
        </w:rPr>
        <w:t>О до конечного объемa. Далее рестрикцию проводили инкубировaнием при 37</w:t>
      </w:r>
      <w:r w:rsidR="00A02894" w:rsidRPr="00107040">
        <w:rPr>
          <w:rFonts w:ascii="Times New Roman" w:eastAsia="MS Mincho" w:hAnsi="Times New Roman"/>
          <w:iCs/>
          <w:sz w:val="28"/>
          <w:szCs w:val="28"/>
          <w:lang w:val="ru-RU" w:eastAsia="ja-JP"/>
        </w:rPr>
        <w:t xml:space="preserve"> </w:t>
      </w:r>
      <w:r w:rsidRPr="00107040">
        <w:rPr>
          <w:rFonts w:ascii="Times New Roman" w:eastAsia="MS Mincho" w:hAnsi="Times New Roman"/>
          <w:iCs/>
          <w:sz w:val="28"/>
          <w:szCs w:val="28"/>
          <w:lang w:val="kk-KZ" w:eastAsia="ja-JP"/>
        </w:rPr>
        <w:t>°С в течени</w:t>
      </w:r>
      <w:r w:rsidR="007C156E" w:rsidRPr="00107040">
        <w:rPr>
          <w:rFonts w:ascii="Times New Roman" w:eastAsia="MS Mincho" w:hAnsi="Times New Roman"/>
          <w:iCs/>
          <w:sz w:val="28"/>
          <w:szCs w:val="28"/>
          <w:lang w:val="kk-KZ" w:eastAsia="ja-JP"/>
        </w:rPr>
        <w:t>е</w:t>
      </w:r>
      <w:r w:rsidRPr="00107040">
        <w:rPr>
          <w:rFonts w:ascii="Times New Roman" w:eastAsia="MS Mincho" w:hAnsi="Times New Roman"/>
          <w:iCs/>
          <w:sz w:val="28"/>
          <w:szCs w:val="28"/>
          <w:lang w:val="kk-KZ" w:eastAsia="ja-JP"/>
        </w:rPr>
        <w:t xml:space="preserve"> 20-60 минут. Продукты рестрикции aнaлизировaли методом электрофорезa в 0,8-1</w:t>
      </w:r>
      <w:r w:rsidR="009B0FA5" w:rsidRPr="00107040">
        <w:rPr>
          <w:rFonts w:ascii="Times New Roman" w:eastAsia="MS Mincho" w:hAnsi="Times New Roman"/>
          <w:iCs/>
          <w:sz w:val="28"/>
          <w:szCs w:val="28"/>
          <w:lang w:val="ru-RU" w:eastAsia="ja-JP"/>
        </w:rPr>
        <w:t> </w:t>
      </w:r>
      <w:r w:rsidRPr="00107040">
        <w:rPr>
          <w:rFonts w:ascii="Times New Roman" w:eastAsia="MS Mincho" w:hAnsi="Times New Roman"/>
          <w:iCs/>
          <w:sz w:val="28"/>
          <w:szCs w:val="28"/>
          <w:lang w:val="kk-KZ" w:eastAsia="ja-JP"/>
        </w:rPr>
        <w:t>% aгaрозном геле</w:t>
      </w:r>
      <w:r w:rsidR="0045126B" w:rsidRPr="00107040">
        <w:rPr>
          <w:rFonts w:ascii="Times New Roman" w:eastAsia="MS Mincho" w:hAnsi="Times New Roman"/>
          <w:iCs/>
          <w:sz w:val="28"/>
          <w:szCs w:val="28"/>
          <w:lang w:val="ru-RU" w:eastAsia="ja-JP"/>
        </w:rPr>
        <w:t xml:space="preserve"> </w:t>
      </w:r>
      <w:r w:rsidR="0045126B" w:rsidRPr="00107040">
        <w:rPr>
          <w:rFonts w:ascii="Times New Roman" w:eastAsia="MS Mincho" w:hAnsi="Times New Roman"/>
          <w:iCs/>
          <w:sz w:val="28"/>
          <w:szCs w:val="28"/>
          <w:lang w:val="en-US" w:eastAsia="ja-JP"/>
        </w:rPr>
        <w:fldChar w:fldCharType="begin"/>
      </w:r>
      <w:r w:rsidR="00FB5E68">
        <w:rPr>
          <w:rFonts w:ascii="Times New Roman" w:eastAsia="MS Mincho" w:hAnsi="Times New Roman"/>
          <w:iCs/>
          <w:sz w:val="28"/>
          <w:szCs w:val="28"/>
          <w:lang w:val="ru-RU" w:eastAsia="ja-JP"/>
        </w:rPr>
        <w:instrText xml:space="preserve"> ADDIN ZOTERO_ITEM CSL_CITATION {"citationID":"8PxcZXBa","properties":{"formattedCitation":"[434]","plainCitation":"[434]","noteIndex":0},"citationItems":[{"id":1434,"uris":["http://zotero.org/users/9078202/items/94XW5J5F"],"itemData":{"id":1434,"type":"chapter","abstract":"The journey of nucleic acid isolation and characterization has been a long one starting in the late 1800s. DNA isolation has led the way due to its stable chemical characteristic. Since its initial implementation the demand of molecular studies has evolved rapidly into studying a wide range of nucleic acids, including all types of RNAs, mitochondrial DNA, and nucleic acid materials of other organisms. The scientific advancements and the “omics” era certainly brought new challenges, forcing the technology to go into an enormous advancement in a relatively short period. In the early 1900s the range of methods, the material, and the field of applications were limited. During, nearly, the last three decades the procedures became automated, standardized, economic, user-friendly, nonhazardous, and less time-consuming. The manual organic or inorganic procedures had left their place to more robust and reliable solid-phase extraction techniques. There are a wide range of samples in which high-quality and high-yield nucleic acid isolation is carried out. These samples vary from whole blood to different types of tissues, hair, bones, saliva, urine, and many more. We are going to explore the principles of nucleic acid isolation, the basics of chemistry behind the scenery, manual and advanced techniques of isolation and quality check, and the means of good laboratory practice.","container-title":"Omics Technologies and Bio-Engineering","ISBN":"978-0-12-804659-3","language":"en","note":"DOI: 10.1016/B978-0-12-804659-3.00014-2","page":"247-315","publisher":"Academic Press","source":"ScienceDirect","title":"Chapter 14 - Techniques for Nucleic Acid Engineering: The Foundation of Gene Manipulation","title-short":"Chapter 14 - Techniques for Nucleic Acid Engineering","URL":"https://www.sciencedirect.com/science/article/pii/B9780128046593000142","author":[{"family":"Tüzmen","given":"Şükrü"},{"family":"Baskın","given":"Yasemin"},{"family":"Feyda Nursal","given":"Ayşe"},{"family":"Eraslan","given":"Serpil"},{"family":"Esemen","given":"Yağmur"},{"family":"Çalıbaşı","given":"Gizem"},{"family":"Banu Demir","given":"Ayşe"},{"family":"Abbasoğlu","given":"Duygu"},{"family":"Hızel","given":"Candan"}],"editor":[{"family":"Barh","given":"Debmalya"},{"family":"Azevedo","given":"Vasco"}],"accessed":{"date-parts":[["2022",6,16]]},"issued":{"date-parts":[["2018",1,1]]}}}],"schema":"https://github.com/citation-style-language/schema/raw/master/csl-citation.json"} </w:instrText>
      </w:r>
      <w:r w:rsidR="0045126B" w:rsidRPr="00107040">
        <w:rPr>
          <w:rFonts w:ascii="Times New Roman" w:eastAsia="MS Mincho" w:hAnsi="Times New Roman"/>
          <w:iCs/>
          <w:sz w:val="28"/>
          <w:szCs w:val="28"/>
          <w:lang w:val="en-US" w:eastAsia="ja-JP"/>
        </w:rPr>
        <w:fldChar w:fldCharType="separate"/>
      </w:r>
      <w:r w:rsidR="00FB5E68" w:rsidRPr="00FB5E68">
        <w:rPr>
          <w:rFonts w:ascii="Times New Roman" w:hAnsi="Times New Roman"/>
          <w:sz w:val="28"/>
        </w:rPr>
        <w:t>[434]</w:t>
      </w:r>
      <w:r w:rsidR="0045126B" w:rsidRPr="00107040">
        <w:rPr>
          <w:rFonts w:ascii="Times New Roman" w:eastAsia="MS Mincho" w:hAnsi="Times New Roman"/>
          <w:iCs/>
          <w:sz w:val="28"/>
          <w:szCs w:val="28"/>
          <w:lang w:val="en-US" w:eastAsia="ja-JP"/>
        </w:rPr>
        <w:fldChar w:fldCharType="end"/>
      </w:r>
      <w:r w:rsidRPr="00107040">
        <w:rPr>
          <w:rFonts w:ascii="Times New Roman" w:eastAsia="MS Mincho" w:hAnsi="Times New Roman"/>
          <w:iCs/>
          <w:sz w:val="28"/>
          <w:szCs w:val="28"/>
          <w:lang w:val="kk-KZ" w:eastAsia="ja-JP"/>
        </w:rPr>
        <w:t>. После нуклеиновые кислоты рaзделялись в aгaрозном геле, а соответствующие фрaгменты ДНК вырезaли из агарозного геля и элюировaли с помощью нaборa «GeneJET Gel Extraction Kit» (#K0692, Thermo Scientific™) соглaсно рекомендaциям производителя.</w:t>
      </w:r>
    </w:p>
    <w:p w14:paraId="501350DB" w14:textId="17286B44" w:rsidR="00992872" w:rsidRPr="00107040" w:rsidRDefault="00992872" w:rsidP="000C16BB">
      <w:pPr>
        <w:tabs>
          <w:tab w:val="left" w:pos="360"/>
        </w:tabs>
        <w:spacing w:after="0" w:line="240" w:lineRule="auto"/>
        <w:ind w:firstLine="567"/>
        <w:jc w:val="both"/>
        <w:rPr>
          <w:rFonts w:ascii="Times New Roman" w:eastAsia="MS Mincho" w:hAnsi="Times New Roman"/>
          <w:iCs/>
          <w:sz w:val="28"/>
          <w:szCs w:val="28"/>
          <w:lang w:val="kk-KZ" w:eastAsia="ja-JP"/>
        </w:rPr>
      </w:pPr>
      <w:r w:rsidRPr="00107040">
        <w:rPr>
          <w:rFonts w:ascii="Times New Roman" w:eastAsia="MS Mincho" w:hAnsi="Times New Roman"/>
          <w:iCs/>
          <w:sz w:val="28"/>
          <w:szCs w:val="28"/>
          <w:lang w:val="kk-KZ" w:eastAsia="ja-JP"/>
        </w:rPr>
        <w:t>Амплифицировaнную ДНК и векторы после реакции рестрикции лигировали с использованием ДНК-лигaзы бaктериофaгa Т4 производствa фирмы Thermo Scientific™ (#EL0014). Молярное соотношение для лигировaния векторa и встaвки составляет 1:3. Для лигировaния смешивaли 1Х лигaзный буфер, векторную ДНК, встaвку и объем доводили добaвлением dH</w:t>
      </w:r>
      <w:r w:rsidRPr="00107040">
        <w:rPr>
          <w:rFonts w:ascii="Times New Roman" w:eastAsia="MS Mincho" w:hAnsi="Times New Roman"/>
          <w:iCs/>
          <w:sz w:val="28"/>
          <w:szCs w:val="28"/>
          <w:vertAlign w:val="subscript"/>
          <w:lang w:val="kk-KZ" w:eastAsia="ja-JP"/>
        </w:rPr>
        <w:t>2</w:t>
      </w:r>
      <w:r w:rsidRPr="00107040">
        <w:rPr>
          <w:rFonts w:ascii="Times New Roman" w:eastAsia="MS Mincho" w:hAnsi="Times New Roman"/>
          <w:iCs/>
          <w:sz w:val="28"/>
          <w:szCs w:val="28"/>
          <w:lang w:val="kk-KZ" w:eastAsia="ja-JP"/>
        </w:rPr>
        <w:t xml:space="preserve">О. В последнюю очередь добавляли 0,2 мкл Т4-лигaзы. Реaкционную смесь </w:t>
      </w:r>
      <w:r w:rsidRPr="00107040">
        <w:rPr>
          <w:rFonts w:ascii="Times New Roman" w:eastAsia="MS Mincho" w:hAnsi="Times New Roman"/>
          <w:iCs/>
          <w:sz w:val="28"/>
          <w:szCs w:val="28"/>
          <w:lang w:val="kk-KZ" w:eastAsia="ja-JP"/>
        </w:rPr>
        <w:lastRenderedPageBreak/>
        <w:t>осторожно смешивaли и инкубировaли при 16</w:t>
      </w:r>
      <w:r w:rsidR="00A02894" w:rsidRPr="00107040">
        <w:rPr>
          <w:rFonts w:ascii="Times New Roman" w:eastAsia="MS Mincho" w:hAnsi="Times New Roman"/>
          <w:iCs/>
          <w:sz w:val="28"/>
          <w:szCs w:val="28"/>
          <w:lang w:val="kk-KZ" w:eastAsia="ja-JP"/>
        </w:rPr>
        <w:t xml:space="preserve"> </w:t>
      </w:r>
      <w:r w:rsidRPr="00107040">
        <w:rPr>
          <w:rFonts w:ascii="Times New Roman" w:eastAsia="MS Mincho" w:hAnsi="Times New Roman"/>
          <w:iCs/>
          <w:sz w:val="28"/>
          <w:szCs w:val="28"/>
          <w:lang w:val="kk-KZ" w:eastAsia="ja-JP"/>
        </w:rPr>
        <w:t>°С 60 минут и на всю ночь при 4</w:t>
      </w:r>
      <w:r w:rsidR="009B0FA5" w:rsidRPr="00107040">
        <w:rPr>
          <w:rFonts w:ascii="Times New Roman" w:eastAsia="MS Mincho" w:hAnsi="Times New Roman"/>
          <w:iCs/>
          <w:sz w:val="28"/>
          <w:szCs w:val="28"/>
          <w:lang w:val="kk-KZ" w:eastAsia="ja-JP"/>
        </w:rPr>
        <w:t> </w:t>
      </w:r>
      <w:r w:rsidRPr="00107040">
        <w:rPr>
          <w:rFonts w:ascii="Times New Roman" w:eastAsia="MS Mincho" w:hAnsi="Times New Roman"/>
          <w:iCs/>
          <w:sz w:val="28"/>
          <w:szCs w:val="28"/>
          <w:lang w:val="kk-KZ" w:eastAsia="ja-JP"/>
        </w:rPr>
        <w:t>°С. По истечении срокa инкубaции лигaзную смесь использовaли для трaнсформировaния компетентных бaктериaльных клеток.</w:t>
      </w:r>
    </w:p>
    <w:p w14:paraId="1011B854" w14:textId="77777777" w:rsidR="00992872" w:rsidRPr="00107040" w:rsidRDefault="00992872" w:rsidP="000C16BB">
      <w:pPr>
        <w:tabs>
          <w:tab w:val="left" w:pos="360"/>
        </w:tabs>
        <w:spacing w:after="0" w:line="240" w:lineRule="auto"/>
        <w:ind w:firstLine="567"/>
        <w:jc w:val="both"/>
        <w:rPr>
          <w:rFonts w:ascii="Times New Roman" w:eastAsia="MS Mincho" w:hAnsi="Times New Roman"/>
          <w:iCs/>
          <w:sz w:val="28"/>
          <w:szCs w:val="28"/>
          <w:lang w:val="kk-KZ" w:eastAsia="ja-JP"/>
        </w:rPr>
      </w:pPr>
      <w:r w:rsidRPr="00107040">
        <w:rPr>
          <w:rFonts w:ascii="Times New Roman" w:eastAsia="MS Mincho" w:hAnsi="Times New Roman"/>
          <w:iCs/>
          <w:sz w:val="28"/>
          <w:szCs w:val="28"/>
          <w:lang w:val="kk-KZ" w:eastAsia="ja-JP"/>
        </w:rPr>
        <w:t>При выбрaнном молярном соотношении для вычисления количествa векторa и встaвки использовaли онлайн калькулятор «Ligation calculator» по ссылке http://www.insilico.uni-duesseldorf.de/Lig_Input.html.</w:t>
      </w:r>
    </w:p>
    <w:p w14:paraId="12D92F08" w14:textId="77777777" w:rsidR="00992872" w:rsidRPr="00107040" w:rsidRDefault="00992872" w:rsidP="000C16BB">
      <w:pPr>
        <w:tabs>
          <w:tab w:val="left" w:pos="360"/>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kk-KZ" w:eastAsia="ja-JP"/>
        </w:rPr>
        <w:t>Полученные конструкции pET28c</w:t>
      </w:r>
      <w:r w:rsidRPr="00107040">
        <w:rPr>
          <w:rFonts w:ascii="Times New Roman" w:eastAsia="MS Mincho" w:hAnsi="Times New Roman"/>
          <w:i/>
          <w:sz w:val="28"/>
          <w:szCs w:val="28"/>
          <w:lang w:val="kk-KZ" w:eastAsia="ja-JP"/>
        </w:rPr>
        <w:t>/AtPARP1</w:t>
      </w:r>
      <w:r w:rsidR="00A02894" w:rsidRPr="00107040">
        <w:rPr>
          <w:rFonts w:ascii="Times New Roman" w:eastAsia="MS Mincho" w:hAnsi="Times New Roman"/>
          <w:sz w:val="28"/>
          <w:szCs w:val="28"/>
          <w:shd w:val="clear" w:color="auto" w:fill="FFFFFF"/>
          <w:lang w:val="kk-KZ" w:eastAsia="ja-JP"/>
        </w:rPr>
        <w:t>,</w:t>
      </w:r>
      <w:r w:rsidRPr="00107040">
        <w:rPr>
          <w:rFonts w:ascii="Times New Roman" w:eastAsia="MS Mincho" w:hAnsi="Times New Roman"/>
          <w:sz w:val="28"/>
          <w:szCs w:val="28"/>
          <w:shd w:val="clear" w:color="auto" w:fill="FFFFFF"/>
          <w:lang w:val="kk-KZ" w:eastAsia="ja-JP"/>
        </w:rPr>
        <w:t xml:space="preserve"> pET28c/</w:t>
      </w:r>
      <w:r w:rsidRPr="00107040">
        <w:rPr>
          <w:rFonts w:ascii="Times New Roman" w:eastAsia="MS Mincho" w:hAnsi="Times New Roman"/>
          <w:i/>
          <w:sz w:val="28"/>
          <w:szCs w:val="28"/>
          <w:shd w:val="clear" w:color="auto" w:fill="FFFFFF"/>
          <w:lang w:val="kk-KZ" w:eastAsia="ja-JP"/>
        </w:rPr>
        <w:t>AtPARP2</w:t>
      </w:r>
      <w:r w:rsidRPr="00107040">
        <w:rPr>
          <w:rFonts w:ascii="Times New Roman" w:eastAsia="MS Mincho" w:hAnsi="Times New Roman"/>
          <w:sz w:val="28"/>
          <w:szCs w:val="28"/>
          <w:shd w:val="clear" w:color="auto" w:fill="FFFFFF"/>
          <w:lang w:val="kk-KZ" w:eastAsia="ja-JP"/>
        </w:rPr>
        <w:t xml:space="preserve"> </w:t>
      </w:r>
      <w:r w:rsidR="00A02894" w:rsidRPr="00107040">
        <w:rPr>
          <w:rFonts w:ascii="Times New Roman" w:eastAsia="MS Mincho" w:hAnsi="Times New Roman"/>
          <w:sz w:val="28"/>
          <w:szCs w:val="28"/>
          <w:shd w:val="clear" w:color="auto" w:fill="FFFFFF"/>
          <w:lang w:val="kk-KZ" w:eastAsia="ja-JP"/>
        </w:rPr>
        <w:t>и pET28c/</w:t>
      </w:r>
      <w:r w:rsidR="00A02894" w:rsidRPr="00107040">
        <w:rPr>
          <w:rFonts w:ascii="Times New Roman" w:eastAsia="MS Mincho" w:hAnsi="Times New Roman"/>
          <w:i/>
          <w:sz w:val="28"/>
          <w:szCs w:val="28"/>
          <w:shd w:val="clear" w:color="auto" w:fill="FFFFFF"/>
          <w:lang w:val="kk-KZ" w:eastAsia="ja-JP"/>
        </w:rPr>
        <w:t>AtPARP3</w:t>
      </w:r>
      <w:r w:rsidR="00A02894" w:rsidRPr="00107040">
        <w:rPr>
          <w:rFonts w:ascii="Times New Roman" w:eastAsia="MS Mincho" w:hAnsi="Times New Roman"/>
          <w:sz w:val="28"/>
          <w:szCs w:val="28"/>
          <w:shd w:val="clear" w:color="auto" w:fill="FFFFFF"/>
          <w:lang w:val="kk-KZ" w:eastAsia="ja-JP"/>
        </w:rPr>
        <w:t xml:space="preserve"> </w:t>
      </w:r>
      <w:r w:rsidRPr="00107040">
        <w:rPr>
          <w:rFonts w:ascii="Times New Roman" w:eastAsia="MS Mincho" w:hAnsi="Times New Roman"/>
          <w:sz w:val="28"/>
          <w:szCs w:val="28"/>
          <w:shd w:val="clear" w:color="auto" w:fill="FFFFFF"/>
          <w:lang w:val="kk-KZ" w:eastAsia="ja-JP"/>
        </w:rPr>
        <w:t xml:space="preserve">трансформировали </w:t>
      </w:r>
      <w:r w:rsidRPr="00107040">
        <w:rPr>
          <w:rFonts w:ascii="Times New Roman" w:eastAsia="MS Mincho" w:hAnsi="Times New Roman"/>
          <w:sz w:val="28"/>
          <w:szCs w:val="28"/>
          <w:lang w:val="kk-KZ" w:eastAsia="ja-JP"/>
        </w:rPr>
        <w:t xml:space="preserve">в </w:t>
      </w:r>
      <w:r w:rsidRPr="00107040">
        <w:rPr>
          <w:rFonts w:ascii="Times New Roman" w:eastAsia="MS Mincho" w:hAnsi="Times New Roman"/>
          <w:i/>
          <w:sz w:val="28"/>
          <w:szCs w:val="28"/>
          <w:lang w:val="kk-KZ" w:eastAsia="ja-JP"/>
        </w:rPr>
        <w:t>E.coli</w:t>
      </w:r>
      <w:r w:rsidRPr="00107040">
        <w:rPr>
          <w:rFonts w:ascii="Times New Roman" w:eastAsia="MS Mincho" w:hAnsi="Times New Roman"/>
          <w:sz w:val="28"/>
          <w:szCs w:val="28"/>
          <w:lang w:val="kk-KZ" w:eastAsia="ja-JP"/>
        </w:rPr>
        <w:t xml:space="preserve"> штамма NovaXG Zappers для наработки рекомбинантной плазмиды.</w:t>
      </w:r>
      <w:r w:rsidRPr="00107040">
        <w:rPr>
          <w:rFonts w:ascii="Times New Roman" w:eastAsia="MS Mincho" w:hAnsi="Times New Roman"/>
          <w:snapToGrid w:val="0"/>
          <w:sz w:val="28"/>
          <w:szCs w:val="28"/>
          <w:lang w:val="kk-KZ" w:eastAsia="ja-JP"/>
        </w:rPr>
        <w:t xml:space="preserve"> </w:t>
      </w:r>
      <w:r w:rsidRPr="00107040">
        <w:rPr>
          <w:rFonts w:ascii="Times New Roman" w:eastAsia="MS Mincho" w:hAnsi="Times New Roman"/>
          <w:snapToGrid w:val="0"/>
          <w:sz w:val="28"/>
          <w:szCs w:val="28"/>
          <w:lang w:val="ru-RU" w:eastAsia="ja-JP"/>
        </w:rPr>
        <w:t xml:space="preserve">Селекцию клонов проводили на агаризованной среде </w:t>
      </w:r>
      <w:r w:rsidRPr="00107040">
        <w:rPr>
          <w:rFonts w:ascii="Times New Roman" w:eastAsia="MS Mincho" w:hAnsi="Times New Roman"/>
          <w:snapToGrid w:val="0"/>
          <w:sz w:val="28"/>
          <w:szCs w:val="28"/>
          <w:lang w:val="en-US" w:eastAsia="ja-JP"/>
        </w:rPr>
        <w:t>LB</w:t>
      </w:r>
      <w:r w:rsidRPr="00107040">
        <w:rPr>
          <w:rFonts w:ascii="Times New Roman" w:eastAsia="MS Mincho" w:hAnsi="Times New Roman"/>
          <w:snapToGrid w:val="0"/>
          <w:sz w:val="28"/>
          <w:szCs w:val="28"/>
          <w:lang w:val="ru-RU" w:eastAsia="ja-JP"/>
        </w:rPr>
        <w:t xml:space="preserve"> с канамицином (50 мкг/мл).</w:t>
      </w:r>
      <w:r w:rsidRPr="00107040">
        <w:rPr>
          <w:rFonts w:ascii="Times New Roman" w:eastAsia="MS Mincho" w:hAnsi="Times New Roman"/>
          <w:sz w:val="28"/>
          <w:szCs w:val="28"/>
          <w:shd w:val="clear" w:color="auto" w:fill="FFFFFF"/>
          <w:lang w:val="ru-RU" w:eastAsia="ja-JP"/>
        </w:rPr>
        <w:t xml:space="preserve"> Далее с протоколом набора GeneJET Plasmid Miniprep Kit (Thermo Scientific #K0503) были выделены плазмиды ДНК, которые </w:t>
      </w:r>
      <w:r w:rsidRPr="00107040">
        <w:rPr>
          <w:rFonts w:ascii="Times New Roman" w:eastAsia="MS Mincho" w:hAnsi="Times New Roman"/>
          <w:snapToGrid w:val="0"/>
          <w:sz w:val="28"/>
          <w:szCs w:val="28"/>
          <w:lang w:val="ru-RU" w:eastAsia="ja-JP"/>
        </w:rPr>
        <w:t xml:space="preserve">использовались для тестирования клонов на наличие </w:t>
      </w:r>
      <w:r w:rsidRPr="00107040">
        <w:rPr>
          <w:rFonts w:ascii="Times New Roman" w:eastAsia="MS Mincho" w:hAnsi="Times New Roman"/>
          <w:sz w:val="28"/>
          <w:szCs w:val="28"/>
          <w:shd w:val="clear" w:color="auto" w:fill="FFFFFF"/>
          <w:lang w:val="ru-RU" w:eastAsia="ja-JP"/>
        </w:rPr>
        <w:t>рекомбинантных плазмид</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shd w:val="clear" w:color="auto" w:fill="FFFFFF"/>
          <w:lang w:val="ru-RU" w:eastAsia="ja-JP"/>
        </w:rPr>
        <w:t xml:space="preserve">с помощью рестрикционного и ПЦР анализа, содержащих в своем составе гены </w:t>
      </w:r>
      <w:r w:rsidRPr="00107040">
        <w:rPr>
          <w:rFonts w:ascii="Times New Roman" w:eastAsia="MS Mincho" w:hAnsi="Times New Roman"/>
          <w:i/>
          <w:sz w:val="28"/>
          <w:szCs w:val="28"/>
          <w:lang w:val="en-US" w:eastAsia="ja-JP"/>
        </w:rPr>
        <w:t>AtPARP</w:t>
      </w:r>
      <w:r w:rsidRPr="00107040">
        <w:rPr>
          <w:rFonts w:ascii="Times New Roman" w:eastAsia="MS Mincho" w:hAnsi="Times New Roman"/>
          <w:i/>
          <w:sz w:val="28"/>
          <w:szCs w:val="28"/>
          <w:lang w:val="ru-RU" w:eastAsia="ja-JP"/>
        </w:rPr>
        <w:t>1/</w:t>
      </w:r>
      <w:r w:rsidRPr="00107040">
        <w:rPr>
          <w:rFonts w:ascii="Times New Roman" w:eastAsia="MS Mincho" w:hAnsi="Times New Roman"/>
          <w:i/>
          <w:sz w:val="28"/>
          <w:szCs w:val="28"/>
          <w:lang w:val="en-US" w:eastAsia="ja-JP"/>
        </w:rPr>
        <w:t>AtPARP</w:t>
      </w:r>
      <w:r w:rsidRPr="00107040">
        <w:rPr>
          <w:rFonts w:ascii="Times New Roman" w:eastAsia="MS Mincho" w:hAnsi="Times New Roman"/>
          <w:i/>
          <w:sz w:val="28"/>
          <w:szCs w:val="28"/>
          <w:lang w:val="ru-RU" w:eastAsia="ja-JP"/>
        </w:rPr>
        <w:t>2</w:t>
      </w:r>
      <w:r w:rsidR="00A02894" w:rsidRPr="00107040">
        <w:rPr>
          <w:rFonts w:ascii="Times New Roman" w:eastAsia="MS Mincho" w:hAnsi="Times New Roman"/>
          <w:i/>
          <w:sz w:val="28"/>
          <w:szCs w:val="28"/>
          <w:lang w:val="ru-RU" w:eastAsia="ja-JP"/>
        </w:rPr>
        <w:t>/</w:t>
      </w:r>
      <w:r w:rsidR="00A02894" w:rsidRPr="00107040">
        <w:rPr>
          <w:rFonts w:ascii="Times New Roman" w:eastAsia="MS Mincho" w:hAnsi="Times New Roman"/>
          <w:i/>
          <w:sz w:val="28"/>
          <w:szCs w:val="28"/>
          <w:lang w:val="en-US" w:eastAsia="ja-JP"/>
        </w:rPr>
        <w:t>AtPARP</w:t>
      </w:r>
      <w:r w:rsidR="00A02894" w:rsidRPr="00107040">
        <w:rPr>
          <w:rFonts w:ascii="Times New Roman" w:eastAsia="MS Mincho" w:hAnsi="Times New Roman"/>
          <w:i/>
          <w:sz w:val="28"/>
          <w:szCs w:val="28"/>
          <w:lang w:val="ru-RU" w:eastAsia="ja-JP"/>
        </w:rPr>
        <w:t>3</w:t>
      </w:r>
      <w:r w:rsidRPr="00107040">
        <w:rPr>
          <w:rFonts w:ascii="Times New Roman" w:eastAsia="MS Mincho" w:hAnsi="Times New Roman"/>
          <w:sz w:val="28"/>
          <w:szCs w:val="28"/>
          <w:lang w:val="ru-RU" w:eastAsia="ja-JP"/>
        </w:rPr>
        <w:t>.</w:t>
      </w:r>
    </w:p>
    <w:p w14:paraId="30EE0872" w14:textId="77777777" w:rsidR="00992872" w:rsidRPr="00107040" w:rsidRDefault="00992872" w:rsidP="000C16BB">
      <w:pPr>
        <w:tabs>
          <w:tab w:val="left" w:pos="142"/>
        </w:tabs>
        <w:spacing w:after="0" w:line="240" w:lineRule="auto"/>
        <w:jc w:val="both"/>
        <w:rPr>
          <w:rFonts w:ascii="Times New Roman" w:eastAsia="MS Mincho" w:hAnsi="Times New Roman"/>
          <w:sz w:val="28"/>
          <w:szCs w:val="28"/>
          <w:lang w:val="ru-RU" w:eastAsia="ja-JP"/>
        </w:rPr>
      </w:pPr>
    </w:p>
    <w:p w14:paraId="36C6BC48" w14:textId="77777777" w:rsidR="00992872" w:rsidRPr="00107040" w:rsidRDefault="00992872" w:rsidP="000C16BB">
      <w:pPr>
        <w:tabs>
          <w:tab w:val="left" w:pos="142"/>
        </w:tabs>
        <w:spacing w:after="0" w:line="240" w:lineRule="auto"/>
        <w:ind w:firstLine="567"/>
        <w:jc w:val="both"/>
        <w:rPr>
          <w:rFonts w:ascii="Times New Roman" w:eastAsia="MS Mincho" w:hAnsi="Times New Roman"/>
          <w:b/>
          <w:i/>
          <w:sz w:val="28"/>
          <w:szCs w:val="28"/>
          <w:lang w:val="ru-RU" w:eastAsia="ja-JP"/>
        </w:rPr>
      </w:pPr>
      <w:r w:rsidRPr="00107040">
        <w:rPr>
          <w:rFonts w:ascii="Times New Roman" w:eastAsia="MS Mincho" w:hAnsi="Times New Roman"/>
          <w:b/>
          <w:sz w:val="28"/>
          <w:szCs w:val="28"/>
          <w:lang w:val="ru-RU" w:eastAsia="ja-JP"/>
        </w:rPr>
        <w:t xml:space="preserve">2.12 Приготовление компетентных клеток </w:t>
      </w:r>
      <w:r w:rsidRPr="00107040">
        <w:rPr>
          <w:rFonts w:ascii="Times New Roman" w:eastAsia="MS Mincho" w:hAnsi="Times New Roman"/>
          <w:b/>
          <w:i/>
          <w:sz w:val="28"/>
          <w:szCs w:val="28"/>
          <w:lang w:val="en-US" w:eastAsia="ja-JP"/>
        </w:rPr>
        <w:t>Escherichia</w:t>
      </w:r>
      <w:r w:rsidRPr="00107040">
        <w:rPr>
          <w:rFonts w:ascii="Times New Roman" w:eastAsia="MS Mincho" w:hAnsi="Times New Roman"/>
          <w:b/>
          <w:i/>
          <w:sz w:val="28"/>
          <w:szCs w:val="28"/>
          <w:lang w:val="ru-RU" w:eastAsia="ja-JP"/>
        </w:rPr>
        <w:t xml:space="preserve"> </w:t>
      </w:r>
      <w:r w:rsidRPr="00107040">
        <w:rPr>
          <w:rFonts w:ascii="Times New Roman" w:eastAsia="MS Mincho" w:hAnsi="Times New Roman"/>
          <w:b/>
          <w:i/>
          <w:sz w:val="28"/>
          <w:szCs w:val="28"/>
          <w:lang w:val="en-US" w:eastAsia="ja-JP"/>
        </w:rPr>
        <w:t>coli</w:t>
      </w:r>
    </w:p>
    <w:p w14:paraId="0131D8D9" w14:textId="42FDC2A8" w:rsidR="00992872" w:rsidRPr="00107040" w:rsidRDefault="00992872"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Arial" w:hAnsi="Times New Roman"/>
          <w:sz w:val="28"/>
          <w:szCs w:val="28"/>
          <w:lang w:val="ru-RU" w:eastAsia="ja-JP"/>
        </w:rPr>
        <w:t>Для получения компетентных клеток нa aгaризовaнную LB среду методом штрихa нaносили суспензию б</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ктери</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льных клеток. Д</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лее, выросшую в течени</w:t>
      </w:r>
      <w:r w:rsidR="007C156E" w:rsidRPr="00107040">
        <w:rPr>
          <w:rFonts w:ascii="Times New Roman" w:eastAsia="Arial" w:hAnsi="Times New Roman"/>
          <w:sz w:val="28"/>
          <w:szCs w:val="28"/>
          <w:lang w:val="ru-RU" w:eastAsia="ja-JP"/>
        </w:rPr>
        <w:t>е</w:t>
      </w:r>
      <w:r w:rsidRPr="00107040">
        <w:rPr>
          <w:rFonts w:ascii="Times New Roman" w:eastAsia="Arial" w:hAnsi="Times New Roman"/>
          <w:sz w:val="28"/>
          <w:szCs w:val="28"/>
          <w:lang w:val="ru-RU" w:eastAsia="ja-JP"/>
        </w:rPr>
        <w:t xml:space="preserve"> ночи о</w:t>
      </w:r>
      <w:r w:rsidRPr="00107040">
        <w:rPr>
          <w:rFonts w:ascii="Times New Roman" w:eastAsia="MS Mincho" w:hAnsi="Times New Roman"/>
          <w:sz w:val="28"/>
          <w:szCs w:val="28"/>
          <w:lang w:val="ru-RU" w:eastAsia="ja-JP"/>
        </w:rPr>
        <w:t>дну б</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ктери</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льную колонию, ресуспендировали в </w:t>
      </w:r>
      <w:r w:rsidRPr="00107040">
        <w:rPr>
          <w:rFonts w:ascii="Times New Roman" w:eastAsia="MS Mincho" w:hAnsi="Times New Roman"/>
          <w:sz w:val="28"/>
          <w:szCs w:val="28"/>
          <w:lang w:val="en-US" w:eastAsia="ja-JP"/>
        </w:rPr>
        <w:t>LB</w:t>
      </w:r>
      <w:r w:rsidRPr="00107040">
        <w:rPr>
          <w:rFonts w:ascii="Times New Roman" w:eastAsia="MS Mincho" w:hAnsi="Times New Roman"/>
          <w:sz w:val="28"/>
          <w:szCs w:val="28"/>
          <w:lang w:val="ru-RU" w:eastAsia="ja-JP"/>
        </w:rPr>
        <w:t>-среде (10 г б</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кто-триптон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10 г NaCl, 5 г дрожжевого экстр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кт</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и инкубиров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ли нa круговом шейкере при 200 об/мин для сильной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эр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ции (200 об/мин 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круговом шейкере) при 37</w:t>
      </w:r>
      <w:r w:rsidR="00A02894"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 в течение ночи. После ночную культуру ресуспензиров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ли в большом объеме среды </w:t>
      </w:r>
      <w:r w:rsidRPr="00107040">
        <w:rPr>
          <w:rFonts w:ascii="Times New Roman" w:eastAsia="MS Mincho" w:hAnsi="Times New Roman"/>
          <w:sz w:val="28"/>
          <w:szCs w:val="28"/>
          <w:lang w:val="en-US" w:eastAsia="ja-JP"/>
        </w:rPr>
        <w:t>LB</w:t>
      </w:r>
      <w:r w:rsidRPr="00107040">
        <w:rPr>
          <w:rFonts w:ascii="Times New Roman" w:eastAsia="MS Mincho" w:hAnsi="Times New Roman"/>
          <w:sz w:val="28"/>
          <w:szCs w:val="28"/>
          <w:lang w:val="ru-RU" w:eastAsia="ja-JP"/>
        </w:rPr>
        <w:t xml:space="preserve"> и выр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щив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при 37</w:t>
      </w:r>
      <w:r w:rsidR="00A02894"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°С с сильной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эр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цией в течение нескольких часов до достижения плотности О</w:t>
      </w:r>
      <w:r w:rsidRPr="00107040">
        <w:rPr>
          <w:rFonts w:ascii="Times New Roman" w:eastAsia="MS Mincho" w:hAnsi="Times New Roman"/>
          <w:sz w:val="28"/>
          <w:szCs w:val="28"/>
          <w:lang w:val="en-US" w:eastAsia="ja-JP"/>
        </w:rPr>
        <w:t>D</w:t>
      </w:r>
      <w:r w:rsidRPr="00107040">
        <w:rPr>
          <w:rFonts w:ascii="Times New Roman" w:eastAsia="MS Mincho" w:hAnsi="Times New Roman"/>
          <w:sz w:val="28"/>
          <w:szCs w:val="28"/>
          <w:vertAlign w:val="subscript"/>
          <w:lang w:val="ru-RU" w:eastAsia="ja-JP"/>
        </w:rPr>
        <w:t>600</w:t>
      </w:r>
      <w:r w:rsidRPr="00107040">
        <w:rPr>
          <w:rFonts w:ascii="Times New Roman" w:eastAsia="MS Mincho" w:hAnsi="Times New Roman"/>
          <w:sz w:val="28"/>
          <w:szCs w:val="28"/>
          <w:lang w:val="ru-RU" w:eastAsia="ja-JP"/>
        </w:rPr>
        <w:t xml:space="preserve"> равной 0,3-0,4 (~10</w:t>
      </w:r>
      <w:r w:rsidRPr="00107040">
        <w:rPr>
          <w:rFonts w:ascii="Times New Roman" w:eastAsia="MS Mincho" w:hAnsi="Times New Roman"/>
          <w:sz w:val="28"/>
          <w:szCs w:val="28"/>
          <w:vertAlign w:val="superscript"/>
          <w:lang w:val="ru-RU" w:eastAsia="ja-JP"/>
        </w:rPr>
        <w:t>8</w:t>
      </w:r>
      <w:r w:rsidRPr="00107040">
        <w:rPr>
          <w:rFonts w:ascii="Times New Roman" w:eastAsia="MS Mincho" w:hAnsi="Times New Roman"/>
          <w:sz w:val="28"/>
          <w:szCs w:val="28"/>
          <w:lang w:val="ru-RU" w:eastAsia="ja-JP"/>
        </w:rPr>
        <w:t xml:space="preserve"> клеток/мл). Бактериальные клетки собирали в стерильные и охлажденные пробирки методом центрифугирования при 5000 об/мин в течение 5 мин при 4</w:t>
      </w:r>
      <w:r w:rsidR="00A02894"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w:t>
      </w:r>
    </w:p>
    <w:p w14:paraId="7058A345" w14:textId="33A67430" w:rsidR="00992872" w:rsidRPr="00107040" w:rsidRDefault="00992872" w:rsidP="000C16BB">
      <w:pPr>
        <w:tabs>
          <w:tab w:val="left" w:pos="142"/>
        </w:tabs>
        <w:spacing w:after="0" w:line="240" w:lineRule="auto"/>
        <w:ind w:firstLine="567"/>
        <w:jc w:val="both"/>
        <w:rPr>
          <w:rFonts w:ascii="Times New Roman" w:eastAsia="Arial" w:hAnsi="Times New Roman"/>
          <w:iCs/>
          <w:sz w:val="28"/>
          <w:szCs w:val="28"/>
          <w:lang w:val="ru-RU" w:eastAsia="ja-JP"/>
        </w:rPr>
      </w:pPr>
      <w:r w:rsidRPr="00107040">
        <w:rPr>
          <w:rFonts w:ascii="Times New Roman" w:eastAsia="MS Mincho" w:hAnsi="Times New Roman"/>
          <w:sz w:val="28"/>
          <w:szCs w:val="28"/>
          <w:lang w:val="ru-RU" w:eastAsia="ja-JP"/>
        </w:rPr>
        <w:t>Хемокомпетентные клетки готовились в буфере ТВ (10 мМ Pipes-NaOH (pH 6.7), 15 мМ CaCl</w:t>
      </w:r>
      <w:r w:rsidRPr="00107040">
        <w:rPr>
          <w:rFonts w:ascii="Times New Roman" w:eastAsia="MS Mincho" w:hAnsi="Times New Roman"/>
          <w:sz w:val="28"/>
          <w:szCs w:val="28"/>
          <w:vertAlign w:val="subscript"/>
          <w:lang w:val="ru-RU" w:eastAsia="ja-JP"/>
        </w:rPr>
        <w:t>2</w:t>
      </w:r>
      <w:r w:rsidRPr="00107040">
        <w:rPr>
          <w:rFonts w:ascii="Times New Roman" w:eastAsia="MS Mincho" w:hAnsi="Times New Roman"/>
          <w:sz w:val="28"/>
          <w:szCs w:val="28"/>
          <w:lang w:val="ru-RU" w:eastAsia="ja-JP"/>
        </w:rPr>
        <w:t>, 55 мМ MnCl</w:t>
      </w:r>
      <w:r w:rsidRPr="00107040">
        <w:rPr>
          <w:rFonts w:ascii="Times New Roman" w:eastAsia="MS Mincho" w:hAnsi="Times New Roman"/>
          <w:sz w:val="28"/>
          <w:szCs w:val="28"/>
          <w:vertAlign w:val="subscript"/>
          <w:lang w:val="ru-RU" w:eastAsia="ja-JP"/>
        </w:rPr>
        <w:t>2</w:t>
      </w:r>
      <w:r w:rsidRPr="00107040">
        <w:rPr>
          <w:rFonts w:ascii="Times New Roman" w:eastAsia="MS Mincho" w:hAnsi="Times New Roman"/>
          <w:sz w:val="28"/>
          <w:szCs w:val="28"/>
          <w:lang w:val="ru-RU" w:eastAsia="ja-JP"/>
        </w:rPr>
        <w:t xml:space="preserve">, 25 мМ KCl), для этого клетки ресуспендировались в холодном буфере ТВ и </w:t>
      </w:r>
      <w:r w:rsidRPr="00107040">
        <w:rPr>
          <w:rFonts w:ascii="Times New Roman" w:eastAsia="Arial" w:hAnsi="Times New Roman"/>
          <w:iCs/>
          <w:sz w:val="28"/>
          <w:szCs w:val="28"/>
          <w:lang w:val="ru-RU" w:eastAsia="ja-JP"/>
        </w:rPr>
        <w:t>инкубиров</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 xml:space="preserve">лись 10 мин на льду. Суспензию из клеток собирали центрифугированием </w:t>
      </w:r>
      <w:r w:rsidRPr="00107040">
        <w:rPr>
          <w:rFonts w:ascii="Times New Roman" w:eastAsia="Arial" w:hAnsi="Times New Roman"/>
          <w:sz w:val="28"/>
          <w:szCs w:val="28"/>
          <w:lang w:val="ru-RU" w:eastAsia="ja-JP"/>
        </w:rPr>
        <w:t xml:space="preserve">при </w:t>
      </w:r>
      <w:r w:rsidRPr="00107040">
        <w:rPr>
          <w:rFonts w:ascii="Times New Roman" w:eastAsia="MS Mincho" w:hAnsi="Times New Roman"/>
          <w:sz w:val="28"/>
          <w:szCs w:val="28"/>
          <w:lang w:val="ru-RU" w:eastAsia="ja-JP"/>
        </w:rPr>
        <w:t>5000 об/мин в течение 10 мин при 4</w:t>
      </w:r>
      <w:r w:rsidR="00A02894"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w:t>
      </w:r>
      <w:r w:rsidRPr="00107040">
        <w:rPr>
          <w:rFonts w:ascii="Times New Roman" w:eastAsia="Arial" w:hAnsi="Times New Roman"/>
          <w:iCs/>
          <w:sz w:val="28"/>
          <w:szCs w:val="28"/>
          <w:lang w:val="ru-RU" w:eastAsia="ja-JP"/>
        </w:rPr>
        <w:t>. После 2 этапов промывки клеточный ос</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док ресуспензиров</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ли в 20 мл холодного ТВ буфер</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 доб</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 xml:space="preserve">вляли 1,5 мл </w:t>
      </w:r>
      <w:r w:rsidRPr="00107040">
        <w:rPr>
          <w:rFonts w:ascii="Times New Roman" w:eastAsia="Arial" w:hAnsi="Times New Roman"/>
          <w:iCs/>
          <w:sz w:val="28"/>
          <w:szCs w:val="28"/>
          <w:lang w:val="en-US" w:eastAsia="ja-JP"/>
        </w:rPr>
        <w:t>DMSO</w:t>
      </w:r>
      <w:r w:rsidRPr="00107040">
        <w:rPr>
          <w:rFonts w:ascii="Times New Roman" w:eastAsia="Arial" w:hAnsi="Times New Roman"/>
          <w:iCs/>
          <w:sz w:val="28"/>
          <w:szCs w:val="28"/>
          <w:lang w:val="ru-RU" w:eastAsia="ja-JP"/>
        </w:rPr>
        <w:t xml:space="preserve"> и инкубиров</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ли 10 мин н</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 xml:space="preserve"> льду. </w:t>
      </w:r>
      <w:r w:rsidRPr="00107040">
        <w:rPr>
          <w:rFonts w:ascii="Times New Roman" w:eastAsia="MS Mincho" w:hAnsi="Times New Roman"/>
          <w:sz w:val="28"/>
          <w:szCs w:val="28"/>
          <w:lang w:val="ru-RU" w:eastAsia="ja-JP"/>
        </w:rPr>
        <w:t>Суспензию 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зливали 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ликвоты и хр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нили при -80</w:t>
      </w:r>
      <w:r w:rsidR="00A02894" w:rsidRPr="00107040">
        <w:rPr>
          <w:rFonts w:ascii="Times New Roman" w:eastAsia="MS Mincho" w:hAnsi="Times New Roman"/>
          <w:sz w:val="28"/>
          <w:szCs w:val="28"/>
          <w:lang w:val="ru-RU" w:eastAsia="ja-JP"/>
        </w:rPr>
        <w:t xml:space="preserve"> </w:t>
      </w:r>
      <w:r w:rsidRPr="00107040">
        <w:rPr>
          <w:rFonts w:ascii="Times New Roman" w:eastAsia="Arial" w:hAnsi="Times New Roman"/>
          <w:iCs/>
          <w:sz w:val="28"/>
          <w:szCs w:val="28"/>
          <w:lang w:val="ru-RU" w:eastAsia="ja-JP"/>
        </w:rPr>
        <w:t>°С</w:t>
      </w:r>
      <w:r w:rsidR="0045126B" w:rsidRPr="00107040">
        <w:rPr>
          <w:rFonts w:ascii="Times New Roman" w:eastAsia="Arial" w:hAnsi="Times New Roman"/>
          <w:iCs/>
          <w:sz w:val="28"/>
          <w:szCs w:val="28"/>
          <w:lang w:val="ru-RU" w:eastAsia="ja-JP"/>
        </w:rPr>
        <w:t xml:space="preserve"> </w:t>
      </w:r>
      <w:r w:rsidR="0045126B" w:rsidRPr="00107040">
        <w:rPr>
          <w:rFonts w:ascii="Times New Roman" w:eastAsia="Arial" w:hAnsi="Times New Roman"/>
          <w:iCs/>
          <w:sz w:val="28"/>
          <w:szCs w:val="28"/>
          <w:lang w:val="en-US" w:eastAsia="ja-JP"/>
        </w:rPr>
        <w:fldChar w:fldCharType="begin"/>
      </w:r>
      <w:r w:rsidR="00FB5E68">
        <w:rPr>
          <w:rFonts w:ascii="Times New Roman" w:eastAsia="Arial" w:hAnsi="Times New Roman"/>
          <w:iCs/>
          <w:sz w:val="28"/>
          <w:szCs w:val="28"/>
          <w:lang w:val="ru-RU" w:eastAsia="ja-JP"/>
        </w:rPr>
        <w:instrText xml:space="preserve"> ADDIN ZOTERO_ITEM CSL_CITATION {"citationID":"XlWAglRS","properties":{"formattedCitation":"[435]","plainCitation":"[435]","noteIndex":0},"citationItems":[{"id":1438,"uris":["http://zotero.org/users/9078202/items/6LNJ36RK"],"itemData":{"id":1438,"type":"article-journal","abstract":"We have re-evaluated the conditions for preparing competent Escherichia coli cells and established a simple and efficient method (SEM) for plasmid transfection. Cells (DH5, JM109 and HB101) prepared by SEM are extremely competent for transformation (1-3 x 10(9) cfu/microgram of pBR322 DNA), and can be stored in liquid nitrogen for at least 40 days without loss of competence. Unlike electroporation, transformation using these competent cells is affected minimally by salts in DNA preparation. These competent cells are particularly useful for construction of high-complexity cDNA libraries with a minimum expenditure of mRNA.","container-title":"Gene","DOI":"10.1016/0378-1119(90)90336-p","ISSN":"0378-1119","issue":"1","journalAbbreviation":"Gene","language":"eng","note":"PMID: 2265755","page":"23-28","source":"PubMed","title":"High efficiency transformation of Escherichia coli with plasmids","volume":"96","author":[{"family":"Inoue","given":"H."},{"family":"Nojima","given":"H."},{"family":"Okayama","given":"H."}],"issued":{"date-parts":[["1990",11,30]]}}}],"schema":"https://github.com/citation-style-language/schema/raw/master/csl-citation.json"} </w:instrText>
      </w:r>
      <w:r w:rsidR="0045126B" w:rsidRPr="00107040">
        <w:rPr>
          <w:rFonts w:ascii="Times New Roman" w:eastAsia="Arial" w:hAnsi="Times New Roman"/>
          <w:iCs/>
          <w:sz w:val="28"/>
          <w:szCs w:val="28"/>
          <w:lang w:val="en-US" w:eastAsia="ja-JP"/>
        </w:rPr>
        <w:fldChar w:fldCharType="separate"/>
      </w:r>
      <w:r w:rsidR="00FB5E68" w:rsidRPr="00FB5E68">
        <w:rPr>
          <w:rFonts w:ascii="Times New Roman" w:hAnsi="Times New Roman"/>
          <w:sz w:val="28"/>
        </w:rPr>
        <w:t>[435]</w:t>
      </w:r>
      <w:r w:rsidR="0045126B" w:rsidRPr="00107040">
        <w:rPr>
          <w:rFonts w:ascii="Times New Roman" w:eastAsia="Arial" w:hAnsi="Times New Roman"/>
          <w:iCs/>
          <w:sz w:val="28"/>
          <w:szCs w:val="28"/>
          <w:lang w:val="en-US" w:eastAsia="ja-JP"/>
        </w:rPr>
        <w:fldChar w:fldCharType="end"/>
      </w:r>
      <w:r w:rsidR="00D2001F" w:rsidRPr="00107040">
        <w:rPr>
          <w:rFonts w:ascii="Times New Roman" w:eastAsia="Arial" w:hAnsi="Times New Roman"/>
          <w:iCs/>
          <w:sz w:val="28"/>
          <w:szCs w:val="28"/>
          <w:lang w:val="ru-RU" w:eastAsia="ja-JP"/>
        </w:rPr>
        <w:t>.</w:t>
      </w:r>
    </w:p>
    <w:p w14:paraId="137C6EE1" w14:textId="77777777" w:rsidR="00A02894" w:rsidRPr="00107040" w:rsidRDefault="00992872" w:rsidP="000C16BB">
      <w:pPr>
        <w:tabs>
          <w:tab w:val="left" w:pos="142"/>
        </w:tabs>
        <w:spacing w:after="0" w:line="240" w:lineRule="auto"/>
        <w:ind w:firstLine="567"/>
        <w:jc w:val="both"/>
        <w:rPr>
          <w:rFonts w:ascii="Times New Roman" w:eastAsia="Arial" w:hAnsi="Times New Roman"/>
          <w:iCs/>
          <w:sz w:val="28"/>
          <w:szCs w:val="28"/>
          <w:lang w:val="ru-RU" w:eastAsia="ja-JP"/>
        </w:rPr>
      </w:pPr>
      <w:r w:rsidRPr="00107040">
        <w:rPr>
          <w:rFonts w:ascii="Times New Roman" w:eastAsia="MS Mincho" w:hAnsi="Times New Roman"/>
          <w:sz w:val="28"/>
          <w:szCs w:val="28"/>
          <w:lang w:val="ru-RU" w:eastAsia="ja-JP"/>
        </w:rPr>
        <w:t xml:space="preserve">Электрокомпетентные клетки </w:t>
      </w:r>
      <w:r w:rsidRPr="00107040">
        <w:rPr>
          <w:rFonts w:ascii="Times New Roman" w:eastAsia="MS Mincho" w:hAnsi="Times New Roman"/>
          <w:i/>
          <w:sz w:val="28"/>
          <w:szCs w:val="28"/>
          <w:lang w:val="en-US" w:eastAsia="ja-JP"/>
        </w:rPr>
        <w:t>Escherichia</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coli</w:t>
      </w:r>
      <w:r w:rsidRPr="00107040">
        <w:rPr>
          <w:rFonts w:ascii="Times New Roman" w:eastAsia="MS Mincho" w:hAnsi="Times New Roman"/>
          <w:i/>
          <w:sz w:val="28"/>
          <w:szCs w:val="28"/>
          <w:lang w:val="ru-RU" w:eastAsia="ja-JP"/>
        </w:rPr>
        <w:t>,</w:t>
      </w:r>
      <w:r w:rsidRPr="00107040">
        <w:rPr>
          <w:rFonts w:ascii="Times New Roman" w:eastAsia="MS Mincho" w:hAnsi="Times New Roman"/>
          <w:sz w:val="28"/>
          <w:szCs w:val="28"/>
          <w:lang w:val="ru-RU" w:eastAsia="ja-JP"/>
        </w:rPr>
        <w:t xml:space="preserve"> готовились в 10</w:t>
      </w:r>
      <w:r w:rsidR="00A02894"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 растворе глицерина. Но прежде собранные клетки трижды отмывали в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втокл</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виров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нной и предв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рительно охл</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жденной </w:t>
      </w:r>
      <w:r w:rsidRPr="00107040">
        <w:rPr>
          <w:rFonts w:ascii="Times New Roman" w:eastAsia="MS Mincho" w:hAnsi="Times New Roman"/>
          <w:sz w:val="28"/>
          <w:szCs w:val="28"/>
          <w:lang w:val="en-US" w:eastAsia="ja-JP"/>
        </w:rPr>
        <w:t>dH</w:t>
      </w:r>
      <w:r w:rsidRPr="00107040">
        <w:rPr>
          <w:rFonts w:ascii="Times New Roman" w:eastAsia="MS Mincho" w:hAnsi="Times New Roman"/>
          <w:sz w:val="28"/>
          <w:szCs w:val="28"/>
          <w:vertAlign w:val="subscript"/>
          <w:lang w:val="ru-RU" w:eastAsia="ja-JP"/>
        </w:rPr>
        <w:t>2</w:t>
      </w:r>
      <w:r w:rsidRPr="00107040">
        <w:rPr>
          <w:rFonts w:ascii="Times New Roman" w:eastAsia="MS Mincho" w:hAnsi="Times New Roman"/>
          <w:sz w:val="28"/>
          <w:szCs w:val="28"/>
          <w:lang w:val="en-US" w:eastAsia="ja-JP"/>
        </w:rPr>
        <w:t>O</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т</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к же трижды охл</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жденным стерильным 10</w:t>
      </w:r>
      <w:r w:rsidR="00A02894"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створом глицерин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В конце центрифиугированные клетки ресуспензиров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в 3 мл 10</w:t>
      </w:r>
      <w:r w:rsidR="00A02894"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створ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глицерин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Суспензию 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зливали </w:t>
      </w:r>
      <w:r w:rsidRPr="00107040">
        <w:rPr>
          <w:rFonts w:ascii="Times New Roman" w:eastAsia="Arial" w:hAnsi="Times New Roman"/>
          <w:iCs/>
          <w:sz w:val="28"/>
          <w:szCs w:val="28"/>
          <w:lang w:val="ru-RU" w:eastAsia="ja-JP"/>
        </w:rPr>
        <w:t xml:space="preserve">по 200 мкл на </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ликвоты в охл</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жденные пробирки и з</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мор</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жив</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 xml:space="preserve">ли в жидком </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зоте. Компетентные клетки хр</w:t>
      </w:r>
      <w:r w:rsidRPr="00107040">
        <w:rPr>
          <w:rFonts w:ascii="Times New Roman" w:eastAsia="Arial" w:hAnsi="Times New Roman"/>
          <w:iCs/>
          <w:sz w:val="28"/>
          <w:szCs w:val="28"/>
          <w:lang w:val="en-US" w:eastAsia="ja-JP"/>
        </w:rPr>
        <w:t>a</w:t>
      </w:r>
      <w:r w:rsidRPr="00107040">
        <w:rPr>
          <w:rFonts w:ascii="Times New Roman" w:eastAsia="Arial" w:hAnsi="Times New Roman"/>
          <w:iCs/>
          <w:sz w:val="28"/>
          <w:szCs w:val="28"/>
          <w:lang w:val="ru-RU" w:eastAsia="ja-JP"/>
        </w:rPr>
        <w:t>нили при</w:t>
      </w:r>
    </w:p>
    <w:p w14:paraId="27B66077" w14:textId="09C5E554" w:rsidR="00992872" w:rsidRPr="00107040" w:rsidRDefault="00992872" w:rsidP="000C16BB">
      <w:pPr>
        <w:tabs>
          <w:tab w:val="left" w:pos="142"/>
        </w:tabs>
        <w:spacing w:after="0" w:line="240" w:lineRule="auto"/>
        <w:jc w:val="both"/>
        <w:rPr>
          <w:rFonts w:ascii="Times New Roman" w:eastAsia="Arial" w:hAnsi="Times New Roman"/>
          <w:iCs/>
          <w:sz w:val="28"/>
          <w:szCs w:val="28"/>
          <w:lang w:val="ru-RU" w:eastAsia="ja-JP"/>
        </w:rPr>
      </w:pPr>
      <w:r w:rsidRPr="00107040">
        <w:rPr>
          <w:rFonts w:ascii="Times New Roman" w:eastAsia="Arial" w:hAnsi="Times New Roman"/>
          <w:iCs/>
          <w:sz w:val="28"/>
          <w:szCs w:val="28"/>
          <w:lang w:val="ru-RU" w:eastAsia="ja-JP"/>
        </w:rPr>
        <w:t>-80</w:t>
      </w:r>
      <w:r w:rsidR="00A02894" w:rsidRPr="00107040">
        <w:rPr>
          <w:rFonts w:ascii="Times New Roman" w:eastAsia="Arial" w:hAnsi="Times New Roman"/>
          <w:iCs/>
          <w:sz w:val="28"/>
          <w:szCs w:val="28"/>
          <w:lang w:val="ru-RU" w:eastAsia="ja-JP"/>
        </w:rPr>
        <w:t xml:space="preserve"> </w:t>
      </w:r>
      <w:r w:rsidRPr="00107040">
        <w:rPr>
          <w:rFonts w:ascii="Times New Roman" w:eastAsia="Arial" w:hAnsi="Times New Roman"/>
          <w:iCs/>
          <w:sz w:val="28"/>
          <w:szCs w:val="28"/>
          <w:lang w:val="ru-RU" w:eastAsia="ja-JP"/>
        </w:rPr>
        <w:t>°С</w:t>
      </w:r>
      <w:r w:rsidR="0045126B" w:rsidRPr="00107040">
        <w:rPr>
          <w:rFonts w:ascii="Times New Roman" w:eastAsia="Arial" w:hAnsi="Times New Roman"/>
          <w:iCs/>
          <w:sz w:val="28"/>
          <w:szCs w:val="28"/>
          <w:lang w:val="ru-RU" w:eastAsia="ja-JP"/>
        </w:rPr>
        <w:t xml:space="preserve"> </w:t>
      </w:r>
      <w:r w:rsidR="0045126B" w:rsidRPr="00107040">
        <w:rPr>
          <w:rFonts w:ascii="Times New Roman" w:eastAsia="Arial" w:hAnsi="Times New Roman"/>
          <w:iCs/>
          <w:sz w:val="28"/>
          <w:szCs w:val="28"/>
          <w:lang w:val="en-US" w:eastAsia="ja-JP"/>
        </w:rPr>
        <w:fldChar w:fldCharType="begin"/>
      </w:r>
      <w:r w:rsidR="00FB5E68">
        <w:rPr>
          <w:rFonts w:ascii="Times New Roman" w:eastAsia="Arial" w:hAnsi="Times New Roman"/>
          <w:iCs/>
          <w:sz w:val="28"/>
          <w:szCs w:val="28"/>
          <w:lang w:val="ru-RU" w:eastAsia="ja-JP"/>
        </w:rPr>
        <w:instrText xml:space="preserve"> ADDIN ZOTERO_ITEM CSL_CITATION {"citationID":"m40iAJSG","properties":{"formattedCitation":"[435]","plainCitation":"[435]","noteIndex":0},"citationItems":[{"id":1438,"uris":["http://zotero.org/users/9078202/items/6LNJ36RK"],"itemData":{"id":1438,"type":"article-journal","abstract":"We have re-evaluated the conditions for preparing competent Escherichia coli cells and established a simple and efficient method (SEM) for plasmid transfection. Cells (DH5, JM109 and HB101) prepared by SEM are extremely competent for transformation (1-3 x 10(9) cfu/microgram of pBR322 DNA), and can be stored in liquid nitrogen for at least 40 days without loss of competence. Unlike electroporation, transformation using these competent cells is affected minimally by salts in DNA preparation. These competent cells are particularly useful for construction of high-complexity cDNA libraries with a minimum expenditure of mRNA.","container-title":"Gene","DOI":"10.1016/0378-1119(90)90336-p","ISSN":"0378-1119","issue":"1","journalAbbreviation":"Gene","language":"eng","note":"PMID: 2265755","page":"23-28","source":"PubMed","title":"High efficiency transformation of Escherichia coli with plasmids","volume":"96","author":[{"family":"Inoue","given":"H."},{"family":"Nojima","given":"H."},{"family":"Okayama","given":"H."}],"issued":{"date-parts":[["1990",11,30]]}}}],"schema":"https://github.com/citation-style-language/schema/raw/master/csl-citation.json"} </w:instrText>
      </w:r>
      <w:r w:rsidR="0045126B" w:rsidRPr="00107040">
        <w:rPr>
          <w:rFonts w:ascii="Times New Roman" w:eastAsia="Arial" w:hAnsi="Times New Roman"/>
          <w:iCs/>
          <w:sz w:val="28"/>
          <w:szCs w:val="28"/>
          <w:lang w:val="en-US" w:eastAsia="ja-JP"/>
        </w:rPr>
        <w:fldChar w:fldCharType="separate"/>
      </w:r>
      <w:r w:rsidR="00FB5E68" w:rsidRPr="00FB5E68">
        <w:rPr>
          <w:rFonts w:ascii="Times New Roman" w:hAnsi="Times New Roman"/>
          <w:sz w:val="28"/>
        </w:rPr>
        <w:t>[435]</w:t>
      </w:r>
      <w:r w:rsidR="0045126B" w:rsidRPr="00107040">
        <w:rPr>
          <w:rFonts w:ascii="Times New Roman" w:eastAsia="Arial" w:hAnsi="Times New Roman"/>
          <w:iCs/>
          <w:sz w:val="28"/>
          <w:szCs w:val="28"/>
          <w:lang w:val="en-US" w:eastAsia="ja-JP"/>
        </w:rPr>
        <w:fldChar w:fldCharType="end"/>
      </w:r>
      <w:r w:rsidR="00D2001F" w:rsidRPr="00107040">
        <w:rPr>
          <w:rFonts w:ascii="Times New Roman" w:eastAsia="Arial" w:hAnsi="Times New Roman"/>
          <w:iCs/>
          <w:sz w:val="28"/>
          <w:szCs w:val="28"/>
          <w:lang w:val="ru-RU" w:eastAsia="ja-JP"/>
        </w:rPr>
        <w:t>.</w:t>
      </w:r>
    </w:p>
    <w:p w14:paraId="1A9F8DF3" w14:textId="77777777" w:rsidR="00992872" w:rsidRPr="00107040" w:rsidRDefault="00992872" w:rsidP="000C16BB">
      <w:pPr>
        <w:tabs>
          <w:tab w:val="left" w:pos="142"/>
        </w:tabs>
        <w:spacing w:after="0" w:line="240" w:lineRule="auto"/>
        <w:ind w:firstLine="567"/>
        <w:jc w:val="both"/>
        <w:rPr>
          <w:rFonts w:ascii="Times New Roman" w:eastAsia="Arial" w:hAnsi="Times New Roman"/>
          <w:iCs/>
          <w:sz w:val="28"/>
          <w:szCs w:val="28"/>
          <w:lang w:val="ru-RU" w:eastAsia="ja-JP"/>
        </w:rPr>
      </w:pPr>
    </w:p>
    <w:p w14:paraId="1C9CE46B" w14:textId="77777777" w:rsidR="00713715" w:rsidRPr="00107040" w:rsidRDefault="00713715" w:rsidP="000C16BB">
      <w:pPr>
        <w:tabs>
          <w:tab w:val="left" w:pos="142"/>
        </w:tabs>
        <w:spacing w:after="0" w:line="240" w:lineRule="auto"/>
        <w:ind w:firstLine="567"/>
        <w:jc w:val="both"/>
        <w:rPr>
          <w:rFonts w:ascii="Times New Roman" w:eastAsia="MS Mincho" w:hAnsi="Times New Roman"/>
          <w:b/>
          <w:sz w:val="28"/>
          <w:szCs w:val="28"/>
          <w:lang w:val="ru-RU" w:eastAsia="ja-JP"/>
        </w:rPr>
      </w:pPr>
    </w:p>
    <w:p w14:paraId="2287BA64" w14:textId="77777777" w:rsidR="00713715" w:rsidRPr="00107040" w:rsidRDefault="00713715" w:rsidP="000C16BB">
      <w:pPr>
        <w:tabs>
          <w:tab w:val="left" w:pos="142"/>
        </w:tabs>
        <w:spacing w:after="0" w:line="240" w:lineRule="auto"/>
        <w:ind w:firstLine="567"/>
        <w:jc w:val="both"/>
        <w:rPr>
          <w:rFonts w:ascii="Times New Roman" w:eastAsia="MS Mincho" w:hAnsi="Times New Roman"/>
          <w:b/>
          <w:sz w:val="28"/>
          <w:szCs w:val="28"/>
          <w:lang w:val="ru-RU" w:eastAsia="ja-JP"/>
        </w:rPr>
      </w:pPr>
    </w:p>
    <w:p w14:paraId="76155926" w14:textId="49F3A181" w:rsidR="00992872" w:rsidRPr="00107040" w:rsidRDefault="00992872" w:rsidP="000C16BB">
      <w:pPr>
        <w:tabs>
          <w:tab w:val="left" w:pos="142"/>
        </w:tabs>
        <w:spacing w:after="0" w:line="240" w:lineRule="auto"/>
        <w:ind w:firstLine="567"/>
        <w:jc w:val="both"/>
        <w:rPr>
          <w:rFonts w:ascii="Times New Roman" w:eastAsia="MS Mincho" w:hAnsi="Times New Roman"/>
          <w:b/>
          <w:i/>
          <w:sz w:val="28"/>
          <w:szCs w:val="28"/>
          <w:lang w:val="ru-RU" w:eastAsia="ja-JP"/>
        </w:rPr>
      </w:pPr>
      <w:r w:rsidRPr="00107040">
        <w:rPr>
          <w:rFonts w:ascii="Times New Roman" w:eastAsia="MS Mincho" w:hAnsi="Times New Roman"/>
          <w:b/>
          <w:sz w:val="28"/>
          <w:szCs w:val="28"/>
          <w:lang w:val="ru-RU" w:eastAsia="ja-JP"/>
        </w:rPr>
        <w:lastRenderedPageBreak/>
        <w:t>2.13 Тр</w:t>
      </w:r>
      <w:r w:rsidRPr="00107040">
        <w:rPr>
          <w:rFonts w:ascii="Times New Roman" w:eastAsia="MS Mincho" w:hAnsi="Times New Roman"/>
          <w:b/>
          <w:sz w:val="28"/>
          <w:szCs w:val="28"/>
          <w:lang w:val="en-US" w:eastAsia="ja-JP"/>
        </w:rPr>
        <w:t>a</w:t>
      </w:r>
      <w:r w:rsidRPr="00107040">
        <w:rPr>
          <w:rFonts w:ascii="Times New Roman" w:eastAsia="MS Mincho" w:hAnsi="Times New Roman"/>
          <w:b/>
          <w:sz w:val="28"/>
          <w:szCs w:val="28"/>
          <w:lang w:val="ru-RU" w:eastAsia="ja-JP"/>
        </w:rPr>
        <w:t>нсформ</w:t>
      </w:r>
      <w:r w:rsidRPr="00107040">
        <w:rPr>
          <w:rFonts w:ascii="Times New Roman" w:eastAsia="MS Mincho" w:hAnsi="Times New Roman"/>
          <w:b/>
          <w:sz w:val="28"/>
          <w:szCs w:val="28"/>
          <w:lang w:val="en-US" w:eastAsia="ja-JP"/>
        </w:rPr>
        <w:t>a</w:t>
      </w:r>
      <w:r w:rsidRPr="00107040">
        <w:rPr>
          <w:rFonts w:ascii="Times New Roman" w:eastAsia="MS Mincho" w:hAnsi="Times New Roman"/>
          <w:b/>
          <w:sz w:val="28"/>
          <w:szCs w:val="28"/>
          <w:lang w:val="ru-RU" w:eastAsia="ja-JP"/>
        </w:rPr>
        <w:t xml:space="preserve">ция </w:t>
      </w:r>
      <w:r w:rsidRPr="00107040">
        <w:rPr>
          <w:rFonts w:ascii="Times New Roman" w:eastAsia="MS Mincho" w:hAnsi="Times New Roman"/>
          <w:b/>
          <w:sz w:val="28"/>
          <w:szCs w:val="28"/>
          <w:lang w:val="kk-KZ" w:eastAsia="ja-JP"/>
        </w:rPr>
        <w:t xml:space="preserve">клеток </w:t>
      </w:r>
      <w:r w:rsidRPr="00107040">
        <w:rPr>
          <w:rFonts w:ascii="Times New Roman" w:eastAsia="MS Mincho" w:hAnsi="Times New Roman"/>
          <w:b/>
          <w:i/>
          <w:sz w:val="28"/>
          <w:szCs w:val="28"/>
          <w:lang w:val="en-US" w:eastAsia="ja-JP"/>
        </w:rPr>
        <w:t>Escherichia</w:t>
      </w:r>
      <w:r w:rsidRPr="00107040">
        <w:rPr>
          <w:rFonts w:ascii="Times New Roman" w:eastAsia="MS Mincho" w:hAnsi="Times New Roman"/>
          <w:b/>
          <w:i/>
          <w:sz w:val="28"/>
          <w:szCs w:val="28"/>
          <w:lang w:val="ru-RU" w:eastAsia="ja-JP"/>
        </w:rPr>
        <w:t xml:space="preserve"> </w:t>
      </w:r>
      <w:r w:rsidRPr="00107040">
        <w:rPr>
          <w:rFonts w:ascii="Times New Roman" w:eastAsia="MS Mincho" w:hAnsi="Times New Roman"/>
          <w:b/>
          <w:i/>
          <w:sz w:val="28"/>
          <w:szCs w:val="28"/>
          <w:lang w:val="en-US" w:eastAsia="ja-JP"/>
        </w:rPr>
        <w:t>coli</w:t>
      </w:r>
    </w:p>
    <w:p w14:paraId="2C09F7A6" w14:textId="519AB8CE" w:rsidR="00992872" w:rsidRPr="00107040" w:rsidRDefault="00992872" w:rsidP="000C16BB">
      <w:pPr>
        <w:tabs>
          <w:tab w:val="left" w:pos="142"/>
        </w:tabs>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Лигaзную смесь ДНК (не более 50 нг или в объеме не более 10 мкл) добавляли в суспензию компетентных и осторожно перемеш</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и инкубиров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на льду в течени</w:t>
      </w:r>
      <w:r w:rsidR="007C156E" w:rsidRPr="00107040">
        <w:rPr>
          <w:rFonts w:ascii="Times New Roman" w:eastAsia="MS Mincho" w:hAnsi="Times New Roman"/>
          <w:sz w:val="28"/>
          <w:szCs w:val="28"/>
          <w:lang w:val="ru-RU" w:eastAsia="ja-JP"/>
        </w:rPr>
        <w:t>е</w:t>
      </w:r>
      <w:r w:rsidRPr="00107040">
        <w:rPr>
          <w:rFonts w:ascii="Times New Roman" w:eastAsia="MS Mincho" w:hAnsi="Times New Roman"/>
          <w:sz w:val="28"/>
          <w:szCs w:val="28"/>
          <w:lang w:val="ru-RU" w:eastAsia="ja-JP"/>
        </w:rPr>
        <w:t xml:space="preserve"> 30 мин. После клетки</w:t>
      </w:r>
      <w:r w:rsidRPr="00107040">
        <w:rPr>
          <w:rFonts w:ascii="Times New Roman" w:eastAsia="Arial" w:hAnsi="Times New Roman"/>
          <w:sz w:val="28"/>
          <w:szCs w:val="28"/>
          <w:lang w:val="ru-RU" w:eastAsia="ja-JP"/>
        </w:rPr>
        <w:t xml:space="preserve"> подверг</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ли тепловому шоку н</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 xml:space="preserve"> водяной б</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 xml:space="preserve">не </w:t>
      </w:r>
      <w:r w:rsidRPr="00107040">
        <w:rPr>
          <w:rFonts w:ascii="Times New Roman" w:eastAsia="MS Mincho" w:hAnsi="Times New Roman"/>
          <w:sz w:val="28"/>
          <w:szCs w:val="28"/>
          <w:lang w:val="ru-RU" w:eastAsia="ja-JP"/>
        </w:rPr>
        <w:t>при 42</w:t>
      </w:r>
      <w:r w:rsidR="00A02894"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 в течени</w:t>
      </w:r>
      <w:r w:rsidR="007C156E" w:rsidRPr="00107040">
        <w:rPr>
          <w:rFonts w:ascii="Times New Roman" w:eastAsia="MS Mincho" w:hAnsi="Times New Roman"/>
          <w:sz w:val="28"/>
          <w:szCs w:val="28"/>
          <w:lang w:val="ru-RU" w:eastAsia="ja-JP"/>
        </w:rPr>
        <w:t>е</w:t>
      </w:r>
      <w:r w:rsidRPr="00107040">
        <w:rPr>
          <w:rFonts w:ascii="Times New Roman" w:eastAsia="MS Mincho" w:hAnsi="Times New Roman"/>
          <w:sz w:val="28"/>
          <w:szCs w:val="28"/>
          <w:lang w:val="ru-RU" w:eastAsia="ja-JP"/>
        </w:rPr>
        <w:t xml:space="preserve"> 90 сек и инкубиров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5 мин на льду. Сверху доб</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вляли 800 мкл среды </w:t>
      </w:r>
      <w:bookmarkStart w:id="57" w:name="_Hlk103856333"/>
      <w:r w:rsidRPr="00107040">
        <w:rPr>
          <w:rFonts w:ascii="Times New Roman" w:eastAsia="MS Mincho" w:hAnsi="Times New Roman"/>
          <w:sz w:val="28"/>
          <w:szCs w:val="28"/>
          <w:lang w:val="en-US" w:eastAsia="ja-JP"/>
        </w:rPr>
        <w:t>SOC</w:t>
      </w:r>
      <w:bookmarkEnd w:id="57"/>
      <w:r w:rsidRPr="00107040">
        <w:rPr>
          <w:rFonts w:ascii="Times New Roman" w:eastAsia="MS Mincho" w:hAnsi="Times New Roman"/>
          <w:sz w:val="28"/>
          <w:szCs w:val="28"/>
          <w:lang w:val="ru-RU" w:eastAsia="ja-JP"/>
        </w:rPr>
        <w:t xml:space="preserve"> (20 г б</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кто-триптон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0,5 г NaCl, 5 г дрожжевого экстр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кт</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20 мМ глюкозы) и инкубиров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ли при 100 об/мин для умеренной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эр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ции в при 37</w:t>
      </w:r>
      <w:r w:rsidR="00A02894"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 течение 45 мин. Д</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лее тр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нсформиров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нные компетентные клетки </w:t>
      </w:r>
      <w:r w:rsidRPr="00107040">
        <w:rPr>
          <w:rFonts w:ascii="Times New Roman" w:eastAsia="Arial" w:hAnsi="Times New Roman"/>
          <w:sz w:val="28"/>
          <w:szCs w:val="28"/>
          <w:lang w:val="ru-RU" w:eastAsia="ja-JP"/>
        </w:rPr>
        <w:t>н</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носили н</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 xml:space="preserve"> твердую </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г</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ризов</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 xml:space="preserve">нную среду </w:t>
      </w:r>
      <w:r w:rsidRPr="00107040">
        <w:rPr>
          <w:rFonts w:ascii="Times New Roman" w:eastAsia="Arial" w:hAnsi="Times New Roman"/>
          <w:sz w:val="28"/>
          <w:szCs w:val="28"/>
          <w:lang w:val="en-US" w:eastAsia="ja-JP"/>
        </w:rPr>
        <w:t>LB</w:t>
      </w:r>
      <w:r w:rsidRPr="00107040">
        <w:rPr>
          <w:rFonts w:ascii="Times New Roman" w:eastAsia="Arial" w:hAnsi="Times New Roman"/>
          <w:sz w:val="28"/>
          <w:szCs w:val="28"/>
          <w:lang w:val="ru-RU" w:eastAsia="ja-JP"/>
        </w:rPr>
        <w:t xml:space="preserve"> с антибиотиками – 50 мкг/мл канамицин. </w:t>
      </w:r>
      <w:r w:rsidRPr="00107040">
        <w:rPr>
          <w:rFonts w:ascii="Times New Roman" w:eastAsia="MS Mincho" w:hAnsi="Times New Roman"/>
          <w:sz w:val="28"/>
          <w:szCs w:val="28"/>
          <w:lang w:val="ru-RU" w:eastAsia="ja-JP"/>
        </w:rPr>
        <w:t>Клетки 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вномерно 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спределяли по поверхности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г</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ризов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нной среды стерильным шпателем. Ч</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шки инкубиров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при 37</w:t>
      </w:r>
      <w:r w:rsidR="007953FF"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°С </w:t>
      </w:r>
      <w:r w:rsidR="00D20014" w:rsidRPr="00107040">
        <w:rPr>
          <w:rFonts w:ascii="Times New Roman" w:eastAsia="MS Mincho" w:hAnsi="Times New Roman"/>
          <w:sz w:val="28"/>
          <w:szCs w:val="28"/>
          <w:lang w:val="ru-RU" w:eastAsia="ja-JP"/>
        </w:rPr>
        <w:t>в течение</w:t>
      </w:r>
      <w:r w:rsidRPr="00107040">
        <w:rPr>
          <w:rFonts w:ascii="Times New Roman" w:eastAsia="MS Mincho" w:hAnsi="Times New Roman"/>
          <w:sz w:val="28"/>
          <w:szCs w:val="28"/>
          <w:lang w:val="ru-RU" w:eastAsia="ja-JP"/>
        </w:rPr>
        <w:t xml:space="preserve"> ночи.</w:t>
      </w:r>
    </w:p>
    <w:p w14:paraId="156E6410" w14:textId="3A2EAB58" w:rsidR="00992872" w:rsidRPr="00107040" w:rsidRDefault="00992872" w:rsidP="000C16BB">
      <w:pPr>
        <w:tabs>
          <w:tab w:val="left" w:pos="142"/>
        </w:tabs>
        <w:spacing w:after="0" w:line="240" w:lineRule="auto"/>
        <w:ind w:firstLine="567"/>
        <w:jc w:val="both"/>
        <w:rPr>
          <w:rFonts w:ascii="Times New Roman" w:eastAsia="Arial" w:hAnsi="Times New Roman"/>
          <w:sz w:val="28"/>
          <w:szCs w:val="28"/>
          <w:lang w:val="ru-RU" w:eastAsia="ja-JP"/>
        </w:rPr>
      </w:pPr>
      <w:r w:rsidRPr="00107040">
        <w:rPr>
          <w:rFonts w:ascii="Times New Roman" w:eastAsia="Arial" w:hAnsi="Times New Roman"/>
          <w:sz w:val="28"/>
          <w:szCs w:val="28"/>
          <w:lang w:val="ru-RU" w:eastAsia="ja-JP"/>
        </w:rPr>
        <w:t>Для тр</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нсформ</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ции лигaзной смеси в электрокомпетентные клетки использовался метод электропор</w:t>
      </w:r>
      <w:r w:rsidRPr="00107040">
        <w:rPr>
          <w:rFonts w:ascii="Times New Roman" w:eastAsia="Arial" w:hAnsi="Times New Roman"/>
          <w:sz w:val="28"/>
          <w:szCs w:val="28"/>
          <w:lang w:val="en-US" w:eastAsia="ja-JP"/>
        </w:rPr>
        <w:t>a</w:t>
      </w:r>
      <w:r w:rsidRPr="00107040">
        <w:rPr>
          <w:rFonts w:ascii="Times New Roman" w:eastAsia="Arial" w:hAnsi="Times New Roman"/>
          <w:sz w:val="28"/>
          <w:szCs w:val="28"/>
          <w:lang w:val="ru-RU" w:eastAsia="ja-JP"/>
        </w:rPr>
        <w:t xml:space="preserve">ции </w:t>
      </w:r>
      <w:r w:rsidRPr="00107040">
        <w:rPr>
          <w:rFonts w:ascii="Times New Roman" w:eastAsia="MS Mincho" w:hAnsi="Times New Roman"/>
          <w:sz w:val="28"/>
          <w:szCs w:val="28"/>
          <w:lang w:val="ru-RU" w:eastAsia="ja-JP"/>
        </w:rPr>
        <w:t>с использов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нием электропор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тор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Bio</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Rad</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t>GenePulse</w:t>
      </w:r>
      <w:r w:rsidRPr="00107040">
        <w:rPr>
          <w:rFonts w:ascii="Times New Roman" w:eastAsia="MS Mincho" w:hAnsi="Times New Roman"/>
          <w:sz w:val="28"/>
          <w:szCs w:val="28"/>
          <w:vertAlign w:val="superscript"/>
          <w:lang w:eastAsia="ja-JP"/>
        </w:rPr>
        <w:t>TM</w:t>
      </w:r>
      <w:r w:rsidRPr="00107040">
        <w:rPr>
          <w:rFonts w:ascii="Times New Roman" w:eastAsia="MS Mincho" w:hAnsi="Times New Roman"/>
          <w:sz w:val="28"/>
          <w:szCs w:val="28"/>
          <w:lang w:val="ru-RU" w:eastAsia="ja-JP"/>
        </w:rPr>
        <w:t>». В заранее охлaжденные специaльные кюветы переносили 50 мкл электрокомпетентных клеток. Д</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лее 1 мкл лигaзной смеси добавляли в кювету с клетк</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ми перемешив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Электропориров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ние проводили при силе ток</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- 2,5 </w:t>
      </w:r>
      <w:bookmarkStart w:id="58" w:name="_Hlk103856444"/>
      <w:r w:rsidRPr="00107040">
        <w:rPr>
          <w:rFonts w:ascii="Times New Roman" w:eastAsia="MS Mincho" w:hAnsi="Times New Roman"/>
          <w:sz w:val="28"/>
          <w:szCs w:val="28"/>
          <w:lang w:val="en-US" w:eastAsia="ja-JP"/>
        </w:rPr>
        <w:t>kV</w:t>
      </w:r>
      <w:bookmarkEnd w:id="58"/>
      <w:r w:rsidRPr="00107040">
        <w:rPr>
          <w:rFonts w:ascii="Times New Roman" w:eastAsia="MS Mincho" w:hAnsi="Times New Roman"/>
          <w:sz w:val="28"/>
          <w:szCs w:val="28"/>
          <w:lang w:val="ru-RU" w:eastAsia="ja-JP"/>
        </w:rPr>
        <w:t xml:space="preserve">, ёмкостном сопротивлении </w:t>
      </w:r>
      <w:r w:rsidR="007953FF"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ru-RU" w:eastAsia="ja-JP"/>
        </w:rPr>
        <w:t xml:space="preserve"> 25</w:t>
      </w:r>
      <w:r w:rsidR="007953FF" w:rsidRPr="00107040">
        <w:rPr>
          <w:rFonts w:ascii="Times New Roman" w:eastAsia="MS Mincho" w:hAnsi="Times New Roman"/>
          <w:sz w:val="28"/>
          <w:szCs w:val="28"/>
          <w:lang w:val="ru-RU" w:eastAsia="ja-JP"/>
        </w:rPr>
        <w:t xml:space="preserve"> </w:t>
      </w:r>
      <w:bookmarkStart w:id="59" w:name="_Hlk103856428"/>
      <w:r w:rsidRPr="00107040">
        <w:rPr>
          <w:rFonts w:ascii="Times New Roman" w:eastAsia="MS Mincho" w:hAnsi="Times New Roman"/>
          <w:sz w:val="28"/>
          <w:szCs w:val="28"/>
          <w:lang w:val="ru-RU" w:eastAsia="ja-JP"/>
        </w:rPr>
        <w:t>µ</w:t>
      </w:r>
      <w:r w:rsidRPr="00107040">
        <w:rPr>
          <w:rFonts w:ascii="Times New Roman" w:eastAsia="MS Mincho" w:hAnsi="Times New Roman"/>
          <w:sz w:val="28"/>
          <w:szCs w:val="28"/>
          <w:lang w:val="en-US" w:eastAsia="ja-JP"/>
        </w:rPr>
        <w:t>F</w:t>
      </w:r>
      <w:bookmarkEnd w:id="59"/>
      <w:r w:rsidRPr="00107040">
        <w:rPr>
          <w:rFonts w:ascii="Times New Roman" w:eastAsia="MS Mincho" w:hAnsi="Times New Roman"/>
          <w:sz w:val="28"/>
          <w:szCs w:val="28"/>
          <w:lang w:val="ru-RU" w:eastAsia="ja-JP"/>
        </w:rPr>
        <w:t>, электрическом сопротивлении – 200 Ом. После электропорирования к клетк</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м доб</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вляли 1 мл пит</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тельный среды </w:t>
      </w:r>
      <w:r w:rsidRPr="00107040">
        <w:rPr>
          <w:rFonts w:ascii="Times New Roman" w:eastAsia="MS Mincho" w:hAnsi="Times New Roman"/>
          <w:sz w:val="28"/>
          <w:szCs w:val="28"/>
          <w:lang w:val="en-US" w:eastAsia="ja-JP"/>
        </w:rPr>
        <w:t>SOC</w:t>
      </w:r>
      <w:r w:rsidRPr="00107040">
        <w:rPr>
          <w:rFonts w:ascii="Times New Roman" w:eastAsia="MS Mincho" w:hAnsi="Times New Roman"/>
          <w:sz w:val="28"/>
          <w:szCs w:val="28"/>
          <w:lang w:val="ru-RU" w:eastAsia="ja-JP"/>
        </w:rPr>
        <w:t xml:space="preserve"> и инкубиров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ли при 100 об/мин для умеренной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эр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ции при 37</w:t>
      </w:r>
      <w:r w:rsidR="007953FF"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 в течение 45 мин. Тр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нсформиров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нные клетки с использованием шпателя 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вномерно 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спределяли н</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поверхности </w:t>
      </w:r>
      <w:r w:rsidRPr="00107040">
        <w:rPr>
          <w:rFonts w:ascii="Times New Roman" w:eastAsia="MS Mincho" w:hAnsi="Times New Roman"/>
          <w:sz w:val="28"/>
          <w:szCs w:val="28"/>
          <w:lang w:eastAsia="ja-JP"/>
        </w:rPr>
        <w:t>LB</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г</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содерж</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щий соответствующий антибиотик – 50 мкг/мл канамицин. Ч</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шки перевор</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чив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и инкубиров</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ли при 37</w:t>
      </w:r>
      <w:r w:rsidR="007953FF"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 в</w:t>
      </w:r>
      <w:r w:rsidRPr="00107040">
        <w:rPr>
          <w:rFonts w:ascii="Times New Roman" w:eastAsia="Arial" w:hAnsi="Times New Roman"/>
          <w:sz w:val="28"/>
          <w:szCs w:val="28"/>
          <w:lang w:val="ru-RU" w:eastAsia="ja-JP"/>
        </w:rPr>
        <w:t xml:space="preserve"> течение ночи</w:t>
      </w:r>
      <w:r w:rsidR="0045126B" w:rsidRPr="00107040">
        <w:rPr>
          <w:rFonts w:ascii="Times New Roman" w:eastAsia="Arial" w:hAnsi="Times New Roman"/>
          <w:sz w:val="28"/>
          <w:szCs w:val="28"/>
          <w:lang w:val="ru-RU" w:eastAsia="ja-JP"/>
        </w:rPr>
        <w:t xml:space="preserve"> </w:t>
      </w:r>
      <w:r w:rsidR="0045126B" w:rsidRPr="00107040">
        <w:rPr>
          <w:rFonts w:ascii="Times New Roman" w:eastAsia="Arial" w:hAnsi="Times New Roman"/>
          <w:sz w:val="28"/>
          <w:szCs w:val="28"/>
          <w:lang w:val="en-US" w:eastAsia="ja-JP"/>
        </w:rPr>
        <w:fldChar w:fldCharType="begin"/>
      </w:r>
      <w:r w:rsidR="00FB5E68">
        <w:rPr>
          <w:rFonts w:ascii="Times New Roman" w:eastAsia="Arial" w:hAnsi="Times New Roman"/>
          <w:sz w:val="28"/>
          <w:szCs w:val="28"/>
          <w:lang w:val="ru-RU" w:eastAsia="ja-JP"/>
        </w:rPr>
        <w:instrText xml:space="preserve"> ADDIN ZOTERO_ITEM CSL_CITATION {"citationID":"AYbFTfaQ","properties":{"formattedCitation":"[435]","plainCitation":"[435]","noteIndex":0},"citationItems":[{"id":1438,"uris":["http://zotero.org/users/9078202/items/6LNJ36RK"],"itemData":{"id":1438,"type":"article-journal","abstract":"We have re-evaluated the conditions for preparing competent Escherichia coli cells and established a simple and efficient method (SEM) for plasmid transfection. Cells (DH5, JM109 and HB101) prepared by SEM are extremely competent for transformation (1-3 x 10(9) cfu/microgram of pBR322 DNA), and can be stored in liquid nitrogen for at least 40 days without loss of competence. Unlike electroporation, transformation using these competent cells is affected minimally by salts in DNA preparation. These competent cells are particularly useful for construction of high-complexity cDNA libraries with a minimum expenditure of mRNA.","container-title":"Gene","DOI":"10.1016/0378-1119(90)90336-p","ISSN":"0378-1119","issue":"1","journalAbbreviation":"Gene","language":"eng","note":"PMID: 2265755","page":"23-28","source":"PubMed","title":"High efficiency transformation of Escherichia coli with plasmids","volume":"96","author":[{"family":"Inoue","given":"H."},{"family":"Nojima","given":"H."},{"family":"Okayama","given":"H."}],"issued":{"date-parts":[["1990",11,30]]}}}],"schema":"https://github.com/citation-style-language/schema/raw/master/csl-citation.json"} </w:instrText>
      </w:r>
      <w:r w:rsidR="0045126B" w:rsidRPr="00107040">
        <w:rPr>
          <w:rFonts w:ascii="Times New Roman" w:eastAsia="Arial" w:hAnsi="Times New Roman"/>
          <w:sz w:val="28"/>
          <w:szCs w:val="28"/>
          <w:lang w:val="en-US" w:eastAsia="ja-JP"/>
        </w:rPr>
        <w:fldChar w:fldCharType="separate"/>
      </w:r>
      <w:r w:rsidR="00FB5E68" w:rsidRPr="00FB5E68">
        <w:rPr>
          <w:rFonts w:ascii="Times New Roman" w:hAnsi="Times New Roman"/>
          <w:sz w:val="28"/>
        </w:rPr>
        <w:t>[435]</w:t>
      </w:r>
      <w:r w:rsidR="0045126B" w:rsidRPr="00107040">
        <w:rPr>
          <w:rFonts w:ascii="Times New Roman" w:eastAsia="Arial" w:hAnsi="Times New Roman"/>
          <w:sz w:val="28"/>
          <w:szCs w:val="28"/>
          <w:lang w:val="en-US" w:eastAsia="ja-JP"/>
        </w:rPr>
        <w:fldChar w:fldCharType="end"/>
      </w:r>
      <w:r w:rsidR="00D2001F" w:rsidRPr="00107040">
        <w:rPr>
          <w:rFonts w:ascii="Times New Roman" w:eastAsia="Arial" w:hAnsi="Times New Roman"/>
          <w:sz w:val="28"/>
          <w:szCs w:val="28"/>
          <w:lang w:val="ru-RU" w:eastAsia="ja-JP"/>
        </w:rPr>
        <w:t>.</w:t>
      </w:r>
    </w:p>
    <w:p w14:paraId="47017B99" w14:textId="77777777" w:rsidR="00992872" w:rsidRPr="00107040" w:rsidRDefault="00992872" w:rsidP="000C16BB">
      <w:pPr>
        <w:tabs>
          <w:tab w:val="left" w:pos="142"/>
        </w:tabs>
        <w:spacing w:after="0" w:line="240" w:lineRule="auto"/>
        <w:jc w:val="both"/>
        <w:rPr>
          <w:rFonts w:ascii="Times New Roman" w:eastAsia="Arial" w:hAnsi="Times New Roman"/>
          <w:sz w:val="28"/>
          <w:szCs w:val="28"/>
          <w:lang w:val="kk-KZ" w:eastAsia="ja-JP"/>
        </w:rPr>
      </w:pPr>
    </w:p>
    <w:p w14:paraId="1EEF88DB" w14:textId="77777777" w:rsidR="00992872" w:rsidRPr="00107040" w:rsidRDefault="00992872" w:rsidP="000C16BB">
      <w:pPr>
        <w:spacing w:after="0" w:line="240" w:lineRule="auto"/>
        <w:ind w:firstLine="567"/>
        <w:jc w:val="both"/>
        <w:rPr>
          <w:rFonts w:ascii="Times New Roman" w:eastAsia="MS Mincho" w:hAnsi="Times New Roman"/>
          <w:b/>
          <w:bCs/>
          <w:iCs/>
          <w:sz w:val="28"/>
          <w:szCs w:val="28"/>
          <w:lang w:val="ru-RU" w:eastAsia="ja-JP"/>
        </w:rPr>
      </w:pPr>
      <w:r w:rsidRPr="00107040">
        <w:rPr>
          <w:rFonts w:ascii="Times New Roman" w:eastAsia="MS Mincho" w:hAnsi="Times New Roman"/>
          <w:b/>
          <w:bCs/>
          <w:iCs/>
          <w:sz w:val="28"/>
          <w:szCs w:val="28"/>
          <w:lang w:val="ru-RU" w:eastAsia="ja-JP"/>
        </w:rPr>
        <w:t>2.14 Выделение пл</w:t>
      </w:r>
      <w:r w:rsidRPr="00107040">
        <w:rPr>
          <w:rFonts w:ascii="Times New Roman" w:eastAsia="MS Mincho" w:hAnsi="Times New Roman"/>
          <w:b/>
          <w:bCs/>
          <w:iCs/>
          <w:sz w:val="28"/>
          <w:szCs w:val="28"/>
          <w:lang w:val="en-US" w:eastAsia="ja-JP"/>
        </w:rPr>
        <w:t>a</w:t>
      </w:r>
      <w:r w:rsidRPr="00107040">
        <w:rPr>
          <w:rFonts w:ascii="Times New Roman" w:eastAsia="MS Mincho" w:hAnsi="Times New Roman"/>
          <w:b/>
          <w:bCs/>
          <w:iCs/>
          <w:sz w:val="28"/>
          <w:szCs w:val="28"/>
          <w:lang w:val="ru-RU" w:eastAsia="ja-JP"/>
        </w:rPr>
        <w:t>змид методом щелочного гидролиз</w:t>
      </w:r>
      <w:r w:rsidRPr="00107040">
        <w:rPr>
          <w:rFonts w:ascii="Times New Roman" w:eastAsia="MS Mincho" w:hAnsi="Times New Roman"/>
          <w:b/>
          <w:bCs/>
          <w:iCs/>
          <w:sz w:val="28"/>
          <w:szCs w:val="28"/>
          <w:lang w:val="en-US" w:eastAsia="ja-JP"/>
        </w:rPr>
        <w:t>a</w:t>
      </w:r>
    </w:p>
    <w:p w14:paraId="6661FF17" w14:textId="5F2F49EC" w:rsidR="0050281B" w:rsidRPr="00107040" w:rsidRDefault="00992872" w:rsidP="000C16BB">
      <w:pPr>
        <w:spacing w:after="0" w:line="240" w:lineRule="auto"/>
        <w:ind w:firstLine="567"/>
        <w:jc w:val="both"/>
        <w:rPr>
          <w:rFonts w:ascii="Times New Roman" w:eastAsia="MS Mincho" w:hAnsi="Times New Roman"/>
          <w:bCs/>
          <w:iCs/>
          <w:sz w:val="28"/>
          <w:szCs w:val="28"/>
          <w:lang w:val="ru-RU" w:eastAsia="ja-JP"/>
        </w:rPr>
      </w:pPr>
      <w:r w:rsidRPr="00107040">
        <w:rPr>
          <w:rFonts w:ascii="Times New Roman" w:eastAsia="MS Mincho" w:hAnsi="Times New Roman"/>
          <w:bCs/>
          <w:iCs/>
          <w:sz w:val="28"/>
          <w:szCs w:val="28"/>
          <w:lang w:val="ru-RU" w:eastAsia="ja-JP"/>
        </w:rPr>
        <w:t>Клетки</w:t>
      </w:r>
      <w:r w:rsidR="009B0FA5" w:rsidRPr="00107040">
        <w:rPr>
          <w:rFonts w:ascii="Times New Roman" w:eastAsia="MS Mincho" w:hAnsi="Times New Roman"/>
          <w:bCs/>
          <w:iCs/>
          <w:sz w:val="28"/>
          <w:szCs w:val="28"/>
          <w:lang w:val="ru-RU" w:eastAsia="ja-JP"/>
        </w:rPr>
        <w:t>,</w:t>
      </w:r>
      <w:r w:rsidRPr="00107040">
        <w:rPr>
          <w:rFonts w:ascii="Times New Roman" w:eastAsia="MS Mincho" w:hAnsi="Times New Roman"/>
          <w:bCs/>
          <w:iCs/>
          <w:sz w:val="28"/>
          <w:szCs w:val="28"/>
          <w:lang w:val="ru-RU" w:eastAsia="ja-JP"/>
        </w:rPr>
        <w:t xml:space="preserve"> выращенные после трансформации</w:t>
      </w:r>
      <w:r w:rsidR="009B0FA5" w:rsidRPr="00107040">
        <w:rPr>
          <w:rFonts w:ascii="Times New Roman" w:eastAsia="MS Mincho" w:hAnsi="Times New Roman"/>
          <w:bCs/>
          <w:iCs/>
          <w:sz w:val="28"/>
          <w:szCs w:val="28"/>
          <w:lang w:val="ru-RU" w:eastAsia="ja-JP"/>
        </w:rPr>
        <w:t>,</w:t>
      </w:r>
      <w:r w:rsidRPr="00107040">
        <w:rPr>
          <w:rFonts w:ascii="Times New Roman" w:eastAsia="MS Mincho" w:hAnsi="Times New Roman"/>
          <w:bCs/>
          <w:iCs/>
          <w:sz w:val="28"/>
          <w:szCs w:val="28"/>
          <w:lang w:val="ru-RU" w:eastAsia="ja-JP"/>
        </w:rPr>
        <w:t xml:space="preserve"> р</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 xml:space="preserve">стили в 8 мл жидкой ЛБ среде с соответствующим </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нтибиотиком при 37</w:t>
      </w:r>
      <w:r w:rsidR="007953FF" w:rsidRPr="00107040">
        <w:rPr>
          <w:rFonts w:ascii="Times New Roman" w:eastAsia="MS Mincho" w:hAnsi="Times New Roman"/>
          <w:sz w:val="28"/>
          <w:szCs w:val="28"/>
          <w:lang w:val="ru-RU" w:eastAsia="ja-JP"/>
        </w:rPr>
        <w:t xml:space="preserve"> °</w:t>
      </w:r>
      <w:r w:rsidRPr="00107040">
        <w:rPr>
          <w:rFonts w:ascii="Times New Roman" w:eastAsia="MS Mincho" w:hAnsi="Times New Roman"/>
          <w:bCs/>
          <w:iCs/>
          <w:sz w:val="28"/>
          <w:szCs w:val="28"/>
          <w:lang w:val="ru-RU" w:eastAsia="ja-JP"/>
        </w:rPr>
        <w:t>С</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bCs/>
          <w:iCs/>
          <w:sz w:val="28"/>
          <w:szCs w:val="28"/>
          <w:lang w:val="ru-RU" w:eastAsia="ja-JP"/>
        </w:rPr>
        <w:t>в течени</w:t>
      </w:r>
      <w:r w:rsidR="007C156E" w:rsidRPr="00107040">
        <w:rPr>
          <w:rFonts w:ascii="Times New Roman" w:eastAsia="MS Mincho" w:hAnsi="Times New Roman"/>
          <w:bCs/>
          <w:iCs/>
          <w:sz w:val="28"/>
          <w:szCs w:val="28"/>
          <w:lang w:val="ru-RU" w:eastAsia="ja-JP"/>
        </w:rPr>
        <w:t>е</w:t>
      </w:r>
      <w:r w:rsidRPr="00107040">
        <w:rPr>
          <w:rFonts w:ascii="Times New Roman" w:eastAsia="MS Mincho" w:hAnsi="Times New Roman"/>
          <w:bCs/>
          <w:iCs/>
          <w:sz w:val="28"/>
          <w:szCs w:val="28"/>
          <w:lang w:val="ru-RU" w:eastAsia="ja-JP"/>
        </w:rPr>
        <w:t xml:space="preserve"> 11-12 ч. Ночные культуры центрифугиров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при 13000 об/мин</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bCs/>
          <w:iCs/>
          <w:sz w:val="28"/>
          <w:szCs w:val="28"/>
          <w:lang w:val="ru-RU" w:eastAsia="ja-JP"/>
        </w:rPr>
        <w:t>в течени</w:t>
      </w:r>
      <w:r w:rsidR="007C156E" w:rsidRPr="00107040">
        <w:rPr>
          <w:rFonts w:ascii="Times New Roman" w:eastAsia="MS Mincho" w:hAnsi="Times New Roman"/>
          <w:bCs/>
          <w:iCs/>
          <w:sz w:val="28"/>
          <w:szCs w:val="28"/>
          <w:lang w:val="ru-RU" w:eastAsia="ja-JP"/>
        </w:rPr>
        <w:t>е</w:t>
      </w:r>
      <w:r w:rsidRPr="00107040">
        <w:rPr>
          <w:rFonts w:ascii="Times New Roman" w:eastAsia="MS Mincho" w:hAnsi="Times New Roman"/>
          <w:bCs/>
          <w:iCs/>
          <w:sz w:val="28"/>
          <w:szCs w:val="28"/>
          <w:lang w:val="ru-RU" w:eastAsia="ja-JP"/>
        </w:rPr>
        <w:t xml:space="preserve"> 2 мин. Клеточный осадок ресуспензиров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в 100 мкл р</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створ</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 xml:space="preserve"> №1 (состав: 50 мМ глюкоз</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 xml:space="preserve">, 10 мМ </w:t>
      </w:r>
      <w:r w:rsidRPr="00107040">
        <w:rPr>
          <w:rFonts w:ascii="Times New Roman" w:eastAsia="MS Mincho" w:hAnsi="Times New Roman"/>
          <w:bCs/>
          <w:iCs/>
          <w:sz w:val="28"/>
          <w:szCs w:val="28"/>
          <w:lang w:val="en-US" w:eastAsia="ja-JP"/>
        </w:rPr>
        <w:t>EDTA</w:t>
      </w:r>
      <w:r w:rsidRPr="00107040">
        <w:rPr>
          <w:rFonts w:ascii="Times New Roman" w:eastAsia="MS Mincho" w:hAnsi="Times New Roman"/>
          <w:bCs/>
          <w:iCs/>
          <w:sz w:val="28"/>
          <w:szCs w:val="28"/>
          <w:lang w:val="ru-RU" w:eastAsia="ja-JP"/>
        </w:rPr>
        <w:t xml:space="preserve">, 25 мМ </w:t>
      </w:r>
      <w:r w:rsidRPr="00107040">
        <w:rPr>
          <w:rFonts w:ascii="Times New Roman" w:eastAsia="MS Mincho" w:hAnsi="Times New Roman"/>
          <w:bCs/>
          <w:iCs/>
          <w:sz w:val="28"/>
          <w:szCs w:val="28"/>
          <w:lang w:val="en-US" w:eastAsia="ja-JP"/>
        </w:rPr>
        <w:t>Tris</w:t>
      </w:r>
      <w:r w:rsidRPr="00107040">
        <w:rPr>
          <w:rFonts w:ascii="Times New Roman" w:eastAsia="MS Mincho" w:hAnsi="Times New Roman"/>
          <w:bCs/>
          <w:iCs/>
          <w:sz w:val="28"/>
          <w:szCs w:val="28"/>
          <w:lang w:val="ru-RU" w:eastAsia="ja-JP"/>
        </w:rPr>
        <w:t>-</w:t>
      </w:r>
      <w:r w:rsidRPr="00107040">
        <w:rPr>
          <w:rFonts w:ascii="Times New Roman" w:eastAsia="MS Mincho" w:hAnsi="Times New Roman"/>
          <w:bCs/>
          <w:iCs/>
          <w:sz w:val="28"/>
          <w:szCs w:val="28"/>
          <w:lang w:val="en-US" w:eastAsia="ja-JP"/>
        </w:rPr>
        <w:t>HCl</w:t>
      </w:r>
      <w:r w:rsidRPr="00107040">
        <w:rPr>
          <w:rFonts w:ascii="Times New Roman" w:eastAsia="MS Mincho" w:hAnsi="Times New Roman"/>
          <w:bCs/>
          <w:iCs/>
          <w:sz w:val="28"/>
          <w:szCs w:val="28"/>
          <w:lang w:val="ru-RU" w:eastAsia="ja-JP"/>
        </w:rPr>
        <w:t xml:space="preserve"> </w:t>
      </w:r>
      <w:r w:rsidRPr="00107040">
        <w:rPr>
          <w:rFonts w:ascii="Times New Roman" w:eastAsia="MS Mincho" w:hAnsi="Times New Roman"/>
          <w:bCs/>
          <w:iCs/>
          <w:sz w:val="28"/>
          <w:szCs w:val="28"/>
          <w:lang w:val="en-US" w:eastAsia="ja-JP"/>
        </w:rPr>
        <w:t>pH</w:t>
      </w:r>
      <w:r w:rsidRPr="00107040">
        <w:rPr>
          <w:rFonts w:ascii="Times New Roman" w:eastAsia="MS Mincho" w:hAnsi="Times New Roman"/>
          <w:bCs/>
          <w:iCs/>
          <w:sz w:val="28"/>
          <w:szCs w:val="28"/>
          <w:lang w:val="ru-RU" w:eastAsia="ja-JP"/>
        </w:rPr>
        <w:t xml:space="preserve"> 8.0) и инкубиров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в течени</w:t>
      </w:r>
      <w:r w:rsidR="007C156E" w:rsidRPr="00107040">
        <w:rPr>
          <w:rFonts w:ascii="Times New Roman" w:eastAsia="MS Mincho" w:hAnsi="Times New Roman"/>
          <w:bCs/>
          <w:iCs/>
          <w:sz w:val="28"/>
          <w:szCs w:val="28"/>
          <w:lang w:val="ru-RU" w:eastAsia="ja-JP"/>
        </w:rPr>
        <w:t>е</w:t>
      </w:r>
      <w:r w:rsidRPr="00107040">
        <w:rPr>
          <w:rFonts w:ascii="Times New Roman" w:eastAsia="MS Mincho" w:hAnsi="Times New Roman"/>
          <w:bCs/>
          <w:iCs/>
          <w:sz w:val="28"/>
          <w:szCs w:val="28"/>
          <w:lang w:val="ru-RU" w:eastAsia="ja-JP"/>
        </w:rPr>
        <w:t xml:space="preserve"> 5 мин при 22</w:t>
      </w:r>
      <w:r w:rsidR="007953FF" w:rsidRPr="00107040">
        <w:rPr>
          <w:rFonts w:ascii="Times New Roman" w:eastAsia="MS Mincho" w:hAnsi="Times New Roman"/>
          <w:bCs/>
          <w:iCs/>
          <w:sz w:val="28"/>
          <w:szCs w:val="28"/>
          <w:lang w:val="ru-RU" w:eastAsia="ja-JP"/>
        </w:rPr>
        <w:t xml:space="preserve"> </w:t>
      </w:r>
      <w:r w:rsidR="007953FF" w:rsidRPr="00107040">
        <w:rPr>
          <w:rFonts w:ascii="Times New Roman" w:eastAsia="MS Mincho" w:hAnsi="Times New Roman"/>
          <w:sz w:val="28"/>
          <w:szCs w:val="28"/>
          <w:lang w:val="ru-RU" w:eastAsia="ja-JP"/>
        </w:rPr>
        <w:t>°</w:t>
      </w:r>
      <w:r w:rsidRPr="00107040">
        <w:rPr>
          <w:rFonts w:ascii="Times New Roman" w:eastAsia="MS Mincho" w:hAnsi="Times New Roman"/>
          <w:bCs/>
          <w:iCs/>
          <w:sz w:val="28"/>
          <w:szCs w:val="28"/>
          <w:lang w:val="ru-RU" w:eastAsia="ja-JP"/>
        </w:rPr>
        <w:t>С. З</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тем к смеси доб</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вляли 200 мкл р</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створ</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 xml:space="preserve"> №2 (состав: 0,2Н </w:t>
      </w:r>
      <w:r w:rsidRPr="00107040">
        <w:rPr>
          <w:rFonts w:ascii="Times New Roman" w:eastAsia="MS Mincho" w:hAnsi="Times New Roman"/>
          <w:bCs/>
          <w:iCs/>
          <w:sz w:val="28"/>
          <w:szCs w:val="28"/>
          <w:lang w:val="en-US" w:eastAsia="ja-JP"/>
        </w:rPr>
        <w:t>NaOH</w:t>
      </w:r>
      <w:r w:rsidRPr="00107040">
        <w:rPr>
          <w:rFonts w:ascii="Times New Roman" w:eastAsia="MS Mincho" w:hAnsi="Times New Roman"/>
          <w:bCs/>
          <w:iCs/>
          <w:sz w:val="28"/>
          <w:szCs w:val="28"/>
          <w:lang w:val="ru-RU" w:eastAsia="ja-JP"/>
        </w:rPr>
        <w:t>, 1</w:t>
      </w:r>
      <w:r w:rsidR="007953FF" w:rsidRPr="00107040">
        <w:rPr>
          <w:rFonts w:ascii="Times New Roman" w:eastAsia="MS Mincho" w:hAnsi="Times New Roman"/>
          <w:bCs/>
          <w:iCs/>
          <w:sz w:val="28"/>
          <w:szCs w:val="28"/>
          <w:lang w:val="ru-RU" w:eastAsia="ja-JP"/>
        </w:rPr>
        <w:t xml:space="preserve"> </w:t>
      </w:r>
      <w:r w:rsidRPr="00107040">
        <w:rPr>
          <w:rFonts w:ascii="Times New Roman" w:eastAsia="MS Mincho" w:hAnsi="Times New Roman"/>
          <w:bCs/>
          <w:iCs/>
          <w:sz w:val="28"/>
          <w:szCs w:val="28"/>
          <w:lang w:val="ru-RU" w:eastAsia="ja-JP"/>
        </w:rPr>
        <w:t xml:space="preserve">% </w:t>
      </w:r>
      <w:r w:rsidR="007953FF" w:rsidRPr="00107040">
        <w:rPr>
          <w:rFonts w:ascii="Times New Roman" w:eastAsia="MS Mincho" w:hAnsi="Times New Roman"/>
          <w:bCs/>
          <w:iCs/>
          <w:sz w:val="28"/>
          <w:szCs w:val="28"/>
          <w:lang w:val="en-US" w:eastAsia="ja-JP"/>
        </w:rPr>
        <w:t>SDS</w:t>
      </w:r>
      <w:r w:rsidRPr="00107040">
        <w:rPr>
          <w:rFonts w:ascii="Times New Roman" w:eastAsia="MS Mincho" w:hAnsi="Times New Roman"/>
          <w:bCs/>
          <w:iCs/>
          <w:sz w:val="28"/>
          <w:szCs w:val="28"/>
          <w:lang w:val="ru-RU" w:eastAsia="ja-JP"/>
        </w:rPr>
        <w:t>), перемешив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по несколько р</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з, осторожно инвертируя пробирку, и инкубиров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на льду в течени</w:t>
      </w:r>
      <w:r w:rsidR="007C156E" w:rsidRPr="00107040">
        <w:rPr>
          <w:rFonts w:ascii="Times New Roman" w:eastAsia="MS Mincho" w:hAnsi="Times New Roman"/>
          <w:bCs/>
          <w:iCs/>
          <w:sz w:val="28"/>
          <w:szCs w:val="28"/>
          <w:lang w:val="ru-RU" w:eastAsia="ja-JP"/>
        </w:rPr>
        <w:t>е</w:t>
      </w:r>
      <w:r w:rsidRPr="00107040">
        <w:rPr>
          <w:rFonts w:ascii="Times New Roman" w:eastAsia="MS Mincho" w:hAnsi="Times New Roman"/>
          <w:bCs/>
          <w:iCs/>
          <w:sz w:val="28"/>
          <w:szCs w:val="28"/>
          <w:lang w:val="ru-RU" w:eastAsia="ja-JP"/>
        </w:rPr>
        <w:t xml:space="preserve"> 10 мин. После инкуб</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ции сверху доб</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вляли зaрaнее охлaжденного до -20</w:t>
      </w:r>
      <w:r w:rsidR="007953FF" w:rsidRPr="00107040">
        <w:rPr>
          <w:rFonts w:ascii="Times New Roman" w:eastAsia="MS Mincho" w:hAnsi="Times New Roman"/>
          <w:bCs/>
          <w:iCs/>
          <w:sz w:val="28"/>
          <w:szCs w:val="28"/>
          <w:lang w:val="ru-RU" w:eastAsia="ja-JP"/>
        </w:rPr>
        <w:t xml:space="preserve"> </w:t>
      </w:r>
      <w:r w:rsidR="007953FF" w:rsidRPr="00107040">
        <w:rPr>
          <w:rFonts w:ascii="Times New Roman" w:eastAsia="MS Mincho" w:hAnsi="Times New Roman"/>
          <w:sz w:val="28"/>
          <w:szCs w:val="28"/>
          <w:lang w:val="ru-RU" w:eastAsia="ja-JP"/>
        </w:rPr>
        <w:t>°</w:t>
      </w:r>
      <w:r w:rsidRPr="00107040">
        <w:rPr>
          <w:rFonts w:ascii="Times New Roman" w:eastAsia="MS Mincho" w:hAnsi="Times New Roman"/>
          <w:bCs/>
          <w:iCs/>
          <w:sz w:val="28"/>
          <w:szCs w:val="28"/>
          <w:lang w:val="ru-RU" w:eastAsia="ja-JP"/>
        </w:rPr>
        <w:t>С 150 мкл р</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створ</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 xml:space="preserve"> №</w:t>
      </w:r>
      <w:r w:rsidR="009B0FA5" w:rsidRPr="00107040">
        <w:rPr>
          <w:rFonts w:ascii="Times New Roman" w:eastAsia="MS Mincho" w:hAnsi="Times New Roman"/>
          <w:bCs/>
          <w:iCs/>
          <w:sz w:val="28"/>
          <w:szCs w:val="28"/>
          <w:lang w:val="ru-RU" w:eastAsia="ja-JP"/>
        </w:rPr>
        <w:t> </w:t>
      </w:r>
      <w:r w:rsidRPr="00107040">
        <w:rPr>
          <w:rFonts w:ascii="Times New Roman" w:eastAsia="MS Mincho" w:hAnsi="Times New Roman"/>
          <w:bCs/>
          <w:iCs/>
          <w:sz w:val="28"/>
          <w:szCs w:val="28"/>
          <w:lang w:val="ru-RU" w:eastAsia="ja-JP"/>
        </w:rPr>
        <w:t>3 (н</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 xml:space="preserve"> 100 мл раствора: 60 мл 5 М </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цет</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т</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 xml:space="preserve"> к</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 xml:space="preserve">лия, 11,5 мл ЛУК, 28,5 мл </w:t>
      </w:r>
      <w:r w:rsidRPr="00107040">
        <w:rPr>
          <w:rFonts w:ascii="Times New Roman" w:eastAsia="MS Mincho" w:hAnsi="Times New Roman"/>
          <w:bCs/>
          <w:iCs/>
          <w:sz w:val="28"/>
          <w:szCs w:val="28"/>
          <w:lang w:val="en-US" w:eastAsia="ja-JP"/>
        </w:rPr>
        <w:t>dH</w:t>
      </w:r>
      <w:r w:rsidRPr="00107040">
        <w:rPr>
          <w:rFonts w:ascii="Times New Roman" w:eastAsia="MS Mincho" w:hAnsi="Times New Roman"/>
          <w:bCs/>
          <w:iCs/>
          <w:sz w:val="28"/>
          <w:szCs w:val="28"/>
          <w:vertAlign w:val="subscript"/>
          <w:lang w:val="ru-RU" w:eastAsia="ja-JP"/>
        </w:rPr>
        <w:t>2</w:t>
      </w:r>
      <w:r w:rsidRPr="00107040">
        <w:rPr>
          <w:rFonts w:ascii="Times New Roman" w:eastAsia="MS Mincho" w:hAnsi="Times New Roman"/>
          <w:bCs/>
          <w:iCs/>
          <w:sz w:val="28"/>
          <w:szCs w:val="28"/>
          <w:lang w:val="en-US" w:eastAsia="ja-JP"/>
        </w:rPr>
        <w:t>O</w:t>
      </w:r>
      <w:r w:rsidRPr="00107040">
        <w:rPr>
          <w:rFonts w:ascii="Times New Roman" w:eastAsia="MS Mincho" w:hAnsi="Times New Roman"/>
          <w:bCs/>
          <w:iCs/>
          <w:sz w:val="28"/>
          <w:szCs w:val="28"/>
          <w:lang w:val="ru-RU" w:eastAsia="ja-JP"/>
        </w:rPr>
        <w:t>). Перемешив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и инкубиров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на льду в течени</w:t>
      </w:r>
      <w:r w:rsidR="007C156E" w:rsidRPr="00107040">
        <w:rPr>
          <w:rFonts w:ascii="Times New Roman" w:eastAsia="MS Mincho" w:hAnsi="Times New Roman"/>
          <w:bCs/>
          <w:iCs/>
          <w:sz w:val="28"/>
          <w:szCs w:val="28"/>
          <w:lang w:val="ru-RU" w:eastAsia="ja-JP"/>
        </w:rPr>
        <w:t>е</w:t>
      </w:r>
      <w:r w:rsidRPr="00107040">
        <w:rPr>
          <w:rFonts w:ascii="Times New Roman" w:eastAsia="MS Mincho" w:hAnsi="Times New Roman"/>
          <w:bCs/>
          <w:iCs/>
          <w:sz w:val="28"/>
          <w:szCs w:val="28"/>
          <w:lang w:val="ru-RU" w:eastAsia="ja-JP"/>
        </w:rPr>
        <w:t xml:space="preserve"> 10 мин. Для очищения нуклеиновых кислот от примесей из белков и липидов к смеси добавляли р</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вный объем хлороформ</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 Полученную смесь после тщaтельного перемешивaния инкубиров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в течени</w:t>
      </w:r>
      <w:r w:rsidR="007C156E" w:rsidRPr="00107040">
        <w:rPr>
          <w:rFonts w:ascii="Times New Roman" w:eastAsia="MS Mincho" w:hAnsi="Times New Roman"/>
          <w:bCs/>
          <w:iCs/>
          <w:sz w:val="28"/>
          <w:szCs w:val="28"/>
          <w:lang w:val="ru-RU" w:eastAsia="ja-JP"/>
        </w:rPr>
        <w:t>е</w:t>
      </w:r>
      <w:r w:rsidRPr="00107040">
        <w:rPr>
          <w:rFonts w:ascii="Times New Roman" w:eastAsia="MS Mincho" w:hAnsi="Times New Roman"/>
          <w:bCs/>
          <w:iCs/>
          <w:sz w:val="28"/>
          <w:szCs w:val="28"/>
          <w:lang w:val="ru-RU" w:eastAsia="ja-JP"/>
        </w:rPr>
        <w:t xml:space="preserve"> 10 мин и центрифугиров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со скоростью 13000 об/мин при 4</w:t>
      </w:r>
      <w:r w:rsidR="007953FF" w:rsidRPr="00107040">
        <w:rPr>
          <w:rFonts w:ascii="Times New Roman" w:eastAsia="MS Mincho" w:hAnsi="Times New Roman"/>
          <w:bCs/>
          <w:iCs/>
          <w:sz w:val="28"/>
          <w:szCs w:val="28"/>
          <w:lang w:val="ru-RU" w:eastAsia="ja-JP"/>
        </w:rPr>
        <w:t xml:space="preserve"> </w:t>
      </w:r>
      <w:r w:rsidR="007953FF" w:rsidRPr="00107040">
        <w:rPr>
          <w:rFonts w:ascii="Times New Roman" w:eastAsia="MS Mincho" w:hAnsi="Times New Roman"/>
          <w:sz w:val="28"/>
          <w:szCs w:val="28"/>
          <w:lang w:val="ru-RU" w:eastAsia="ja-JP"/>
        </w:rPr>
        <w:t>°</w:t>
      </w:r>
      <w:r w:rsidRPr="00107040">
        <w:rPr>
          <w:rFonts w:ascii="Times New Roman" w:eastAsia="MS Mincho" w:hAnsi="Times New Roman"/>
          <w:bCs/>
          <w:iCs/>
          <w:sz w:val="28"/>
          <w:szCs w:val="28"/>
          <w:lang w:val="ru-RU" w:eastAsia="ja-JP"/>
        </w:rPr>
        <w:t>С</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bCs/>
          <w:iCs/>
          <w:sz w:val="28"/>
          <w:szCs w:val="28"/>
          <w:lang w:val="ru-RU" w:eastAsia="ja-JP"/>
        </w:rPr>
        <w:t>в течени</w:t>
      </w:r>
      <w:r w:rsidR="007C156E" w:rsidRPr="00107040">
        <w:rPr>
          <w:rFonts w:ascii="Times New Roman" w:eastAsia="MS Mincho" w:hAnsi="Times New Roman"/>
          <w:bCs/>
          <w:iCs/>
          <w:sz w:val="28"/>
          <w:szCs w:val="28"/>
          <w:lang w:val="ru-RU" w:eastAsia="ja-JP"/>
        </w:rPr>
        <w:t>е</w:t>
      </w:r>
      <w:r w:rsidRPr="00107040">
        <w:rPr>
          <w:rFonts w:ascii="Times New Roman" w:eastAsia="MS Mincho" w:hAnsi="Times New Roman"/>
          <w:bCs/>
          <w:iCs/>
          <w:sz w:val="28"/>
          <w:szCs w:val="28"/>
          <w:lang w:val="ru-RU" w:eastAsia="ja-JP"/>
        </w:rPr>
        <w:t xml:space="preserve"> 5 мин. В новую микропробирку переносили верхнюю водную фaзу и экстр</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гировали с 6/10 объемом охл</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жденного (-20</w:t>
      </w:r>
      <w:r w:rsidR="007953FF" w:rsidRPr="00107040">
        <w:rPr>
          <w:rFonts w:ascii="Times New Roman" w:eastAsia="MS Mincho" w:hAnsi="Times New Roman"/>
          <w:bCs/>
          <w:iCs/>
          <w:sz w:val="28"/>
          <w:szCs w:val="28"/>
          <w:lang w:val="ru-RU" w:eastAsia="ja-JP"/>
        </w:rPr>
        <w:t xml:space="preserve"> </w:t>
      </w:r>
      <w:r w:rsidR="007953FF" w:rsidRPr="00107040">
        <w:rPr>
          <w:rFonts w:ascii="Times New Roman" w:eastAsia="MS Mincho" w:hAnsi="Times New Roman"/>
          <w:sz w:val="28"/>
          <w:szCs w:val="28"/>
          <w:lang w:val="ru-RU" w:eastAsia="ja-JP"/>
        </w:rPr>
        <w:t>°</w:t>
      </w:r>
      <w:r w:rsidRPr="00107040">
        <w:rPr>
          <w:rFonts w:ascii="Times New Roman" w:eastAsia="MS Mincho" w:hAnsi="Times New Roman"/>
          <w:bCs/>
          <w:iCs/>
          <w:sz w:val="28"/>
          <w:szCs w:val="28"/>
          <w:lang w:val="ru-RU" w:eastAsia="ja-JP"/>
        </w:rPr>
        <w:t>С) изопроп</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нол</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 после перемешив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и инкубиров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при 22</w:t>
      </w:r>
      <w:r w:rsidR="007953FF" w:rsidRPr="00107040">
        <w:rPr>
          <w:rFonts w:ascii="Times New Roman" w:eastAsia="MS Mincho" w:hAnsi="Times New Roman"/>
          <w:bCs/>
          <w:iCs/>
          <w:sz w:val="28"/>
          <w:szCs w:val="28"/>
          <w:lang w:val="ru-RU" w:eastAsia="ja-JP"/>
        </w:rPr>
        <w:t xml:space="preserve"> </w:t>
      </w:r>
      <w:r w:rsidR="007953FF" w:rsidRPr="00107040">
        <w:rPr>
          <w:rFonts w:ascii="Times New Roman" w:eastAsia="MS Mincho" w:hAnsi="Times New Roman"/>
          <w:sz w:val="28"/>
          <w:szCs w:val="28"/>
          <w:lang w:val="ru-RU" w:eastAsia="ja-JP"/>
        </w:rPr>
        <w:t>°</w:t>
      </w:r>
      <w:r w:rsidRPr="00107040">
        <w:rPr>
          <w:rFonts w:ascii="Times New Roman" w:eastAsia="MS Mincho" w:hAnsi="Times New Roman"/>
          <w:bCs/>
          <w:iCs/>
          <w:sz w:val="28"/>
          <w:szCs w:val="28"/>
          <w:lang w:val="ru-RU" w:eastAsia="ja-JP"/>
        </w:rPr>
        <w:t>С в течени</w:t>
      </w:r>
      <w:r w:rsidR="007C156E" w:rsidRPr="00107040">
        <w:rPr>
          <w:rFonts w:ascii="Times New Roman" w:eastAsia="MS Mincho" w:hAnsi="Times New Roman"/>
          <w:bCs/>
          <w:iCs/>
          <w:sz w:val="28"/>
          <w:szCs w:val="28"/>
          <w:lang w:val="ru-RU" w:eastAsia="ja-JP"/>
        </w:rPr>
        <w:t>е</w:t>
      </w:r>
      <w:r w:rsidRPr="00107040">
        <w:rPr>
          <w:rFonts w:ascii="Times New Roman" w:eastAsia="MS Mincho" w:hAnsi="Times New Roman"/>
          <w:bCs/>
          <w:iCs/>
          <w:sz w:val="28"/>
          <w:szCs w:val="28"/>
          <w:lang w:val="ru-RU" w:eastAsia="ja-JP"/>
        </w:rPr>
        <w:t xml:space="preserve"> 15 мин. Центрифугировали при 13000 об/мин в течение 10 мин. Суперн</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т</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нт слив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и ос</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док промыв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70</w:t>
      </w:r>
      <w:r w:rsidR="007953FF" w:rsidRPr="00107040">
        <w:rPr>
          <w:rFonts w:ascii="Times New Roman" w:eastAsia="MS Mincho" w:hAnsi="Times New Roman"/>
          <w:bCs/>
          <w:iCs/>
          <w:sz w:val="28"/>
          <w:szCs w:val="28"/>
          <w:lang w:val="ru-RU" w:eastAsia="ja-JP"/>
        </w:rPr>
        <w:t xml:space="preserve"> </w:t>
      </w:r>
      <w:r w:rsidRPr="00107040">
        <w:rPr>
          <w:rFonts w:ascii="Times New Roman" w:eastAsia="MS Mincho" w:hAnsi="Times New Roman"/>
          <w:bCs/>
          <w:iCs/>
          <w:sz w:val="28"/>
          <w:szCs w:val="28"/>
          <w:lang w:val="ru-RU" w:eastAsia="ja-JP"/>
        </w:rPr>
        <w:t>% спиртом. Ос</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док содерж</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щий пл</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змидную ДНК высушив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н</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 xml:space="preserve"> воздухе и ресуспензиров</w:t>
      </w:r>
      <w:r w:rsidRPr="00107040">
        <w:rPr>
          <w:rFonts w:ascii="Times New Roman" w:eastAsia="MS Mincho" w:hAnsi="Times New Roman"/>
          <w:bCs/>
          <w:iCs/>
          <w:sz w:val="28"/>
          <w:szCs w:val="28"/>
          <w:lang w:val="en-US" w:eastAsia="ja-JP"/>
        </w:rPr>
        <w:t>a</w:t>
      </w:r>
      <w:r w:rsidRPr="00107040">
        <w:rPr>
          <w:rFonts w:ascii="Times New Roman" w:eastAsia="MS Mincho" w:hAnsi="Times New Roman"/>
          <w:bCs/>
          <w:iCs/>
          <w:sz w:val="28"/>
          <w:szCs w:val="28"/>
          <w:lang w:val="ru-RU" w:eastAsia="ja-JP"/>
        </w:rPr>
        <w:t>ли в ТЕ (25 мМ Tris-HCl pH 8.0, 10 мМ ЕДТА)</w:t>
      </w:r>
      <w:r w:rsidR="00BB5A29" w:rsidRPr="00107040">
        <w:rPr>
          <w:rFonts w:ascii="Times New Roman" w:eastAsia="MS Mincho" w:hAnsi="Times New Roman"/>
          <w:bCs/>
          <w:iCs/>
          <w:sz w:val="28"/>
          <w:szCs w:val="28"/>
          <w:lang w:val="ru-RU" w:eastAsia="ja-JP"/>
        </w:rPr>
        <w:t xml:space="preserve"> </w:t>
      </w:r>
      <w:r w:rsidR="00BB5A29" w:rsidRPr="00107040">
        <w:rPr>
          <w:rFonts w:ascii="Times New Roman" w:eastAsia="MS Mincho" w:hAnsi="Times New Roman"/>
          <w:bCs/>
          <w:iCs/>
          <w:sz w:val="28"/>
          <w:szCs w:val="28"/>
          <w:lang w:val="ru-RU" w:eastAsia="ja-JP"/>
        </w:rPr>
        <w:fldChar w:fldCharType="begin"/>
      </w:r>
      <w:r w:rsidR="00FB5E68">
        <w:rPr>
          <w:rFonts w:ascii="Times New Roman" w:eastAsia="MS Mincho" w:hAnsi="Times New Roman"/>
          <w:bCs/>
          <w:iCs/>
          <w:sz w:val="28"/>
          <w:szCs w:val="28"/>
          <w:lang w:val="ru-RU" w:eastAsia="ja-JP"/>
        </w:rPr>
        <w:instrText xml:space="preserve"> ADDIN ZOTERO_ITEM CSL_CITATION {"citationID":"XnfxGD05","properties":{"formattedCitation":"[436]","plainCitation":"[436]","noteIndex":0},"citationItems":[{"id":1442,"uris":["http://zotero.org/users/9078202/items/ZDLJQ6P7"],"itemData":{"id":1442,"type":"book","abstract":"Plasmid purification is a rather classical experiment, but the technique is still developing for time- and cost- saving. The critical principle is based on the alkaline lysis method, although the following steps have several variations. The needed purities and/or quantities of DNA depend on researches using isolated plasmids, meaning that more reasonable method can be selected in each experiment. For example, a non-alkaline-lysis method such as boiling method is still available. One of the important steps for purifying plasmid is a removal of RNA. Ribonuclease is usually used for removing RNA from plasmid sample. On the other hand, a kind of salts such as lithium and calcium functions to make RNA as a selective precipitate from DNA-RNA mixture. Based on these backgrounds, the technique to purify plasmid DNA has been discussed.","ISBN":"978-1-83880-238-7","language":"en","note":"container-title: Plasmid\nDOI: 10.5772/intechopen.76226","publisher":"IntechOpen","source":"www.intechopen.com","title":"Plasmid Purification","URL":"https://www.intechopen.com/chapters/undefined/state.item.id","author":[{"family":"Sasagawa","given":"Noboru"}],"accessed":{"date-parts":[["2022",6,17]]},"issued":{"date-parts":[["2018",11,5]]}}}],"schema":"https://github.com/citation-style-language/schema/raw/master/csl-citation.json"} </w:instrText>
      </w:r>
      <w:r w:rsidR="00BB5A29" w:rsidRPr="00107040">
        <w:rPr>
          <w:rFonts w:ascii="Times New Roman" w:eastAsia="MS Mincho" w:hAnsi="Times New Roman"/>
          <w:bCs/>
          <w:iCs/>
          <w:sz w:val="28"/>
          <w:szCs w:val="28"/>
          <w:lang w:val="ru-RU" w:eastAsia="ja-JP"/>
        </w:rPr>
        <w:fldChar w:fldCharType="separate"/>
      </w:r>
      <w:r w:rsidR="00FB5E68" w:rsidRPr="00FB5E68">
        <w:rPr>
          <w:rFonts w:ascii="Times New Roman" w:hAnsi="Times New Roman"/>
          <w:sz w:val="28"/>
        </w:rPr>
        <w:t>[436]</w:t>
      </w:r>
      <w:r w:rsidR="00BB5A29" w:rsidRPr="00107040">
        <w:rPr>
          <w:rFonts w:ascii="Times New Roman" w:eastAsia="MS Mincho" w:hAnsi="Times New Roman"/>
          <w:bCs/>
          <w:iCs/>
          <w:sz w:val="28"/>
          <w:szCs w:val="28"/>
          <w:lang w:val="ru-RU" w:eastAsia="ja-JP"/>
        </w:rPr>
        <w:fldChar w:fldCharType="end"/>
      </w:r>
      <w:r w:rsidR="00D2001F" w:rsidRPr="00107040">
        <w:rPr>
          <w:rFonts w:ascii="Times New Roman" w:eastAsia="MS Mincho" w:hAnsi="Times New Roman"/>
          <w:bCs/>
          <w:iCs/>
          <w:sz w:val="28"/>
          <w:szCs w:val="28"/>
          <w:lang w:val="ru-RU" w:eastAsia="ja-JP"/>
        </w:rPr>
        <w:t>.</w:t>
      </w:r>
    </w:p>
    <w:p w14:paraId="588404C6" w14:textId="77777777" w:rsidR="00C90A32" w:rsidRPr="00107040" w:rsidRDefault="00C90A32" w:rsidP="000C16BB">
      <w:pPr>
        <w:widowControl w:val="0"/>
        <w:suppressAutoHyphens/>
        <w:spacing w:after="0" w:line="240" w:lineRule="auto"/>
        <w:jc w:val="both"/>
        <w:rPr>
          <w:rFonts w:ascii="Times New Roman" w:eastAsia="Arial Unicode MS" w:hAnsi="Times New Roman"/>
          <w:sz w:val="28"/>
          <w:szCs w:val="28"/>
          <w:lang w:val="ru-RU" w:bidi="en-US"/>
        </w:rPr>
      </w:pPr>
    </w:p>
    <w:p w14:paraId="5BB7FD97" w14:textId="77777777" w:rsidR="00992872" w:rsidRPr="00107040" w:rsidRDefault="00992872" w:rsidP="000C16BB">
      <w:pPr>
        <w:widowControl w:val="0"/>
        <w:suppressAutoHyphens/>
        <w:spacing w:after="0" w:line="240" w:lineRule="auto"/>
        <w:ind w:firstLine="567"/>
        <w:jc w:val="both"/>
        <w:rPr>
          <w:rFonts w:ascii="Times New Roman" w:eastAsia="Arial Unicode MS" w:hAnsi="Times New Roman"/>
          <w:b/>
          <w:sz w:val="28"/>
          <w:szCs w:val="28"/>
          <w:lang w:val="ru-RU" w:bidi="en-US"/>
        </w:rPr>
      </w:pPr>
      <w:r w:rsidRPr="00107040">
        <w:rPr>
          <w:rFonts w:ascii="Times New Roman" w:eastAsia="Arial Unicode MS" w:hAnsi="Times New Roman"/>
          <w:b/>
          <w:sz w:val="28"/>
          <w:szCs w:val="28"/>
          <w:lang w:val="ru-RU" w:bidi="en-US"/>
        </w:rPr>
        <w:t xml:space="preserve">2.15 </w:t>
      </w:r>
      <w:r w:rsidR="007953FF" w:rsidRPr="00107040">
        <w:rPr>
          <w:rFonts w:ascii="Times New Roman" w:eastAsia="Arial Unicode MS" w:hAnsi="Times New Roman"/>
          <w:b/>
          <w:sz w:val="28"/>
          <w:szCs w:val="28"/>
          <w:lang w:val="en-US" w:bidi="en-US"/>
        </w:rPr>
        <w:t>SDS</w:t>
      </w:r>
      <w:r w:rsidRPr="00107040">
        <w:rPr>
          <w:rFonts w:ascii="Times New Roman" w:eastAsia="Arial Unicode MS" w:hAnsi="Times New Roman"/>
          <w:b/>
          <w:sz w:val="28"/>
          <w:szCs w:val="28"/>
          <w:lang w:val="ru-RU" w:bidi="en-US"/>
        </w:rPr>
        <w:t>-ПААГ электрофорез</w:t>
      </w:r>
    </w:p>
    <w:p w14:paraId="3C8865A5" w14:textId="5588C109" w:rsidR="00992872" w:rsidRPr="00107040" w:rsidRDefault="00992872" w:rsidP="000C16BB">
      <w:pPr>
        <w:spacing w:after="0" w:line="240" w:lineRule="auto"/>
        <w:ind w:firstLine="567"/>
        <w:jc w:val="both"/>
        <w:rPr>
          <w:rFonts w:ascii="Times New Roman" w:eastAsia="MS Mincho" w:hAnsi="Times New Roman"/>
          <w:snapToGrid w:val="0"/>
          <w:sz w:val="28"/>
          <w:szCs w:val="28"/>
          <w:lang w:val="kk-KZ" w:eastAsia="ja-JP"/>
        </w:rPr>
      </w:pPr>
      <w:r w:rsidRPr="00107040">
        <w:rPr>
          <w:rFonts w:ascii="Times New Roman" w:eastAsia="MS Mincho" w:hAnsi="Times New Roman"/>
          <w:sz w:val="28"/>
          <w:szCs w:val="28"/>
          <w:lang w:val="ru-RU" w:eastAsia="ja-JP"/>
        </w:rPr>
        <w:t>Для электрофоретического анализа использовались растворимые белки в супернатанте. Концентрацию белка в супернатанте в каждом образце определяли методом Брэдфорда</w:t>
      </w:r>
      <w:r w:rsidR="00D2001F" w:rsidRPr="00107040">
        <w:rPr>
          <w:rFonts w:ascii="Times New Roman" w:eastAsia="MS Mincho" w:hAnsi="Times New Roman"/>
          <w:sz w:val="28"/>
          <w:szCs w:val="28"/>
          <w:lang w:val="ru-RU" w:eastAsia="ja-JP"/>
        </w:rPr>
        <w:t xml:space="preserve"> </w:t>
      </w:r>
      <w:r w:rsidR="00D2001F"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{"citationID":"iaUIUBve","properties":{"formattedCitation":"[437]","plainCitation":"[437]","noteIndex":0},"citationItems":[{"id":1318,"uris":["http://zotero.org/users/9078202/items/W59P37GL"],"itemData":{"id":1318,"type":"article-journal","container-title":"Analytical Biochemistry","DOI":"10.1006/abio.1976.9999","ISSN":"0003-2697","journalAbbreviation":"Anal Biochem","language":"eng","note":"PMID: 942051","page":"248-254","source":"PubMed","title":"A rapid and sensitive method for the quantitation of microgram quantities of protein utilizing the principle of protein-dye binding","volume":"72","author":[{"family":"Bradford","given":"M. M."}],"issued":{"date-parts":[["1976",5,7]]}}}],"schema":"https://github.com/citation-style-language/schema/raw/master/csl-citation.json"} </w:instrText>
      </w:r>
      <w:r w:rsidR="00D2001F"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[437]</w:t>
      </w:r>
      <w:r w:rsidR="00D2001F"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перед нанесением на гель. </w:t>
      </w:r>
      <w:r w:rsidRPr="00107040">
        <w:rPr>
          <w:rFonts w:ascii="Times New Roman" w:eastAsia="MS Mincho" w:hAnsi="Times New Roman"/>
          <w:snapToGrid w:val="0"/>
          <w:sz w:val="28"/>
          <w:szCs w:val="28"/>
          <w:lang w:val="ru-RU" w:eastAsia="ja-JP"/>
        </w:rPr>
        <w:t>Электрофорез белков</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napToGrid w:val="0"/>
          <w:sz w:val="28"/>
          <w:szCs w:val="28"/>
          <w:lang w:val="ru-RU" w:eastAsia="ja-JP"/>
        </w:rPr>
        <w:t xml:space="preserve">в денатурирующих условиях, приготовленных кипячением образцов </w:t>
      </w:r>
      <w:r w:rsidRPr="00107040">
        <w:rPr>
          <w:rFonts w:ascii="Times New Roman" w:eastAsia="MS Mincho" w:hAnsi="Times New Roman"/>
          <w:sz w:val="28"/>
          <w:szCs w:val="28"/>
          <w:lang w:val="ru-RU" w:eastAsia="ja-JP"/>
        </w:rPr>
        <w:t>в 2</w:t>
      </w:r>
      <w:r w:rsidRPr="00107040">
        <w:rPr>
          <w:rFonts w:ascii="Times New Roman" w:eastAsia="MS Mincho" w:hAnsi="Times New Roman"/>
          <w:sz w:val="28"/>
          <w:szCs w:val="28"/>
          <w:lang w:val="en-US" w:eastAsia="ja-JP"/>
        </w:rPr>
        <w:t>x</w:t>
      </w:r>
      <w:r w:rsidRPr="00107040">
        <w:rPr>
          <w:rFonts w:ascii="Times New Roman" w:eastAsia="MS Mincho" w:hAnsi="Times New Roman"/>
          <w:sz w:val="28"/>
          <w:szCs w:val="28"/>
          <w:lang w:val="ru-RU" w:eastAsia="ja-JP"/>
        </w:rPr>
        <w:t xml:space="preserve"> образцовом буфере </w:t>
      </w:r>
      <w:r w:rsidRPr="00107040">
        <w:rPr>
          <w:rFonts w:ascii="Times New Roman" w:eastAsia="Arial" w:hAnsi="Times New Roman"/>
          <w:sz w:val="28"/>
          <w:szCs w:val="28"/>
          <w:lang w:val="ru-RU" w:eastAsia="ja-JP"/>
        </w:rPr>
        <w:t xml:space="preserve">(2Х:125мМ </w:t>
      </w:r>
      <w:r w:rsidRPr="00107040">
        <w:rPr>
          <w:rFonts w:ascii="Times New Roman" w:eastAsia="Arial" w:hAnsi="Times New Roman"/>
          <w:sz w:val="28"/>
          <w:szCs w:val="28"/>
          <w:lang w:val="en-US" w:eastAsia="ja-JP"/>
        </w:rPr>
        <w:t>Tris</w:t>
      </w:r>
      <w:r w:rsidRPr="00107040">
        <w:rPr>
          <w:rFonts w:ascii="Times New Roman" w:eastAsia="Arial" w:hAnsi="Times New Roman"/>
          <w:sz w:val="28"/>
          <w:szCs w:val="28"/>
          <w:lang w:val="ru-RU" w:eastAsia="ja-JP"/>
        </w:rPr>
        <w:t>-</w:t>
      </w:r>
      <w:r w:rsidRPr="00107040">
        <w:rPr>
          <w:rFonts w:ascii="Times New Roman" w:eastAsia="Arial" w:hAnsi="Times New Roman"/>
          <w:sz w:val="28"/>
          <w:szCs w:val="28"/>
          <w:lang w:val="en-US" w:eastAsia="ja-JP"/>
        </w:rPr>
        <w:t>HCl</w:t>
      </w:r>
      <w:r w:rsidRPr="00107040">
        <w:rPr>
          <w:rFonts w:ascii="Times New Roman" w:eastAsia="Arial" w:hAnsi="Times New Roman"/>
          <w:sz w:val="28"/>
          <w:szCs w:val="28"/>
          <w:lang w:val="ru-RU" w:eastAsia="ja-JP"/>
        </w:rPr>
        <w:t xml:space="preserve"> </w:t>
      </w:r>
      <w:r w:rsidRPr="00107040">
        <w:rPr>
          <w:rFonts w:ascii="Times New Roman" w:eastAsia="Arial" w:hAnsi="Times New Roman"/>
          <w:sz w:val="28"/>
          <w:szCs w:val="28"/>
          <w:lang w:val="en-US" w:eastAsia="ja-JP"/>
        </w:rPr>
        <w:t>pH</w:t>
      </w:r>
      <w:r w:rsidRPr="00107040">
        <w:rPr>
          <w:rFonts w:ascii="Times New Roman" w:eastAsia="Arial" w:hAnsi="Times New Roman"/>
          <w:sz w:val="28"/>
          <w:szCs w:val="28"/>
          <w:lang w:val="ru-RU" w:eastAsia="ja-JP"/>
        </w:rPr>
        <w:t xml:space="preserve"> 6.8, 10</w:t>
      </w:r>
      <w:r w:rsidR="007953FF" w:rsidRPr="00107040">
        <w:rPr>
          <w:rFonts w:ascii="Times New Roman" w:eastAsia="Arial" w:hAnsi="Times New Roman"/>
          <w:sz w:val="28"/>
          <w:szCs w:val="28"/>
          <w:lang w:val="ru-RU" w:eastAsia="ja-JP"/>
        </w:rPr>
        <w:t xml:space="preserve"> </w:t>
      </w:r>
      <w:r w:rsidRPr="00107040">
        <w:rPr>
          <w:rFonts w:ascii="Times New Roman" w:eastAsia="Arial" w:hAnsi="Times New Roman"/>
          <w:sz w:val="28"/>
          <w:szCs w:val="28"/>
          <w:lang w:val="ru-RU" w:eastAsia="ja-JP"/>
        </w:rPr>
        <w:t xml:space="preserve">% </w:t>
      </w:r>
      <w:r w:rsidRPr="00107040">
        <w:rPr>
          <w:rFonts w:ascii="Times New Roman" w:eastAsia="Arial" w:hAnsi="Times New Roman"/>
          <w:sz w:val="28"/>
          <w:szCs w:val="28"/>
          <w:lang w:val="en-US" w:eastAsia="ja-JP"/>
        </w:rPr>
        <w:t>β</w:t>
      </w:r>
      <w:r w:rsidRPr="00107040">
        <w:rPr>
          <w:rFonts w:ascii="Times New Roman" w:eastAsia="Arial" w:hAnsi="Times New Roman"/>
          <w:sz w:val="28"/>
          <w:szCs w:val="28"/>
          <w:lang w:val="ru-RU" w:eastAsia="ja-JP"/>
        </w:rPr>
        <w:t>-меркаптоэтанола, 4</w:t>
      </w:r>
      <w:r w:rsidR="007953FF" w:rsidRPr="00107040">
        <w:rPr>
          <w:rFonts w:ascii="Times New Roman" w:eastAsia="Arial" w:hAnsi="Times New Roman"/>
          <w:sz w:val="28"/>
          <w:szCs w:val="28"/>
          <w:lang w:val="ru-RU" w:eastAsia="ja-JP"/>
        </w:rPr>
        <w:t xml:space="preserve"> </w:t>
      </w:r>
      <w:r w:rsidRPr="00107040">
        <w:rPr>
          <w:rFonts w:ascii="Times New Roman" w:eastAsia="Arial" w:hAnsi="Times New Roman"/>
          <w:sz w:val="28"/>
          <w:szCs w:val="28"/>
          <w:lang w:val="ru-RU" w:eastAsia="ja-JP"/>
        </w:rPr>
        <w:t xml:space="preserve">% </w:t>
      </w:r>
      <w:r w:rsidRPr="00107040">
        <w:rPr>
          <w:rFonts w:ascii="Times New Roman" w:eastAsia="Arial" w:hAnsi="Times New Roman"/>
          <w:sz w:val="28"/>
          <w:szCs w:val="28"/>
          <w:lang w:val="en-US" w:eastAsia="ja-JP"/>
        </w:rPr>
        <w:t>SDS</w:t>
      </w:r>
      <w:r w:rsidRPr="00107040">
        <w:rPr>
          <w:rFonts w:ascii="Times New Roman" w:eastAsia="Arial" w:hAnsi="Times New Roman"/>
          <w:sz w:val="28"/>
          <w:szCs w:val="28"/>
          <w:lang w:val="ru-RU" w:eastAsia="ja-JP"/>
        </w:rPr>
        <w:t>, 0.02</w:t>
      </w:r>
      <w:r w:rsidR="007953FF" w:rsidRPr="00107040">
        <w:rPr>
          <w:rFonts w:ascii="Times New Roman" w:eastAsia="Arial" w:hAnsi="Times New Roman"/>
          <w:sz w:val="28"/>
          <w:szCs w:val="28"/>
          <w:lang w:val="ru-RU" w:eastAsia="ja-JP"/>
        </w:rPr>
        <w:t xml:space="preserve"> </w:t>
      </w:r>
      <w:r w:rsidRPr="00107040">
        <w:rPr>
          <w:rFonts w:ascii="Times New Roman" w:eastAsia="Arial" w:hAnsi="Times New Roman"/>
          <w:sz w:val="28"/>
          <w:szCs w:val="28"/>
          <w:lang w:val="ru-RU" w:eastAsia="ja-JP"/>
        </w:rPr>
        <w:t>% бромфенолового синего, 20</w:t>
      </w:r>
      <w:r w:rsidR="009B0FA5" w:rsidRPr="00107040">
        <w:rPr>
          <w:rFonts w:ascii="Times New Roman" w:eastAsia="Arial" w:hAnsi="Times New Roman"/>
          <w:sz w:val="28"/>
          <w:szCs w:val="28"/>
          <w:lang w:val="ru-RU" w:eastAsia="ja-JP"/>
        </w:rPr>
        <w:t> </w:t>
      </w:r>
      <w:r w:rsidRPr="00107040">
        <w:rPr>
          <w:rFonts w:ascii="Times New Roman" w:eastAsia="Arial" w:hAnsi="Times New Roman"/>
          <w:sz w:val="28"/>
          <w:szCs w:val="28"/>
          <w:lang w:val="ru-RU" w:eastAsia="ja-JP"/>
        </w:rPr>
        <w:t>% глицерина)</w:t>
      </w:r>
      <w:r w:rsidRPr="00107040">
        <w:rPr>
          <w:rFonts w:ascii="Times New Roman" w:eastAsia="MS Mincho" w:hAnsi="Times New Roman"/>
          <w:sz w:val="28"/>
          <w:szCs w:val="28"/>
          <w:lang w:val="ru-RU" w:eastAsia="ja-JP"/>
        </w:rPr>
        <w:t>,</w:t>
      </w:r>
      <w:r w:rsidRPr="00107040">
        <w:rPr>
          <w:rFonts w:ascii="Times New Roman" w:eastAsia="MS Mincho" w:hAnsi="Times New Roman"/>
          <w:snapToGrid w:val="0"/>
          <w:sz w:val="28"/>
          <w:szCs w:val="28"/>
          <w:lang w:val="ru-RU" w:eastAsia="ja-JP"/>
        </w:rPr>
        <w:t xml:space="preserve"> </w:t>
      </w:r>
      <w:r w:rsidRPr="00107040">
        <w:rPr>
          <w:rFonts w:ascii="Times New Roman" w:eastAsia="Arial" w:hAnsi="Times New Roman"/>
          <w:sz w:val="28"/>
          <w:szCs w:val="28"/>
          <w:lang w:val="ru-RU" w:eastAsia="ja-JP"/>
        </w:rPr>
        <w:t>проводили в полиакриламидном геле по методу Лэммли</w:t>
      </w:r>
      <w:r w:rsidR="00D2001F" w:rsidRPr="00107040">
        <w:rPr>
          <w:rFonts w:ascii="Times New Roman" w:eastAsia="Arial" w:hAnsi="Times New Roman"/>
          <w:sz w:val="28"/>
          <w:szCs w:val="28"/>
          <w:lang w:val="ru-RU" w:eastAsia="ja-JP"/>
        </w:rPr>
        <w:t xml:space="preserve"> </w:t>
      </w:r>
      <w:r w:rsidR="00D2001F" w:rsidRPr="00107040">
        <w:rPr>
          <w:rFonts w:ascii="Times New Roman" w:eastAsia="Arial" w:hAnsi="Times New Roman"/>
          <w:sz w:val="28"/>
          <w:szCs w:val="28"/>
          <w:lang w:val="ru-RU" w:eastAsia="ja-JP"/>
        </w:rPr>
        <w:fldChar w:fldCharType="begin"/>
      </w:r>
      <w:r w:rsidR="00FB5E68">
        <w:rPr>
          <w:rFonts w:ascii="Times New Roman" w:eastAsia="Arial" w:hAnsi="Times New Roman"/>
          <w:sz w:val="28"/>
          <w:szCs w:val="28"/>
          <w:lang w:val="ru-RU" w:eastAsia="ja-JP"/>
        </w:rPr>
        <w:instrText xml:space="preserve"> ADDIN ZOTERO_ITEM CSL_CITATION {"citationID":"h8SfjCAi","properties":{"formattedCitation":"[438]","plainCitation":"[438]","noteIndex":0},"citationItems":[{"id":1320,"uris":["http://zotero.org/users/9078202/items/YRT6X43H"],"itemData":{"id":1320,"type":"article-journal","container-title":"Nature","DOI":"10.1038/227680a0","ISSN":"0028-0836","issue":"5259","journalAbbreviation":"Nature","language":"eng","note":"PMID: 5432063","page":"680-685","source":"PubMed","title":"Cleavage of structural proteins during the assembly of the head of bacteriophage T4","volume":"227","author":[{"family":"Laemmli","given":"U. K."}],"issued":{"date-parts":[["1970",8,15]]}}}],"schema":"https://github.com/citation-style-language/schema/raw/master/csl-citation.json"} </w:instrText>
      </w:r>
      <w:r w:rsidR="00D2001F" w:rsidRPr="00107040">
        <w:rPr>
          <w:rFonts w:ascii="Times New Roman" w:eastAsia="Arial" w:hAnsi="Times New Roman"/>
          <w:sz w:val="28"/>
          <w:szCs w:val="28"/>
          <w:lang w:val="ru-RU" w:eastAsia="ja-JP"/>
        </w:rPr>
        <w:fldChar w:fldCharType="separate"/>
      </w:r>
      <w:r w:rsidR="00FB5E68" w:rsidRPr="00FB5E68">
        <w:rPr>
          <w:rFonts w:ascii="Times New Roman" w:hAnsi="Times New Roman"/>
          <w:sz w:val="28"/>
        </w:rPr>
        <w:t>[438]</w:t>
      </w:r>
      <w:r w:rsidR="00D2001F" w:rsidRPr="00107040">
        <w:rPr>
          <w:rFonts w:ascii="Times New Roman" w:eastAsia="Arial" w:hAnsi="Times New Roman"/>
          <w:sz w:val="28"/>
          <w:szCs w:val="28"/>
          <w:lang w:val="ru-RU" w:eastAsia="ja-JP"/>
        </w:rPr>
        <w:fldChar w:fldCharType="end"/>
      </w:r>
      <w:r w:rsidR="00D2001F" w:rsidRPr="00107040">
        <w:rPr>
          <w:rFonts w:ascii="Times New Roman" w:eastAsia="Arial" w:hAnsi="Times New Roman"/>
          <w:sz w:val="28"/>
          <w:szCs w:val="28"/>
          <w:lang w:val="ru-RU" w:eastAsia="ja-JP"/>
        </w:rPr>
        <w:t>.</w:t>
      </w:r>
    </w:p>
    <w:p w14:paraId="57B031F9" w14:textId="77777777" w:rsidR="00992872" w:rsidRPr="00107040" w:rsidRDefault="00992872" w:rsidP="000C16BB">
      <w:pPr>
        <w:spacing w:after="0" w:line="240" w:lineRule="auto"/>
        <w:jc w:val="both"/>
        <w:rPr>
          <w:rFonts w:ascii="Times New Roman" w:eastAsia="MS Mincho" w:hAnsi="Times New Roman"/>
          <w:bCs/>
          <w:iCs/>
          <w:sz w:val="28"/>
          <w:szCs w:val="28"/>
          <w:lang w:val="ru-RU" w:eastAsia="ja-JP"/>
        </w:rPr>
      </w:pPr>
    </w:p>
    <w:p w14:paraId="1D79FECB" w14:textId="77777777" w:rsidR="00992872" w:rsidRPr="00107040" w:rsidRDefault="00992872" w:rsidP="000C16BB">
      <w:pPr>
        <w:spacing w:after="0" w:line="240" w:lineRule="auto"/>
        <w:ind w:firstLine="567"/>
        <w:jc w:val="both"/>
        <w:rPr>
          <w:rFonts w:ascii="Times New Roman" w:eastAsia="MS Mincho" w:hAnsi="Times New Roman"/>
          <w:b/>
          <w:iCs/>
          <w:sz w:val="28"/>
          <w:szCs w:val="28"/>
          <w:lang w:val="ru-RU" w:eastAsia="ja-JP"/>
        </w:rPr>
      </w:pPr>
      <w:r w:rsidRPr="00107040">
        <w:rPr>
          <w:rFonts w:ascii="Times New Roman" w:eastAsia="MS Mincho" w:hAnsi="Times New Roman"/>
          <w:b/>
          <w:bCs/>
          <w:iCs/>
          <w:sz w:val="28"/>
          <w:szCs w:val="28"/>
          <w:lang w:val="ru-RU" w:eastAsia="ja-JP"/>
        </w:rPr>
        <w:t xml:space="preserve">2.16 </w:t>
      </w:r>
      <w:r w:rsidR="004C2AA3" w:rsidRPr="00107040">
        <w:rPr>
          <w:rFonts w:ascii="Times New Roman" w:eastAsia="MS Mincho" w:hAnsi="Times New Roman"/>
          <w:b/>
          <w:sz w:val="28"/>
          <w:szCs w:val="28"/>
          <w:lang w:val="ru-RU" w:eastAsia="ja-JP"/>
        </w:rPr>
        <w:t>Экспрессия и очистка белков</w:t>
      </w:r>
    </w:p>
    <w:p w14:paraId="6C306359" w14:textId="30515E29" w:rsidR="00992872" w:rsidRPr="00107040" w:rsidRDefault="00F86F18"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П</w:t>
      </w:r>
      <w:r w:rsidR="00992872" w:rsidRPr="00107040">
        <w:rPr>
          <w:rFonts w:ascii="Times New Roman" w:eastAsia="MS Mincho" w:hAnsi="Times New Roman"/>
          <w:sz w:val="28"/>
          <w:szCs w:val="28"/>
          <w:lang w:val="ru-RU" w:eastAsia="ja-JP"/>
        </w:rPr>
        <w:t xml:space="preserve">лазмиды </w:t>
      </w:r>
      <w:r w:rsidRPr="00107040">
        <w:rPr>
          <w:rFonts w:ascii="Times New Roman" w:eastAsia="MS Mincho" w:hAnsi="Times New Roman"/>
          <w:sz w:val="28"/>
          <w:szCs w:val="28"/>
          <w:lang w:val="ru-RU" w:eastAsia="ja-JP"/>
        </w:rPr>
        <w:t xml:space="preserve">дикого типа </w:t>
      </w:r>
      <w:r w:rsidR="00992872" w:rsidRPr="00107040">
        <w:rPr>
          <w:rFonts w:ascii="Times New Roman" w:eastAsia="MS Mincho" w:hAnsi="Times New Roman"/>
          <w:sz w:val="28"/>
          <w:szCs w:val="28"/>
          <w:lang w:val="en-US" w:eastAsia="ja-JP"/>
        </w:rPr>
        <w:t>pET</w:t>
      </w:r>
      <w:r w:rsidR="00992872" w:rsidRPr="00107040">
        <w:rPr>
          <w:rFonts w:ascii="Times New Roman" w:eastAsia="MS Mincho" w:hAnsi="Times New Roman"/>
          <w:sz w:val="28"/>
          <w:szCs w:val="28"/>
          <w:lang w:val="ru-RU" w:eastAsia="ja-JP"/>
        </w:rPr>
        <w:t>28</w:t>
      </w:r>
      <w:r w:rsidR="00992872" w:rsidRPr="00107040">
        <w:rPr>
          <w:rFonts w:ascii="Times New Roman" w:eastAsia="MS Mincho" w:hAnsi="Times New Roman"/>
          <w:sz w:val="28"/>
          <w:szCs w:val="28"/>
          <w:lang w:val="en-US" w:eastAsia="ja-JP"/>
        </w:rPr>
        <w:t>c</w:t>
      </w:r>
      <w:r w:rsidR="007953FF" w:rsidRPr="00107040">
        <w:rPr>
          <w:rFonts w:ascii="Times New Roman" w:eastAsia="MS Mincho" w:hAnsi="Times New Roman"/>
          <w:sz w:val="28"/>
          <w:szCs w:val="28"/>
          <w:lang w:val="ru-RU" w:eastAsia="ja-JP"/>
        </w:rPr>
        <w:t>/</w:t>
      </w:r>
      <w:r w:rsidR="007953FF" w:rsidRPr="00107040">
        <w:rPr>
          <w:rFonts w:ascii="Times New Roman" w:eastAsia="MS Mincho" w:hAnsi="Times New Roman"/>
          <w:i/>
          <w:sz w:val="28"/>
          <w:szCs w:val="28"/>
          <w:lang w:val="en-US" w:eastAsia="ja-JP"/>
        </w:rPr>
        <w:t>A</w:t>
      </w:r>
      <w:r w:rsidR="00992872" w:rsidRPr="00107040">
        <w:rPr>
          <w:rFonts w:ascii="Times New Roman" w:eastAsia="MS Mincho" w:hAnsi="Times New Roman"/>
          <w:i/>
          <w:sz w:val="28"/>
          <w:szCs w:val="28"/>
          <w:lang w:val="en-US" w:eastAsia="ja-JP"/>
        </w:rPr>
        <w:t>tPARP</w:t>
      </w:r>
      <w:r w:rsidR="00992872" w:rsidRPr="00107040">
        <w:rPr>
          <w:rFonts w:ascii="Times New Roman" w:eastAsia="MS Mincho" w:hAnsi="Times New Roman"/>
          <w:i/>
          <w:sz w:val="28"/>
          <w:szCs w:val="28"/>
          <w:lang w:val="ru-RU" w:eastAsia="ja-JP"/>
        </w:rPr>
        <w:t>1</w:t>
      </w:r>
      <w:r w:rsidR="007953FF" w:rsidRPr="00107040">
        <w:rPr>
          <w:rFonts w:ascii="Times New Roman" w:eastAsia="MS Mincho" w:hAnsi="Times New Roman"/>
          <w:sz w:val="28"/>
          <w:szCs w:val="28"/>
          <w:lang w:val="ru-RU" w:eastAsia="ja-JP"/>
        </w:rPr>
        <w:t>,</w:t>
      </w:r>
      <w:r w:rsidR="00992872" w:rsidRPr="00107040">
        <w:rPr>
          <w:rFonts w:ascii="Times New Roman" w:eastAsia="MS Mincho" w:hAnsi="Times New Roman"/>
          <w:sz w:val="28"/>
          <w:szCs w:val="28"/>
          <w:lang w:val="ru-RU" w:eastAsia="ja-JP"/>
        </w:rPr>
        <w:t xml:space="preserve"> </w:t>
      </w:r>
      <w:r w:rsidR="00992872" w:rsidRPr="00107040">
        <w:rPr>
          <w:rFonts w:ascii="Times New Roman" w:eastAsia="MS Mincho" w:hAnsi="Times New Roman"/>
          <w:sz w:val="28"/>
          <w:szCs w:val="28"/>
          <w:lang w:val="en-US" w:eastAsia="ja-JP"/>
        </w:rPr>
        <w:t>pET</w:t>
      </w:r>
      <w:r w:rsidR="00992872" w:rsidRPr="00107040">
        <w:rPr>
          <w:rFonts w:ascii="Times New Roman" w:eastAsia="MS Mincho" w:hAnsi="Times New Roman"/>
          <w:sz w:val="28"/>
          <w:szCs w:val="28"/>
          <w:lang w:val="ru-RU" w:eastAsia="ja-JP"/>
        </w:rPr>
        <w:t>28</w:t>
      </w:r>
      <w:r w:rsidR="00992872" w:rsidRPr="00107040">
        <w:rPr>
          <w:rFonts w:ascii="Times New Roman" w:eastAsia="MS Mincho" w:hAnsi="Times New Roman"/>
          <w:sz w:val="28"/>
          <w:szCs w:val="28"/>
          <w:lang w:val="en-US" w:eastAsia="ja-JP"/>
        </w:rPr>
        <w:t>c</w:t>
      </w:r>
      <w:r w:rsidR="007953FF" w:rsidRPr="00107040">
        <w:rPr>
          <w:rFonts w:ascii="Times New Roman" w:eastAsia="MS Mincho" w:hAnsi="Times New Roman"/>
          <w:sz w:val="28"/>
          <w:szCs w:val="28"/>
          <w:lang w:val="ru-RU" w:eastAsia="ja-JP"/>
        </w:rPr>
        <w:t>/</w:t>
      </w:r>
      <w:r w:rsidR="007953FF" w:rsidRPr="00107040">
        <w:rPr>
          <w:rFonts w:ascii="Times New Roman" w:eastAsia="MS Mincho" w:hAnsi="Times New Roman"/>
          <w:i/>
          <w:sz w:val="28"/>
          <w:szCs w:val="28"/>
          <w:lang w:val="en-US" w:eastAsia="ja-JP"/>
        </w:rPr>
        <w:t>A</w:t>
      </w:r>
      <w:r w:rsidR="00992872" w:rsidRPr="00107040">
        <w:rPr>
          <w:rFonts w:ascii="Times New Roman" w:eastAsia="MS Mincho" w:hAnsi="Times New Roman"/>
          <w:i/>
          <w:sz w:val="28"/>
          <w:szCs w:val="28"/>
          <w:lang w:val="en-US" w:eastAsia="ja-JP"/>
        </w:rPr>
        <w:t>tPARP</w:t>
      </w:r>
      <w:r w:rsidR="00992872" w:rsidRPr="00107040">
        <w:rPr>
          <w:rFonts w:ascii="Times New Roman" w:eastAsia="MS Mincho" w:hAnsi="Times New Roman"/>
          <w:i/>
          <w:sz w:val="28"/>
          <w:szCs w:val="28"/>
          <w:lang w:val="ru-RU" w:eastAsia="ja-JP"/>
        </w:rPr>
        <w:t>2</w:t>
      </w:r>
      <w:r w:rsidR="00992872" w:rsidRPr="00107040">
        <w:rPr>
          <w:rFonts w:ascii="Times New Roman" w:eastAsia="MS Mincho" w:hAnsi="Times New Roman"/>
          <w:sz w:val="28"/>
          <w:szCs w:val="28"/>
          <w:lang w:val="ru-RU" w:eastAsia="ja-JP"/>
        </w:rPr>
        <w:t xml:space="preserve"> </w:t>
      </w:r>
      <w:r w:rsidR="007953FF" w:rsidRPr="00107040">
        <w:rPr>
          <w:rFonts w:ascii="Times New Roman" w:eastAsia="MS Mincho" w:hAnsi="Times New Roman"/>
          <w:sz w:val="28"/>
          <w:szCs w:val="28"/>
          <w:lang w:val="en-US" w:eastAsia="ja-JP"/>
        </w:rPr>
        <w:t>pET</w:t>
      </w:r>
      <w:r w:rsidR="007953FF" w:rsidRPr="00107040">
        <w:rPr>
          <w:rFonts w:ascii="Times New Roman" w:eastAsia="MS Mincho" w:hAnsi="Times New Roman"/>
          <w:sz w:val="28"/>
          <w:szCs w:val="28"/>
          <w:lang w:val="ru-RU" w:eastAsia="ja-JP"/>
        </w:rPr>
        <w:t>28</w:t>
      </w:r>
      <w:r w:rsidR="007953FF" w:rsidRPr="00107040">
        <w:rPr>
          <w:rFonts w:ascii="Times New Roman" w:eastAsia="MS Mincho" w:hAnsi="Times New Roman"/>
          <w:sz w:val="28"/>
          <w:szCs w:val="28"/>
          <w:lang w:val="en-US" w:eastAsia="ja-JP"/>
        </w:rPr>
        <w:t>c</w:t>
      </w:r>
      <w:r w:rsidR="007953FF" w:rsidRPr="00107040">
        <w:rPr>
          <w:rFonts w:ascii="Times New Roman" w:eastAsia="MS Mincho" w:hAnsi="Times New Roman"/>
          <w:sz w:val="28"/>
          <w:szCs w:val="28"/>
          <w:lang w:val="ru-RU" w:eastAsia="ja-JP"/>
        </w:rPr>
        <w:t>/</w:t>
      </w:r>
      <w:r w:rsidR="007953FF" w:rsidRPr="00107040">
        <w:rPr>
          <w:rFonts w:ascii="Times New Roman" w:eastAsia="MS Mincho" w:hAnsi="Times New Roman"/>
          <w:i/>
          <w:sz w:val="28"/>
          <w:szCs w:val="28"/>
          <w:lang w:val="en-US" w:eastAsia="ja-JP"/>
        </w:rPr>
        <w:t>AtPARP</w:t>
      </w:r>
      <w:r w:rsidR="007953FF" w:rsidRPr="00107040">
        <w:rPr>
          <w:rFonts w:ascii="Times New Roman" w:eastAsia="MS Mincho" w:hAnsi="Times New Roman"/>
          <w:i/>
          <w:sz w:val="28"/>
          <w:szCs w:val="28"/>
          <w:lang w:val="ru-RU" w:eastAsia="ja-JP"/>
        </w:rPr>
        <w:t>3</w:t>
      </w:r>
      <w:r w:rsidR="007953FF"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и мутантные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1</w:t>
      </w:r>
      <w:r w:rsidRPr="00107040">
        <w:rPr>
          <w:rFonts w:ascii="Times New Roman" w:eastAsia="MS Mincho" w:hAnsi="Times New Roman"/>
          <w:sz w:val="28"/>
          <w:szCs w:val="28"/>
          <w:vertAlign w:val="superscript"/>
          <w:lang w:val="en-US" w:eastAsia="ja-JP"/>
        </w:rPr>
        <w:t>E</w:t>
      </w:r>
      <w:r w:rsidRPr="00107040">
        <w:rPr>
          <w:rFonts w:ascii="Times New Roman" w:eastAsia="MS Mincho" w:hAnsi="Times New Roman"/>
          <w:sz w:val="28"/>
          <w:szCs w:val="28"/>
          <w:vertAlign w:val="superscript"/>
          <w:lang w:val="ru-RU" w:eastAsia="ja-JP"/>
        </w:rPr>
        <w:t>960</w:t>
      </w:r>
      <w:r w:rsidRPr="00107040">
        <w:rPr>
          <w:rFonts w:ascii="Times New Roman" w:eastAsia="MS Mincho" w:hAnsi="Times New Roman"/>
          <w:sz w:val="28"/>
          <w:szCs w:val="28"/>
          <w:vertAlign w:val="superscript"/>
          <w:lang w:val="en-US" w:eastAsia="ja-JP"/>
        </w:rPr>
        <w:t>K</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1</w:t>
      </w:r>
      <w:r w:rsidRPr="00107040">
        <w:rPr>
          <w:rFonts w:ascii="Times New Roman" w:eastAsia="MS Mincho" w:hAnsi="Times New Roman"/>
          <w:sz w:val="28"/>
          <w:szCs w:val="28"/>
          <w:vertAlign w:val="superscript"/>
          <w:lang w:val="en-US" w:eastAsia="ja-JP"/>
        </w:rPr>
        <w:t>E</w:t>
      </w:r>
      <w:r w:rsidRPr="00107040">
        <w:rPr>
          <w:rFonts w:ascii="Times New Roman" w:eastAsia="MS Mincho" w:hAnsi="Times New Roman"/>
          <w:sz w:val="28"/>
          <w:szCs w:val="28"/>
          <w:vertAlign w:val="superscript"/>
          <w:lang w:val="ru-RU" w:eastAsia="ja-JP"/>
        </w:rPr>
        <w:t>960</w:t>
      </w:r>
      <w:r w:rsidRPr="00107040">
        <w:rPr>
          <w:rFonts w:ascii="Times New Roman" w:eastAsia="MS Mincho" w:hAnsi="Times New Roman"/>
          <w:sz w:val="28"/>
          <w:szCs w:val="28"/>
          <w:vertAlign w:val="superscript"/>
          <w:lang w:val="en-US" w:eastAsia="ja-JP"/>
        </w:rPr>
        <w:t>Q</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2</w:t>
      </w:r>
      <w:r w:rsidRPr="00107040">
        <w:rPr>
          <w:rFonts w:ascii="Times New Roman" w:eastAsia="MS Mincho" w:hAnsi="Times New Roman"/>
          <w:sz w:val="28"/>
          <w:szCs w:val="28"/>
          <w:vertAlign w:val="superscript"/>
          <w:lang w:val="en-US" w:eastAsia="ja-JP"/>
        </w:rPr>
        <w:t>E</w:t>
      </w:r>
      <w:r w:rsidRPr="00107040">
        <w:rPr>
          <w:rFonts w:ascii="Times New Roman" w:eastAsia="MS Mincho" w:hAnsi="Times New Roman"/>
          <w:sz w:val="28"/>
          <w:szCs w:val="28"/>
          <w:vertAlign w:val="superscript"/>
          <w:lang w:val="ru-RU" w:eastAsia="ja-JP"/>
        </w:rPr>
        <w:t>614</w:t>
      </w:r>
      <w:r w:rsidRPr="00107040">
        <w:rPr>
          <w:rFonts w:ascii="Times New Roman" w:eastAsia="MS Mincho" w:hAnsi="Times New Roman"/>
          <w:sz w:val="28"/>
          <w:szCs w:val="28"/>
          <w:vertAlign w:val="superscript"/>
          <w:lang w:val="en-US" w:eastAsia="ja-JP"/>
        </w:rPr>
        <w:t>K</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bCs/>
          <w:sz w:val="28"/>
          <w:szCs w:val="28"/>
          <w:lang w:val="ru-RU" w:eastAsia="ja-JP"/>
        </w:rPr>
        <w:t>∆</w:t>
      </w:r>
      <w:r w:rsidRPr="00107040">
        <w:rPr>
          <w:rFonts w:ascii="Times New Roman" w:eastAsia="MS Mincho" w:hAnsi="Times New Roman"/>
          <w:bCs/>
          <w:sz w:val="28"/>
          <w:szCs w:val="28"/>
          <w:lang w:val="en-GB" w:eastAsia="ja-JP"/>
        </w:rPr>
        <w:t>N</w:t>
      </w:r>
      <w:r w:rsidRPr="00107040">
        <w:rPr>
          <w:rFonts w:ascii="Times New Roman" w:eastAsia="MS Mincho" w:hAnsi="Times New Roman"/>
          <w:bCs/>
          <w:sz w:val="28"/>
          <w:szCs w:val="28"/>
          <w:lang w:val="ru-RU" w:eastAsia="ja-JP"/>
        </w:rPr>
        <w:t>273</w:t>
      </w:r>
      <w:r w:rsidRPr="00107040">
        <w:rPr>
          <w:rFonts w:ascii="Times New Roman" w:eastAsia="MS Mincho" w:hAnsi="Times New Roman"/>
          <w:bCs/>
          <w:sz w:val="28"/>
          <w:szCs w:val="28"/>
          <w:lang w:val="en-GB" w:eastAsia="ja-JP"/>
        </w:rPr>
        <w:t>AtPARP</w:t>
      </w:r>
      <w:r w:rsidRPr="00107040">
        <w:rPr>
          <w:rFonts w:ascii="Times New Roman" w:eastAsia="MS Mincho" w:hAnsi="Times New Roman"/>
          <w:bCs/>
          <w:sz w:val="28"/>
          <w:szCs w:val="28"/>
          <w:lang w:val="ru-RU" w:eastAsia="ja-JP"/>
        </w:rPr>
        <w:t xml:space="preserve">3 </w:t>
      </w:r>
      <w:r w:rsidRPr="00107040">
        <w:rPr>
          <w:rFonts w:ascii="Times New Roman" w:eastAsia="MS Mincho" w:hAnsi="Times New Roman"/>
          <w:sz w:val="28"/>
          <w:szCs w:val="28"/>
          <w:lang w:val="kk-KZ" w:eastAsia="ja-JP"/>
        </w:rPr>
        <w:t>и</w:t>
      </w:r>
      <w:r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en-GB" w:eastAsia="ja-JP"/>
        </w:rPr>
        <w:t>ΔHDAtPARP</w:t>
      </w:r>
      <w:r w:rsidRPr="00107040">
        <w:rPr>
          <w:rFonts w:ascii="Times New Roman" w:eastAsia="MS Mincho" w:hAnsi="Times New Roman"/>
          <w:bCs/>
          <w:sz w:val="28"/>
          <w:szCs w:val="28"/>
          <w:lang w:val="ru-RU" w:eastAsia="ja-JP"/>
        </w:rPr>
        <w:t xml:space="preserve">3 </w:t>
      </w:r>
      <w:r w:rsidR="00992872" w:rsidRPr="00107040">
        <w:rPr>
          <w:rFonts w:ascii="Times New Roman" w:eastAsia="MS Mincho" w:hAnsi="Times New Roman"/>
          <w:sz w:val="28"/>
          <w:szCs w:val="28"/>
          <w:lang w:val="ru-RU" w:eastAsia="ja-JP"/>
        </w:rPr>
        <w:t xml:space="preserve">экспрессировали рекомбинантные белки, содержащие </w:t>
      </w:r>
      <w:r w:rsidR="00992872" w:rsidRPr="00107040">
        <w:rPr>
          <w:rFonts w:ascii="Times New Roman" w:eastAsia="MS Mincho" w:hAnsi="Times New Roman"/>
          <w:sz w:val="28"/>
          <w:szCs w:val="28"/>
          <w:lang w:val="kk-KZ" w:eastAsia="ja-JP"/>
        </w:rPr>
        <w:t>С</w:t>
      </w:r>
      <w:r w:rsidR="00992872" w:rsidRPr="00107040">
        <w:rPr>
          <w:rFonts w:ascii="Times New Roman" w:eastAsia="MS Mincho" w:hAnsi="Times New Roman"/>
          <w:sz w:val="28"/>
          <w:szCs w:val="28"/>
          <w:lang w:val="ru-RU" w:eastAsia="ja-JP"/>
        </w:rPr>
        <w:t xml:space="preserve">-концевую </w:t>
      </w:r>
      <w:r w:rsidR="00992872" w:rsidRPr="00107040">
        <w:rPr>
          <w:rFonts w:ascii="Times New Roman" w:eastAsia="MS Mincho" w:hAnsi="Times New Roman"/>
          <w:sz w:val="28"/>
          <w:szCs w:val="28"/>
          <w:lang w:val="en-US" w:eastAsia="ja-JP"/>
        </w:rPr>
        <w:t>His</w:t>
      </w:r>
      <w:r w:rsidR="00992872" w:rsidRPr="00107040">
        <w:rPr>
          <w:rFonts w:ascii="Times New Roman" w:eastAsia="MS Mincho" w:hAnsi="Times New Roman"/>
          <w:sz w:val="28"/>
          <w:szCs w:val="28"/>
          <w:lang w:val="ru-RU" w:eastAsia="ja-JP"/>
        </w:rPr>
        <w:t xml:space="preserve">-метку в штамме </w:t>
      </w:r>
      <w:r w:rsidR="00992872" w:rsidRPr="00107040">
        <w:rPr>
          <w:rFonts w:ascii="Times New Roman" w:eastAsia="MS Mincho" w:hAnsi="Times New Roman"/>
          <w:i/>
          <w:sz w:val="28"/>
          <w:szCs w:val="28"/>
          <w:lang w:val="en-US" w:eastAsia="ja-JP"/>
        </w:rPr>
        <w:t>E</w:t>
      </w:r>
      <w:r w:rsidR="00992872" w:rsidRPr="00107040">
        <w:rPr>
          <w:rFonts w:ascii="Times New Roman" w:eastAsia="MS Mincho" w:hAnsi="Times New Roman"/>
          <w:i/>
          <w:sz w:val="28"/>
          <w:szCs w:val="28"/>
          <w:lang w:val="ru-RU" w:eastAsia="ja-JP"/>
        </w:rPr>
        <w:t xml:space="preserve">. </w:t>
      </w:r>
      <w:r w:rsidR="00992872" w:rsidRPr="00107040">
        <w:rPr>
          <w:rFonts w:ascii="Times New Roman" w:eastAsia="MS Mincho" w:hAnsi="Times New Roman"/>
          <w:i/>
          <w:sz w:val="28"/>
          <w:szCs w:val="28"/>
          <w:lang w:val="en-US" w:eastAsia="ja-JP"/>
        </w:rPr>
        <w:t>coli</w:t>
      </w:r>
      <w:r w:rsidR="00992872" w:rsidRPr="00107040">
        <w:rPr>
          <w:rFonts w:ascii="Times New Roman" w:eastAsia="MS Mincho" w:hAnsi="Times New Roman"/>
          <w:i/>
          <w:sz w:val="28"/>
          <w:szCs w:val="28"/>
          <w:lang w:val="ru-RU" w:eastAsia="ja-JP"/>
        </w:rPr>
        <w:t xml:space="preserve"> </w:t>
      </w:r>
      <w:r w:rsidR="00992872" w:rsidRPr="00107040">
        <w:rPr>
          <w:rFonts w:ascii="Times New Roman" w:eastAsia="MS Mincho" w:hAnsi="Times New Roman"/>
          <w:sz w:val="28"/>
          <w:szCs w:val="28"/>
          <w:lang w:val="en-US" w:eastAsia="ja-JP"/>
        </w:rPr>
        <w:t>Rosett</w:t>
      </w:r>
      <w:r w:rsidR="00992872" w:rsidRPr="00107040">
        <w:rPr>
          <w:rFonts w:ascii="Times New Roman" w:eastAsia="MS Mincho" w:hAnsi="Times New Roman"/>
          <w:sz w:val="28"/>
          <w:szCs w:val="28"/>
          <w:lang w:val="ru-RU" w:eastAsia="ja-JP"/>
        </w:rPr>
        <w:t>а 2 (</w:t>
      </w:r>
      <w:r w:rsidR="00992872" w:rsidRPr="00107040">
        <w:rPr>
          <w:rFonts w:ascii="Times New Roman" w:eastAsia="MS Mincho" w:hAnsi="Times New Roman"/>
          <w:sz w:val="28"/>
          <w:szCs w:val="28"/>
          <w:lang w:val="en-US" w:eastAsia="ja-JP"/>
        </w:rPr>
        <w:t>DE</w:t>
      </w:r>
      <w:r w:rsidR="00992872" w:rsidRPr="00107040">
        <w:rPr>
          <w:rFonts w:ascii="Times New Roman" w:eastAsia="MS Mincho" w:hAnsi="Times New Roman"/>
          <w:sz w:val="28"/>
          <w:szCs w:val="28"/>
          <w:lang w:val="ru-RU" w:eastAsia="ja-JP"/>
        </w:rPr>
        <w:t>3)</w:t>
      </w:r>
      <w:r w:rsidRPr="00107040">
        <w:rPr>
          <w:rFonts w:ascii="Times New Roman" w:eastAsia="MS Mincho" w:hAnsi="Times New Roman"/>
          <w:sz w:val="28"/>
          <w:szCs w:val="28"/>
          <w:lang w:val="ru-RU" w:eastAsia="ja-JP"/>
        </w:rPr>
        <w:t xml:space="preserve"> (Merck)</w:t>
      </w:r>
      <w:r w:rsidR="00992872" w:rsidRPr="00107040">
        <w:rPr>
          <w:rFonts w:ascii="Times New Roman" w:eastAsia="MS Mincho" w:hAnsi="Times New Roman"/>
          <w:sz w:val="28"/>
          <w:szCs w:val="28"/>
          <w:lang w:val="ru-RU" w:eastAsia="ja-JP"/>
        </w:rPr>
        <w:t>. Трансформированные клетки выращивали до плотности клеток OD</w:t>
      </w:r>
      <w:r w:rsidR="00992872" w:rsidRPr="00107040">
        <w:rPr>
          <w:rFonts w:ascii="Times New Roman" w:eastAsia="MS Mincho" w:hAnsi="Times New Roman"/>
          <w:sz w:val="28"/>
          <w:szCs w:val="28"/>
          <w:vertAlign w:val="subscript"/>
          <w:lang w:val="ru-RU" w:eastAsia="ja-JP"/>
        </w:rPr>
        <w:t>600</w:t>
      </w:r>
      <w:r w:rsidR="00992872" w:rsidRPr="00107040">
        <w:rPr>
          <w:rFonts w:ascii="Times New Roman" w:eastAsia="MS Mincho" w:hAnsi="Times New Roman"/>
          <w:sz w:val="28"/>
          <w:szCs w:val="28"/>
          <w:lang w:val="ru-RU" w:eastAsia="ja-JP"/>
        </w:rPr>
        <w:t xml:space="preserve"> ~ 0,6 при 37</w:t>
      </w:r>
      <w:r w:rsidRPr="00107040">
        <w:rPr>
          <w:rFonts w:ascii="Times New Roman" w:eastAsia="MS Mincho" w:hAnsi="Times New Roman"/>
          <w:sz w:val="28"/>
          <w:szCs w:val="28"/>
          <w:lang w:val="ru-RU" w:eastAsia="ja-JP"/>
        </w:rPr>
        <w:t xml:space="preserve"> </w:t>
      </w:r>
      <w:r w:rsidR="00992872" w:rsidRPr="00107040">
        <w:rPr>
          <w:rFonts w:ascii="Times New Roman" w:eastAsia="MS Mincho" w:hAnsi="Times New Roman"/>
          <w:sz w:val="28"/>
          <w:szCs w:val="28"/>
          <w:lang w:val="ru-RU" w:eastAsia="ja-JP"/>
        </w:rPr>
        <w:t>°C в среде LB, а затем индуцировали с добавлением 50 мкМ изопропил-β-D-1-тиогалактопиранозида в течение ночи при 30</w:t>
      </w:r>
      <w:r w:rsidRPr="00107040">
        <w:rPr>
          <w:rFonts w:ascii="Times New Roman" w:eastAsia="MS Mincho" w:hAnsi="Times New Roman"/>
          <w:sz w:val="28"/>
          <w:szCs w:val="28"/>
          <w:lang w:val="ru-RU" w:eastAsia="ja-JP"/>
        </w:rPr>
        <w:t xml:space="preserve"> </w:t>
      </w:r>
      <w:r w:rsidR="00992872" w:rsidRPr="00107040">
        <w:rPr>
          <w:rFonts w:ascii="Times New Roman" w:eastAsia="MS Mincho" w:hAnsi="Times New Roman"/>
          <w:sz w:val="28"/>
          <w:szCs w:val="28"/>
          <w:lang w:val="ru-RU" w:eastAsia="ja-JP"/>
        </w:rPr>
        <w:t xml:space="preserve">°C. Используя только две хроматографические стадии стало возможным очистить белки </w:t>
      </w:r>
      <w:r w:rsidRPr="00107040">
        <w:rPr>
          <w:rFonts w:ascii="Times New Roman" w:eastAsia="MS Mincho" w:hAnsi="Times New Roman"/>
          <w:sz w:val="28"/>
          <w:szCs w:val="28"/>
          <w:lang w:val="ru-RU" w:eastAsia="ja-JP"/>
        </w:rPr>
        <w:t>A</w:t>
      </w:r>
      <w:r w:rsidR="00992872" w:rsidRPr="00107040">
        <w:rPr>
          <w:rFonts w:ascii="Times New Roman" w:eastAsia="MS Mincho" w:hAnsi="Times New Roman"/>
          <w:sz w:val="28"/>
          <w:szCs w:val="28"/>
          <w:lang w:val="ru-RU" w:eastAsia="ja-JP"/>
        </w:rPr>
        <w:t>tPARP почти до гомогенности благодаря сильной экспрессии в штамме Rosetta. Все этапы очистки проводились при 4</w:t>
      </w:r>
      <w:r w:rsidR="00D12B49" w:rsidRPr="00107040">
        <w:rPr>
          <w:rFonts w:ascii="Times New Roman" w:eastAsia="MS Mincho" w:hAnsi="Times New Roman"/>
          <w:sz w:val="28"/>
          <w:szCs w:val="28"/>
          <w:lang w:val="ru-RU" w:eastAsia="ja-JP"/>
        </w:rPr>
        <w:t> </w:t>
      </w:r>
      <w:r w:rsidR="00992872" w:rsidRPr="00107040">
        <w:rPr>
          <w:rFonts w:ascii="Times New Roman" w:eastAsia="MS Mincho" w:hAnsi="Times New Roman"/>
          <w:sz w:val="28"/>
          <w:szCs w:val="28"/>
          <w:lang w:val="ru-RU" w:eastAsia="ja-JP"/>
        </w:rPr>
        <w:t>°C. Бактериальные клетки собирали центрифугированием, а осадки клеток лизировали в буфере, содержащем 50 мМ трис-HCl pH 8,0, 100 мМ NaCl, 1 мМ ЭДТА, 5</w:t>
      </w:r>
      <w:r w:rsidRPr="00107040">
        <w:rPr>
          <w:rFonts w:ascii="Times New Roman" w:eastAsia="MS Mincho" w:hAnsi="Times New Roman"/>
          <w:sz w:val="28"/>
          <w:szCs w:val="28"/>
          <w:lang w:val="ru-RU" w:eastAsia="ja-JP"/>
        </w:rPr>
        <w:t xml:space="preserve"> </w:t>
      </w:r>
      <w:r w:rsidR="00992872" w:rsidRPr="00107040">
        <w:rPr>
          <w:rFonts w:ascii="Times New Roman" w:eastAsia="MS Mincho" w:hAnsi="Times New Roman"/>
          <w:sz w:val="28"/>
          <w:szCs w:val="28"/>
          <w:lang w:val="ru-RU" w:eastAsia="ja-JP"/>
        </w:rPr>
        <w:t>% глицерин, 1 мМ DTT и 0,5</w:t>
      </w:r>
      <w:r w:rsidRPr="00107040">
        <w:rPr>
          <w:rFonts w:ascii="Times New Roman" w:eastAsia="MS Mincho" w:hAnsi="Times New Roman"/>
          <w:sz w:val="28"/>
          <w:szCs w:val="28"/>
          <w:lang w:val="ru-RU" w:eastAsia="ja-JP"/>
        </w:rPr>
        <w:t xml:space="preserve"> </w:t>
      </w:r>
      <w:r w:rsidR="00992872" w:rsidRPr="00107040">
        <w:rPr>
          <w:rFonts w:ascii="Times New Roman" w:eastAsia="MS Mincho" w:hAnsi="Times New Roman"/>
          <w:sz w:val="28"/>
          <w:szCs w:val="28"/>
          <w:lang w:val="ru-RU" w:eastAsia="ja-JP"/>
        </w:rPr>
        <w:t>% NP-40, 1х коктейль ингибиторов протеаз (Roche Diagnostics, Швейцария) с использованием французского пресса при 18000 psi (фунт на квадратный дюйм). На грамм клеток следует использовать приблизительно 3 мл загрузочного буфера. Во избежание возможного протеолиза лизат нужно держать как можно более холодным.</w:t>
      </w:r>
    </w:p>
    <w:p w14:paraId="1760309D" w14:textId="69982AEE"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Лизаты от клеточного мусора </w:t>
      </w:r>
      <w:r w:rsidR="00D12B49" w:rsidRPr="00107040">
        <w:rPr>
          <w:rFonts w:ascii="Times New Roman" w:eastAsia="MS Mincho" w:hAnsi="Times New Roman"/>
          <w:sz w:val="28"/>
          <w:szCs w:val="28"/>
          <w:lang w:val="ru-RU" w:eastAsia="ja-JP"/>
        </w:rPr>
        <w:t xml:space="preserve">очищали </w:t>
      </w:r>
      <w:r w:rsidRPr="00107040">
        <w:rPr>
          <w:rFonts w:ascii="Times New Roman" w:eastAsia="MS Mincho" w:hAnsi="Times New Roman"/>
          <w:sz w:val="28"/>
          <w:szCs w:val="28"/>
          <w:lang w:val="ru-RU" w:eastAsia="ja-JP"/>
        </w:rPr>
        <w:t xml:space="preserve">методом центрифугирования при 40000 × </w:t>
      </w:r>
      <w:r w:rsidRPr="00107040">
        <w:rPr>
          <w:rFonts w:ascii="Times New Roman" w:eastAsia="MS Mincho" w:hAnsi="Times New Roman"/>
          <w:sz w:val="28"/>
          <w:szCs w:val="28"/>
          <w:lang w:val="en-US" w:eastAsia="ja-JP"/>
        </w:rPr>
        <w:t>g</w:t>
      </w:r>
      <w:r w:rsidRPr="00107040">
        <w:rPr>
          <w:rFonts w:ascii="Times New Roman" w:eastAsia="MS Mincho" w:hAnsi="Times New Roman"/>
          <w:sz w:val="28"/>
          <w:szCs w:val="28"/>
          <w:lang w:val="ru-RU" w:eastAsia="ja-JP"/>
        </w:rPr>
        <w:t xml:space="preserve"> при 4</w:t>
      </w:r>
      <w:r w:rsidR="00F86F18"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 в течение 60 мин, полученный супернатант доводили до 500 мМ </w:t>
      </w:r>
      <w:r w:rsidRPr="00107040">
        <w:rPr>
          <w:rFonts w:ascii="Times New Roman" w:eastAsia="MS Mincho" w:hAnsi="Times New Roman"/>
          <w:sz w:val="28"/>
          <w:szCs w:val="28"/>
          <w:lang w:val="en-US" w:eastAsia="ja-JP"/>
        </w:rPr>
        <w:t>NaCl</w:t>
      </w:r>
      <w:r w:rsidRPr="00107040">
        <w:rPr>
          <w:rFonts w:ascii="Times New Roman" w:eastAsia="MS Mincho" w:hAnsi="Times New Roman"/>
          <w:sz w:val="28"/>
          <w:szCs w:val="28"/>
          <w:lang w:val="ru-RU" w:eastAsia="ja-JP"/>
        </w:rPr>
        <w:t xml:space="preserve"> и 20 мМ имидазола и загружали в колонку заполненную Ni</w:t>
      </w:r>
      <w:r w:rsidRPr="00107040">
        <w:rPr>
          <w:rFonts w:ascii="Times New Roman" w:eastAsia="MS Mincho" w:hAnsi="Times New Roman"/>
          <w:sz w:val="28"/>
          <w:szCs w:val="28"/>
          <w:vertAlign w:val="superscript"/>
          <w:lang w:val="ru-RU" w:eastAsia="ja-JP"/>
        </w:rPr>
        <w:t>2+</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HiTrap</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Chelating</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HP</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GE</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Healthcare</w:t>
      </w:r>
      <w:r w:rsidRPr="00107040">
        <w:rPr>
          <w:rFonts w:ascii="Times New Roman" w:eastAsia="MS Mincho" w:hAnsi="Times New Roman"/>
          <w:sz w:val="28"/>
          <w:szCs w:val="28"/>
          <w:lang w:val="ru-RU" w:eastAsia="ja-JP"/>
        </w:rPr>
        <w:t xml:space="preserve">). Фракции элюировали и объединяли содержащие рекомбинантные белки и загружали в колонку </w:t>
      </w:r>
      <w:r w:rsidRPr="00107040">
        <w:rPr>
          <w:rFonts w:ascii="Times New Roman" w:eastAsia="MS Mincho" w:hAnsi="Times New Roman"/>
          <w:sz w:val="28"/>
          <w:szCs w:val="28"/>
          <w:lang w:val="en-US" w:eastAsia="ja-JP"/>
        </w:rPr>
        <w:t>HiTrap</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Heparin</w:t>
      </w:r>
      <w:r w:rsidRPr="00107040">
        <w:rPr>
          <w:rFonts w:ascii="Times New Roman" w:eastAsia="MS Mincho" w:hAnsi="Times New Roman"/>
          <w:sz w:val="28"/>
          <w:szCs w:val="28"/>
          <w:lang w:val="ru-RU" w:eastAsia="ja-JP"/>
        </w:rPr>
        <w:t xml:space="preserve"> объемом 1 мл (</w:t>
      </w:r>
      <w:r w:rsidRPr="00107040">
        <w:rPr>
          <w:rFonts w:ascii="Times New Roman" w:eastAsia="MS Mincho" w:hAnsi="Times New Roman"/>
          <w:sz w:val="28"/>
          <w:szCs w:val="28"/>
          <w:lang w:val="en-US" w:eastAsia="ja-JP"/>
        </w:rPr>
        <w:t>GE</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Healthcare</w:t>
      </w:r>
      <w:r w:rsidRPr="00107040">
        <w:rPr>
          <w:rFonts w:ascii="Times New Roman" w:eastAsia="MS Mincho" w:hAnsi="Times New Roman"/>
          <w:sz w:val="28"/>
          <w:szCs w:val="28"/>
          <w:lang w:val="ru-RU" w:eastAsia="ja-JP"/>
        </w:rPr>
        <w:t>). Далее градиентом 50-1500 мМ NaCl элюировали связанные белки. С помощью метода SDS-PAGE оценивали гомогенность очищенных белков. Очищенные образцы белка развели в 100</w:t>
      </w:r>
      <w:r w:rsidR="00F86F18"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глицерине до 50</w:t>
      </w:r>
      <w:r w:rsidR="00F86F18"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и хранили при -20</w:t>
      </w:r>
      <w:r w:rsidR="00F86F18"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00BB5A29" w:rsidRPr="00107040">
        <w:rPr>
          <w:rFonts w:ascii="Times New Roman" w:eastAsia="MS Mincho" w:hAnsi="Times New Roman"/>
          <w:sz w:val="28"/>
          <w:szCs w:val="28"/>
          <w:lang w:val="ru-RU" w:eastAsia="ja-JP"/>
        </w:rPr>
        <w:t xml:space="preserve"> </w:t>
      </w:r>
      <w:r w:rsidR="00BB5A29"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{"citationID":"bryBNEmf","properties":{"formattedCitation":"[439]","plainCitation":"[439]","noteIndex":0},"citationItems":[{"id":1445,"uris":["http://zotero.org/users/9078202/items/SBXBAL8H"],"itemData":{"id":1445,"type":"article-journal","container-title":"Protein Expression and Purification","DOI":"10.1016/j.pep.2022.106131","ISSN":"10465928","journalAbbreviation":"Protein Expression and Purification","language":"en","page":"106131","source":"DOI.org (Crossref)","title":"Viral removal by column chromatography in downstream processing of monoclonal antibodies","URL":"https://linkinghub.elsevier.com/retrieve/pii/S1046592822000882","volume":"198","author":[{"family":"Li","given":"Yifeng"}],"accessed":{"date-parts":[["2022",6,17]]},"issued":{"date-parts":[["2022",10]]}}}],"schema":"https://github.com/citation-style-language/schema/raw/master/csl-citation.json"} </w:instrText>
      </w:r>
      <w:r w:rsidR="00BB5A29"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[439]</w:t>
      </w:r>
      <w:r w:rsidR="00BB5A29"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w:t>
      </w:r>
    </w:p>
    <w:p w14:paraId="6035C46F" w14:textId="77777777" w:rsidR="00992872" w:rsidRPr="00107040" w:rsidRDefault="00992872" w:rsidP="000C16BB">
      <w:pPr>
        <w:spacing w:after="0" w:line="240" w:lineRule="auto"/>
        <w:jc w:val="both"/>
        <w:rPr>
          <w:rFonts w:ascii="Times New Roman" w:eastAsia="MS Mincho" w:hAnsi="Times New Roman"/>
          <w:sz w:val="28"/>
          <w:szCs w:val="28"/>
          <w:lang w:val="ru-RU" w:eastAsia="ja-JP"/>
        </w:rPr>
      </w:pPr>
    </w:p>
    <w:p w14:paraId="09BDC885" w14:textId="77777777" w:rsidR="00992872" w:rsidRPr="00107040" w:rsidRDefault="00992872" w:rsidP="000C16BB">
      <w:pPr>
        <w:spacing w:after="0" w:line="240" w:lineRule="auto"/>
        <w:ind w:firstLine="567"/>
        <w:jc w:val="both"/>
        <w:rPr>
          <w:rFonts w:ascii="Times New Roman" w:eastAsia="MS Mincho" w:hAnsi="Times New Roman"/>
          <w:b/>
          <w:iCs/>
          <w:sz w:val="28"/>
          <w:szCs w:val="28"/>
          <w:lang w:val="ru-RU" w:eastAsia="ja-JP"/>
        </w:rPr>
      </w:pPr>
      <w:r w:rsidRPr="00107040">
        <w:rPr>
          <w:rFonts w:ascii="Times New Roman" w:eastAsia="MS Mincho" w:hAnsi="Times New Roman"/>
          <w:b/>
          <w:bCs/>
          <w:iCs/>
          <w:sz w:val="28"/>
          <w:szCs w:val="28"/>
          <w:lang w:val="ru-RU" w:eastAsia="ja-JP"/>
        </w:rPr>
        <w:t xml:space="preserve">2.17 Приготовление антител против </w:t>
      </w:r>
      <w:r w:rsidR="00F86F18" w:rsidRPr="00107040">
        <w:rPr>
          <w:rFonts w:ascii="Times New Roman" w:eastAsia="MS Mincho" w:hAnsi="Times New Roman"/>
          <w:b/>
          <w:bCs/>
          <w:iCs/>
          <w:sz w:val="28"/>
          <w:szCs w:val="28"/>
          <w:lang w:val="en-US" w:eastAsia="ja-JP"/>
        </w:rPr>
        <w:t>AtPARP</w:t>
      </w:r>
      <w:r w:rsidR="00F86F18" w:rsidRPr="00107040">
        <w:rPr>
          <w:rFonts w:ascii="Times New Roman" w:eastAsia="MS Mincho" w:hAnsi="Times New Roman"/>
          <w:b/>
          <w:bCs/>
          <w:iCs/>
          <w:sz w:val="28"/>
          <w:szCs w:val="28"/>
          <w:lang w:val="ru-RU" w:eastAsia="ja-JP"/>
        </w:rPr>
        <w:t xml:space="preserve">1 и </w:t>
      </w:r>
      <w:r w:rsidR="00F86F18" w:rsidRPr="00107040">
        <w:rPr>
          <w:rFonts w:ascii="Times New Roman" w:eastAsia="MS Mincho" w:hAnsi="Times New Roman"/>
          <w:b/>
          <w:bCs/>
          <w:iCs/>
          <w:sz w:val="28"/>
          <w:szCs w:val="28"/>
          <w:lang w:val="en-US" w:eastAsia="ja-JP"/>
        </w:rPr>
        <w:t>A</w:t>
      </w:r>
      <w:r w:rsidRPr="00107040">
        <w:rPr>
          <w:rFonts w:ascii="Times New Roman" w:eastAsia="MS Mincho" w:hAnsi="Times New Roman"/>
          <w:b/>
          <w:bCs/>
          <w:iCs/>
          <w:sz w:val="28"/>
          <w:szCs w:val="28"/>
          <w:lang w:val="en-US" w:eastAsia="ja-JP"/>
        </w:rPr>
        <w:t>tPARP</w:t>
      </w:r>
      <w:r w:rsidRPr="00107040">
        <w:rPr>
          <w:rFonts w:ascii="Times New Roman" w:eastAsia="MS Mincho" w:hAnsi="Times New Roman"/>
          <w:b/>
          <w:bCs/>
          <w:iCs/>
          <w:sz w:val="28"/>
          <w:szCs w:val="28"/>
          <w:lang w:val="ru-RU" w:eastAsia="ja-JP"/>
        </w:rPr>
        <w:t>2</w:t>
      </w:r>
    </w:p>
    <w:p w14:paraId="50C242E6" w14:textId="0CF033BA"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Рекомбинантные His-меченные белки </w:t>
      </w:r>
      <w:r w:rsidR="00F86F18" w:rsidRPr="00107040">
        <w:rPr>
          <w:rFonts w:ascii="Times New Roman" w:eastAsia="MS Mincho" w:hAnsi="Times New Roman"/>
          <w:bCs/>
          <w:iCs/>
          <w:sz w:val="28"/>
          <w:szCs w:val="28"/>
          <w:lang w:val="en-US" w:eastAsia="ja-JP"/>
        </w:rPr>
        <w:t>AtPARP</w:t>
      </w:r>
      <w:r w:rsidR="00F86F18" w:rsidRPr="00107040">
        <w:rPr>
          <w:rFonts w:ascii="Times New Roman" w:eastAsia="MS Mincho" w:hAnsi="Times New Roman"/>
          <w:bCs/>
          <w:iCs/>
          <w:sz w:val="28"/>
          <w:szCs w:val="28"/>
          <w:lang w:val="ru-RU" w:eastAsia="ja-JP"/>
        </w:rPr>
        <w:t xml:space="preserve">1 и </w:t>
      </w:r>
      <w:r w:rsidR="00F86F18" w:rsidRPr="00107040">
        <w:rPr>
          <w:rFonts w:ascii="Times New Roman" w:eastAsia="MS Mincho" w:hAnsi="Times New Roman"/>
          <w:sz w:val="28"/>
          <w:szCs w:val="28"/>
          <w:lang w:val="ru-RU" w:eastAsia="ja-JP"/>
        </w:rPr>
        <w:t>A</w:t>
      </w:r>
      <w:r w:rsidRPr="00107040">
        <w:rPr>
          <w:rFonts w:ascii="Times New Roman" w:eastAsia="MS Mincho" w:hAnsi="Times New Roman"/>
          <w:sz w:val="28"/>
          <w:szCs w:val="28"/>
          <w:lang w:val="ru-RU" w:eastAsia="ja-JP"/>
        </w:rPr>
        <w:t xml:space="preserve">tPARP2 </w:t>
      </w:r>
      <w:r w:rsidRPr="00107040">
        <w:rPr>
          <w:rFonts w:ascii="Times New Roman" w:eastAsia="MS Mincho" w:hAnsi="Times New Roman"/>
          <w:i/>
          <w:sz w:val="28"/>
          <w:szCs w:val="28"/>
          <w:lang w:val="en-US" w:eastAsia="ja-JP"/>
        </w:rPr>
        <w:t>A</w:t>
      </w:r>
      <w:r w:rsidRPr="00107040">
        <w:rPr>
          <w:rFonts w:ascii="Times New Roman" w:eastAsia="MS Mincho" w:hAnsi="Times New Roman"/>
          <w:i/>
          <w:sz w:val="28"/>
          <w:szCs w:val="28"/>
          <w:lang w:val="ru-RU" w:eastAsia="ja-JP"/>
        </w:rPr>
        <w:t>.</w:t>
      </w:r>
      <w:r w:rsidRPr="00107040">
        <w:rPr>
          <w:rFonts w:ascii="Times New Roman" w:eastAsia="MS Mincho" w:hAnsi="Times New Roman"/>
          <w:i/>
          <w:sz w:val="28"/>
          <w:szCs w:val="28"/>
          <w:lang w:val="en-US" w:eastAsia="ja-JP"/>
        </w:rPr>
        <w:t>thaliana</w:t>
      </w:r>
      <w:r w:rsidRPr="00107040">
        <w:rPr>
          <w:rFonts w:ascii="Times New Roman" w:eastAsia="MS Mincho" w:hAnsi="Times New Roman"/>
          <w:sz w:val="28"/>
          <w:szCs w:val="28"/>
          <w:lang w:val="ru-RU" w:eastAsia="ja-JP"/>
        </w:rPr>
        <w:t xml:space="preserve"> полного размера были очищены для получения поликлональных антител против </w:t>
      </w:r>
      <w:r w:rsidR="00F86F18" w:rsidRPr="00107040">
        <w:rPr>
          <w:rFonts w:ascii="Times New Roman" w:eastAsia="MS Mincho" w:hAnsi="Times New Roman"/>
          <w:bCs/>
          <w:iCs/>
          <w:sz w:val="28"/>
          <w:szCs w:val="28"/>
          <w:lang w:val="en-US" w:eastAsia="ja-JP"/>
        </w:rPr>
        <w:t>AtPARP</w:t>
      </w:r>
      <w:r w:rsidR="00F86F18" w:rsidRPr="00107040">
        <w:rPr>
          <w:rFonts w:ascii="Times New Roman" w:eastAsia="MS Mincho" w:hAnsi="Times New Roman"/>
          <w:bCs/>
          <w:iCs/>
          <w:sz w:val="28"/>
          <w:szCs w:val="28"/>
          <w:lang w:val="ru-RU" w:eastAsia="ja-JP"/>
        </w:rPr>
        <w:t>1/</w:t>
      </w:r>
      <w:r w:rsidR="00F86F18"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2. </w:t>
      </w:r>
      <w:r w:rsidR="004C2AA3" w:rsidRPr="00107040">
        <w:rPr>
          <w:rFonts w:ascii="Times New Roman" w:hAnsi="Times New Roman"/>
          <w:sz w:val="28"/>
          <w:szCs w:val="28"/>
          <w:lang w:val="kk-KZ"/>
        </w:rPr>
        <w:t xml:space="preserve">Для получения антител против </w:t>
      </w:r>
      <w:r w:rsidR="004C2AA3" w:rsidRPr="00107040">
        <w:rPr>
          <w:rFonts w:ascii="Times New Roman" w:hAnsi="Times New Roman"/>
          <w:sz w:val="28"/>
          <w:szCs w:val="28"/>
        </w:rPr>
        <w:t>AtPARP1 и AtPARP2</w:t>
      </w:r>
      <w:r w:rsidR="004C2AA3" w:rsidRPr="00107040">
        <w:rPr>
          <w:rFonts w:ascii="Times New Roman" w:hAnsi="Times New Roman"/>
          <w:sz w:val="28"/>
          <w:szCs w:val="28"/>
          <w:lang w:val="kk-KZ"/>
        </w:rPr>
        <w:t>, мы выбрали</w:t>
      </w:r>
      <w:r w:rsidR="004C2AA3" w:rsidRPr="00107040">
        <w:rPr>
          <w:rFonts w:ascii="Times New Roman" w:hAnsi="Times New Roman"/>
          <w:sz w:val="28"/>
          <w:szCs w:val="28"/>
        </w:rPr>
        <w:t xml:space="preserve"> 4 белых</w:t>
      </w:r>
      <w:r w:rsidR="004C2AA3" w:rsidRPr="00107040">
        <w:rPr>
          <w:rFonts w:ascii="Times New Roman" w:hAnsi="Times New Roman"/>
          <w:sz w:val="28"/>
          <w:szCs w:val="28"/>
          <w:lang w:val="kk-KZ"/>
        </w:rPr>
        <w:t xml:space="preserve"> самок</w:t>
      </w:r>
      <w:r w:rsidR="004C2AA3" w:rsidRPr="00107040">
        <w:rPr>
          <w:rFonts w:ascii="Times New Roman" w:hAnsi="Times New Roman"/>
          <w:sz w:val="28"/>
          <w:szCs w:val="28"/>
        </w:rPr>
        <w:t xml:space="preserve"> кролика</w:t>
      </w:r>
      <w:r w:rsidR="004C2AA3" w:rsidRPr="00107040">
        <w:rPr>
          <w:rFonts w:ascii="Times New Roman" w:hAnsi="Times New Roman"/>
          <w:sz w:val="28"/>
          <w:szCs w:val="28"/>
          <w:lang w:val="kk-KZ"/>
        </w:rPr>
        <w:t xml:space="preserve"> в возрасте 1-2 месяцев</w:t>
      </w:r>
      <w:r w:rsidR="004C2AA3"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Для иммунизации кролика, полный адъювант Фрейнда смешивают с 1 мг очищенного рекомбинантного белка </w:t>
      </w:r>
      <w:r w:rsidR="00F86F18" w:rsidRPr="00107040">
        <w:rPr>
          <w:rFonts w:ascii="Times New Roman" w:eastAsia="MS Mincho" w:hAnsi="Times New Roman"/>
          <w:bCs/>
          <w:iCs/>
          <w:sz w:val="28"/>
          <w:szCs w:val="28"/>
          <w:lang w:val="en-US" w:eastAsia="ja-JP"/>
        </w:rPr>
        <w:t>AtPARP</w:t>
      </w:r>
      <w:r w:rsidR="00F86F18" w:rsidRPr="00107040">
        <w:rPr>
          <w:rFonts w:ascii="Times New Roman" w:eastAsia="MS Mincho" w:hAnsi="Times New Roman"/>
          <w:bCs/>
          <w:iCs/>
          <w:sz w:val="28"/>
          <w:szCs w:val="28"/>
          <w:lang w:val="ru-RU" w:eastAsia="ja-JP"/>
        </w:rPr>
        <w:t>1/</w:t>
      </w:r>
      <w:r w:rsidR="00F86F18"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2, полученную 200 мкл </w:t>
      </w:r>
      <w:r w:rsidRPr="00107040">
        <w:rPr>
          <w:rFonts w:ascii="Times New Roman" w:eastAsia="MS Mincho" w:hAnsi="Times New Roman"/>
          <w:sz w:val="28"/>
          <w:szCs w:val="28"/>
          <w:lang w:val="ru-RU" w:eastAsia="ja-JP"/>
        </w:rPr>
        <w:lastRenderedPageBreak/>
        <w:t>антигенадъювантную смесь ввели в каждый из 8-10 подкожных участков на спине кролика. 2-недельным интервалом делали еще три дополнительных инъекции. На 21 день брали пробу крови у кроликов через ушную вену без использования анестетика и анализировали ответ антител с помощью ELISA. Для измерения антител собирали от 5 до 10 мл крови. До получения удовлетворительного ответа продолжали иммунизацию</w:t>
      </w:r>
      <w:r w:rsidR="001165C8" w:rsidRPr="00107040">
        <w:rPr>
          <w:rFonts w:ascii="Times New Roman" w:eastAsia="MS Mincho" w:hAnsi="Times New Roman"/>
          <w:sz w:val="28"/>
          <w:szCs w:val="28"/>
          <w:lang w:val="ru-RU" w:eastAsia="ja-JP"/>
        </w:rPr>
        <w:t xml:space="preserve"> </w:t>
      </w:r>
      <w:r w:rsidR="001165C8"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{"citationID":"wY2i0kep","properties":{"formattedCitation":"[440]","plainCitation":"[440]","noteIndex":0},"citationItems":[{"id":1440,"uris":["http://zotero.org/users/9078202/items/JHEYNDV7"],"itemData":{"id":1440,"type":"article-journal","abstract":"Injection of a few hundred micrograms of antigen—antibody precipitates of fluorescent ovalbumin, 131I-labelled human serum albumin, lysozyme, antigen 3 of Pasteurella pestis and myoglobin into rabbits produced a 10–100-fold increase in antibody compared with that injected in the precipitates. Before injection the precipitates had been separated from either 131I-labelled human serum albumin serological precipitate or fluorescent ovalbumin serological precipitate by the method of Smith, Tozer, Gallop and Scanes (1962b) after the reaction of mixed antigens with mixed antibodies. The antibodies produced by this method precipitated only their homologous antigen from a mixture of it with either 131I-labelled human serum albumin or fluorescent ovalbumin. If secondary precipitates formed from antibody produced in this way were injected into rabbits in larger quantities, a further 8–35-fold increase in specific antibody was obtained.","container-title":"Immunology","ISSN":"0019-2805","issue":"2","journalAbbreviation":"Immunology","note":"PMID: 14135427\nPMCID: PMC1423311","page":"111-117","source":"PubMed Central","title":"The production of specific rabbit antibodies by injecting individual antigen—antibody complexes separated from mixed antigens","URL":"https://www.ncbi.nlm.nih.gov/pmc/articles/PMC1423311/","volume":"7","author":[{"family":"Smith","given":"H."},{"family":"Gallop","given":"R. C."},{"family":"Tozer","given":"B. T."}],"accessed":{"date-parts":[["2022",6,16]]},"issued":{"date-parts":[["1964",3]]}}}],"schema":"https://github.com/citation-style-language/schema/raw/master/csl-citation.json"} </w:instrText>
      </w:r>
      <w:r w:rsidR="001165C8"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[440]</w:t>
      </w:r>
      <w:r w:rsidR="001165C8"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Кровь собирали и иммунную сыворотку очищали аффинно с использованием смолы Fast Flow на агарозе с белком А (Sigma) через одну неделю после последней инъекции. </w:t>
      </w:r>
    </w:p>
    <w:p w14:paraId="478D4E51" w14:textId="77777777"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Процедура очистки антител</w:t>
      </w:r>
      <w:r w:rsidRPr="00107040">
        <w:rPr>
          <w:rFonts w:ascii="Times New Roman" w:eastAsia="MS Mincho" w:hAnsi="Times New Roman"/>
          <w:i/>
          <w:sz w:val="28"/>
          <w:szCs w:val="28"/>
          <w:lang w:val="ru-RU" w:eastAsia="ja-JP"/>
        </w:rPr>
        <w:t>.</w:t>
      </w:r>
      <w:r w:rsidRPr="00107040">
        <w:rPr>
          <w:rFonts w:ascii="Times New Roman" w:eastAsia="MS Mincho" w:hAnsi="Times New Roman"/>
          <w:sz w:val="28"/>
          <w:szCs w:val="28"/>
          <w:lang w:val="ru-RU" w:eastAsia="ja-JP"/>
        </w:rPr>
        <w:t xml:space="preserve"> Добавление 5 мл связывающего буфера перед очисткой антител уравновешивают колонку на агарозе с белком А. Для оптимального связывания перед нанесением на колонку с белком А образец разбавили как минимум 1: 1 буфером для связывания для поддержания надлежащей ионной силы и pH. После центрифугирования при 10000 × g в течение 20 минут отобранный супернатант нанесли на уравновешенную агарозу с белком А. 15 мл связывающего буфера промывали агарозную колонку с белком А. Последние фракции имели такую же абсорбционную способность, аналогичную связывающему буферу. 5 мл буфера для элюции антитела элюировали и собирали по 0,5 мл фракции. Для доведения элюированных фракции до физиологического pH, в 1 мл элюата добавляли 100 мкл нейтрализующего буфера и объединяли элюированные фракции IgG. В качестве первичных антител используются очищенные кроличьи поликлональные антитела против </w:t>
      </w:r>
      <w:r w:rsidR="00316F15" w:rsidRPr="00107040">
        <w:rPr>
          <w:rFonts w:ascii="Times New Roman" w:eastAsia="MS Mincho" w:hAnsi="Times New Roman"/>
          <w:sz w:val="28"/>
          <w:szCs w:val="28"/>
          <w:lang w:val="ru-RU" w:eastAsia="ja-JP"/>
        </w:rPr>
        <w:t>AtPARP1/A</w:t>
      </w:r>
      <w:r w:rsidRPr="00107040">
        <w:rPr>
          <w:rFonts w:ascii="Times New Roman" w:eastAsia="MS Mincho" w:hAnsi="Times New Roman"/>
          <w:sz w:val="28"/>
          <w:szCs w:val="28"/>
          <w:lang w:val="ru-RU" w:eastAsia="ja-JP"/>
        </w:rPr>
        <w:t>tPARP2, а в качестве вторичных антител – конъюгированные с пероксидазой хрена козы антикроличьи IgG.</w:t>
      </w:r>
    </w:p>
    <w:p w14:paraId="13024E53" w14:textId="77777777" w:rsidR="00992872" w:rsidRPr="00107040" w:rsidRDefault="00992872" w:rsidP="000C16BB">
      <w:pPr>
        <w:spacing w:after="0" w:line="240" w:lineRule="auto"/>
        <w:ind w:firstLine="567"/>
        <w:jc w:val="both"/>
        <w:rPr>
          <w:rFonts w:ascii="Times New Roman" w:eastAsia="MS Mincho" w:hAnsi="Times New Roman"/>
          <w:sz w:val="28"/>
          <w:szCs w:val="28"/>
          <w:lang w:val="kk-KZ" w:eastAsia="ja-JP"/>
        </w:rPr>
      </w:pPr>
    </w:p>
    <w:p w14:paraId="5A8371E9" w14:textId="77777777" w:rsidR="00992872" w:rsidRPr="00107040" w:rsidRDefault="00992872" w:rsidP="000C16BB">
      <w:pPr>
        <w:spacing w:after="0" w:line="240" w:lineRule="auto"/>
        <w:ind w:firstLine="567"/>
        <w:jc w:val="both"/>
        <w:rPr>
          <w:rFonts w:ascii="Times New Roman" w:eastAsia="MS Mincho" w:hAnsi="Times New Roman"/>
          <w:b/>
          <w:sz w:val="28"/>
          <w:szCs w:val="28"/>
          <w:lang w:val="ru-RU" w:eastAsia="ja-JP"/>
        </w:rPr>
      </w:pPr>
      <w:r w:rsidRPr="00107040">
        <w:rPr>
          <w:rFonts w:ascii="Times New Roman" w:eastAsia="MS Mincho" w:hAnsi="Times New Roman"/>
          <w:b/>
          <w:sz w:val="28"/>
          <w:szCs w:val="28"/>
          <w:lang w:val="ru-RU" w:eastAsia="ja-JP"/>
        </w:rPr>
        <w:t>2.18 Вестерн-блоттинг</w:t>
      </w:r>
    </w:p>
    <w:p w14:paraId="7FB5D47A" w14:textId="1C5ADD93"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Без клеточные растворимые белки разделяли в 10</w:t>
      </w:r>
      <w:r w:rsidR="00D12B49" w:rsidRPr="00107040">
        <w:rPr>
          <w:rFonts w:ascii="Times New Roman" w:eastAsia="MS Mincho" w:hAnsi="Times New Roman"/>
          <w:sz w:val="28"/>
          <w:szCs w:val="28"/>
          <w:lang w:val="ru-RU" w:eastAsia="ja-JP"/>
        </w:rPr>
        <w:t> </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SDS</w:t>
      </w:r>
      <w:r w:rsidRPr="00107040">
        <w:rPr>
          <w:rFonts w:ascii="Times New Roman" w:eastAsia="MS Mincho" w:hAnsi="Times New Roman"/>
          <w:sz w:val="28"/>
          <w:szCs w:val="28"/>
          <w:lang w:val="ru-RU" w:eastAsia="ja-JP"/>
        </w:rPr>
        <w:t>-полиакриламидном геле и затем переносили электроблоттингом на поливинилдифторидную мембрану (</w:t>
      </w:r>
      <w:r w:rsidRPr="00107040">
        <w:rPr>
          <w:rFonts w:ascii="Times New Roman" w:eastAsia="MS Mincho" w:hAnsi="Times New Roman"/>
          <w:sz w:val="28"/>
          <w:szCs w:val="28"/>
          <w:lang w:val="en-US" w:eastAsia="ja-JP"/>
        </w:rPr>
        <w:t>Pierce</w:t>
      </w:r>
      <w:r w:rsidRPr="00107040">
        <w:rPr>
          <w:rFonts w:ascii="Times New Roman" w:eastAsia="MS Mincho" w:hAnsi="Times New Roman"/>
          <w:sz w:val="28"/>
          <w:szCs w:val="28"/>
          <w:lang w:val="ru-RU" w:eastAsia="ja-JP"/>
        </w:rPr>
        <w:t>) с использованием Bio-Rad Mini-transblot Cell в соответствии с инструкциями производителя. Мембрану после переноса белков осторожно перемишавая инкубировали в блокирующем растворе, содержащем 5</w:t>
      </w:r>
      <w:r w:rsidR="00316F15"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молока и 0,1</w:t>
      </w:r>
      <w:r w:rsidR="00316F15"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 Tween -20 в 1 × </w:t>
      </w:r>
      <w:r w:rsidRPr="00107040">
        <w:rPr>
          <w:rFonts w:ascii="Times New Roman" w:eastAsia="MS Mincho" w:hAnsi="Times New Roman"/>
          <w:sz w:val="28"/>
          <w:szCs w:val="28"/>
          <w:lang w:val="en-US" w:eastAsia="ja-JP"/>
        </w:rPr>
        <w:t>TBS</w:t>
      </w:r>
      <w:r w:rsidRPr="00107040">
        <w:rPr>
          <w:rFonts w:ascii="Times New Roman" w:eastAsia="MS Mincho" w:hAnsi="Times New Roman"/>
          <w:sz w:val="28"/>
          <w:szCs w:val="28"/>
          <w:lang w:val="ru-RU" w:eastAsia="ja-JP"/>
        </w:rPr>
        <w:t xml:space="preserve"> (Трис-буферный солевой раствор: 50 мМ Трис-</w:t>
      </w:r>
      <w:r w:rsidRPr="00107040">
        <w:rPr>
          <w:rFonts w:ascii="Times New Roman" w:eastAsia="MS Mincho" w:hAnsi="Times New Roman"/>
          <w:sz w:val="28"/>
          <w:szCs w:val="28"/>
          <w:lang w:val="en-US" w:eastAsia="ja-JP"/>
        </w:rPr>
        <w:t>HCl</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pH</w:t>
      </w:r>
      <w:r w:rsidRPr="00107040">
        <w:rPr>
          <w:rFonts w:ascii="Times New Roman" w:eastAsia="MS Mincho" w:hAnsi="Times New Roman"/>
          <w:sz w:val="28"/>
          <w:szCs w:val="28"/>
          <w:lang w:val="ru-RU" w:eastAsia="ja-JP"/>
        </w:rPr>
        <w:t xml:space="preserve"> 7,5), 20 мМ </w:t>
      </w:r>
      <w:r w:rsidRPr="00107040">
        <w:rPr>
          <w:rFonts w:ascii="Times New Roman" w:eastAsia="MS Mincho" w:hAnsi="Times New Roman"/>
          <w:sz w:val="28"/>
          <w:szCs w:val="28"/>
          <w:lang w:val="en-US" w:eastAsia="ja-JP"/>
        </w:rPr>
        <w:t>NaCl</w:t>
      </w:r>
      <w:r w:rsidRPr="00107040">
        <w:rPr>
          <w:rFonts w:ascii="Times New Roman" w:eastAsia="MS Mincho" w:hAnsi="Times New Roman"/>
          <w:sz w:val="28"/>
          <w:szCs w:val="28"/>
          <w:lang w:val="ru-RU" w:eastAsia="ja-JP"/>
        </w:rPr>
        <w:t>) при 22</w:t>
      </w:r>
      <w:r w:rsidR="00316F15"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 в течение 1 часа. Мембрану после отмывки блокирующего раствора инкубировали в 10 мл аффинно очищенн</w:t>
      </w:r>
      <w:r w:rsidR="00316F15" w:rsidRPr="00107040">
        <w:rPr>
          <w:rFonts w:ascii="Times New Roman" w:eastAsia="MS Mincho" w:hAnsi="Times New Roman"/>
          <w:sz w:val="28"/>
          <w:szCs w:val="28"/>
          <w:lang w:val="ru-RU" w:eastAsia="ja-JP"/>
        </w:rPr>
        <w:t>ых</w:t>
      </w:r>
      <w:r w:rsidRPr="00107040">
        <w:rPr>
          <w:rFonts w:ascii="Times New Roman" w:eastAsia="MS Mincho" w:hAnsi="Times New Roman"/>
          <w:sz w:val="28"/>
          <w:szCs w:val="28"/>
          <w:lang w:val="ru-RU" w:eastAsia="ja-JP"/>
        </w:rPr>
        <w:t xml:space="preserve"> антител</w:t>
      </w:r>
      <w:r w:rsidR="00316F15" w:rsidRPr="00107040">
        <w:rPr>
          <w:rFonts w:ascii="Times New Roman" w:eastAsia="MS Mincho" w:hAnsi="Times New Roman"/>
          <w:sz w:val="28"/>
          <w:szCs w:val="28"/>
          <w:lang w:val="ru-RU" w:eastAsia="ja-JP"/>
        </w:rPr>
        <w:t>ах</w:t>
      </w:r>
      <w:r w:rsidRPr="00107040">
        <w:rPr>
          <w:rFonts w:ascii="Times New Roman" w:eastAsia="MS Mincho" w:hAnsi="Times New Roman"/>
          <w:sz w:val="28"/>
          <w:szCs w:val="28"/>
          <w:lang w:val="ru-RU" w:eastAsia="ja-JP"/>
        </w:rPr>
        <w:t xml:space="preserve"> </w:t>
      </w:r>
      <w:r w:rsidR="00316F15" w:rsidRPr="00107040">
        <w:rPr>
          <w:rFonts w:ascii="Times New Roman" w:eastAsia="MS Mincho" w:hAnsi="Times New Roman"/>
          <w:sz w:val="28"/>
          <w:szCs w:val="28"/>
          <w:lang w:val="ru-RU" w:eastAsia="ja-JP"/>
        </w:rPr>
        <w:t xml:space="preserve">против AtPARP1/AtPARP2 и коммерческих анти-ПАР </w:t>
      </w:r>
      <w:r w:rsidRPr="00107040">
        <w:rPr>
          <w:rFonts w:ascii="Times New Roman" w:eastAsia="MS Mincho" w:hAnsi="Times New Roman"/>
          <w:sz w:val="28"/>
          <w:szCs w:val="28"/>
          <w:lang w:val="ru-RU" w:eastAsia="ja-JP"/>
        </w:rPr>
        <w:t xml:space="preserve">(разведение 1: </w:t>
      </w:r>
      <w:r w:rsidR="00316F15" w:rsidRPr="00107040">
        <w:rPr>
          <w:rFonts w:ascii="Times New Roman" w:eastAsia="MS Mincho" w:hAnsi="Times New Roman"/>
          <w:sz w:val="28"/>
          <w:szCs w:val="28"/>
          <w:lang w:val="ru-RU" w:eastAsia="ja-JP"/>
        </w:rPr>
        <w:t>1</w:t>
      </w:r>
      <w:r w:rsidRPr="00107040">
        <w:rPr>
          <w:rFonts w:ascii="Times New Roman" w:eastAsia="MS Mincho" w:hAnsi="Times New Roman"/>
          <w:sz w:val="28"/>
          <w:szCs w:val="28"/>
          <w:lang w:val="ru-RU" w:eastAsia="ja-JP"/>
        </w:rPr>
        <w:t>0000 в блокирующем растворе с 0,1</w:t>
      </w:r>
      <w:r w:rsidR="00316F15"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Tween-20) при 4</w:t>
      </w:r>
      <w:r w:rsidR="00316F15"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°C в течение ночи. Мембрану промывали 3 раза в 10 мл промывочного буфера (1 × TBS с добавлением 0,1</w:t>
      </w:r>
      <w:r w:rsidR="00316F15"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 твина-20) по 10 мин каждый раз. После промывки мембрану инкубировали с вторичным антителом (разведение 1: </w:t>
      </w:r>
      <w:r w:rsidR="00316F15" w:rsidRPr="00107040">
        <w:rPr>
          <w:rFonts w:ascii="Times New Roman" w:eastAsia="MS Mincho" w:hAnsi="Times New Roman"/>
          <w:sz w:val="28"/>
          <w:szCs w:val="28"/>
          <w:lang w:val="ru-RU" w:eastAsia="ja-JP"/>
        </w:rPr>
        <w:t>3</w:t>
      </w:r>
      <w:r w:rsidRPr="00107040">
        <w:rPr>
          <w:rFonts w:ascii="Times New Roman" w:eastAsia="MS Mincho" w:hAnsi="Times New Roman"/>
          <w:sz w:val="28"/>
          <w:szCs w:val="28"/>
          <w:lang w:val="ru-RU" w:eastAsia="ja-JP"/>
        </w:rPr>
        <w:t>0000 в блокирующем растворе с 0,1</w:t>
      </w:r>
      <w:r w:rsidR="00316F15"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Tween-20) в 10 мл при 22</w:t>
      </w:r>
      <w:r w:rsidR="00316F15"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°C в течение 1 часа. Затем мембрану промывали 3 раза по 10 мл промывочного буфера по 10 мин каждый раз. Путем смешивания равного объема пероксида и люмин</w:t>
      </w:r>
      <w:r w:rsidR="00A362D8" w:rsidRPr="00107040">
        <w:rPr>
          <w:rFonts w:ascii="Times New Roman" w:eastAsia="MS Mincho" w:hAnsi="Times New Roman"/>
          <w:sz w:val="28"/>
          <w:szCs w:val="28"/>
          <w:lang w:val="ru-RU" w:eastAsia="ja-JP"/>
        </w:rPr>
        <w:t>о</w:t>
      </w:r>
      <w:r w:rsidRPr="00107040">
        <w:rPr>
          <w:rFonts w:ascii="Times New Roman" w:eastAsia="MS Mincho" w:hAnsi="Times New Roman"/>
          <w:sz w:val="28"/>
          <w:szCs w:val="28"/>
          <w:lang w:val="ru-RU" w:eastAsia="ja-JP"/>
        </w:rPr>
        <w:t>ла готовили раствор рабочего субстрата из расчета 0,1 мл•см</w:t>
      </w:r>
      <w:r w:rsidRPr="00107040">
        <w:rPr>
          <w:rFonts w:ascii="Times New Roman" w:eastAsia="MS Mincho" w:hAnsi="Times New Roman"/>
          <w:sz w:val="28"/>
          <w:szCs w:val="28"/>
          <w:vertAlign w:val="superscript"/>
          <w:lang w:val="ru-RU" w:eastAsia="ja-JP"/>
        </w:rPr>
        <w:t>-2</w:t>
      </w:r>
      <w:r w:rsidRPr="00107040">
        <w:rPr>
          <w:rFonts w:ascii="Times New Roman" w:eastAsia="MS Mincho" w:hAnsi="Times New Roman"/>
          <w:sz w:val="28"/>
          <w:szCs w:val="28"/>
          <w:lang w:val="ru-RU" w:eastAsia="ja-JP"/>
        </w:rPr>
        <w:t xml:space="preserve"> на площадь блоттинга. Мембрану в течение 2 мин инкубировали в рабочем растворе в темноте и экспонировали на пленке </w:t>
      </w:r>
      <w:r w:rsidRPr="00107040">
        <w:rPr>
          <w:rFonts w:ascii="Times New Roman" w:eastAsia="MS Mincho" w:hAnsi="Times New Roman"/>
          <w:sz w:val="28"/>
          <w:szCs w:val="28"/>
          <w:lang w:val="en-US" w:eastAsia="ja-JP"/>
        </w:rPr>
        <w:t>Kodak</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X</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Omat</w:t>
      </w:r>
      <w:r w:rsidR="00121FE2" w:rsidRPr="00121FE2">
        <w:rPr>
          <w:rFonts w:ascii="Times New Roman" w:eastAsia="MS Mincho" w:hAnsi="Times New Roman"/>
          <w:sz w:val="28"/>
          <w:szCs w:val="28"/>
          <w:lang w:val="ru-RU" w:eastAsia="ja-JP"/>
        </w:rPr>
        <w:t xml:space="preserve"> </w:t>
      </w:r>
      <w:r w:rsidR="00121FE2">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{"citationID":"fZkGivv1","properties":{"formattedCitation":"[441]","plainCitation":"[441]","noteIndex":0},"citationItems":[{"id":1900,"uris":["http://zotero.org/users/9078202/items/QB2TMWVD"],"itemData":{"id":1900,"type":"article-journal","abstract":"Western blotting is an important technique used in cell and molecular biology. By using a western blot, researchers are able to identify specific proteins from a complex mixture of proteins extracted from cells. The technique uses three elements to accomplish this task: (1) separation by size, (2) transfer to a solid support, and (3) marking target protein using a proper primary and secondary antibody to visualize. This paper will attempt to explain the technique and theory behind western blot, and offer some ways to troubleshoot.","container-title":"North American Journal of Medical Sciences","DOI":"10.4103/1947-2714.100998","ISSN":"2250-1541","issue":"9","journalAbbreviation":"N Am J Med Sci","note":"PMID: 23050259\nPMCID: PMC3456489","page":"429-434","source":"PubMed Central","title":"Western Blot: Technique, Theory, and Trouble Shooting","title-short":"Western Blot","URL":"https://www.ncbi.nlm.nih.gov/pmc/articles/PMC3456489/","volume":"4","author":[{"family":"Mahmood","given":"Tahrin"},{"family":"Yang","given":"Ping-Chang"}],"accessed":{"date-parts":[["2022",9,14]]},"issued":{"date-parts":[["2012",9]]}}}],"schema":"https://github.com/citation-style-language/schema/raw/master/csl-citation.json"} </w:instrText>
      </w:r>
      <w:r w:rsidR="00121FE2">
        <w:rPr>
          <w:rFonts w:ascii="Times New Roman" w:eastAsia="MS Mincho" w:hAnsi="Times New Roman"/>
          <w:sz w:val="28"/>
          <w:szCs w:val="28"/>
          <w:lang w:val="ru-RU" w:eastAsia="ja-JP"/>
        </w:rPr>
        <w:fldChar w:fldCharType="separate"/>
      </w:r>
      <w:r w:rsidR="00FB5E68" w:rsidRPr="00FB5E68">
        <w:rPr>
          <w:rFonts w:ascii="Times New Roman" w:hAnsi="Times New Roman"/>
          <w:sz w:val="28"/>
        </w:rPr>
        <w:t>[441]</w:t>
      </w:r>
      <w:r w:rsidR="00121FE2">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w:t>
      </w:r>
    </w:p>
    <w:p w14:paraId="7DA54E8B" w14:textId="77777777" w:rsidR="00992872" w:rsidRPr="00107040" w:rsidRDefault="00992872" w:rsidP="000C16BB">
      <w:pPr>
        <w:spacing w:after="0" w:line="240" w:lineRule="auto"/>
        <w:ind w:firstLine="567"/>
        <w:jc w:val="both"/>
        <w:rPr>
          <w:rFonts w:ascii="Times New Roman" w:eastAsia="MS Mincho" w:hAnsi="Times New Roman"/>
          <w:b/>
          <w:bCs/>
          <w:iCs/>
          <w:sz w:val="28"/>
          <w:szCs w:val="28"/>
          <w:lang w:val="ru-RU" w:eastAsia="ja-JP"/>
        </w:rPr>
      </w:pPr>
    </w:p>
    <w:p w14:paraId="49C31F02" w14:textId="6BEE1047" w:rsidR="00992872" w:rsidRPr="00107040" w:rsidRDefault="00992872" w:rsidP="000C16BB">
      <w:pPr>
        <w:spacing w:after="0" w:line="240" w:lineRule="auto"/>
        <w:ind w:firstLine="567"/>
        <w:jc w:val="both"/>
        <w:rPr>
          <w:rFonts w:ascii="Times New Roman" w:eastAsia="MS Mincho" w:hAnsi="Times New Roman"/>
          <w:b/>
          <w:bCs/>
          <w:iCs/>
          <w:sz w:val="28"/>
          <w:szCs w:val="28"/>
          <w:lang w:val="ru-RU" w:eastAsia="ja-JP"/>
        </w:rPr>
      </w:pPr>
      <w:r w:rsidRPr="00107040">
        <w:rPr>
          <w:rFonts w:ascii="Times New Roman" w:eastAsia="MS Mincho" w:hAnsi="Times New Roman"/>
          <w:b/>
          <w:bCs/>
          <w:iCs/>
          <w:sz w:val="28"/>
          <w:szCs w:val="28"/>
          <w:lang w:val="ru-RU" w:eastAsia="ja-JP"/>
        </w:rPr>
        <w:lastRenderedPageBreak/>
        <w:t>2.19 Анализ активности поли(АДФ-рибоза)</w:t>
      </w:r>
      <w:r w:rsidR="000A479F" w:rsidRPr="00107040">
        <w:rPr>
          <w:rFonts w:ascii="Times New Roman" w:eastAsia="MS Mincho" w:hAnsi="Times New Roman"/>
          <w:b/>
          <w:bCs/>
          <w:iCs/>
          <w:sz w:val="28"/>
          <w:szCs w:val="28"/>
          <w:lang w:val="ru-RU" w:eastAsia="ja-JP"/>
        </w:rPr>
        <w:t xml:space="preserve"> </w:t>
      </w:r>
      <w:r w:rsidRPr="00107040">
        <w:rPr>
          <w:rFonts w:ascii="Times New Roman" w:eastAsia="MS Mincho" w:hAnsi="Times New Roman"/>
          <w:b/>
          <w:bCs/>
          <w:iCs/>
          <w:sz w:val="28"/>
          <w:szCs w:val="28"/>
          <w:lang w:val="ru-RU" w:eastAsia="ja-JP"/>
        </w:rPr>
        <w:t>полимеразы</w:t>
      </w:r>
    </w:p>
    <w:p w14:paraId="5D897AF3" w14:textId="4875AE2C"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Стандартный анализ </w:t>
      </w:r>
      <w:r w:rsidR="00A362D8" w:rsidRPr="00107040">
        <w:rPr>
          <w:rFonts w:ascii="Times New Roman" w:eastAsia="MS Mincho" w:hAnsi="Times New Roman"/>
          <w:sz w:val="28"/>
          <w:szCs w:val="28"/>
          <w:lang w:val="ru-RU" w:eastAsia="ja-JP"/>
        </w:rPr>
        <w:t>ПАР</w:t>
      </w:r>
      <w:r w:rsidRPr="00107040">
        <w:rPr>
          <w:rFonts w:ascii="Times New Roman" w:eastAsia="MS Mincho" w:hAnsi="Times New Roman"/>
          <w:sz w:val="28"/>
          <w:szCs w:val="28"/>
          <w:lang w:val="ru-RU" w:eastAsia="ja-JP"/>
        </w:rPr>
        <w:t>илирования ДНК (10 мкл), выполняемый путем инкубации 20 нМ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]-меченного олигонуклеотида, 250 нМ </w:t>
      </w:r>
      <w:r w:rsidR="00A362D8"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1</w:t>
      </w:r>
      <w:r w:rsidR="00A362D8" w:rsidRPr="00107040">
        <w:rPr>
          <w:rFonts w:ascii="Times New Roman" w:eastAsia="MS Mincho" w:hAnsi="Times New Roman"/>
          <w:sz w:val="28"/>
          <w:szCs w:val="28"/>
          <w:lang w:val="ru-RU" w:eastAsia="ja-JP"/>
        </w:rPr>
        <w:t>/</w:t>
      </w:r>
      <w:r w:rsidR="00A362D8"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2</w:t>
      </w:r>
      <w:r w:rsidR="00A362D8" w:rsidRPr="00107040">
        <w:rPr>
          <w:rFonts w:ascii="Times New Roman" w:eastAsia="MS Mincho" w:hAnsi="Times New Roman"/>
          <w:sz w:val="28"/>
          <w:szCs w:val="28"/>
          <w:lang w:val="ru-RU" w:eastAsia="ja-JP"/>
        </w:rPr>
        <w:t>/</w:t>
      </w:r>
      <w:r w:rsidR="00A362D8" w:rsidRPr="00107040">
        <w:rPr>
          <w:rFonts w:ascii="Times New Roman" w:eastAsia="MS Mincho" w:hAnsi="Times New Roman"/>
          <w:sz w:val="28"/>
          <w:szCs w:val="28"/>
          <w:lang w:val="en-US" w:eastAsia="ja-JP"/>
        </w:rPr>
        <w:t>AtPARP</w:t>
      </w:r>
      <w:r w:rsidR="00A362D8" w:rsidRPr="00107040">
        <w:rPr>
          <w:rFonts w:ascii="Times New Roman" w:eastAsia="MS Mincho" w:hAnsi="Times New Roman"/>
          <w:sz w:val="28"/>
          <w:szCs w:val="28"/>
          <w:lang w:val="ru-RU" w:eastAsia="ja-JP"/>
        </w:rPr>
        <w:t>3</w:t>
      </w:r>
      <w:r w:rsidRPr="00107040">
        <w:rPr>
          <w:rFonts w:ascii="Times New Roman" w:eastAsia="MS Mincho" w:hAnsi="Times New Roman"/>
          <w:sz w:val="28"/>
          <w:szCs w:val="28"/>
          <w:lang w:val="ru-RU" w:eastAsia="ja-JP"/>
        </w:rPr>
        <w:t xml:space="preserve"> и 1 мМ </w:t>
      </w:r>
      <w:r w:rsidR="00A362D8" w:rsidRPr="00107040">
        <w:rPr>
          <w:rFonts w:ascii="Times New Roman" w:eastAsia="MS Mincho" w:hAnsi="Times New Roman"/>
          <w:sz w:val="28"/>
          <w:szCs w:val="28"/>
          <w:lang w:val="ru-RU"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в буфере </w:t>
      </w:r>
      <w:r w:rsidRPr="00107040">
        <w:rPr>
          <w:rFonts w:ascii="Times New Roman" w:eastAsia="MS Mincho" w:hAnsi="Times New Roman"/>
          <w:sz w:val="28"/>
          <w:szCs w:val="28"/>
          <w:lang w:val="en-US" w:eastAsia="ja-JP"/>
        </w:rPr>
        <w:t>ADPR</w:t>
      </w:r>
      <w:r w:rsidRPr="00107040">
        <w:rPr>
          <w:rFonts w:ascii="Times New Roman" w:eastAsia="MS Mincho" w:hAnsi="Times New Roman"/>
          <w:sz w:val="28"/>
          <w:szCs w:val="28"/>
          <w:lang w:val="ru-RU" w:eastAsia="ja-JP"/>
        </w:rPr>
        <w:t xml:space="preserve"> (20 мМ </w:t>
      </w:r>
      <w:r w:rsidRPr="00107040">
        <w:rPr>
          <w:rFonts w:ascii="Times New Roman" w:eastAsia="MS Mincho" w:hAnsi="Times New Roman"/>
          <w:sz w:val="28"/>
          <w:szCs w:val="28"/>
          <w:lang w:val="en-US" w:eastAsia="ja-JP"/>
        </w:rPr>
        <w:t>HEPES</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KOH</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pH</w:t>
      </w:r>
      <w:r w:rsidRPr="00107040">
        <w:rPr>
          <w:rFonts w:ascii="Times New Roman" w:eastAsia="MS Mincho" w:hAnsi="Times New Roman"/>
          <w:sz w:val="28"/>
          <w:szCs w:val="28"/>
          <w:lang w:val="ru-RU" w:eastAsia="ja-JP"/>
        </w:rPr>
        <w:t xml:space="preserve"> 7,6, 50 мМ </w:t>
      </w:r>
      <w:r w:rsidRPr="00107040">
        <w:rPr>
          <w:rFonts w:ascii="Times New Roman" w:eastAsia="MS Mincho" w:hAnsi="Times New Roman"/>
          <w:sz w:val="28"/>
          <w:szCs w:val="28"/>
          <w:lang w:val="en-US" w:eastAsia="ja-JP"/>
        </w:rPr>
        <w:t>KCl</w:t>
      </w:r>
      <w:r w:rsidRPr="00107040">
        <w:rPr>
          <w:rFonts w:ascii="Times New Roman" w:eastAsia="MS Mincho" w:hAnsi="Times New Roman"/>
          <w:sz w:val="28"/>
          <w:szCs w:val="28"/>
          <w:lang w:val="ru-RU" w:eastAsia="ja-JP"/>
        </w:rPr>
        <w:t xml:space="preserve">, 5 мМ </w:t>
      </w:r>
      <w:r w:rsidRPr="00107040">
        <w:rPr>
          <w:rFonts w:ascii="Times New Roman" w:eastAsia="MS Mincho" w:hAnsi="Times New Roman"/>
          <w:sz w:val="28"/>
          <w:szCs w:val="28"/>
          <w:lang w:val="en-US" w:eastAsia="ja-JP"/>
        </w:rPr>
        <w:t>MgCl</w:t>
      </w:r>
      <w:r w:rsidRPr="00107040">
        <w:rPr>
          <w:rFonts w:ascii="Times New Roman" w:eastAsia="MS Mincho" w:hAnsi="Times New Roman"/>
          <w:sz w:val="28"/>
          <w:szCs w:val="28"/>
          <w:lang w:val="ru-RU" w:eastAsia="ja-JP"/>
        </w:rPr>
        <w:t xml:space="preserve">2., 1 мМ </w:t>
      </w:r>
      <w:r w:rsidRPr="00107040">
        <w:rPr>
          <w:rFonts w:ascii="Times New Roman" w:eastAsia="MS Mincho" w:hAnsi="Times New Roman"/>
          <w:sz w:val="28"/>
          <w:szCs w:val="28"/>
          <w:lang w:val="en-US" w:eastAsia="ja-JP"/>
        </w:rPr>
        <w:t>DTT</w:t>
      </w:r>
      <w:r w:rsidRPr="00107040">
        <w:rPr>
          <w:rFonts w:ascii="Times New Roman" w:eastAsia="MS Mincho" w:hAnsi="Times New Roman"/>
          <w:sz w:val="28"/>
          <w:szCs w:val="28"/>
          <w:lang w:val="ru-RU" w:eastAsia="ja-JP"/>
        </w:rPr>
        <w:t xml:space="preserve"> и мкг•мл</w:t>
      </w:r>
      <w:r w:rsidRPr="00107040">
        <w:rPr>
          <w:rFonts w:ascii="Times New Roman" w:eastAsia="MS Mincho" w:hAnsi="Times New Roman"/>
          <w:sz w:val="28"/>
          <w:szCs w:val="28"/>
          <w:vertAlign w:val="superscript"/>
          <w:lang w:val="ru-RU" w:eastAsia="ja-JP"/>
        </w:rPr>
        <w:t>-1</w:t>
      </w:r>
      <w:r w:rsidRPr="00107040">
        <w:rPr>
          <w:rFonts w:ascii="Times New Roman" w:eastAsia="MS Mincho" w:hAnsi="Times New Roman"/>
          <w:sz w:val="28"/>
          <w:szCs w:val="28"/>
          <w:lang w:val="ru-RU" w:eastAsia="ja-JP"/>
        </w:rPr>
        <w:t xml:space="preserve"> бычьего сывороточного альбумина (</w:t>
      </w:r>
      <w:r w:rsidR="005D68C6" w:rsidRPr="00107040">
        <w:rPr>
          <w:rFonts w:ascii="Times New Roman" w:eastAsia="MS Mincho" w:hAnsi="Times New Roman"/>
          <w:sz w:val="28"/>
          <w:szCs w:val="28"/>
          <w:lang w:val="en-US" w:eastAsia="ja-JP"/>
        </w:rPr>
        <w:t>BSA</w:t>
      </w:r>
      <w:r w:rsidRPr="00107040">
        <w:rPr>
          <w:rFonts w:ascii="Times New Roman" w:eastAsia="MS Mincho" w:hAnsi="Times New Roman"/>
          <w:sz w:val="28"/>
          <w:szCs w:val="28"/>
          <w:lang w:val="ru-RU" w:eastAsia="ja-JP"/>
        </w:rPr>
        <w:t>)) в течение 30 мин при 37</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если не указано иное. После реакции образцы инкубировали в присутствии 50 мкг•мл</w:t>
      </w:r>
      <w:r w:rsidRPr="00107040">
        <w:rPr>
          <w:rFonts w:ascii="Times New Roman" w:eastAsia="MS Mincho" w:hAnsi="Times New Roman"/>
          <w:sz w:val="28"/>
          <w:szCs w:val="28"/>
          <w:vertAlign w:val="superscript"/>
          <w:lang w:val="ru-RU" w:eastAsia="ja-JP"/>
        </w:rPr>
        <w:t>-1</w:t>
      </w:r>
      <w:r w:rsidRPr="00107040">
        <w:rPr>
          <w:rFonts w:ascii="Times New Roman" w:eastAsia="MS Mincho" w:hAnsi="Times New Roman"/>
          <w:sz w:val="28"/>
          <w:szCs w:val="28"/>
          <w:lang w:val="ru-RU" w:eastAsia="ja-JP"/>
        </w:rPr>
        <w:t xml:space="preserve"> протеиназы </w:t>
      </w:r>
      <w:r w:rsidRPr="00107040">
        <w:rPr>
          <w:rFonts w:ascii="Times New Roman" w:eastAsia="MS Mincho" w:hAnsi="Times New Roman"/>
          <w:sz w:val="28"/>
          <w:szCs w:val="28"/>
          <w:lang w:val="en-US" w:eastAsia="ja-JP"/>
        </w:rPr>
        <w:t>K</w:t>
      </w:r>
      <w:r w:rsidRPr="00107040">
        <w:rPr>
          <w:rFonts w:ascii="Times New Roman" w:eastAsia="MS Mincho" w:hAnsi="Times New Roman"/>
          <w:sz w:val="28"/>
          <w:szCs w:val="28"/>
          <w:lang w:val="ru-RU" w:eastAsia="ja-JP"/>
        </w:rPr>
        <w:t xml:space="preserve"> и 0,15</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SDS</w:t>
      </w:r>
      <w:r w:rsidRPr="00107040">
        <w:rPr>
          <w:rFonts w:ascii="Times New Roman" w:eastAsia="MS Mincho" w:hAnsi="Times New Roman"/>
          <w:sz w:val="28"/>
          <w:szCs w:val="28"/>
          <w:lang w:val="ru-RU" w:eastAsia="ja-JP"/>
        </w:rPr>
        <w:t xml:space="preserve"> в течение 30 минут при 50</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 с последующей инкубацией в течение 3 минут при 95</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 Образцы обессоливали на колонке </w:t>
      </w:r>
      <w:r w:rsidRPr="00107040">
        <w:rPr>
          <w:rFonts w:ascii="Times New Roman" w:eastAsia="MS Mincho" w:hAnsi="Times New Roman"/>
          <w:sz w:val="28"/>
          <w:szCs w:val="28"/>
          <w:lang w:val="en-US" w:eastAsia="ja-JP"/>
        </w:rPr>
        <w:t>Sephadex</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G</w:t>
      </w:r>
      <w:r w:rsidRPr="00107040">
        <w:rPr>
          <w:rFonts w:ascii="Times New Roman" w:eastAsia="MS Mincho" w:hAnsi="Times New Roman"/>
          <w:sz w:val="28"/>
          <w:szCs w:val="28"/>
          <w:lang w:val="ru-RU" w:eastAsia="ja-JP"/>
        </w:rPr>
        <w:t>-25 (</w:t>
      </w:r>
      <w:r w:rsidRPr="00107040">
        <w:rPr>
          <w:rFonts w:ascii="Times New Roman" w:eastAsia="MS Mincho" w:hAnsi="Times New Roman"/>
          <w:sz w:val="28"/>
          <w:szCs w:val="28"/>
          <w:lang w:val="en-US" w:eastAsia="ja-JP"/>
        </w:rPr>
        <w:t>Amersham</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Biosciences</w:t>
      </w:r>
      <w:r w:rsidRPr="00107040">
        <w:rPr>
          <w:rFonts w:ascii="Times New Roman" w:eastAsia="MS Mincho" w:hAnsi="Times New Roman"/>
          <w:sz w:val="28"/>
          <w:szCs w:val="28"/>
          <w:lang w:val="ru-RU" w:eastAsia="ja-JP"/>
        </w:rPr>
        <w:t>), уравновешенной 7,5</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М мочевиной, а затем продукты анализировали электрофорезом в денатурирующем 20</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(мас./об.) полиакриламидном геле (</w:t>
      </w:r>
      <w:r w:rsidRPr="00107040">
        <w:rPr>
          <w:rFonts w:ascii="Times New Roman" w:eastAsia="MS Mincho" w:hAnsi="Times New Roman"/>
          <w:sz w:val="28"/>
          <w:szCs w:val="28"/>
          <w:lang w:val="en-US" w:eastAsia="ja-JP"/>
        </w:rPr>
        <w:t>PAGE</w:t>
      </w:r>
      <w:r w:rsidRPr="00107040">
        <w:rPr>
          <w:rFonts w:ascii="Times New Roman" w:eastAsia="MS Mincho" w:hAnsi="Times New Roman"/>
          <w:sz w:val="28"/>
          <w:szCs w:val="28"/>
          <w:lang w:val="ru-RU" w:eastAsia="ja-JP"/>
        </w:rPr>
        <w:t xml:space="preserve">, 7 </w:t>
      </w:r>
      <w:r w:rsidRPr="00107040">
        <w:rPr>
          <w:rFonts w:ascii="Times New Roman" w:eastAsia="MS Mincho" w:hAnsi="Times New Roman"/>
          <w:sz w:val="28"/>
          <w:szCs w:val="28"/>
          <w:lang w:val="en-US" w:eastAsia="ja-JP"/>
        </w:rPr>
        <w:t>M</w:t>
      </w:r>
      <w:r w:rsidRPr="00107040">
        <w:rPr>
          <w:rFonts w:ascii="Times New Roman" w:eastAsia="MS Mincho" w:hAnsi="Times New Roman"/>
          <w:sz w:val="28"/>
          <w:szCs w:val="28"/>
          <w:lang w:val="ru-RU" w:eastAsia="ja-JP"/>
        </w:rPr>
        <w:t xml:space="preserve"> мочевина, 0,5×</w:t>
      </w:r>
      <w:r w:rsidRPr="00107040">
        <w:rPr>
          <w:rFonts w:ascii="Times New Roman" w:eastAsia="MS Mincho" w:hAnsi="Times New Roman"/>
          <w:sz w:val="28"/>
          <w:szCs w:val="28"/>
          <w:lang w:val="en-US" w:eastAsia="ja-JP"/>
        </w:rPr>
        <w:t>TBE</w:t>
      </w:r>
      <w:r w:rsidRPr="00107040">
        <w:rPr>
          <w:rFonts w:ascii="Times New Roman" w:eastAsia="MS Mincho" w:hAnsi="Times New Roman"/>
          <w:sz w:val="28"/>
          <w:szCs w:val="28"/>
          <w:lang w:val="ru-RU" w:eastAsia="ja-JP"/>
        </w:rPr>
        <w:t>, 42</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 Влажный гель завернули в пластиковую пленку, затем подвергли воздействию Storage Fuji FLA-3000 Phosphor Screen, который затем сканировали с использованием </w:t>
      </w:r>
      <w:r w:rsidRPr="00107040">
        <w:rPr>
          <w:rFonts w:ascii="Times New Roman" w:eastAsia="MS Mincho" w:hAnsi="Times New Roman"/>
          <w:sz w:val="28"/>
          <w:szCs w:val="28"/>
          <w:lang w:val="en-US" w:eastAsia="ja-JP"/>
        </w:rPr>
        <w:t>Typhoon</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FLA</w:t>
      </w:r>
      <w:r w:rsidRPr="00107040">
        <w:rPr>
          <w:rFonts w:ascii="Times New Roman" w:eastAsia="MS Mincho" w:hAnsi="Times New Roman"/>
          <w:sz w:val="28"/>
          <w:szCs w:val="28"/>
          <w:lang w:val="ru-RU" w:eastAsia="ja-JP"/>
        </w:rPr>
        <w:t xml:space="preserve"> 9500, и цифровые изображения получали и количественно оценивали с использованием программного обеспечения </w:t>
      </w:r>
      <w:r w:rsidRPr="00107040">
        <w:rPr>
          <w:rFonts w:ascii="Times New Roman" w:eastAsia="MS Mincho" w:hAnsi="Times New Roman"/>
          <w:sz w:val="28"/>
          <w:szCs w:val="28"/>
          <w:lang w:val="en-US" w:eastAsia="ja-JP"/>
        </w:rPr>
        <w:t>FUJI</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Image</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Gauge</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V</w:t>
      </w:r>
      <w:r w:rsidRPr="00107040">
        <w:rPr>
          <w:rFonts w:ascii="Times New Roman" w:eastAsia="MS Mincho" w:hAnsi="Times New Roman"/>
          <w:sz w:val="28"/>
          <w:szCs w:val="28"/>
          <w:lang w:val="ru-RU" w:eastAsia="ja-JP"/>
        </w:rPr>
        <w:t>3.12</w:t>
      </w:r>
      <w:r w:rsidR="00BB5A29" w:rsidRPr="00107040">
        <w:rPr>
          <w:rFonts w:ascii="Times New Roman" w:eastAsia="MS Mincho" w:hAnsi="Times New Roman"/>
          <w:sz w:val="28"/>
          <w:szCs w:val="28"/>
          <w:lang w:val="ru-RU" w:eastAsia="ja-JP"/>
        </w:rPr>
        <w:t xml:space="preserve"> </w:t>
      </w:r>
      <w:r w:rsidR="00BB5A29" w:rsidRPr="00107040">
        <w:rPr>
          <w:rFonts w:ascii="Times New Roman" w:eastAsia="MS Mincho" w:hAnsi="Times New Roman"/>
          <w:sz w:val="28"/>
          <w:szCs w:val="28"/>
          <w:lang w:val="ru-RU" w:eastAsia="ja-JP"/>
        </w:rPr>
        <w:fldChar w:fldCharType="begin"/>
      </w:r>
      <w:r w:rsidR="00107040">
        <w:rPr>
          <w:rFonts w:ascii="Times New Roman" w:eastAsia="MS Mincho" w:hAnsi="Times New Roman"/>
          <w:sz w:val="28"/>
          <w:szCs w:val="28"/>
          <w:lang w:val="ru-RU" w:eastAsia="ja-JP"/>
        </w:rPr>
        <w:instrText xml:space="preserve"> ADDIN ZOTERO_ITEM CSL_CITATION {"citationID":"dsnr9uw2","properties":{"formattedCitation":"[31,393,394]","plainCitation":"[31,393,394]","dontUpdate":true,"noteIndex":0},"citationItems":[{"id":1295,"uris":["http://zotero.org/users/9078202/items/V43W7KVW"],"itemData":{"id":1295,"type":"article-journal","abstract":"Poly(ADP-ribose) polymerases (PARPs/ARTDs) use nicotinamide adenine dinucleotide (NAD+) to catalyse the synthesis of a long branched poly(ADP-ribose) polymer (PAR) attached to the acceptor amino acid residues of nuclear proteins. PARPs act on single- and double-stranded DNA breaks by recruiting DNA repair factors. Here, in in vitro biochemical experiments, we found that the mammalian PARP1 and PARP2 proteins can directly ADP-ribosylate the termini of DNA oligonucleotides. PARP1 preferentially catalysed covalent attachment of ADP-ribose units to the ends of recessed DNA duplexes containing 3'-cordycepin, 5'- and 3'-phosphate and also to 5'-phosphate of a single-stranded oligonucleotide. PARP2 preferentially ADP-ribosylated the nicked/gapped DNA duplexes containing 5'-phosphate at the double-stranded termini. PAR glycohydrolase (PARG) restored native DNA structure by hydrolysing PAR-DNA adducts generated by PARP1 and PARP2. Biochemical and mass spe</w:instrText>
      </w:r>
      <w:r w:rsidR="00107040">
        <w:rPr>
          <w:rFonts w:ascii="Times New Roman" w:eastAsia="MS Mincho" w:hAnsi="Times New Roman" w:hint="eastAsia"/>
          <w:sz w:val="28"/>
          <w:szCs w:val="28"/>
          <w:lang w:val="ru-RU" w:eastAsia="ja-JP"/>
        </w:rPr>
        <w:instrText>ctrometry analyses of the adducts suggested that PARPs utilise DNA termini as an alternative to 2'-hydroxyl of ADP-ribose and protein acceptor residues to catalyse PAR chain initiation either via the 2',1</w:instrText>
      </w:r>
      <w:r w:rsidR="00107040">
        <w:rPr>
          <w:rFonts w:ascii="Times New Roman" w:eastAsia="MS Mincho" w:hAnsi="Times New Roman" w:hint="eastAsia"/>
          <w:sz w:val="28"/>
          <w:szCs w:val="28"/>
          <w:lang w:val="ru-RU" w:eastAsia="ja-JP"/>
        </w:rPr>
        <w:instrText>″</w:instrText>
      </w:r>
      <w:r w:rsidR="00107040">
        <w:rPr>
          <w:rFonts w:ascii="Times New Roman" w:eastAsia="MS Mincho" w:hAnsi="Times New Roman" w:hint="eastAsia"/>
          <w:sz w:val="28"/>
          <w:szCs w:val="28"/>
          <w:lang w:val="ru-RU" w:eastAsia="ja-JP"/>
        </w:rPr>
        <w:instrText>-O-glycosidic ribose-ribose bond or via phosphodie</w:instrText>
      </w:r>
      <w:r w:rsidR="00107040">
        <w:rPr>
          <w:rFonts w:ascii="Times New Roman" w:eastAsia="MS Mincho" w:hAnsi="Times New Roman"/>
          <w:sz w:val="28"/>
          <w:szCs w:val="28"/>
          <w:lang w:val="ru-RU" w:eastAsia="ja-JP"/>
        </w:rPr>
        <w:instrText>ster bond formation between C1' of ADP-ribose and the phosphate of a terminal deoxyribonucleotide. This new type of post-replicative modification of DNA provides novel insights into the molecular mechanisms underlying biological phenomena of ADP-ribosylation mediated by PARPs.","container-title":"Nucleic Acids Research","DOI":"10.1093/nar/gkw675","ISSN":"1362-4962","issue":"19","journalAbbreviation":"Nucleic Acids Res","language":"eng","note":"PMID: 27471034\nPMCID: PMC5100588","page":"9279-9295","source":"PubMed","title":"Poly(ADP-ribose) polymerases covalently modify strand break termini in DNA fragments in vitro","volume":"44","author":[{"family":"Talhaoui","given":"Ibtissam"},{"family":"Lebedeva","given":"Natalia A."},{"family":"Zarkovic","given":"Gabriella"},{"family":"Saint-Pierre","given":"Christine"},{"family":"Kutuzov","given":"Mikhail M."},{"family":"Sukhanova","given":"Maria V."},{"family":"Matkarimov","given":"Bakhyt T."},{"family":"Gasparutto","given":"Didier"},{"family":"Saparbaev","given":"Murat K."},{"family":"Lavrik","given":"Olga I."},{"family":"Ishchenko","given":"Alexander A."}],"issued":{"date-parts":[["2016",11,2]]}}},{"id":1322,"uris":["http://zotero.org/users/9078202/items/IRJADZKH"],"itemData":{"id":1322,"type":"article-journal","abstract":"Poly(ADP-ribose) polymerases (PARPs) act as DNA break sensors and catalyze the synthesis of polymers of ADP-ribose (PAR) covalently attached to acceptor proteins at DNA damage sites. It has been demonstrated that both mammalian PARP1 and PARP2 PARylate double-strand break termini in DNA oligonucleotide duplexes in vitro. Here, we show that mammalian PARP2 and PARP3 can PARylate and mono(ADP-ribosyl)ate (MARylate), respectively, 5'- and 3'-terminal phosphate residues at double- and single-strand break termini of a DNA molecule containing multiple strand breaks. PARP3-catalyzed DNA MARylation can be considered a new type of reversible post-replicative DNA modification. According to DNA substrate specificity of PARP3 and PARP2, we propose a putative mechanistic model of PARP-catalyzed strand break-oriented ADP-ribosylation of DNA termini. Notably, PARP-mediated DNA ADP-ribosylation can be more effective than PARPs' auto-ADP-ribosylation depending on the DNA substrates and reaction conditions used. Finally, we show an effective PARP3- or PARP2-catalyzed ADP-ribosylation of high-molecular-weight (</w:instrText>
      </w:r>
      <w:r w:rsidR="00107040">
        <w:rPr>
          <w:rFonts w:ascii="Cambria Math" w:eastAsia="MS Mincho" w:hAnsi="Cambria Math" w:cs="Cambria Math"/>
          <w:sz w:val="28"/>
          <w:szCs w:val="28"/>
          <w:lang w:val="ru-RU" w:eastAsia="ja-JP"/>
        </w:rPr>
        <w:instrText>∼</w:instrText>
      </w:r>
      <w:r w:rsidR="00107040">
        <w:rPr>
          <w:rFonts w:ascii="Times New Roman" w:eastAsia="MS Mincho" w:hAnsi="Times New Roman"/>
          <w:sz w:val="28"/>
          <w:szCs w:val="28"/>
          <w:lang w:val="ru-RU" w:eastAsia="ja-JP"/>
        </w:rPr>
        <w:instrText>3-kb) DNA molecules, PARP-mediated DNA PARylation in cell-free extracts and a persisting signal of anti-PAR antibodies in a serially purified genomic DNA from bleomycin-treated poly(ADP-ribose) glycohydrolase-depleted HeLa cells. These results suggest that certain types of complex DNA breaks can be effectively ADP-ribosylated by PARPs in cellular response to DNA damage.","container-title":"Nucleic Acids Research","DOI":"10.1093/nar/gkx1318","ISSN":"1362-4962","issue":"5","journalAbbreviation":"Nucleic Acids Res","language":"eng","note":"PMID: 29361132\nPMCID: PMC5861426","page":"2417-2431","source":"PubMed","title":"Characterization of DNA ADP-ribosyltransferase activities of PARP2 and PARP3: new insights into DNA ADP-ribosylation","title-short":"Characterization of DNA ADP-ribosyltransferase activities of PARP2 and PARP3","volume":"46","author":[{"family":"Zarkovic","given":"Gabriella"},{"family":"Belousova","given":"Ekaterina A."},{"family":"Talhaoui","given":"Ibtissam"},{"family":"Saint-Pierre","given":"Christine"},{"family":"Kutuzov","given":"Mikhail M."},{"family":"Matkarimov","given":"Bakhyt T."},{"family":"Biard","given":"Denis"},{"family":"Gasparutto","given":"Didier"},{"family":"Lavrik","given":"Olga I."},{"family":"Ishchenko","given":"Alexander A."}],"issued":{"date-parts":[["2018",3,16]]}}},{"id":1382,"uris":["http://zotero.org/users/9078202/items/E7RSE3VU"],"itemData":{"id":1382,"type":"article-journal","abstract":"Proteins from the poly(ADP-ribose) polymerase (PARP) family, such as PARP1 and PARP2, use NAD+ as a substrate to catalyze the synthesis of polymeric chains consisting of ADP-ribose units covalently attached to an acceptor molecule. PARP1 and PARP2 are viewed as DNA damage sensors that, upon binding to strand breaks, poly(ADP-ribosyl)ate themselves and nuclear acceptor proteins. The flowering plant Arabidopsis thaliana contains three genes encoding homologs of mammalian PARPs: atPARP1, atPARP2, and atPARP3. Both atPARP1 and atPARP2 contain poly(ADP-ribosyl)ating activity; however, it is unknown whether they could covalently modify DNA by ADP-ribosylating the strand break termini. Here, we report that similar to their mammalian counter</w:instrText>
      </w:r>
      <w:r w:rsidR="00107040">
        <w:rPr>
          <w:rFonts w:ascii="Times New Roman" w:eastAsia="MS Mincho" w:hAnsi="Times New Roman" w:hint="eastAsia"/>
          <w:sz w:val="28"/>
          <w:szCs w:val="28"/>
          <w:lang w:val="ru-RU" w:eastAsia="ja-JP"/>
        </w:rPr>
        <w:instrText>parts, the plant atPARP1 and atPARP2 proteins ADP-ribosylate 5</w:instrText>
      </w:r>
      <w:r w:rsidR="00107040">
        <w:rPr>
          <w:rFonts w:ascii="Times New Roman" w:eastAsia="MS Mincho" w:hAnsi="Times New Roman" w:hint="eastAsia"/>
          <w:sz w:val="28"/>
          <w:szCs w:val="28"/>
          <w:lang w:val="ru-RU" w:eastAsia="ja-JP"/>
        </w:rPr>
        <w:instrText>′</w:instrText>
      </w:r>
      <w:r w:rsidR="00107040">
        <w:rPr>
          <w:rFonts w:ascii="Times New Roman" w:eastAsia="MS Mincho" w:hAnsi="Times New Roman" w:hint="eastAsia"/>
          <w:sz w:val="28"/>
          <w:szCs w:val="28"/>
          <w:lang w:val="ru-RU" w:eastAsia="ja-JP"/>
        </w:rPr>
        <w:instrText>-terminal phosphate residues in duplex DNA oligonucleotides and plasmid containing at least two closely spaced DNA strand breaks. AtPARP1 preferentially catalyzes covalent attachment of ADP-ribose units to the ends of recessed DNA duplexes containing 5</w:instrText>
      </w:r>
      <w:r w:rsidR="00107040">
        <w:rPr>
          <w:rFonts w:ascii="Times New Roman" w:eastAsia="MS Mincho" w:hAnsi="Times New Roman" w:hint="eastAsia"/>
          <w:sz w:val="28"/>
          <w:szCs w:val="28"/>
          <w:lang w:val="ru-RU" w:eastAsia="ja-JP"/>
        </w:rPr>
        <w:instrText>′</w:instrText>
      </w:r>
      <w:r w:rsidR="00107040">
        <w:rPr>
          <w:rFonts w:ascii="Times New Roman" w:eastAsia="MS Mincho" w:hAnsi="Times New Roman" w:hint="eastAsia"/>
          <w:sz w:val="28"/>
          <w:szCs w:val="28"/>
          <w:lang w:val="ru-RU" w:eastAsia="ja-JP"/>
        </w:rPr>
        <w:instrText>-phosphate, whereas atPARP2 preferentially ADP-ribosylates the nicked and gapped DNA duplexes containing the terminal 5</w:instrText>
      </w:r>
      <w:r w:rsidR="00107040">
        <w:rPr>
          <w:rFonts w:ascii="Times New Roman" w:eastAsia="MS Mincho" w:hAnsi="Times New Roman" w:hint="eastAsia"/>
          <w:sz w:val="28"/>
          <w:szCs w:val="28"/>
          <w:lang w:val="ru-RU" w:eastAsia="ja-JP"/>
        </w:rPr>
        <w:instrText>′</w:instrText>
      </w:r>
      <w:r w:rsidR="00107040">
        <w:rPr>
          <w:rFonts w:ascii="Times New Roman" w:eastAsia="MS Mincho" w:hAnsi="Times New Roman" w:hint="eastAsia"/>
          <w:sz w:val="28"/>
          <w:szCs w:val="28"/>
          <w:lang w:val="ru-RU" w:eastAsia="ja-JP"/>
        </w:rPr>
        <w:instrText>-phosphate. Similar to their mammalian counterparts, the plant PARP-cataly</w:instrText>
      </w:r>
      <w:r w:rsidR="00107040">
        <w:rPr>
          <w:rFonts w:ascii="Times New Roman" w:eastAsia="MS Mincho" w:hAnsi="Times New Roman"/>
          <w:sz w:val="28"/>
          <w:szCs w:val="28"/>
          <w:lang w:val="ru-RU" w:eastAsia="ja-JP"/>
        </w:rPr>
        <w:instrText>zed DNA ADP-ribosylation is particularly sensitive to the distance that separates two strand breaks in the same DNA molecule, 1.5 and 1 or 2 turns of helix for atPARP1 and atPARP2, respectively. PAR glycohydrolase (PARG) restored native DNA structure by hydrolyzing the PAR–DNA adducts generated by atPARPs. Biochemical and mass spectrometry analyses of the PAR–DNA adducts showed that atPARPs utilize phosphorylated DNA termini as an alternative to protein acceptor residues to catalyze PAR chain synthesis vi</w:instrText>
      </w:r>
      <w:r w:rsidR="00107040">
        <w:rPr>
          <w:rFonts w:ascii="Times New Roman" w:eastAsia="MS Mincho" w:hAnsi="Times New Roman" w:hint="eastAsia"/>
          <w:sz w:val="28"/>
          <w:szCs w:val="28"/>
          <w:lang w:val="ru-RU" w:eastAsia="ja-JP"/>
        </w:rPr>
        <w:instrText>a phosphodiester bond formation between C1</w:instrText>
      </w:r>
      <w:r w:rsidR="00107040">
        <w:rPr>
          <w:rFonts w:ascii="Times New Roman" w:eastAsia="MS Mincho" w:hAnsi="Times New Roman" w:hint="eastAsia"/>
          <w:sz w:val="28"/>
          <w:szCs w:val="28"/>
          <w:lang w:val="ru-RU" w:eastAsia="ja-JP"/>
        </w:rPr>
        <w:instrText>′</w:instrText>
      </w:r>
      <w:r w:rsidR="00107040">
        <w:rPr>
          <w:rFonts w:ascii="Times New Roman" w:eastAsia="MS Mincho" w:hAnsi="Times New Roman" w:hint="eastAsia"/>
          <w:sz w:val="28"/>
          <w:szCs w:val="28"/>
          <w:lang w:val="ru-RU" w:eastAsia="ja-JP"/>
        </w:rPr>
        <w:instrText xml:space="preserve"> of ADP-ribose and a phosphate residue of the terminal nucleotide in DNA fragment. Taken together, these data establish the presence of a new type of DNA-modifying activity in Arabidopsis PARPs, suggesting a poss</w:instrText>
      </w:r>
      <w:r w:rsidR="00107040">
        <w:rPr>
          <w:rFonts w:ascii="Times New Roman" w:eastAsia="MS Mincho" w:hAnsi="Times New Roman"/>
          <w:sz w:val="28"/>
          <w:szCs w:val="28"/>
          <w:lang w:val="ru-RU" w:eastAsia="ja-JP"/>
        </w:rPr>
        <w:instrText xml:space="preserve">ible role of DNA ADP-ribosylation in DNA damage signaling and repair of terrestrial plants.","container-title":"Frontiers in Cell and Developmental Biology","ISSN":"2296-634X","source":"Frontiers","title":"The Arabidopsis thaliana Poly(ADP-Ribose) Polymerases 1 and 2 Modify DNA by ADP-Ribosylating Terminal Phosphate Residues","URL":"https://www.frontiersin.org/article/10.3389/fcell.2020.606596","volume":"8","author":[{"family":"Taipakova","given":"Sabira"},{"family":"Kuanbay","given":"Aigerim"},{"family":"Saint-Pierre","given":"Christine"},{"family":"Gasparutto","given":"Didier"},{"family":"Baiken","given":"Yeldar"},{"family":"Groisman","given":"Regina"},{"family":"Ishchenko","given":"Alexander A."},{"family":"Saparbaev","given":"Murat"},{"family":"Bissenbaev","given":"Amangeldy K."}],"accessed":{"date-parts":[["2022",5,23]]},"issued":{"date-parts":[["2020"]]}}}],"schema":"https://github.com/citation-style-language/schema/raw/master/csl-citation.json"} </w:instrText>
      </w:r>
      <w:r w:rsidR="00BB5A29" w:rsidRPr="00107040">
        <w:rPr>
          <w:rFonts w:ascii="Times New Roman" w:eastAsia="MS Mincho" w:hAnsi="Times New Roman"/>
          <w:sz w:val="28"/>
          <w:szCs w:val="28"/>
          <w:lang w:val="ru-RU" w:eastAsia="ja-JP"/>
        </w:rPr>
        <w:fldChar w:fldCharType="separate"/>
      </w:r>
      <w:r w:rsidR="00BB5A29" w:rsidRPr="00107040">
        <w:rPr>
          <w:rFonts w:ascii="Times New Roman" w:hAnsi="Times New Roman"/>
          <w:sz w:val="28"/>
          <w:szCs w:val="28"/>
        </w:rPr>
        <w:t>[31</w:t>
      </w:r>
      <w:r w:rsidR="00D12B49" w:rsidRPr="00107040">
        <w:rPr>
          <w:rFonts w:ascii="Times New Roman" w:hAnsi="Times New Roman"/>
          <w:sz w:val="28"/>
          <w:szCs w:val="28"/>
          <w:lang w:val="ru-RU"/>
        </w:rPr>
        <w:t xml:space="preserve">; </w:t>
      </w:r>
      <w:r w:rsidR="00BB5A29" w:rsidRPr="00107040">
        <w:rPr>
          <w:rFonts w:ascii="Times New Roman" w:hAnsi="Times New Roman"/>
          <w:sz w:val="28"/>
          <w:szCs w:val="28"/>
        </w:rPr>
        <w:t>393</w:t>
      </w:r>
      <w:r w:rsidR="00D12B49" w:rsidRPr="00107040">
        <w:rPr>
          <w:rFonts w:ascii="Times New Roman" w:hAnsi="Times New Roman"/>
          <w:sz w:val="28"/>
          <w:szCs w:val="28"/>
          <w:lang w:val="ru-RU"/>
        </w:rPr>
        <w:t xml:space="preserve">; </w:t>
      </w:r>
      <w:r w:rsidR="00BB5A29" w:rsidRPr="00107040">
        <w:rPr>
          <w:rFonts w:ascii="Times New Roman" w:hAnsi="Times New Roman"/>
          <w:sz w:val="28"/>
          <w:szCs w:val="28"/>
        </w:rPr>
        <w:t>394]</w:t>
      </w:r>
      <w:r w:rsidR="00BB5A29"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w:t>
      </w:r>
    </w:p>
    <w:p w14:paraId="7E3E9357" w14:textId="77777777" w:rsidR="00992872" w:rsidRPr="00107040" w:rsidRDefault="00992872" w:rsidP="000C16BB">
      <w:pPr>
        <w:spacing w:after="0" w:line="240" w:lineRule="auto"/>
        <w:jc w:val="both"/>
        <w:rPr>
          <w:rFonts w:ascii="Times New Roman" w:eastAsia="MS Mincho" w:hAnsi="Times New Roman"/>
          <w:sz w:val="28"/>
          <w:szCs w:val="28"/>
          <w:lang w:val="ru-RU" w:eastAsia="ja-JP"/>
        </w:rPr>
      </w:pPr>
    </w:p>
    <w:p w14:paraId="41A7735B" w14:textId="77777777" w:rsidR="00992872" w:rsidRPr="00107040" w:rsidRDefault="00992872" w:rsidP="000C16BB">
      <w:pPr>
        <w:spacing w:after="0" w:line="240" w:lineRule="auto"/>
        <w:ind w:firstLine="567"/>
        <w:jc w:val="both"/>
        <w:rPr>
          <w:rFonts w:ascii="Times New Roman" w:eastAsia="MS Mincho" w:hAnsi="Times New Roman"/>
          <w:b/>
          <w:iCs/>
          <w:sz w:val="28"/>
          <w:szCs w:val="28"/>
          <w:lang w:val="ru-RU" w:eastAsia="ja-JP"/>
        </w:rPr>
      </w:pPr>
      <w:r w:rsidRPr="00107040">
        <w:rPr>
          <w:rFonts w:ascii="Times New Roman" w:eastAsia="MS Mincho" w:hAnsi="Times New Roman"/>
          <w:b/>
          <w:bCs/>
          <w:iCs/>
          <w:sz w:val="28"/>
          <w:szCs w:val="28"/>
          <w:lang w:val="ru-RU" w:eastAsia="ja-JP"/>
        </w:rPr>
        <w:t xml:space="preserve">2.20 Гидролиз аддуктов </w:t>
      </w:r>
      <w:r w:rsidRPr="00107040">
        <w:rPr>
          <w:rFonts w:ascii="Times New Roman" w:eastAsia="MS Mincho" w:hAnsi="Times New Roman"/>
          <w:b/>
          <w:bCs/>
          <w:iCs/>
          <w:sz w:val="28"/>
          <w:szCs w:val="28"/>
          <w:lang w:val="en-US" w:eastAsia="ja-JP"/>
        </w:rPr>
        <w:t>A</w:t>
      </w:r>
      <w:r w:rsidRPr="00107040">
        <w:rPr>
          <w:rFonts w:ascii="Times New Roman" w:eastAsia="MS Mincho" w:hAnsi="Times New Roman"/>
          <w:b/>
          <w:bCs/>
          <w:iCs/>
          <w:sz w:val="28"/>
          <w:szCs w:val="28"/>
          <w:lang w:val="ru-RU" w:eastAsia="ja-JP"/>
        </w:rPr>
        <w:t>ДФ-рибозилированной ДНК</w:t>
      </w:r>
    </w:p>
    <w:p w14:paraId="5001428C" w14:textId="3A4131E5"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Гидролиз аддуктов </w:t>
      </w:r>
      <w:r w:rsidR="005D68C6" w:rsidRPr="00107040">
        <w:rPr>
          <w:rFonts w:ascii="Times New Roman" w:eastAsia="MS Mincho" w:hAnsi="Times New Roman"/>
          <w:sz w:val="28"/>
          <w:szCs w:val="28"/>
          <w:lang w:val="ru-RU" w:eastAsia="ja-JP"/>
        </w:rPr>
        <w:t>ПАР</w:t>
      </w:r>
      <w:r w:rsidRPr="00107040">
        <w:rPr>
          <w:rFonts w:ascii="Times New Roman" w:eastAsia="MS Mincho" w:hAnsi="Times New Roman"/>
          <w:sz w:val="28"/>
          <w:szCs w:val="28"/>
          <w:lang w:val="ru-RU" w:eastAsia="ja-JP"/>
        </w:rPr>
        <w:t>-ДНК и МА</w:t>
      </w:r>
      <w:r w:rsidR="005D68C6" w:rsidRPr="00107040">
        <w:rPr>
          <w:rFonts w:ascii="Times New Roman" w:eastAsia="MS Mincho" w:hAnsi="Times New Roman"/>
          <w:sz w:val="28"/>
          <w:szCs w:val="28"/>
          <w:lang w:val="ru-RU" w:eastAsia="ja-JP"/>
        </w:rPr>
        <w:t>Р</w:t>
      </w:r>
      <w:r w:rsidRPr="00107040">
        <w:rPr>
          <w:rFonts w:ascii="Times New Roman" w:eastAsia="MS Mincho" w:hAnsi="Times New Roman"/>
          <w:sz w:val="28"/>
          <w:szCs w:val="28"/>
          <w:lang w:val="ru-RU" w:eastAsia="ja-JP"/>
        </w:rPr>
        <w:t xml:space="preserve">-ДНК с помощью </w:t>
      </w:r>
      <w:r w:rsidRPr="00107040">
        <w:rPr>
          <w:rFonts w:ascii="Times New Roman" w:eastAsia="MS Mincho" w:hAnsi="Times New Roman"/>
          <w:sz w:val="28"/>
          <w:szCs w:val="28"/>
          <w:lang w:val="en-US" w:eastAsia="ja-JP"/>
        </w:rPr>
        <w:t>PARG</w:t>
      </w:r>
      <w:r w:rsidRPr="00107040">
        <w:rPr>
          <w:rFonts w:ascii="Times New Roman" w:eastAsia="MS Mincho" w:hAnsi="Times New Roman"/>
          <w:sz w:val="28"/>
          <w:szCs w:val="28"/>
          <w:lang w:val="ru-RU" w:eastAsia="ja-JP"/>
        </w:rPr>
        <w:t xml:space="preserve"> проводили после денатурации белков </w:t>
      </w:r>
      <w:r w:rsidR="005D68C6"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 путем нагревания образца в течение 20 мин при 80</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затем к реакционным смесям добавляли 50 пг•мкл</w:t>
      </w:r>
      <w:r w:rsidRPr="00107040">
        <w:rPr>
          <w:rFonts w:ascii="Times New Roman" w:eastAsia="MS Mincho" w:hAnsi="Times New Roman"/>
          <w:sz w:val="28"/>
          <w:szCs w:val="28"/>
          <w:vertAlign w:val="superscript"/>
          <w:lang w:val="ru-RU" w:eastAsia="ja-JP"/>
        </w:rPr>
        <w:t>-1</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PARG</w:t>
      </w:r>
      <w:r w:rsidRPr="00107040">
        <w:rPr>
          <w:rFonts w:ascii="Times New Roman" w:eastAsia="MS Mincho" w:hAnsi="Times New Roman"/>
          <w:sz w:val="28"/>
          <w:szCs w:val="28"/>
          <w:lang w:val="ru-RU" w:eastAsia="ja-JP"/>
        </w:rPr>
        <w:t xml:space="preserve"> и образцы инкубировали в течение 30 мин при 37</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Анализ дефосфорилирования с CIP проводили с использованием 10 ед. фермента в буфере CIP (New England Biolabs) в течение 1 часа при 37</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°C. Гидролиз полимеров </w:t>
      </w:r>
      <w:r w:rsidR="005D68C6" w:rsidRPr="00107040">
        <w:rPr>
          <w:rFonts w:ascii="Times New Roman" w:eastAsia="MS Mincho" w:hAnsi="Times New Roman"/>
          <w:sz w:val="28"/>
          <w:szCs w:val="28"/>
          <w:lang w:val="ru-RU" w:eastAsia="ja-JP"/>
        </w:rPr>
        <w:t>ПАР</w:t>
      </w:r>
      <w:r w:rsidRPr="00107040">
        <w:rPr>
          <w:rFonts w:ascii="Times New Roman" w:eastAsia="MS Mincho" w:hAnsi="Times New Roman"/>
          <w:sz w:val="28"/>
          <w:szCs w:val="28"/>
          <w:lang w:val="ru-RU" w:eastAsia="ja-JP"/>
        </w:rPr>
        <w:t xml:space="preserve">-ДНК с помощью SVPDE1 проводили в два этапа: сначала инкубировали 20 нМ ДНК-субстрата с 250 нМ </w:t>
      </w:r>
      <w:r w:rsidR="005D68C6" w:rsidRPr="00107040">
        <w:rPr>
          <w:rFonts w:ascii="Times New Roman" w:eastAsia="MS Mincho" w:hAnsi="Times New Roman"/>
          <w:sz w:val="28"/>
          <w:szCs w:val="28"/>
          <w:lang w:val="ru-RU" w:eastAsia="ja-JP"/>
        </w:rPr>
        <w:t>A</w:t>
      </w:r>
      <w:r w:rsidRPr="00107040">
        <w:rPr>
          <w:rFonts w:ascii="Times New Roman" w:eastAsia="MS Mincho" w:hAnsi="Times New Roman"/>
          <w:sz w:val="28"/>
          <w:szCs w:val="28"/>
          <w:lang w:val="ru-RU" w:eastAsia="ja-JP"/>
        </w:rPr>
        <w:t xml:space="preserve">tPARP2, 1 мМ </w:t>
      </w:r>
      <w:r w:rsidR="005D68C6" w:rsidRPr="00107040">
        <w:rPr>
          <w:rFonts w:ascii="Times New Roman" w:eastAsia="MS Mincho" w:hAnsi="Times New Roman"/>
          <w:sz w:val="28"/>
          <w:szCs w:val="28"/>
          <w:lang w:val="ru-RU"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в буфере PARP в течение 30 минут при 37</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°C, а затем проводили ступенчатую инкубацию со 100 мU SVPDE1 в реакционной смеси с добавлением 10 мМ MgCl</w:t>
      </w:r>
      <w:r w:rsidRPr="00107040">
        <w:rPr>
          <w:rFonts w:ascii="Times New Roman" w:eastAsia="MS Mincho" w:hAnsi="Times New Roman"/>
          <w:sz w:val="28"/>
          <w:szCs w:val="28"/>
          <w:vertAlign w:val="subscript"/>
          <w:lang w:val="ru-RU" w:eastAsia="ja-JP"/>
        </w:rPr>
        <w:t>2</w:t>
      </w:r>
      <w:r w:rsidRPr="00107040">
        <w:rPr>
          <w:rFonts w:ascii="Times New Roman" w:eastAsia="MS Mincho" w:hAnsi="Times New Roman"/>
          <w:sz w:val="28"/>
          <w:szCs w:val="28"/>
          <w:lang w:val="ru-RU" w:eastAsia="ja-JP"/>
        </w:rPr>
        <w:t xml:space="preserve"> и 75 мМ Tris-HCl pH 8,9 в течение 1 часа при 37</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°C. Кроме того, продукты реакции SVPDE1 обрабатывали 10 ед. CIP в буфере CIP в течение 40 мин при 37</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°C. Гидролиз полимера </w:t>
      </w:r>
      <w:r w:rsidR="005D68C6" w:rsidRPr="00107040">
        <w:rPr>
          <w:rFonts w:ascii="Times New Roman" w:eastAsia="MS Mincho" w:hAnsi="Times New Roman"/>
          <w:sz w:val="28"/>
          <w:szCs w:val="28"/>
          <w:lang w:val="ru-RU" w:eastAsia="ja-JP"/>
        </w:rPr>
        <w:t>ПАР</w:t>
      </w:r>
      <w:r w:rsidRPr="00107040">
        <w:rPr>
          <w:rFonts w:ascii="Times New Roman" w:eastAsia="MS Mincho" w:hAnsi="Times New Roman"/>
          <w:sz w:val="28"/>
          <w:szCs w:val="28"/>
          <w:lang w:val="ru-RU" w:eastAsia="ja-JP"/>
        </w:rPr>
        <w:t>-ДНК с помощью гидролазы NUDIX, выполня</w:t>
      </w:r>
      <w:r w:rsidRPr="00107040">
        <w:rPr>
          <w:rFonts w:ascii="Times New Roman" w:eastAsia="MS Mincho" w:hAnsi="Times New Roman"/>
          <w:sz w:val="28"/>
          <w:szCs w:val="28"/>
          <w:lang w:val="kk-KZ" w:eastAsia="ja-JP"/>
        </w:rPr>
        <w:t>ли</w:t>
      </w:r>
      <w:r w:rsidRPr="00107040">
        <w:rPr>
          <w:rFonts w:ascii="Times New Roman" w:eastAsia="MS Mincho" w:hAnsi="Times New Roman"/>
          <w:sz w:val="28"/>
          <w:szCs w:val="28"/>
          <w:lang w:val="ru-RU" w:eastAsia="ja-JP"/>
        </w:rPr>
        <w:t xml:space="preserve"> с использованием 2-20 мкМ NUDT16 в буфере для анализа </w:t>
      </w:r>
      <w:r w:rsidR="005D68C6" w:rsidRPr="00107040">
        <w:rPr>
          <w:rFonts w:ascii="Times New Roman" w:eastAsia="MS Mincho" w:hAnsi="Times New Roman"/>
          <w:sz w:val="28"/>
          <w:szCs w:val="28"/>
          <w:lang w:val="ru-RU" w:eastAsia="ja-JP"/>
        </w:rPr>
        <w:t>ПАР</w:t>
      </w:r>
      <w:r w:rsidRPr="00107040">
        <w:rPr>
          <w:rFonts w:ascii="Times New Roman" w:eastAsia="MS Mincho" w:hAnsi="Times New Roman"/>
          <w:sz w:val="28"/>
          <w:szCs w:val="28"/>
          <w:lang w:val="ru-RU" w:eastAsia="ja-JP"/>
        </w:rPr>
        <w:t>илирования ДНК с добавлением 10 мМ MgCl</w:t>
      </w:r>
      <w:r w:rsidRPr="00107040">
        <w:rPr>
          <w:rFonts w:ascii="Times New Roman" w:eastAsia="MS Mincho" w:hAnsi="Times New Roman"/>
          <w:sz w:val="28"/>
          <w:szCs w:val="28"/>
          <w:vertAlign w:val="subscript"/>
          <w:lang w:val="ru-RU" w:eastAsia="ja-JP"/>
        </w:rPr>
        <w:t>2</w:t>
      </w:r>
      <w:r w:rsidRPr="00107040">
        <w:rPr>
          <w:rFonts w:ascii="Times New Roman" w:eastAsia="MS Mincho" w:hAnsi="Times New Roman"/>
          <w:sz w:val="28"/>
          <w:szCs w:val="28"/>
          <w:lang w:val="ru-RU" w:eastAsia="ja-JP"/>
        </w:rPr>
        <w:t xml:space="preserve"> в течение 18 часов при 30</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°C</w:t>
      </w:r>
      <w:r w:rsidR="00BB5A29" w:rsidRPr="00107040">
        <w:rPr>
          <w:rFonts w:ascii="Times New Roman" w:eastAsia="MS Mincho" w:hAnsi="Times New Roman"/>
          <w:sz w:val="28"/>
          <w:szCs w:val="28"/>
          <w:lang w:val="ru-RU" w:eastAsia="ja-JP"/>
        </w:rPr>
        <w:t xml:space="preserve"> </w:t>
      </w:r>
      <w:r w:rsidR="00BB5A29"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{"citationID":"tlA0jSVi","properties":{"formattedCitation":"[443]","plainCitation":"[443]","noteIndex":0},"citationItems":[{"id":1382,"uris":["http://zotero.org/users/9078202/items/E7RSE3VU"],"itemData":{"id":1382,"type":"article-journal","abstract":"Proteins from the poly(ADP-ribose) polymerase (PARP) family, such as PARP1 and PARP2, use NAD+ as a substrate to catalyze the synthesis of polymeric chains consisting of ADP-ribose units covalently attached to an acceptor molecule. PARP1 and PARP2 are viewed as DNA damage sensors that, upon binding to strand breaks, poly(ADP-ribosyl)ate themselves and nuclear acceptor proteins. The flowering plant Arabidopsis thaliana contains three genes encoding homologs of mammalian PARPs: atPARP1, atPARP2, and atPARP3. Both atPARP1 and atPARP2 contain poly(ADP-ribosyl)ating activity; however, it is unknown whether they could covalently modify DNA by ADP-ribosylating the strand break termini. Here, we report that similar to their mammalian c</w:instrText>
      </w:r>
      <w:r w:rsidR="00FB5E68">
        <w:rPr>
          <w:rFonts w:ascii="Times New Roman" w:eastAsia="MS Mincho" w:hAnsi="Times New Roman" w:hint="eastAsia"/>
          <w:sz w:val="28"/>
          <w:szCs w:val="28"/>
          <w:lang w:val="ru-RU" w:eastAsia="ja-JP"/>
        </w:rPr>
        <w:instrText>ounterparts, the plant atPARP1 and atPARP2 proteins ADP-ribosylate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-terminal phosphate residues in duplex DNA oligonucleotides and plasmid containing at least two closely spaced DNA strand breaks. AtPARP1 preferentially catalyzes covalent attachment of ADP-ribose units to the ends of recessed DNA duplexes containing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-phosphate, whereas atPARP2 preferentially ADP-ribosylates the nicked and gapped DNA duplexes containing the terminal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-phosphate. Similar to their mammalian counterparts, the plant PARP-</w:instrText>
      </w:r>
      <w:r w:rsidR="00FB5E68">
        <w:rPr>
          <w:rFonts w:ascii="Times New Roman" w:eastAsia="MS Mincho" w:hAnsi="Times New Roman"/>
          <w:sz w:val="28"/>
          <w:szCs w:val="28"/>
          <w:lang w:val="ru-RU" w:eastAsia="ja-JP"/>
        </w:rPr>
        <w:instrText>catalyzed DNA ADP-ribosylation is particularly sensitive to the distance that separates two strand breaks in the same DNA molecule, 1.5 and 1 or 2 turns of helix for atPARP1 and atPARP2, respectively. PAR glycohydrolase (PARG) restored native DNA structure by hydrolyzing the PAR–DNA adducts generated by atPARPs. Biochemical and mass spectrometry analyses of the PAR–DNA adducts showed that atPARPs utilize phosphorylated DNA termini as an alternative to protein acceptor residues to catalyze PAR chain synthe</w:instrText>
      </w:r>
      <w:r w:rsidR="00FB5E68">
        <w:rPr>
          <w:rFonts w:ascii="Times New Roman" w:eastAsia="MS Mincho" w:hAnsi="Times New Roman" w:hint="eastAsia"/>
          <w:sz w:val="28"/>
          <w:szCs w:val="28"/>
          <w:lang w:val="ru-RU" w:eastAsia="ja-JP"/>
        </w:rPr>
        <w:instrText>sis via phosphodiester bond formation between C1</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 xml:space="preserve"> of ADP-ribose and a phosphate residue of the terminal nucleotide in DNA fragment. Taken together, these data establish the presence of a new type of DNA-modifying activity in Arabidopsis PARPs, suggesting </w:instrText>
      </w:r>
      <w:r w:rsidR="00FB5E68">
        <w:rPr>
          <w:rFonts w:ascii="Times New Roman" w:eastAsia="MS Mincho" w:hAnsi="Times New Roman"/>
          <w:sz w:val="28"/>
          <w:szCs w:val="28"/>
          <w:lang w:val="ru-RU" w:eastAsia="ja-JP"/>
        </w:rPr>
        <w:instrText xml:space="preserve">a possible role of DNA ADP-ribosylation in DNA damage signaling and repair of terrestrial plants.","container-title":"Frontiers in Cell and Developmental Biology","ISSN":"2296-634X","source":"Frontiers","title":"The Arabidopsis thaliana Poly(ADP-Ribose) Polymerases 1 and 2 Modify DNA by ADP-Ribosylating Terminal Phosphate Residues","URL":"https://www.frontiersin.org/article/10.3389/fcell.2020.606596","volume":"8","author":[{"family":"Taipakova","given":"Sabira"},{"family":"Kuanbay","given":"Aigerim"},{"family":"Saint-Pierre","given":"Christine"},{"family":"Gasparutto","given":"Didier"},{"family":"Baiken","given":"Yeldar"},{"family":"Groisman","given":"Regina"},{"family":"Ishchenko","given":"Alexander A."},{"family":"Saparbaev","given":"Murat"},{"family":"Bissenbaev","given":"Amangeldy K."}],"accessed":{"date-parts":[["2022",5,23]]},"issued":{"date-parts":[["2020"]]}}}],"schema":"https://github.com/citation-style-language/schema/raw/master/csl-citation.json"} </w:instrText>
      </w:r>
      <w:r w:rsidR="00BB5A29"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[443]</w:t>
      </w:r>
      <w:r w:rsidR="00BB5A29"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w:t>
      </w:r>
    </w:p>
    <w:p w14:paraId="5B62E28E" w14:textId="77777777" w:rsidR="00992872" w:rsidRPr="00107040" w:rsidRDefault="00992872" w:rsidP="000C16BB">
      <w:pPr>
        <w:spacing w:after="0" w:line="240" w:lineRule="auto"/>
        <w:jc w:val="both"/>
        <w:rPr>
          <w:rFonts w:ascii="Times New Roman" w:eastAsia="MS Mincho" w:hAnsi="Times New Roman"/>
          <w:sz w:val="28"/>
          <w:szCs w:val="28"/>
          <w:lang w:val="ru-RU" w:eastAsia="ja-JP"/>
        </w:rPr>
      </w:pPr>
    </w:p>
    <w:p w14:paraId="7B9A386D" w14:textId="7B8F0083" w:rsidR="00DB5323" w:rsidRPr="00107040" w:rsidRDefault="00992872" w:rsidP="000C16BB">
      <w:pPr>
        <w:spacing w:after="0" w:line="240" w:lineRule="auto"/>
        <w:ind w:firstLine="567"/>
        <w:jc w:val="both"/>
        <w:rPr>
          <w:rFonts w:ascii="Times New Roman" w:eastAsia="MS Mincho" w:hAnsi="Times New Roman"/>
          <w:sz w:val="28"/>
          <w:szCs w:val="28"/>
          <w:lang w:val="ru-RU" w:eastAsia="ja-JP"/>
        </w:rPr>
      </w:pPr>
      <w:bookmarkStart w:id="60" w:name="_Hlk106278457"/>
      <w:r w:rsidRPr="00107040">
        <w:rPr>
          <w:rFonts w:ascii="Times New Roman" w:eastAsia="MS Mincho" w:hAnsi="Times New Roman"/>
          <w:b/>
          <w:bCs/>
          <w:iCs/>
          <w:sz w:val="28"/>
          <w:szCs w:val="28"/>
          <w:lang w:val="ru-RU" w:eastAsia="ja-JP"/>
        </w:rPr>
        <w:t xml:space="preserve">2.21 </w:t>
      </w:r>
      <w:r w:rsidR="00DB5323" w:rsidRPr="00107040">
        <w:rPr>
          <w:rFonts w:ascii="Times New Roman" w:eastAsia="MS Mincho" w:hAnsi="Times New Roman"/>
          <w:b/>
          <w:bCs/>
          <w:iCs/>
          <w:sz w:val="28"/>
          <w:szCs w:val="28"/>
          <w:lang w:val="ru-RU" w:eastAsia="ja-JP"/>
        </w:rPr>
        <w:t>А</w:t>
      </w:r>
      <w:r w:rsidR="00DB5323" w:rsidRPr="00107040">
        <w:rPr>
          <w:rFonts w:ascii="Times New Roman" w:eastAsia="MS Mincho" w:hAnsi="Times New Roman"/>
          <w:b/>
          <w:bCs/>
          <w:sz w:val="28"/>
          <w:szCs w:val="28"/>
          <w:lang w:eastAsia="ja-JP"/>
        </w:rPr>
        <w:t>нализ структуры и состава ПАР</w:t>
      </w:r>
      <w:r w:rsidR="00D12B49" w:rsidRPr="00107040">
        <w:rPr>
          <w:rFonts w:ascii="Times New Roman" w:eastAsia="MS Mincho" w:hAnsi="Times New Roman"/>
          <w:b/>
          <w:bCs/>
          <w:sz w:val="28"/>
          <w:szCs w:val="28"/>
          <w:lang w:val="ru-RU" w:eastAsia="ja-JP"/>
        </w:rPr>
        <w:t>-</w:t>
      </w:r>
      <w:r w:rsidR="00DB5323" w:rsidRPr="00107040">
        <w:rPr>
          <w:rFonts w:ascii="Times New Roman" w:eastAsia="MS Mincho" w:hAnsi="Times New Roman"/>
          <w:b/>
          <w:bCs/>
          <w:sz w:val="28"/>
          <w:szCs w:val="28"/>
          <w:lang w:eastAsia="ja-JP"/>
        </w:rPr>
        <w:t xml:space="preserve">ДНК аддуктов с помощью </w:t>
      </w:r>
      <w:r w:rsidR="00DB5323" w:rsidRPr="00107040">
        <w:rPr>
          <w:rFonts w:ascii="Times New Roman" w:eastAsia="MS Mincho" w:hAnsi="Times New Roman"/>
          <w:b/>
          <w:bCs/>
          <w:iCs/>
          <w:sz w:val="28"/>
          <w:szCs w:val="28"/>
          <w:lang w:val="en-US" w:eastAsia="ja-JP"/>
        </w:rPr>
        <w:t>MALDI</w:t>
      </w:r>
      <w:r w:rsidR="00DB5323" w:rsidRPr="00107040">
        <w:rPr>
          <w:rFonts w:ascii="Times New Roman" w:eastAsia="MS Mincho" w:hAnsi="Times New Roman"/>
          <w:b/>
          <w:bCs/>
          <w:iCs/>
          <w:sz w:val="28"/>
          <w:szCs w:val="28"/>
          <w:lang w:eastAsia="ja-JP"/>
        </w:rPr>
        <w:t>-</w:t>
      </w:r>
      <w:r w:rsidR="00DB5323" w:rsidRPr="00107040">
        <w:rPr>
          <w:rFonts w:ascii="Times New Roman" w:eastAsia="MS Mincho" w:hAnsi="Times New Roman"/>
          <w:b/>
          <w:bCs/>
          <w:iCs/>
          <w:sz w:val="28"/>
          <w:szCs w:val="28"/>
          <w:lang w:val="en-US" w:eastAsia="ja-JP"/>
        </w:rPr>
        <w:t>TOF</w:t>
      </w:r>
      <w:r w:rsidR="00DB5323" w:rsidRPr="00107040">
        <w:rPr>
          <w:rFonts w:ascii="Times New Roman" w:eastAsia="MS Mincho" w:hAnsi="Times New Roman"/>
          <w:b/>
          <w:bCs/>
          <w:iCs/>
          <w:sz w:val="28"/>
          <w:szCs w:val="28"/>
          <w:lang w:eastAsia="ja-JP"/>
        </w:rPr>
        <w:t xml:space="preserve"> масс-спектрометрии</w:t>
      </w:r>
      <w:r w:rsidR="00DB5323" w:rsidRPr="00107040">
        <w:rPr>
          <w:rFonts w:ascii="Times New Roman" w:eastAsia="MS Mincho" w:hAnsi="Times New Roman"/>
          <w:sz w:val="28"/>
          <w:szCs w:val="28"/>
          <w:lang w:val="ru-RU" w:eastAsia="ja-JP"/>
        </w:rPr>
        <w:t xml:space="preserve"> </w:t>
      </w:r>
    </w:p>
    <w:p w14:paraId="66739B71" w14:textId="477A8478"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Для проведения масс-спектрометрических измерений 5 мкМ холодного нерадиоактивного 5'-фосфорилированного 30-мерного дуплексного олигонуклеотида (обозначаемого здесь как p10•RT-A</w:t>
      </w:r>
      <w:r w:rsidR="005D68C6" w:rsidRPr="00107040">
        <w:rPr>
          <w:rFonts w:ascii="Times New Roman" w:eastAsia="MS Mincho" w:hAnsi="Times New Roman"/>
          <w:sz w:val="28"/>
          <w:szCs w:val="28"/>
          <w:vertAlign w:val="superscript"/>
          <w:lang w:val="ru-RU" w:eastAsia="ja-JP"/>
        </w:rPr>
        <w:t>n</w:t>
      </w:r>
      <w:r w:rsidRPr="00107040">
        <w:rPr>
          <w:rFonts w:ascii="Times New Roman" w:eastAsia="MS Mincho" w:hAnsi="Times New Roman"/>
          <w:sz w:val="28"/>
          <w:szCs w:val="28"/>
          <w:vertAlign w:val="superscript"/>
          <w:lang w:val="ru-RU" w:eastAsia="ja-JP"/>
        </w:rPr>
        <w:t>ick</w:t>
      </w:r>
      <w:r w:rsidRPr="00107040">
        <w:rPr>
          <w:rFonts w:ascii="Times New Roman" w:eastAsia="MS Mincho" w:hAnsi="Times New Roman"/>
          <w:sz w:val="28"/>
          <w:szCs w:val="28"/>
          <w:lang w:val="ru-RU" w:eastAsia="ja-JP"/>
        </w:rPr>
        <w:t xml:space="preserve"> и состоящего из 30-мерной (RT-A) цепочки-матрицы и двух 5'-фосфорилированных комплементарных цепей: 10 мер (р10) и 19 мер (р19) (таблица </w:t>
      </w:r>
      <w:r w:rsidR="001B4738" w:rsidRPr="00107040">
        <w:rPr>
          <w:rFonts w:ascii="Times New Roman" w:eastAsia="MS Mincho" w:hAnsi="Times New Roman"/>
          <w:sz w:val="28"/>
          <w:szCs w:val="28"/>
          <w:lang w:val="ru-RU" w:eastAsia="ja-JP"/>
        </w:rPr>
        <w:t>5</w:t>
      </w:r>
      <w:r w:rsidRPr="00107040">
        <w:rPr>
          <w:rFonts w:ascii="Times New Roman" w:eastAsia="MS Mincho" w:hAnsi="Times New Roman"/>
          <w:sz w:val="28"/>
          <w:szCs w:val="28"/>
          <w:lang w:val="ru-RU" w:eastAsia="ja-JP"/>
        </w:rPr>
        <w:t xml:space="preserve">) инкубировали с 2,5 мкМ </w:t>
      </w:r>
      <w:r w:rsidR="005D68C6" w:rsidRPr="00107040">
        <w:rPr>
          <w:rFonts w:ascii="Times New Roman" w:eastAsia="MS Mincho" w:hAnsi="Times New Roman"/>
          <w:sz w:val="28"/>
          <w:szCs w:val="28"/>
          <w:lang w:val="ru-RU" w:eastAsia="ja-JP"/>
        </w:rPr>
        <w:t>A</w:t>
      </w:r>
      <w:r w:rsidRPr="00107040">
        <w:rPr>
          <w:rFonts w:ascii="Times New Roman" w:eastAsia="MS Mincho" w:hAnsi="Times New Roman"/>
          <w:sz w:val="28"/>
          <w:szCs w:val="28"/>
          <w:lang w:val="ru-RU" w:eastAsia="ja-JP"/>
        </w:rPr>
        <w:t xml:space="preserve">tPARP2 в присутствии 1 мМ </w:t>
      </w:r>
      <w:r w:rsidR="005D68C6" w:rsidRPr="00107040">
        <w:rPr>
          <w:rFonts w:ascii="Times New Roman" w:eastAsia="MS Mincho" w:hAnsi="Times New Roman"/>
          <w:sz w:val="28"/>
          <w:szCs w:val="28"/>
          <w:lang w:val="ru-RU"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при 37</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°C в течение 1 часа. После инкубации реакцию останавливали нагреванием образцов в течение 20 мин при 80</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°C. Затем продукты реакции осаждали 2</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 перхлоратом лития в ацетоне, обессоливали и использовали для измерений MALDI-TOF MS. Масс-спектры </w:t>
      </w:r>
      <w:r w:rsidRPr="00107040">
        <w:rPr>
          <w:rFonts w:ascii="Times New Roman" w:eastAsia="MS Mincho" w:hAnsi="Times New Roman"/>
          <w:sz w:val="28"/>
          <w:szCs w:val="28"/>
          <w:lang w:val="ru-RU" w:eastAsia="ja-JP"/>
        </w:rPr>
        <w:lastRenderedPageBreak/>
        <w:t xml:space="preserve">MALDI-TOF были получены в отрицательном режиме на масс-спектрометре Microflex (Bruker, Висамбурд, Франция), оборудованном азотным лазером с длиной волны 337 нм и извлечением из источника с импульсной задержкой. Матрицу получали растворением 3-гидроксипиколиновой кислоты в 10 мМ цитратном буфере аммония и небольшом количестве катионообменной смолы </w:t>
      </w:r>
      <w:r w:rsidRPr="00107040">
        <w:rPr>
          <w:rFonts w:ascii="Times New Roman" w:eastAsia="MS Mincho" w:hAnsi="Times New Roman"/>
          <w:sz w:val="28"/>
          <w:szCs w:val="28"/>
          <w:lang w:val="en-GB" w:eastAsia="ja-JP"/>
        </w:rPr>
        <w:t>Dowex</w:t>
      </w:r>
      <w:r w:rsidRPr="00107040">
        <w:rPr>
          <w:rFonts w:ascii="Times New Roman" w:eastAsia="MS Mincho" w:hAnsi="Times New Roman"/>
          <w:sz w:val="28"/>
          <w:szCs w:val="28"/>
          <w:lang w:val="ru-RU" w:eastAsia="ja-JP"/>
        </w:rPr>
        <w:t>-50</w:t>
      </w:r>
      <w:r w:rsidRPr="00107040">
        <w:rPr>
          <w:rFonts w:ascii="Times New Roman" w:eastAsia="MS Mincho" w:hAnsi="Times New Roman"/>
          <w:sz w:val="28"/>
          <w:szCs w:val="28"/>
          <w:lang w:val="en-GB" w:eastAsia="ja-JP"/>
        </w:rPr>
        <w:t>W</w:t>
      </w:r>
      <w:r w:rsidRPr="00107040">
        <w:rPr>
          <w:rFonts w:ascii="Times New Roman" w:eastAsia="MS Mincho" w:hAnsi="Times New Roman"/>
          <w:sz w:val="28"/>
          <w:szCs w:val="28"/>
          <w:lang w:val="ru-RU" w:eastAsia="ja-JP"/>
        </w:rPr>
        <w:t xml:space="preserve"> 50 × 8-200 (</w:t>
      </w:r>
      <w:r w:rsidRPr="00107040">
        <w:rPr>
          <w:rFonts w:ascii="Times New Roman" w:eastAsia="MS Mincho" w:hAnsi="Times New Roman"/>
          <w:sz w:val="28"/>
          <w:szCs w:val="28"/>
          <w:lang w:val="en-GB" w:eastAsia="ja-JP"/>
        </w:rPr>
        <w:t>Sigma</w:t>
      </w:r>
      <w:r w:rsidRPr="00107040">
        <w:rPr>
          <w:rFonts w:ascii="Times New Roman" w:eastAsia="MS Mincho" w:hAnsi="Times New Roman"/>
          <w:sz w:val="28"/>
          <w:szCs w:val="28"/>
          <w:lang w:val="ru-RU" w:eastAsia="ja-JP"/>
        </w:rPr>
        <w:t>). Матрицу (1 мкл) добавляли к образцу (1 мкл) на планшете-мишени и давали ему высохнуть. Для калибровки спектров использовали упомянутые олигонуклеотиды известных мас</w:t>
      </w:r>
      <w:r w:rsidR="00E84C78" w:rsidRPr="00107040">
        <w:rPr>
          <w:rFonts w:ascii="Times New Roman" w:eastAsia="MS Mincho" w:hAnsi="Times New Roman"/>
          <w:sz w:val="28"/>
          <w:szCs w:val="28"/>
          <w:lang w:val="ru-RU" w:eastAsia="ja-JP"/>
        </w:rPr>
        <w:t xml:space="preserve">с </w:t>
      </w:r>
      <w:r w:rsidR="00E84C78"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{"citationID":"aUFEZ3sr","properties":{"formattedCitation":"[444]","plainCitation":"[444]","noteIndex":0},"citationItems":[{"id":1345,"uris":["http://zotero.org/users/9078202/items/Q82S5MI8"],"itemData":{"id":1345,"type":"article-journal","abstract":"The present article is a survey of ESI and MALDI mass spectrometric analysis of nucleic acid oligomers and polymers. In order to limit the extent of the review, mass spectrometry of mononucleotides is generally not considered, except where such data are important for an understanding of the analysis of larger nucleic acids. The first part of the review is a condensed description of the structure and the acid-base properties of nucleic acids. The remaining part is divided into three main sections, dealing with the practical aspects of the two ionization techniques, fragmentation, and applications, respectively. The first section includes an extensive discussion of experimental parameters and problems, which are important for the analysis of different types of nucleic acid samples, including noncovalent complexes and mixtures. At the end of this section, as well as the following one, a comparison between MALDI and ESI as ionization techniques for nucleic acid is given. In addition to a detailed discussion of ion fragmentation, the fragmentation section includes an overview of the direct mass spectrometric sequencing of nucleic acids performed with either technique. The fragmentation reactions occurring upon MALDI and ESI are compared. The last section describes the life science applications of ESI-MS and MALDI-MS of nucleic acids; an account of experiments demonstrating the potential of a method, and of the bona fide solving of problems by ESI and MALDI is given. © 1997 John Wiley &amp; Sons, Inc.","container-title":"Mass Spectrometry Reviews","DOI":"10.1002/(SICI)1098-2787(1996)15:2&lt;67::AID-MAS1&gt;3.0.CO;2-8","ISSN":"0277-7037","issue":"2","journalAbbreviation":"Mass Spectrom Rev","language":"eng","note":"PMID: 27082318","page":"67-138","source":"PubMed","title":"Mass spectrometry of nucleic acids","volume":"15","author":[{"family":"Nordhoff","given":"E."},{"family":"Kirpekar","given":"F."},{"family":"Roepstorff","given":"P."}],"issued":{"date-parts":[["1996"]]}}}],"schema":"https://github.com/citation-style-language/schema/raw/master/csl-citation.json"} </w:instrText>
      </w:r>
      <w:r w:rsidR="00E84C78"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[444]</w:t>
      </w:r>
      <w:r w:rsidR="00E84C78"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w:t>
      </w:r>
    </w:p>
    <w:bookmarkEnd w:id="60"/>
    <w:p w14:paraId="7C1F22FA" w14:textId="77777777" w:rsidR="00992872" w:rsidRPr="00107040" w:rsidRDefault="00992872" w:rsidP="000C16BB">
      <w:pPr>
        <w:spacing w:after="0" w:line="240" w:lineRule="auto"/>
        <w:jc w:val="both"/>
        <w:rPr>
          <w:rFonts w:ascii="Times New Roman" w:eastAsia="MS Mincho" w:hAnsi="Times New Roman"/>
          <w:sz w:val="28"/>
          <w:szCs w:val="28"/>
          <w:lang w:val="ru-RU" w:eastAsia="ja-JP"/>
        </w:rPr>
      </w:pPr>
    </w:p>
    <w:p w14:paraId="518DC45C" w14:textId="77777777" w:rsidR="00992872" w:rsidRPr="00107040" w:rsidRDefault="00992872" w:rsidP="000C16BB">
      <w:pPr>
        <w:spacing w:after="0" w:line="240" w:lineRule="auto"/>
        <w:ind w:firstLine="567"/>
        <w:jc w:val="both"/>
        <w:rPr>
          <w:rFonts w:ascii="Times New Roman" w:eastAsia="MS Mincho" w:hAnsi="Times New Roman"/>
          <w:b/>
          <w:iCs/>
          <w:sz w:val="28"/>
          <w:szCs w:val="28"/>
          <w:lang w:val="ru-RU" w:eastAsia="ja-JP"/>
        </w:rPr>
      </w:pPr>
      <w:r w:rsidRPr="00107040">
        <w:rPr>
          <w:rFonts w:ascii="Times New Roman" w:eastAsia="MS Mincho" w:hAnsi="Times New Roman"/>
          <w:b/>
          <w:bCs/>
          <w:iCs/>
          <w:sz w:val="28"/>
          <w:szCs w:val="28"/>
          <w:lang w:val="ru-RU" w:eastAsia="ja-JP"/>
        </w:rPr>
        <w:t>2.22 Ауто- и ДНК АДФ-рибозилирование</w:t>
      </w:r>
    </w:p>
    <w:p w14:paraId="46B2DADB" w14:textId="5D7C3E82" w:rsidR="00992872"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Эффективность катализируемого </w:t>
      </w:r>
      <w:r w:rsidR="005D68C6"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2 ауто- и ДНК АДФ-рибозилирования измеряли с использованием холодного дуплекса </w:t>
      </w:r>
      <w:r w:rsidRPr="00107040">
        <w:rPr>
          <w:rFonts w:ascii="Times New Roman" w:eastAsia="MS Mincho" w:hAnsi="Times New Roman"/>
          <w:sz w:val="28"/>
          <w:szCs w:val="28"/>
          <w:lang w:val="en-US"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RexT</w:t>
      </w:r>
      <w:r w:rsidRPr="00107040">
        <w:rPr>
          <w:rFonts w:ascii="Times New Roman" w:eastAsia="MS Mincho" w:hAnsi="Times New Roman"/>
          <w:sz w:val="28"/>
          <w:szCs w:val="28"/>
          <w:vertAlign w:val="superscript"/>
          <w:lang w:val="en-US" w:eastAsia="ja-JP"/>
        </w:rPr>
        <w:t>nick</w:t>
      </w:r>
      <w:r w:rsidRPr="00107040">
        <w:rPr>
          <w:rFonts w:ascii="Times New Roman" w:eastAsia="MS Mincho" w:hAnsi="Times New Roman"/>
          <w:sz w:val="28"/>
          <w:szCs w:val="28"/>
          <w:lang w:val="ru-RU" w:eastAsia="ja-JP"/>
        </w:rPr>
        <w:t>, фосфорилированного на 5</w:t>
      </w:r>
      <w:r w:rsidR="005D68C6"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ru-RU" w:eastAsia="ja-JP"/>
        </w:rPr>
        <w:t xml:space="preserve"> конце ника, и с фосфатом на 5</w:t>
      </w:r>
      <w:r w:rsidR="005D68C6"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DSB</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double</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stranded</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break</w:t>
      </w:r>
      <w:r w:rsidRPr="00107040">
        <w:rPr>
          <w:rFonts w:ascii="Times New Roman" w:eastAsia="MS Mincho" w:hAnsi="Times New Roman"/>
          <w:sz w:val="28"/>
          <w:szCs w:val="28"/>
          <w:lang w:val="ru-RU" w:eastAsia="ja-JP"/>
        </w:rPr>
        <w:t xml:space="preserve">) конце или без него. Анализ проводили в буфере </w:t>
      </w:r>
      <w:r w:rsidRPr="00107040">
        <w:rPr>
          <w:rFonts w:ascii="Times New Roman" w:eastAsia="MS Mincho" w:hAnsi="Times New Roman"/>
          <w:sz w:val="28"/>
          <w:szCs w:val="28"/>
          <w:lang w:val="en-US" w:eastAsia="ja-JP"/>
        </w:rPr>
        <w:t>ADPR</w:t>
      </w:r>
      <w:r w:rsidRPr="00107040">
        <w:rPr>
          <w:rFonts w:ascii="Times New Roman" w:eastAsia="MS Mincho" w:hAnsi="Times New Roman"/>
          <w:sz w:val="28"/>
          <w:szCs w:val="28"/>
          <w:lang w:val="ru-RU" w:eastAsia="ja-JP"/>
        </w:rPr>
        <w:t xml:space="preserve"> без </w:t>
      </w:r>
      <w:r w:rsidR="005D68C6" w:rsidRPr="00107040">
        <w:rPr>
          <w:rFonts w:ascii="Times New Roman" w:eastAsia="MS Mincho" w:hAnsi="Times New Roman"/>
          <w:sz w:val="28"/>
          <w:szCs w:val="28"/>
          <w:lang w:val="en-US" w:eastAsia="ja-JP"/>
        </w:rPr>
        <w:t>BSA</w:t>
      </w:r>
      <w:r w:rsidRPr="00107040">
        <w:rPr>
          <w:rFonts w:ascii="Times New Roman" w:eastAsia="MS Mincho" w:hAnsi="Times New Roman"/>
          <w:sz w:val="28"/>
          <w:szCs w:val="28"/>
          <w:lang w:val="ru-RU" w:eastAsia="ja-JP"/>
        </w:rPr>
        <w:t xml:space="preserve">. Один мкМ </w:t>
      </w:r>
      <w:r w:rsidR="005D68C6"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2 инкубировали в присутствии 10 мкМ олигонуклеотидного дуплекса и 1 мкМ [аденилат-</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 </w:t>
      </w:r>
      <w:r w:rsidR="005D68C6" w:rsidRPr="00107040">
        <w:rPr>
          <w:rFonts w:ascii="Times New Roman" w:eastAsia="MS Mincho" w:hAnsi="Times New Roman"/>
          <w:sz w:val="28"/>
          <w:szCs w:val="28"/>
          <w:lang w:val="ru-RU"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в течение 30 мин при 37</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Реакции останавливали добавлением стоп-раствора (7,5 М мочевина, 0,33</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SDS</w:t>
      </w:r>
      <w:r w:rsidRPr="00107040">
        <w:rPr>
          <w:rFonts w:ascii="Times New Roman" w:eastAsia="MS Mincho" w:hAnsi="Times New Roman"/>
          <w:sz w:val="28"/>
          <w:szCs w:val="28"/>
          <w:lang w:val="ru-RU" w:eastAsia="ja-JP"/>
        </w:rPr>
        <w:t xml:space="preserve">, 10 мМ </w:t>
      </w:r>
      <w:r w:rsidRPr="00107040">
        <w:rPr>
          <w:rFonts w:ascii="Times New Roman" w:eastAsia="MS Mincho" w:hAnsi="Times New Roman"/>
          <w:sz w:val="28"/>
          <w:szCs w:val="28"/>
          <w:lang w:val="en-US" w:eastAsia="ja-JP"/>
        </w:rPr>
        <w:t>EDTA</w:t>
      </w:r>
      <w:r w:rsidRPr="00107040">
        <w:rPr>
          <w:rFonts w:ascii="Times New Roman" w:eastAsia="MS Mincho" w:hAnsi="Times New Roman"/>
          <w:sz w:val="28"/>
          <w:szCs w:val="28"/>
          <w:lang w:val="ru-RU" w:eastAsia="ja-JP"/>
        </w:rPr>
        <w:t xml:space="preserve"> и 0,25</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бромфенолового синего) в соотношении 1: 1 (об./об.) и нагреванием при 95</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 в течение 10 мин после получения продуктов реакций анализировали на денатурирующем </w:t>
      </w:r>
      <w:bookmarkStart w:id="61" w:name="_Hlk103869190"/>
      <w:r w:rsidRPr="00107040">
        <w:rPr>
          <w:rFonts w:ascii="Times New Roman" w:eastAsia="MS Mincho" w:hAnsi="Times New Roman"/>
          <w:sz w:val="28"/>
          <w:szCs w:val="28"/>
          <w:lang w:val="ru-RU" w:eastAsia="ja-JP"/>
        </w:rPr>
        <w:t>ПААГ</w:t>
      </w:r>
      <w:bookmarkEnd w:id="61"/>
      <w:r w:rsidR="00BB5A29" w:rsidRPr="00107040">
        <w:rPr>
          <w:rFonts w:ascii="Times New Roman" w:eastAsia="MS Mincho" w:hAnsi="Times New Roman"/>
          <w:sz w:val="28"/>
          <w:szCs w:val="28"/>
          <w:lang w:val="ru-RU" w:eastAsia="ja-JP"/>
        </w:rPr>
        <w:t xml:space="preserve"> </w:t>
      </w:r>
      <w:r w:rsidR="00BB5A29"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F5QMFD9o","properties":{"formattedCitation":"[31,442,443]","plainCitation":"[31,442,443]","noteIndex":0},"citationItems":[{"id":1295,"uris":["http://zotero.org/users/9078202/items/V43W7KVW"],"itemData":{"id":1295,"type":"article-journal","abstract":"Poly(ADP-ribose) polymerases (PARPs/ARTDs) use nicotinamide adenine dinucleotide (NAD+) to catalyse the synthesis of a long branched poly(ADP-ribose) polymer (PAR) attached to the acceptor amino acid residues of nuclear proteins. PARPs act on single- and double-stranded DNA breaks by recruiting DNA repair factors. Here, in in vitro biochemical experiments, we found that the mammalian PARP1 and PARP2 proteins can directly ADP-ribosylate the termini of DNA oligonucleotides. PARP1 preferentially catalysed covalent attachment of ADP-ribose units to the ends of recessed DNA duplexes containing 3'-cordycepin, 5'- and 3'-phosphate and also to 5'-phosphate of a single-stranded oligonucleotide. PARP2 preferentially ADP-ribosylated the nicked/gapped DNA duplexes containing 5'-phosphate at the double-stranded termini. PAR glycohydrolase (PARG) restored native DNA structure by hydrolysing PAR-DNA adducts generated by PARP1 and PARP2. Biochemical and mass spectrometry analyses</w:instrText>
      </w:r>
      <w:r w:rsidR="00FB5E68">
        <w:rPr>
          <w:rFonts w:ascii="Times New Roman" w:eastAsia="MS Mincho" w:hAnsi="Times New Roman" w:hint="eastAsia"/>
          <w:sz w:val="28"/>
          <w:szCs w:val="28"/>
          <w:lang w:val="ru-RU" w:eastAsia="ja-JP"/>
        </w:rPr>
        <w:instrText xml:space="preserve"> of the adducts suggested that PARPs utilise DNA termini as an alternative to 2'-hydroxyl of ADP-ribose and protein acceptor residues to catalyse PAR chain initiation either via the 2',1</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-O-glycosidic ribose-ribose bond or via phosphodiester bond formatio</w:instrText>
      </w:r>
      <w:r w:rsidR="00FB5E68">
        <w:rPr>
          <w:rFonts w:ascii="Times New Roman" w:eastAsia="MS Mincho" w:hAnsi="Times New Roman"/>
          <w:sz w:val="28"/>
          <w:szCs w:val="28"/>
          <w:lang w:val="ru-RU" w:eastAsia="ja-JP"/>
        </w:rPr>
        <w:instrText>n between C1' of ADP-ribose and the phosphate of a terminal deoxyribonucleotide. This new type of post-replicative modification of DNA provides novel insights into the molecular mechanisms underlying biological phenomena of ADP-ribosylation mediated by PARPs.","container-title":"Nucleic Acids Research","DOI":"10.1093/nar/gkw675","ISSN":"1362-4962","issue":"19","journalAbbreviation":"Nucleic Acids Res","language":"eng","note":"PMID: 27471034\nPMCID: PMC5100588","page":"9279-9295","source":"PubMed","title":"Poly(ADP-ribose) polymerases covalently modify strand break termini in DNA fragments in vitro","volume":"44","author":[{"family":"Talhaoui","given":"Ibtissam"},{"family":"Lebedeva","given":"Natalia A."},{"family":"Zarkovic","given":"Gabriella"},{"family":"Saint-Pierre","given":"Christine"},{"family":"Kutuzov","given":"Mikhail M."},{"family":"Sukhanova","given":"Maria V."},{"family":"Matkarimov","given":"Bakhyt T."},{"family":"Gasparutto","given":"Didier"},{"family":"Saparbaev","given":"Murat K."},{"family":"Lavrik","given":"Olga I."},{"family":"Ishchenko","given":"Alexander A."}],"issued":{"date-parts":[["2016",11,2]]}}},{"id":1322,"uris":["http://zotero.org/users/9078202/items/IRJADZKH"],"itemData":{"id":1322,"type":"article-journal","abstract":"Poly(ADP-ribose) polymerases (PARPs) act as DNA break sensors and catalyze the synthesis of polymers of ADP-ribose (PAR) covalently attached to acceptor proteins at DNA damage sites. It has been demonstrated that both mammalian PARP1 and PARP2 PARylate double-strand break termini in DNA oligonucleotide duplexes in vitro. Here, we show that mammalian PARP2 and PARP3 can PARylate and mono(ADP-ribosyl)ate (MARylate), respectively, 5'- and 3'-terminal phosphate residues at double- and single-strand break termini of a DNA molecule containing multiple strand breaks. PARP3-catalyzed DNA MARylation can be considered a new type of reversible post-replicative DNA modification. According to DNA substrate specificity of PARP3 and PARP2, we propose a putative mechanistic model of PARP-catalyzed strand break-oriented ADP-ribosylation of DNA termini. Notably, PARP-mediated DNA ADP-ribosylation can be more effective than PARPs' auto-ADP-ribosylation depending on the DNA substrates and reaction conditions used. Finally, we show an effective PARP3- or PARP2-catalyzed ADP-ribosylation of high-molecular-weight (</w:instrText>
      </w:r>
      <w:r w:rsidR="00FB5E68">
        <w:rPr>
          <w:rFonts w:ascii="Cambria Math" w:eastAsia="MS Mincho" w:hAnsi="Cambria Math" w:cs="Cambria Math"/>
          <w:sz w:val="28"/>
          <w:szCs w:val="28"/>
          <w:lang w:val="ru-RU" w:eastAsia="ja-JP"/>
        </w:rPr>
        <w:instrText>∼</w:instrText>
      </w:r>
      <w:r w:rsidR="00FB5E68">
        <w:rPr>
          <w:rFonts w:ascii="Times New Roman" w:eastAsia="MS Mincho" w:hAnsi="Times New Roman"/>
          <w:sz w:val="28"/>
          <w:szCs w:val="28"/>
          <w:lang w:val="ru-RU" w:eastAsia="ja-JP"/>
        </w:rPr>
        <w:instrText>3-kb) DNA molecules, PARP-mediated DNA PARylation in cell-free extracts and a persisting signal of anti-PAR antibodies in a serially purified genomic DNA from bleomycin-treated poly(ADP-ribose) glycohydrolase-depleted HeLa cells. These results suggest that certain types of complex DNA breaks can be effectively ADP-ribosylated by PARPs in cellular response to DNA damage.","container-title":"Nucleic Acids Research","DOI":"10.1093/nar/gkx1318","ISSN":"1362-4962","issue":"5","journalAbbreviation":"Nucleic Acids Res","language":"eng","note":"PMID: 29361132\nPMCID: PMC5861426","page":"2417-2431","source":"PubMed","title":"Characterization of DNA ADP-ribosyltransferase activities of PARP2 and PARP3: new insights into DNA ADP-ribosylation","title-short":"Characterization of DNA ADP-ribosyltransferase activities of PARP2 and PARP3","volume":"46","author":[{"family":"Zarkovic","given":"Gabriella"},{"family":"Belousova","given":"Ekaterina A."},{"family":"Talhaoui","given":"Ibtissam"},{"family":"Saint-Pierre","given":"Christine"},{"family":"Kutuzov","given":"Mikhail M."},{"family":"Matkarimov","given":"Bakhyt T."},{"family":"Biard","given":"Denis"},{"family":"Gasparutto","given":"Didier"},{"family":"Lavrik","given":"Olga I."},{"family":"Ishchenko","given":"Alexander A."}],"issued":{"date-parts":[["2018",3,16]]}}},{"id":1382,"uris":["http://zotero.org/users/9078202/items/E7RSE3VU"],"itemData":{"id":1382,"type":"article-journal","abstract":"Proteins from the poly(ADP-ribose) polymerase (PARP) family, such as PARP1 and PARP2, use NAD+ as a substrate to catalyze the synthesis of polymeric chains consisting of ADP-ribose units covalently attached to an acceptor molecule. PARP1 and PARP2 are viewed as DNA damage sensors that, upon binding to strand breaks, poly(ADP-ribosyl)ate themselves and nuclear acceptor proteins. The flowering plant Arabidopsis thaliana contains three genes encoding homologs of mammalian PARPs: atPARP1, atPARP2, and atPARP3. Both atPARP1 and atPARP2 contain poly(ADP-ribosyl)ating activity; however, it is unknown whether they could covalently modify DNA by ADP-ribosylating the strand break termini. Here, we report that similar to their mammalian counterparts, the plant a</w:instrText>
      </w:r>
      <w:r w:rsidR="00FB5E68">
        <w:rPr>
          <w:rFonts w:ascii="Times New Roman" w:eastAsia="MS Mincho" w:hAnsi="Times New Roman" w:hint="eastAsia"/>
          <w:sz w:val="28"/>
          <w:szCs w:val="28"/>
          <w:lang w:val="ru-RU" w:eastAsia="ja-JP"/>
        </w:rPr>
        <w:instrText>tPARP1 and atPARP2 proteins ADP-ribosylate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-terminal phosphate residues in duplex DNA oligonucleotides and plasmid containing at least two closely spaced DNA strand breaks. AtPARP1 preferentially catalyzes covalent attachment of ADP-ribose units to the ends of recessed DNA duplexes containing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-phosphate, whereas atPARP2 preferentially ADP-ribosylates the nicked and gapped DNA duplexes containing the terminal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-phosphate. Similar to their mammalian counterparts, the plant PARP-catalyzed DNA ADP-ribosy</w:instrText>
      </w:r>
      <w:r w:rsidR="00FB5E68">
        <w:rPr>
          <w:rFonts w:ascii="Times New Roman" w:eastAsia="MS Mincho" w:hAnsi="Times New Roman"/>
          <w:sz w:val="28"/>
          <w:szCs w:val="28"/>
          <w:lang w:val="ru-RU" w:eastAsia="ja-JP"/>
        </w:rPr>
        <w:instrText>lation is particularly sensitive to the distance that separates two strand breaks in the same DNA molecule, 1.5 and 1 or 2 turns of helix for atPARP1 and atPARP2, respectively. PAR glycohydrolase (PARG) restored native DNA structure by hydrolyzing the PAR–DNA adducts generated by atPARPs. Biochemical and mass spectrometry analyses of the PAR–DNA adducts showed that atPARPs utilize phosphorylated DNA termini as an alternative to protein acceptor residues to catalyze PAR chain synthesis via phosphodiester b</w:instrText>
      </w:r>
      <w:r w:rsidR="00FB5E68">
        <w:rPr>
          <w:rFonts w:ascii="Times New Roman" w:eastAsia="MS Mincho" w:hAnsi="Times New Roman" w:hint="eastAsia"/>
          <w:sz w:val="28"/>
          <w:szCs w:val="28"/>
          <w:lang w:val="ru-RU" w:eastAsia="ja-JP"/>
        </w:rPr>
        <w:instrText>ond formation between C1</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 xml:space="preserve"> of ADP-ribose and a phosphate residue of the terminal nucleotide in DNA fragment. Taken together, these data establish the presence of a new type of DNA-modifying activity in Arabidopsis PARPs, suggesting a possible role of DNA A</w:instrText>
      </w:r>
      <w:r w:rsidR="00FB5E68">
        <w:rPr>
          <w:rFonts w:ascii="Times New Roman" w:eastAsia="MS Mincho" w:hAnsi="Times New Roman"/>
          <w:sz w:val="28"/>
          <w:szCs w:val="28"/>
          <w:lang w:val="ru-RU" w:eastAsia="ja-JP"/>
        </w:rPr>
        <w:instrText xml:space="preserve">DP-ribosylation in DNA damage signaling and repair of terrestrial plants.","container-title":"Frontiers in Cell and Developmental Biology","ISSN":"2296-634X","source":"Frontiers","title":"The Arabidopsis thaliana Poly(ADP-Ribose) Polymerases 1 and 2 Modify DNA by ADP-Ribosylating Terminal Phosphate Residues","URL":"https://www.frontiersin.org/article/10.3389/fcell.2020.606596","volume":"8","author":[{"family":"Taipakova","given":"Sabira"},{"family":"Kuanbay","given":"Aigerim"},{"family":"Saint-Pierre","given":"Christine"},{"family":"Gasparutto","given":"Didier"},{"family":"Baiken","given":"Yeldar"},{"family":"Groisman","given":"Regina"},{"family":"Ishchenko","given":"Alexander A."},{"family":"Saparbaev","given":"Murat"},{"family":"Bissenbaev","given":"Amangeldy K."}],"accessed":{"date-parts":[["2022",5,23]]},"issued":{"date-parts":[["2020"]]}}}],"schema":"https://github.com/citation-style-language/schema/raw/master/csl-citation.json"} </w:instrText>
      </w:r>
      <w:r w:rsidR="00BB5A29"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[31,442,443]</w:t>
      </w:r>
      <w:r w:rsidR="00BB5A29"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w:t>
      </w:r>
    </w:p>
    <w:p w14:paraId="5682F0CE" w14:textId="77777777" w:rsidR="00992872" w:rsidRPr="00107040" w:rsidRDefault="00992872" w:rsidP="000C16BB">
      <w:pPr>
        <w:spacing w:after="0" w:line="240" w:lineRule="auto"/>
        <w:jc w:val="both"/>
        <w:rPr>
          <w:rFonts w:ascii="Times New Roman" w:eastAsia="MS Mincho" w:hAnsi="Times New Roman"/>
          <w:bCs/>
          <w:sz w:val="28"/>
          <w:szCs w:val="28"/>
          <w:lang w:val="ru-RU" w:eastAsia="ja-JP"/>
        </w:rPr>
      </w:pPr>
    </w:p>
    <w:p w14:paraId="785CE23A" w14:textId="77777777" w:rsidR="00992872" w:rsidRPr="00107040" w:rsidRDefault="00992872" w:rsidP="000C16BB">
      <w:pPr>
        <w:spacing w:after="0" w:line="240" w:lineRule="auto"/>
        <w:ind w:firstLine="567"/>
        <w:jc w:val="both"/>
        <w:rPr>
          <w:rFonts w:ascii="Times New Roman" w:eastAsia="MS Mincho" w:hAnsi="Times New Roman"/>
          <w:b/>
          <w:sz w:val="28"/>
          <w:szCs w:val="28"/>
          <w:lang w:val="ru-RU" w:eastAsia="ja-JP"/>
        </w:rPr>
      </w:pPr>
      <w:r w:rsidRPr="00107040">
        <w:rPr>
          <w:rFonts w:ascii="Times New Roman" w:eastAsia="MS Mincho" w:hAnsi="Times New Roman"/>
          <w:b/>
          <w:sz w:val="28"/>
          <w:szCs w:val="28"/>
          <w:lang w:val="ru-RU" w:eastAsia="ja-JP"/>
        </w:rPr>
        <w:t>2.23 Дот блот</w:t>
      </w:r>
    </w:p>
    <w:p w14:paraId="1E5FD1A5" w14:textId="181E5E9E" w:rsidR="00C27868" w:rsidRPr="00107040" w:rsidRDefault="00992872"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Для определения связывания между фрагментами </w:t>
      </w:r>
      <w:r w:rsidR="005D68C6" w:rsidRPr="00107040">
        <w:rPr>
          <w:rFonts w:ascii="Times New Roman" w:eastAsia="MS Mincho" w:hAnsi="Times New Roman"/>
          <w:sz w:val="28"/>
          <w:szCs w:val="28"/>
          <w:lang w:val="ru-RU" w:eastAsia="ja-JP"/>
        </w:rPr>
        <w:t>ПАР</w:t>
      </w:r>
      <w:r w:rsidRPr="00107040">
        <w:rPr>
          <w:rFonts w:ascii="Times New Roman" w:eastAsia="MS Mincho" w:hAnsi="Times New Roman"/>
          <w:sz w:val="28"/>
          <w:szCs w:val="28"/>
          <w:lang w:val="ru-RU" w:eastAsia="ja-JP"/>
        </w:rPr>
        <w:t xml:space="preserve"> и ДНК использовали дот блот. </w:t>
      </w:r>
      <w:r w:rsidR="00D12B49" w:rsidRPr="00107040">
        <w:rPr>
          <w:rFonts w:ascii="Times New Roman" w:eastAsia="MS Mincho" w:hAnsi="Times New Roman"/>
          <w:sz w:val="28"/>
          <w:szCs w:val="28"/>
          <w:lang w:val="ru-RU" w:eastAsia="ja-JP"/>
        </w:rPr>
        <w:t>Для этого была п</w:t>
      </w:r>
      <w:r w:rsidRPr="00107040">
        <w:rPr>
          <w:rFonts w:ascii="Times New Roman" w:eastAsia="MS Mincho" w:hAnsi="Times New Roman"/>
          <w:sz w:val="28"/>
          <w:szCs w:val="28"/>
          <w:lang w:val="ru-RU" w:eastAsia="ja-JP"/>
        </w:rPr>
        <w:t>одготов</w:t>
      </w:r>
      <w:r w:rsidR="00D12B49" w:rsidRPr="00107040">
        <w:rPr>
          <w:rFonts w:ascii="Times New Roman" w:eastAsia="MS Mincho" w:hAnsi="Times New Roman"/>
          <w:sz w:val="28"/>
          <w:szCs w:val="28"/>
          <w:lang w:val="ru-RU" w:eastAsia="ja-JP"/>
        </w:rPr>
        <w:t>лена</w:t>
      </w:r>
      <w:r w:rsidRPr="00107040">
        <w:rPr>
          <w:rFonts w:ascii="Times New Roman" w:eastAsia="MS Mincho" w:hAnsi="Times New Roman"/>
          <w:sz w:val="28"/>
          <w:szCs w:val="28"/>
          <w:lang w:val="ru-RU" w:eastAsia="ja-JP"/>
        </w:rPr>
        <w:t xml:space="preserve"> нитроцеллюлозн</w:t>
      </w:r>
      <w:r w:rsidR="00D12B49" w:rsidRPr="00107040">
        <w:rPr>
          <w:rFonts w:ascii="Times New Roman" w:eastAsia="MS Mincho" w:hAnsi="Times New Roman"/>
          <w:sz w:val="28"/>
          <w:szCs w:val="28"/>
          <w:lang w:val="ru-RU" w:eastAsia="ja-JP"/>
        </w:rPr>
        <w:t>ая</w:t>
      </w:r>
      <w:r w:rsidRPr="00107040">
        <w:rPr>
          <w:rFonts w:ascii="Times New Roman" w:eastAsia="MS Mincho" w:hAnsi="Times New Roman"/>
          <w:sz w:val="28"/>
          <w:szCs w:val="28"/>
          <w:lang w:val="ru-RU" w:eastAsia="ja-JP"/>
        </w:rPr>
        <w:t xml:space="preserve"> мембран</w:t>
      </w:r>
      <w:r w:rsidR="00D12B49" w:rsidRPr="00107040">
        <w:rPr>
          <w:rFonts w:ascii="Times New Roman" w:eastAsia="MS Mincho" w:hAnsi="Times New Roman"/>
          <w:sz w:val="28"/>
          <w:szCs w:val="28"/>
          <w:lang w:val="ru-RU" w:eastAsia="ja-JP"/>
        </w:rPr>
        <w:t>а</w:t>
      </w:r>
      <w:r w:rsidRPr="00107040">
        <w:rPr>
          <w:rFonts w:ascii="Times New Roman" w:eastAsia="MS Mincho" w:hAnsi="Times New Roman"/>
          <w:sz w:val="28"/>
          <w:szCs w:val="28"/>
          <w:lang w:val="ru-RU" w:eastAsia="ja-JP"/>
        </w:rPr>
        <w:t xml:space="preserve">, </w:t>
      </w:r>
      <w:r w:rsidR="00D12B49" w:rsidRPr="00107040">
        <w:rPr>
          <w:rFonts w:ascii="Times New Roman" w:eastAsia="MS Mincho" w:hAnsi="Times New Roman"/>
          <w:sz w:val="28"/>
          <w:szCs w:val="28"/>
          <w:lang w:val="ru-RU" w:eastAsia="ja-JP"/>
        </w:rPr>
        <w:t xml:space="preserve">карандашом </w:t>
      </w:r>
      <w:r w:rsidRPr="00107040">
        <w:rPr>
          <w:rFonts w:ascii="Times New Roman" w:eastAsia="MS Mincho" w:hAnsi="Times New Roman"/>
          <w:sz w:val="28"/>
          <w:szCs w:val="28"/>
          <w:lang w:val="ru-RU" w:eastAsia="ja-JP"/>
        </w:rPr>
        <w:t>нарисова</w:t>
      </w:r>
      <w:r w:rsidR="00D12B49" w:rsidRPr="00107040">
        <w:rPr>
          <w:rFonts w:ascii="Times New Roman" w:eastAsia="MS Mincho" w:hAnsi="Times New Roman"/>
          <w:sz w:val="28"/>
          <w:szCs w:val="28"/>
          <w:lang w:val="ru-RU" w:eastAsia="ja-JP"/>
        </w:rPr>
        <w:t>на</w:t>
      </w:r>
      <w:r w:rsidRPr="00107040">
        <w:rPr>
          <w:rFonts w:ascii="Times New Roman" w:eastAsia="MS Mincho" w:hAnsi="Times New Roman"/>
          <w:sz w:val="28"/>
          <w:szCs w:val="28"/>
          <w:lang w:val="ru-RU" w:eastAsia="ja-JP"/>
        </w:rPr>
        <w:t xml:space="preserve"> сетк</w:t>
      </w:r>
      <w:r w:rsidR="00D12B49" w:rsidRPr="00107040">
        <w:rPr>
          <w:rFonts w:ascii="Times New Roman" w:eastAsia="MS Mincho" w:hAnsi="Times New Roman"/>
          <w:sz w:val="28"/>
          <w:szCs w:val="28"/>
          <w:lang w:val="ru-RU" w:eastAsia="ja-JP"/>
        </w:rPr>
        <w:t>а</w:t>
      </w:r>
      <w:r w:rsidRPr="00107040">
        <w:rPr>
          <w:rFonts w:ascii="Times New Roman" w:eastAsia="MS Mincho" w:hAnsi="Times New Roman"/>
          <w:sz w:val="28"/>
          <w:szCs w:val="28"/>
          <w:lang w:val="ru-RU" w:eastAsia="ja-JP"/>
        </w:rPr>
        <w:t xml:space="preserve">, чтобы обозначить область, которую собирались прокапать. </w:t>
      </w:r>
      <w:r w:rsidR="00D12B49" w:rsidRPr="00107040">
        <w:rPr>
          <w:rFonts w:ascii="Times New Roman" w:eastAsia="MS Mincho" w:hAnsi="Times New Roman"/>
          <w:sz w:val="28"/>
          <w:szCs w:val="28"/>
          <w:lang w:val="ru-RU" w:eastAsia="ja-JP"/>
        </w:rPr>
        <w:t>Были н</w:t>
      </w:r>
      <w:r w:rsidRPr="00107040">
        <w:rPr>
          <w:rFonts w:ascii="Times New Roman" w:eastAsia="MS Mincho" w:hAnsi="Times New Roman"/>
          <w:sz w:val="28"/>
          <w:szCs w:val="28"/>
          <w:lang w:val="ru-RU" w:eastAsia="ja-JP"/>
        </w:rPr>
        <w:t>анес</w:t>
      </w:r>
      <w:r w:rsidR="00D12B49" w:rsidRPr="00107040">
        <w:rPr>
          <w:rFonts w:ascii="Times New Roman" w:eastAsia="MS Mincho" w:hAnsi="Times New Roman"/>
          <w:sz w:val="28"/>
          <w:szCs w:val="28"/>
          <w:lang w:val="ru-RU" w:eastAsia="ja-JP"/>
        </w:rPr>
        <w:t>ены</w:t>
      </w:r>
      <w:r w:rsidRPr="00107040">
        <w:rPr>
          <w:rFonts w:ascii="Times New Roman" w:eastAsia="MS Mincho" w:hAnsi="Times New Roman"/>
          <w:sz w:val="28"/>
          <w:szCs w:val="28"/>
          <w:lang w:val="ru-RU" w:eastAsia="ja-JP"/>
        </w:rPr>
        <w:t xml:space="preserve"> 50 нг образца на нитроцеллюлозную мембрану в центре сетки</w:t>
      </w:r>
      <w:r w:rsidR="00D12B49" w:rsidRPr="00107040">
        <w:rPr>
          <w:rFonts w:ascii="Times New Roman" w:eastAsia="MS Mincho" w:hAnsi="Times New Roman"/>
          <w:sz w:val="28"/>
          <w:szCs w:val="28"/>
          <w:lang w:val="ru-RU" w:eastAsia="ja-JP"/>
        </w:rPr>
        <w:t>, далее в</w:t>
      </w:r>
      <w:r w:rsidRPr="00107040">
        <w:rPr>
          <w:rFonts w:ascii="Times New Roman" w:eastAsia="MS Mincho" w:hAnsi="Times New Roman"/>
          <w:sz w:val="28"/>
          <w:szCs w:val="28"/>
          <w:lang w:val="ru-RU" w:eastAsia="ja-JP"/>
        </w:rPr>
        <w:t>ысушили мембрану в печи при 80</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С </w:t>
      </w:r>
      <w:r w:rsidR="005D68C6" w:rsidRPr="00107040">
        <w:rPr>
          <w:rFonts w:ascii="Times New Roman" w:eastAsia="MS Mincho" w:hAnsi="Times New Roman"/>
          <w:sz w:val="28"/>
          <w:szCs w:val="28"/>
          <w:lang w:val="ru-RU" w:eastAsia="ja-JP"/>
        </w:rPr>
        <w:t>в течение</w:t>
      </w:r>
      <w:r w:rsidRPr="00107040">
        <w:rPr>
          <w:rFonts w:ascii="Times New Roman" w:eastAsia="MS Mincho" w:hAnsi="Times New Roman"/>
          <w:sz w:val="28"/>
          <w:szCs w:val="28"/>
          <w:lang w:val="ru-RU" w:eastAsia="ja-JP"/>
        </w:rPr>
        <w:t xml:space="preserve"> 2 час</w:t>
      </w:r>
      <w:r w:rsidR="005D68C6" w:rsidRPr="00107040">
        <w:rPr>
          <w:rFonts w:ascii="Times New Roman" w:eastAsia="MS Mincho" w:hAnsi="Times New Roman"/>
          <w:sz w:val="28"/>
          <w:szCs w:val="28"/>
          <w:lang w:val="ru-RU" w:eastAsia="ja-JP"/>
        </w:rPr>
        <w:t>ов</w:t>
      </w:r>
      <w:r w:rsidRPr="00107040">
        <w:rPr>
          <w:rFonts w:ascii="Times New Roman" w:eastAsia="MS Mincho" w:hAnsi="Times New Roman"/>
          <w:sz w:val="28"/>
          <w:szCs w:val="28"/>
          <w:lang w:val="ru-RU" w:eastAsia="ja-JP"/>
        </w:rPr>
        <w:t xml:space="preserve">. Неспецифические участки высушенной мембраны </w:t>
      </w:r>
      <w:r w:rsidR="00D12B49" w:rsidRPr="00107040">
        <w:rPr>
          <w:rFonts w:ascii="Times New Roman" w:eastAsia="MS Mincho" w:hAnsi="Times New Roman"/>
          <w:sz w:val="28"/>
          <w:szCs w:val="28"/>
          <w:lang w:val="ru-RU" w:eastAsia="ja-JP"/>
        </w:rPr>
        <w:t xml:space="preserve">были </w:t>
      </w:r>
      <w:r w:rsidRPr="00107040">
        <w:rPr>
          <w:rFonts w:ascii="Times New Roman" w:eastAsia="MS Mincho" w:hAnsi="Times New Roman"/>
          <w:sz w:val="28"/>
          <w:szCs w:val="28"/>
          <w:lang w:val="ru-RU" w:eastAsia="ja-JP"/>
        </w:rPr>
        <w:t>заблокирова</w:t>
      </w:r>
      <w:r w:rsidR="00D12B49" w:rsidRPr="00107040">
        <w:rPr>
          <w:rFonts w:ascii="Times New Roman" w:eastAsia="MS Mincho" w:hAnsi="Times New Roman"/>
          <w:sz w:val="28"/>
          <w:szCs w:val="28"/>
          <w:lang w:val="ru-RU" w:eastAsia="ja-JP"/>
        </w:rPr>
        <w:t>ны</w:t>
      </w:r>
      <w:r w:rsidRPr="00107040">
        <w:rPr>
          <w:rFonts w:ascii="Times New Roman" w:eastAsia="MS Mincho" w:hAnsi="Times New Roman"/>
          <w:sz w:val="28"/>
          <w:szCs w:val="28"/>
          <w:lang w:val="ru-RU" w:eastAsia="ja-JP"/>
        </w:rPr>
        <w:t>, пропитав 5</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 молока в TBS-T (0,5–1 час, RT). После блокировки мембрану инкубировали с первичным антителом (0,1-10 мкг/мл для очищенного антитела, разведение от 1: 1000 до 1: 100000 для антисыворотки) растворяли в 1 х TBS-T в течение </w:t>
      </w:r>
      <w:r w:rsidRPr="00107040">
        <w:rPr>
          <w:rFonts w:ascii="Times New Roman" w:eastAsia="MS Mincho" w:hAnsi="Times New Roman"/>
          <w:sz w:val="28"/>
          <w:szCs w:val="28"/>
          <w:lang w:val="en-US" w:eastAsia="ja-JP"/>
        </w:rPr>
        <w:t>ON</w:t>
      </w:r>
      <w:r w:rsidRPr="00107040">
        <w:rPr>
          <w:rFonts w:ascii="Times New Roman" w:eastAsia="MS Mincho" w:hAnsi="Times New Roman"/>
          <w:sz w:val="28"/>
          <w:szCs w:val="28"/>
          <w:lang w:val="ru-RU" w:eastAsia="ja-JP"/>
        </w:rPr>
        <w:t xml:space="preserve"> при 4</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w:t>
      </w:r>
      <w:r w:rsidR="00D12B49" w:rsidRPr="00107040">
        <w:rPr>
          <w:rFonts w:ascii="Times New Roman" w:eastAsia="MS Mincho" w:hAnsi="Times New Roman"/>
          <w:sz w:val="28"/>
          <w:szCs w:val="28"/>
          <w:lang w:val="ru-RU" w:eastAsia="ja-JP"/>
        </w:rPr>
        <w:t>, затем трижды п</w:t>
      </w:r>
      <w:r w:rsidRPr="00107040">
        <w:rPr>
          <w:rFonts w:ascii="Times New Roman" w:eastAsia="MS Mincho" w:hAnsi="Times New Roman"/>
          <w:sz w:val="28"/>
          <w:szCs w:val="28"/>
          <w:lang w:val="ru-RU" w:eastAsia="ja-JP"/>
        </w:rPr>
        <w:t>ромывали TBS-T (3 х 5 мин)</w:t>
      </w:r>
      <w:r w:rsidR="00D12B49" w:rsidRPr="00107040">
        <w:rPr>
          <w:rFonts w:ascii="Times New Roman" w:eastAsia="MS Mincho" w:hAnsi="Times New Roman"/>
          <w:sz w:val="28"/>
          <w:szCs w:val="28"/>
          <w:lang w:val="ru-RU" w:eastAsia="ja-JP"/>
        </w:rPr>
        <w:t xml:space="preserve"> и и</w:t>
      </w:r>
      <w:r w:rsidRPr="00107040">
        <w:rPr>
          <w:rFonts w:ascii="Times New Roman" w:eastAsia="MS Mincho" w:hAnsi="Times New Roman"/>
          <w:sz w:val="28"/>
          <w:szCs w:val="28"/>
          <w:lang w:val="ru-RU" w:eastAsia="ja-JP"/>
        </w:rPr>
        <w:t>нкубировали со вторичным антителом, конъюгированным с HRP в течение 1 часа при 22</w:t>
      </w:r>
      <w:r w:rsidR="005D68C6"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С. Промыва</w:t>
      </w:r>
      <w:r w:rsidR="00D12B49" w:rsidRPr="00107040">
        <w:rPr>
          <w:rFonts w:ascii="Times New Roman" w:eastAsia="MS Mincho" w:hAnsi="Times New Roman"/>
          <w:sz w:val="28"/>
          <w:szCs w:val="28"/>
          <w:lang w:val="ru-RU" w:eastAsia="ja-JP"/>
        </w:rPr>
        <w:t>ние производили</w:t>
      </w:r>
      <w:r w:rsidRPr="00107040">
        <w:rPr>
          <w:rFonts w:ascii="Times New Roman" w:eastAsia="MS Mincho" w:hAnsi="Times New Roman"/>
          <w:sz w:val="28"/>
          <w:szCs w:val="28"/>
          <w:lang w:val="ru-RU" w:eastAsia="ja-JP"/>
        </w:rPr>
        <w:t xml:space="preserve"> трижды TBS-T (15 мин x 1, 5 мин x 2), затем один раз TBS (5 мин). Инкубировали с реактивом </w:t>
      </w:r>
      <w:r w:rsidRPr="00107040">
        <w:rPr>
          <w:rFonts w:ascii="Times New Roman" w:eastAsia="MS Mincho" w:hAnsi="Times New Roman"/>
          <w:sz w:val="28"/>
          <w:szCs w:val="28"/>
          <w:lang w:val="en-US" w:eastAsia="ja-JP"/>
        </w:rPr>
        <w:t>ECL</w:t>
      </w:r>
      <w:r w:rsidRPr="00107040">
        <w:rPr>
          <w:rFonts w:ascii="Times New Roman" w:eastAsia="MS Mincho" w:hAnsi="Times New Roman"/>
          <w:sz w:val="28"/>
          <w:szCs w:val="28"/>
          <w:lang w:val="ru-RU" w:eastAsia="ja-JP"/>
        </w:rPr>
        <w:t xml:space="preserve"> в течение 1 мин и экспонировали</w:t>
      </w:r>
      <w:r w:rsidR="00BB5A29" w:rsidRPr="00107040">
        <w:rPr>
          <w:rFonts w:ascii="Times New Roman" w:eastAsia="MS Mincho" w:hAnsi="Times New Roman"/>
          <w:sz w:val="28"/>
          <w:szCs w:val="28"/>
          <w:lang w:val="ru-RU" w:eastAsia="ja-JP"/>
        </w:rPr>
        <w:t xml:space="preserve"> </w:t>
      </w:r>
      <w:r w:rsidR="00BB5A29"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{"citationID":"tRyenInZ","properties":{"formattedCitation":"[445]","plainCitation":"[445]","noteIndex":0},"citationItems":[{"id":1458,"uris":["http://zotero.org/users/9078202/items/UA99EEI8"],"itemData":{"id":1458,"type":"article-journal","abstract":"Simple, reliable methods for the identification of alien genetic introgressions are required in plant breeding programmes. The use of genomic dot-blot hybridisation allows the detection of small Hordeum chilense genomic introgressions in the descendants of genetic crosses between wheat and H. chilense addition or substitution lines in wheat when molecular markers are difficult to use. Based on genomic in situ hybridisation, DNA samples from wheat lines carrying putatively H. chilense introgressions were immobilised on a membrane, blocked with wheat genomic DNA and hybridised with biotin-labelled H. chilense genomic DNA as a probe. This dot-blot screening reduced the number of plants necessary to be analysed by molecular markers or in situ hybridisation, saving time and money. The technique was sensitive enough to detect a minimum of 5 ng of total genomic DNA immobilised on the membrane or about 1/420 dilution of H. chilense genomic DNA in the wheat background. The robustness of the technique was verified by in situ hybridisation. In addition, the detection of other wheat relative species such as Hordeum vulgare, Secale cereale and Agropyron cristatum in the wheat background was also reported.","container-title":"Molecular Breeding","DOI":"10.1007/s11032-017-0629-5","ISSN":"1380-3743","issue":"3","journalAbbreviation":"Mol Breed","note":"PMID: 28337069\nPMCID: PMC5344947","page":"32","source":"PubMed Central","title":"Detection of alien genetic introgressions in bread wheat using dot-blot genomic hybridisation","URL":"https://www.ncbi.nlm.nih.gov/pmc/articles/PMC5344947/","volume":"37","author":[{"family":"Rey","given":"María -Dolores"},{"family":"Prieto","given":"Pilar"}],"accessed":{"date-parts":[["2022",6,17]]},"issued":{"date-parts":[["2017"]]}}}],"schema":"https://github.com/citation-style-language/schema/raw/master/csl-citation.json"} </w:instrText>
      </w:r>
      <w:r w:rsidR="00BB5A29"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[445]</w:t>
      </w:r>
      <w:r w:rsidR="00BB5A29"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w:t>
      </w:r>
    </w:p>
    <w:p w14:paraId="5CFA631B" w14:textId="77777777" w:rsidR="00B8631B" w:rsidRPr="00107040" w:rsidRDefault="00B8631B" w:rsidP="000C16BB">
      <w:pPr>
        <w:spacing w:after="0" w:line="240" w:lineRule="auto"/>
        <w:jc w:val="both"/>
        <w:rPr>
          <w:rFonts w:ascii="Times New Roman" w:hAnsi="Times New Roman"/>
          <w:sz w:val="28"/>
          <w:szCs w:val="28"/>
        </w:rPr>
      </w:pPr>
    </w:p>
    <w:p w14:paraId="0CB8FD8B" w14:textId="77777777" w:rsidR="00B8631B" w:rsidRPr="00107040" w:rsidRDefault="00B8631B" w:rsidP="000C16BB">
      <w:pPr>
        <w:spacing w:after="0" w:line="240" w:lineRule="auto"/>
        <w:ind w:firstLine="567"/>
        <w:jc w:val="both"/>
        <w:rPr>
          <w:rFonts w:ascii="Times New Roman" w:hAnsi="Times New Roman"/>
          <w:sz w:val="28"/>
          <w:szCs w:val="28"/>
          <w:lang w:val="ru-RU"/>
        </w:rPr>
      </w:pPr>
    </w:p>
    <w:p w14:paraId="70A342FD" w14:textId="77777777" w:rsidR="00F9448E" w:rsidRPr="00107040" w:rsidRDefault="00F9448E" w:rsidP="000C16BB">
      <w:pPr>
        <w:spacing w:after="0" w:line="240" w:lineRule="auto"/>
        <w:rPr>
          <w:rFonts w:ascii="Times New Roman" w:eastAsia="MS Mincho" w:hAnsi="Times New Roman"/>
          <w:b/>
          <w:bCs/>
          <w:sz w:val="28"/>
          <w:szCs w:val="28"/>
          <w:lang w:val="kk-KZ" w:eastAsia="ja-JP"/>
        </w:rPr>
      </w:pPr>
      <w:r w:rsidRPr="00107040">
        <w:rPr>
          <w:rFonts w:ascii="Times New Roman" w:eastAsia="MS Mincho" w:hAnsi="Times New Roman"/>
          <w:b/>
          <w:bCs/>
          <w:sz w:val="28"/>
          <w:szCs w:val="28"/>
          <w:lang w:val="kk-KZ" w:eastAsia="ja-JP"/>
        </w:rPr>
        <w:br w:type="page"/>
      </w:r>
    </w:p>
    <w:p w14:paraId="2FE38534" w14:textId="21A322F4" w:rsidR="00AA69DA" w:rsidRPr="00107040" w:rsidRDefault="00AA69DA" w:rsidP="000C16BB">
      <w:pPr>
        <w:spacing w:after="0" w:line="240" w:lineRule="auto"/>
        <w:jc w:val="center"/>
        <w:rPr>
          <w:rFonts w:ascii="Times New Roman" w:eastAsia="MS Mincho" w:hAnsi="Times New Roman"/>
          <w:b/>
          <w:bCs/>
          <w:sz w:val="28"/>
          <w:szCs w:val="28"/>
          <w:lang w:val="kk-KZ" w:eastAsia="ja-JP"/>
        </w:rPr>
      </w:pPr>
      <w:r w:rsidRPr="00107040">
        <w:rPr>
          <w:rFonts w:ascii="Times New Roman" w:eastAsia="MS Mincho" w:hAnsi="Times New Roman"/>
          <w:b/>
          <w:bCs/>
          <w:sz w:val="28"/>
          <w:szCs w:val="28"/>
          <w:lang w:val="kk-KZ" w:eastAsia="ja-JP"/>
        </w:rPr>
        <w:lastRenderedPageBreak/>
        <w:t>3. РЕЗУЛЬТАТЫ И ИХ ОБСУЖДЕНИЕ</w:t>
      </w:r>
    </w:p>
    <w:p w14:paraId="0A80BF3D" w14:textId="77777777" w:rsidR="00F9448E" w:rsidRPr="00107040" w:rsidRDefault="00F9448E" w:rsidP="000C16BB">
      <w:pPr>
        <w:spacing w:after="0" w:line="240" w:lineRule="auto"/>
        <w:jc w:val="center"/>
        <w:rPr>
          <w:rFonts w:ascii="Times New Roman" w:eastAsia="MS Mincho" w:hAnsi="Times New Roman"/>
          <w:sz w:val="28"/>
          <w:szCs w:val="28"/>
          <w:lang w:val="kk-KZ" w:eastAsia="ja-JP"/>
        </w:rPr>
      </w:pPr>
    </w:p>
    <w:p w14:paraId="4EDAC3DB" w14:textId="77777777" w:rsidR="00AA69DA" w:rsidRPr="00107040" w:rsidRDefault="00AA69DA" w:rsidP="000C16BB">
      <w:pPr>
        <w:widowControl w:val="0"/>
        <w:tabs>
          <w:tab w:val="left" w:pos="1169"/>
        </w:tabs>
        <w:autoSpaceDE w:val="0"/>
        <w:autoSpaceDN w:val="0"/>
        <w:spacing w:after="0" w:line="240" w:lineRule="auto"/>
        <w:ind w:firstLine="567"/>
        <w:rPr>
          <w:rFonts w:ascii="Times New Roman" w:hAnsi="Times New Roman"/>
          <w:b/>
          <w:bCs/>
          <w:sz w:val="28"/>
          <w:szCs w:val="28"/>
          <w:lang w:val="ru-RU"/>
        </w:rPr>
      </w:pPr>
      <w:r w:rsidRPr="00107040">
        <w:rPr>
          <w:rFonts w:ascii="Times New Roman" w:hAnsi="Times New Roman"/>
          <w:b/>
          <w:bCs/>
          <w:sz w:val="28"/>
          <w:szCs w:val="28"/>
          <w:lang w:val="ru-RU"/>
        </w:rPr>
        <w:t>3.1 Выделение</w:t>
      </w:r>
      <w:r w:rsidRPr="00107040">
        <w:rPr>
          <w:rFonts w:ascii="Times New Roman" w:hAnsi="Times New Roman"/>
          <w:b/>
          <w:bCs/>
          <w:spacing w:val="-3"/>
          <w:sz w:val="28"/>
          <w:szCs w:val="28"/>
          <w:lang w:val="ru-RU"/>
        </w:rPr>
        <w:t xml:space="preserve"> </w:t>
      </w:r>
      <w:r w:rsidRPr="00107040">
        <w:rPr>
          <w:rFonts w:ascii="Times New Roman" w:hAnsi="Times New Roman"/>
          <w:b/>
          <w:bCs/>
          <w:sz w:val="28"/>
          <w:szCs w:val="28"/>
          <w:lang w:val="ru-RU"/>
        </w:rPr>
        <w:t>и</w:t>
      </w:r>
      <w:r w:rsidRPr="00107040">
        <w:rPr>
          <w:rFonts w:ascii="Times New Roman" w:hAnsi="Times New Roman"/>
          <w:b/>
          <w:bCs/>
          <w:spacing w:val="-2"/>
          <w:sz w:val="28"/>
          <w:szCs w:val="28"/>
          <w:lang w:val="ru-RU"/>
        </w:rPr>
        <w:t xml:space="preserve"> ф</w:t>
      </w:r>
      <w:r w:rsidRPr="00107040">
        <w:rPr>
          <w:rFonts w:ascii="Times New Roman" w:hAnsi="Times New Roman"/>
          <w:b/>
          <w:bCs/>
          <w:sz w:val="28"/>
          <w:szCs w:val="28"/>
          <w:lang w:val="ru-RU"/>
        </w:rPr>
        <w:t xml:space="preserve">ункциональная экспрессия </w:t>
      </w:r>
      <w:r w:rsidRPr="00107040">
        <w:rPr>
          <w:rFonts w:ascii="Times New Roman" w:hAnsi="Times New Roman"/>
          <w:b/>
          <w:bCs/>
          <w:sz w:val="28"/>
          <w:szCs w:val="28"/>
        </w:rPr>
        <w:t>His</w:t>
      </w:r>
      <w:r w:rsidRPr="00107040">
        <w:rPr>
          <w:rFonts w:ascii="Times New Roman" w:hAnsi="Times New Roman"/>
          <w:b/>
          <w:bCs/>
          <w:sz w:val="28"/>
          <w:szCs w:val="28"/>
          <w:lang w:val="ru-RU"/>
        </w:rPr>
        <w:t xml:space="preserve">-меченных кДНК генов </w:t>
      </w:r>
      <w:r w:rsidRPr="00107040">
        <w:rPr>
          <w:rFonts w:ascii="Times New Roman" w:hAnsi="Times New Roman"/>
          <w:b/>
          <w:bCs/>
          <w:i/>
          <w:sz w:val="28"/>
          <w:szCs w:val="28"/>
          <w:lang w:val="ru-RU"/>
        </w:rPr>
        <w:t>А</w:t>
      </w:r>
      <w:r w:rsidRPr="00107040">
        <w:rPr>
          <w:rFonts w:ascii="Times New Roman" w:hAnsi="Times New Roman"/>
          <w:b/>
          <w:bCs/>
          <w:i/>
          <w:sz w:val="28"/>
          <w:szCs w:val="28"/>
        </w:rPr>
        <w:t>tPARP</w:t>
      </w:r>
      <w:r w:rsidRPr="00107040">
        <w:rPr>
          <w:rFonts w:ascii="Times New Roman" w:hAnsi="Times New Roman"/>
          <w:b/>
          <w:bCs/>
          <w:i/>
          <w:sz w:val="28"/>
          <w:szCs w:val="28"/>
          <w:lang w:val="ru-RU"/>
        </w:rPr>
        <w:t>1</w:t>
      </w:r>
      <w:r w:rsidRPr="00107040">
        <w:rPr>
          <w:rFonts w:ascii="Times New Roman" w:hAnsi="Times New Roman"/>
          <w:b/>
          <w:bCs/>
          <w:sz w:val="28"/>
          <w:szCs w:val="28"/>
          <w:lang w:val="ru-RU"/>
        </w:rPr>
        <w:t xml:space="preserve"> и </w:t>
      </w:r>
      <w:r w:rsidRPr="00107040">
        <w:rPr>
          <w:rFonts w:ascii="Times New Roman" w:hAnsi="Times New Roman"/>
          <w:b/>
          <w:bCs/>
          <w:i/>
          <w:sz w:val="28"/>
          <w:szCs w:val="28"/>
        </w:rPr>
        <w:t>AtPARP</w:t>
      </w:r>
      <w:r w:rsidRPr="00107040">
        <w:rPr>
          <w:rFonts w:ascii="Times New Roman" w:hAnsi="Times New Roman"/>
          <w:b/>
          <w:bCs/>
          <w:i/>
          <w:sz w:val="28"/>
          <w:szCs w:val="28"/>
          <w:lang w:val="ru-RU"/>
        </w:rPr>
        <w:t>2</w:t>
      </w:r>
      <w:r w:rsidRPr="00107040">
        <w:rPr>
          <w:rFonts w:ascii="Times New Roman" w:hAnsi="Times New Roman"/>
          <w:b/>
          <w:bCs/>
          <w:sz w:val="28"/>
          <w:szCs w:val="28"/>
          <w:lang w:val="ru-RU"/>
        </w:rPr>
        <w:t xml:space="preserve"> в </w:t>
      </w:r>
      <w:r w:rsidRPr="00107040">
        <w:rPr>
          <w:rFonts w:ascii="Times New Roman" w:hAnsi="Times New Roman"/>
          <w:b/>
          <w:bCs/>
          <w:i/>
          <w:iCs/>
          <w:sz w:val="28"/>
          <w:szCs w:val="28"/>
        </w:rPr>
        <w:t>E</w:t>
      </w:r>
      <w:r w:rsidRPr="00107040">
        <w:rPr>
          <w:rFonts w:ascii="Times New Roman" w:hAnsi="Times New Roman"/>
          <w:b/>
          <w:bCs/>
          <w:i/>
          <w:iCs/>
          <w:sz w:val="28"/>
          <w:szCs w:val="28"/>
          <w:lang w:val="ru-RU"/>
        </w:rPr>
        <w:t xml:space="preserve">. </w:t>
      </w:r>
      <w:r w:rsidRPr="00107040">
        <w:rPr>
          <w:rFonts w:ascii="Times New Roman" w:hAnsi="Times New Roman"/>
          <w:b/>
          <w:bCs/>
          <w:i/>
          <w:iCs/>
          <w:sz w:val="28"/>
          <w:szCs w:val="28"/>
        </w:rPr>
        <w:t>coli</w:t>
      </w:r>
    </w:p>
    <w:p w14:paraId="39988F36" w14:textId="651948C0" w:rsidR="00AA69DA" w:rsidRPr="00107040" w:rsidRDefault="00BE07A3" w:rsidP="000C16BB">
      <w:pPr>
        <w:autoSpaceDE w:val="0"/>
        <w:autoSpaceDN w:val="0"/>
        <w:adjustRightInd w:val="0"/>
        <w:spacing w:after="0" w:line="240" w:lineRule="auto"/>
        <w:ind w:firstLine="567"/>
        <w:jc w:val="both"/>
        <w:rPr>
          <w:rFonts w:ascii="Times New Roman" w:eastAsia="MS Mincho" w:hAnsi="Times New Roman"/>
          <w:sz w:val="28"/>
          <w:szCs w:val="28"/>
          <w:lang w:val="ru-RU"/>
        </w:rPr>
      </w:pPr>
      <w:r w:rsidRPr="00107040">
        <w:rPr>
          <w:rFonts w:ascii="Times New Roman" w:eastAsia="MS Mincho" w:hAnsi="Times New Roman"/>
          <w:sz w:val="28"/>
          <w:szCs w:val="28"/>
          <w:lang w:val="ru-RU"/>
        </w:rPr>
        <w:t>В процессе исследования</w:t>
      </w:r>
      <w:r w:rsidR="00AA69DA" w:rsidRPr="00107040">
        <w:rPr>
          <w:rFonts w:ascii="Times New Roman" w:eastAsia="MS Mincho" w:hAnsi="Times New Roman"/>
          <w:sz w:val="28"/>
          <w:szCs w:val="28"/>
          <w:lang w:val="ru-RU"/>
        </w:rPr>
        <w:t xml:space="preserve"> был проведен компьютерный анализ нуклеотидной последовательности кДНК</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 xml:space="preserve">гена </w:t>
      </w:r>
      <w:r w:rsidR="00AA69DA" w:rsidRPr="00107040">
        <w:rPr>
          <w:rFonts w:ascii="Times New Roman" w:eastAsia="MS Mincho" w:hAnsi="Times New Roman"/>
          <w:i/>
          <w:sz w:val="28"/>
          <w:szCs w:val="28"/>
          <w:lang w:val="en-US"/>
        </w:rPr>
        <w:t>AtPARP</w:t>
      </w:r>
      <w:r w:rsidR="00AA69DA" w:rsidRPr="00107040">
        <w:rPr>
          <w:rFonts w:ascii="Times New Roman" w:eastAsia="MS Mincho" w:hAnsi="Times New Roman"/>
          <w:i/>
          <w:sz w:val="28"/>
          <w:szCs w:val="28"/>
          <w:lang w:val="ru-RU"/>
        </w:rPr>
        <w:t>1</w:t>
      </w:r>
      <w:r w:rsidR="00AA69DA" w:rsidRPr="00107040">
        <w:rPr>
          <w:rFonts w:ascii="Times New Roman" w:eastAsia="MS Mincho" w:hAnsi="Times New Roman"/>
          <w:sz w:val="28"/>
          <w:szCs w:val="28"/>
          <w:lang w:val="ru-RU"/>
        </w:rPr>
        <w:t xml:space="preserve"> длиной 2953 пар нуклеотидов (регистрационный номер </w:t>
      </w:r>
      <w:r w:rsidR="00AA69DA" w:rsidRPr="00107040">
        <w:rPr>
          <w:rFonts w:ascii="Times New Roman" w:eastAsia="MS Mincho" w:hAnsi="Times New Roman"/>
          <w:sz w:val="28"/>
          <w:szCs w:val="28"/>
          <w:lang w:val="en-US"/>
        </w:rPr>
        <w:t>AY</w:t>
      </w:r>
      <w:r w:rsidR="00AA69DA" w:rsidRPr="00107040">
        <w:rPr>
          <w:rFonts w:ascii="Times New Roman" w:eastAsia="MS Mincho" w:hAnsi="Times New Roman"/>
          <w:sz w:val="28"/>
          <w:szCs w:val="28"/>
          <w:lang w:val="ru-RU"/>
        </w:rPr>
        <w:t xml:space="preserve">150460.1 в </w:t>
      </w:r>
      <w:r w:rsidR="00AA69DA" w:rsidRPr="00107040">
        <w:rPr>
          <w:rFonts w:ascii="Times New Roman" w:eastAsia="MS Mincho" w:hAnsi="Times New Roman"/>
          <w:sz w:val="28"/>
          <w:szCs w:val="28"/>
          <w:lang w:val="en-US"/>
        </w:rPr>
        <w:t>GenBank</w:t>
      </w:r>
      <w:r w:rsidR="00AA69DA" w:rsidRPr="00107040">
        <w:rPr>
          <w:rFonts w:ascii="Times New Roman" w:eastAsia="MS Mincho" w:hAnsi="Times New Roman"/>
          <w:sz w:val="28"/>
          <w:szCs w:val="28"/>
          <w:lang w:val="ru-RU"/>
        </w:rPr>
        <w:t>), кодирующего</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 xml:space="preserve">поли (АДФ-рибоза) полимеразу 1 </w:t>
      </w:r>
      <w:r w:rsidR="00AA69DA" w:rsidRPr="00107040">
        <w:rPr>
          <w:rFonts w:ascii="Times New Roman" w:eastAsia="MS Mincho" w:hAnsi="Times New Roman"/>
          <w:i/>
          <w:sz w:val="28"/>
          <w:szCs w:val="28"/>
          <w:lang w:val="en-US"/>
        </w:rPr>
        <w:t>A</w:t>
      </w:r>
      <w:r w:rsidR="00AA69DA" w:rsidRPr="00107040">
        <w:rPr>
          <w:rFonts w:ascii="Times New Roman" w:eastAsia="MS Mincho" w:hAnsi="Times New Roman"/>
          <w:i/>
          <w:sz w:val="28"/>
          <w:szCs w:val="28"/>
          <w:lang w:val="ru-RU"/>
        </w:rPr>
        <w:t xml:space="preserve">. </w:t>
      </w:r>
      <w:r w:rsidR="00AA69DA" w:rsidRPr="00107040">
        <w:rPr>
          <w:rFonts w:ascii="Times New Roman" w:eastAsia="MS Mincho" w:hAnsi="Times New Roman"/>
          <w:i/>
          <w:sz w:val="28"/>
          <w:szCs w:val="28"/>
          <w:lang w:val="en-US"/>
        </w:rPr>
        <w:t>thaliana</w:t>
      </w:r>
      <w:r w:rsidR="00AA69DA" w:rsidRPr="00107040">
        <w:rPr>
          <w:rFonts w:ascii="Times New Roman" w:eastAsia="MS Mincho" w:hAnsi="Times New Roman"/>
          <w:i/>
          <w:sz w:val="28"/>
          <w:szCs w:val="28"/>
          <w:lang w:val="ru-RU"/>
        </w:rPr>
        <w:t xml:space="preserve"> </w:t>
      </w:r>
      <w:r w:rsidR="00AA69DA" w:rsidRPr="00107040">
        <w:rPr>
          <w:rFonts w:ascii="Times New Roman" w:eastAsia="MS Mincho" w:hAnsi="Times New Roman"/>
          <w:sz w:val="28"/>
          <w:szCs w:val="28"/>
          <w:lang w:val="ru-RU"/>
        </w:rPr>
        <w:t>– белок длиной 983 аминокислот с расчетной</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молекулярной массой 111,2</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кДа</w:t>
      </w:r>
      <w:r w:rsidR="00AA69DA" w:rsidRPr="00107040">
        <w:rPr>
          <w:rFonts w:ascii="Times New Roman" w:eastAsia="MS Mincho" w:hAnsi="Times New Roman"/>
          <w:spacing w:val="-2"/>
          <w:sz w:val="28"/>
          <w:szCs w:val="28"/>
          <w:lang w:val="ru-RU"/>
        </w:rPr>
        <w:t xml:space="preserve"> </w:t>
      </w:r>
      <w:r w:rsidR="00AA69DA" w:rsidRPr="00107040">
        <w:rPr>
          <w:rFonts w:ascii="Times New Roman" w:eastAsia="MS Mincho" w:hAnsi="Times New Roman"/>
          <w:sz w:val="28"/>
          <w:szCs w:val="28"/>
          <w:lang w:val="ru-RU"/>
        </w:rPr>
        <w:t>и</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изоэлектрической точкой</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(ИЭТ)</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около</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8,8. Анализ нуклеотидной последовательности</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кДНК</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гена</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i/>
          <w:sz w:val="28"/>
          <w:szCs w:val="28"/>
          <w:lang w:val="en-US"/>
        </w:rPr>
        <w:t>AtPARP</w:t>
      </w:r>
      <w:r w:rsidR="00AA69DA" w:rsidRPr="00107040">
        <w:rPr>
          <w:rFonts w:ascii="Times New Roman" w:eastAsia="MS Mincho" w:hAnsi="Times New Roman"/>
          <w:i/>
          <w:sz w:val="28"/>
          <w:szCs w:val="28"/>
          <w:lang w:val="ru-RU"/>
        </w:rPr>
        <w:t>2</w:t>
      </w:r>
      <w:r w:rsidR="00AA69DA" w:rsidRPr="00107040">
        <w:rPr>
          <w:rFonts w:ascii="Times New Roman" w:eastAsia="MS Mincho" w:hAnsi="Times New Roman"/>
          <w:i/>
          <w:spacing w:val="1"/>
          <w:sz w:val="28"/>
          <w:szCs w:val="28"/>
          <w:lang w:val="ru-RU"/>
        </w:rPr>
        <w:t xml:space="preserve"> </w:t>
      </w:r>
      <w:r w:rsidR="00AA69DA" w:rsidRPr="00107040">
        <w:rPr>
          <w:rFonts w:ascii="Times New Roman" w:eastAsia="MS Mincho" w:hAnsi="Times New Roman"/>
          <w:iCs/>
          <w:spacing w:val="1"/>
          <w:sz w:val="28"/>
          <w:szCs w:val="28"/>
          <w:lang w:val="ru-RU"/>
        </w:rPr>
        <w:t>(</w:t>
      </w:r>
      <w:r w:rsidR="00AA69DA" w:rsidRPr="00107040">
        <w:rPr>
          <w:rFonts w:ascii="Times New Roman" w:eastAsia="MS Mincho" w:hAnsi="Times New Roman"/>
          <w:sz w:val="28"/>
          <w:szCs w:val="28"/>
          <w:lang w:val="ru-RU"/>
        </w:rPr>
        <w:t>1914</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пар</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 xml:space="preserve">нуклеотидов, регистрационный номер </w:t>
      </w:r>
      <w:r w:rsidR="00AA69DA" w:rsidRPr="00107040">
        <w:rPr>
          <w:rFonts w:ascii="Times New Roman" w:eastAsia="MS Mincho" w:hAnsi="Times New Roman"/>
          <w:sz w:val="28"/>
          <w:szCs w:val="28"/>
          <w:lang w:val="en-US"/>
        </w:rPr>
        <w:t>NM</w:t>
      </w:r>
      <w:r w:rsidR="00AA69DA" w:rsidRPr="00107040">
        <w:rPr>
          <w:rFonts w:ascii="Times New Roman" w:eastAsia="MS Mincho" w:hAnsi="Times New Roman"/>
          <w:sz w:val="28"/>
          <w:szCs w:val="28"/>
          <w:lang w:val="ru-RU"/>
        </w:rPr>
        <w:t>_116472.4</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в</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en-US"/>
        </w:rPr>
        <w:t>GenBank</w:t>
      </w:r>
      <w:r w:rsidR="00AA69DA" w:rsidRPr="00107040">
        <w:rPr>
          <w:rFonts w:ascii="Times New Roman" w:eastAsia="MS Mincho" w:hAnsi="Times New Roman"/>
          <w:sz w:val="28"/>
          <w:szCs w:val="28"/>
          <w:lang w:val="ru-RU"/>
        </w:rPr>
        <w:t>) показало, что поли</w:t>
      </w:r>
      <w:r w:rsidR="00AA69DA" w:rsidRPr="00107040">
        <w:rPr>
          <w:rFonts w:ascii="Times New Roman" w:eastAsia="MS Mincho" w:hAnsi="Times New Roman"/>
          <w:spacing w:val="-2"/>
          <w:sz w:val="28"/>
          <w:szCs w:val="28"/>
          <w:lang w:val="ru-RU"/>
        </w:rPr>
        <w:t xml:space="preserve"> </w:t>
      </w:r>
      <w:r w:rsidR="00AA69DA" w:rsidRPr="00107040">
        <w:rPr>
          <w:rFonts w:ascii="Times New Roman" w:eastAsia="MS Mincho" w:hAnsi="Times New Roman"/>
          <w:sz w:val="28"/>
          <w:szCs w:val="28"/>
          <w:lang w:val="ru-RU"/>
        </w:rPr>
        <w:t>(АДФ-рибоза)</w:t>
      </w:r>
      <w:r w:rsidR="00AA69DA" w:rsidRPr="00107040">
        <w:rPr>
          <w:rFonts w:ascii="Times New Roman" w:eastAsia="MS Mincho" w:hAnsi="Times New Roman"/>
          <w:spacing w:val="-6"/>
          <w:sz w:val="28"/>
          <w:szCs w:val="28"/>
          <w:lang w:val="ru-RU"/>
        </w:rPr>
        <w:t xml:space="preserve"> </w:t>
      </w:r>
      <w:r w:rsidR="00AA69DA" w:rsidRPr="00107040">
        <w:rPr>
          <w:rFonts w:ascii="Times New Roman" w:eastAsia="MS Mincho" w:hAnsi="Times New Roman"/>
          <w:sz w:val="28"/>
          <w:szCs w:val="28"/>
          <w:lang w:val="ru-RU"/>
        </w:rPr>
        <w:t>полимераза</w:t>
      </w:r>
      <w:r w:rsidR="00AA69DA" w:rsidRPr="00107040">
        <w:rPr>
          <w:rFonts w:ascii="Times New Roman" w:eastAsia="MS Mincho" w:hAnsi="Times New Roman"/>
          <w:spacing w:val="-6"/>
          <w:sz w:val="28"/>
          <w:szCs w:val="28"/>
          <w:lang w:val="ru-RU"/>
        </w:rPr>
        <w:t xml:space="preserve"> </w:t>
      </w:r>
      <w:r w:rsidR="00AA69DA" w:rsidRPr="00107040">
        <w:rPr>
          <w:rFonts w:ascii="Times New Roman" w:eastAsia="MS Mincho" w:hAnsi="Times New Roman"/>
          <w:sz w:val="28"/>
          <w:szCs w:val="28"/>
          <w:lang w:val="ru-RU"/>
        </w:rPr>
        <w:t>2</w:t>
      </w:r>
      <w:r w:rsidR="00AA69DA" w:rsidRPr="00107040">
        <w:rPr>
          <w:rFonts w:ascii="Times New Roman" w:eastAsia="MS Mincho" w:hAnsi="Times New Roman"/>
          <w:spacing w:val="-2"/>
          <w:sz w:val="28"/>
          <w:szCs w:val="28"/>
          <w:lang w:val="ru-RU"/>
        </w:rPr>
        <w:t xml:space="preserve"> </w:t>
      </w:r>
      <w:r w:rsidR="00AA69DA" w:rsidRPr="00107040">
        <w:rPr>
          <w:rFonts w:ascii="Times New Roman" w:eastAsia="MS Mincho" w:hAnsi="Times New Roman"/>
          <w:i/>
          <w:sz w:val="28"/>
          <w:szCs w:val="28"/>
          <w:lang w:val="en-US"/>
        </w:rPr>
        <w:t>A</w:t>
      </w:r>
      <w:r w:rsidR="00AA69DA" w:rsidRPr="00107040">
        <w:rPr>
          <w:rFonts w:ascii="Times New Roman" w:eastAsia="MS Mincho" w:hAnsi="Times New Roman"/>
          <w:i/>
          <w:sz w:val="28"/>
          <w:szCs w:val="28"/>
          <w:lang w:val="ru-RU"/>
        </w:rPr>
        <w:t>.</w:t>
      </w:r>
      <w:r w:rsidR="00AA69DA" w:rsidRPr="00107040">
        <w:rPr>
          <w:rFonts w:ascii="Times New Roman" w:eastAsia="MS Mincho" w:hAnsi="Times New Roman"/>
          <w:i/>
          <w:spacing w:val="-5"/>
          <w:sz w:val="28"/>
          <w:szCs w:val="28"/>
          <w:lang w:val="ru-RU"/>
        </w:rPr>
        <w:t xml:space="preserve"> </w:t>
      </w:r>
      <w:r w:rsidR="00AA69DA" w:rsidRPr="00107040">
        <w:rPr>
          <w:rFonts w:ascii="Times New Roman" w:eastAsia="MS Mincho" w:hAnsi="Times New Roman"/>
          <w:i/>
          <w:sz w:val="28"/>
          <w:szCs w:val="28"/>
          <w:lang w:val="en-US"/>
        </w:rPr>
        <w:t>thaliana</w:t>
      </w:r>
      <w:r w:rsidR="00AA69DA" w:rsidRPr="00107040">
        <w:rPr>
          <w:rFonts w:ascii="Times New Roman" w:eastAsia="MS Mincho" w:hAnsi="Times New Roman"/>
          <w:i/>
          <w:spacing w:val="-3"/>
          <w:sz w:val="28"/>
          <w:szCs w:val="28"/>
          <w:lang w:val="ru-RU"/>
        </w:rPr>
        <w:t xml:space="preserve"> </w:t>
      </w:r>
      <w:r w:rsidR="00AA69DA" w:rsidRPr="00107040">
        <w:rPr>
          <w:rFonts w:ascii="Times New Roman" w:eastAsia="MS Mincho" w:hAnsi="Times New Roman"/>
          <w:iCs/>
          <w:spacing w:val="-3"/>
          <w:sz w:val="28"/>
          <w:szCs w:val="28"/>
          <w:lang w:val="ru-RU"/>
        </w:rPr>
        <w:t xml:space="preserve">состоит из </w:t>
      </w:r>
      <w:r w:rsidR="00AA69DA" w:rsidRPr="00107040">
        <w:rPr>
          <w:rFonts w:ascii="Times New Roman" w:eastAsia="MS Mincho" w:hAnsi="Times New Roman"/>
          <w:sz w:val="28"/>
          <w:szCs w:val="28"/>
          <w:lang w:val="ru-RU"/>
        </w:rPr>
        <w:t>637</w:t>
      </w:r>
      <w:r w:rsidR="00AA69DA" w:rsidRPr="00107040">
        <w:rPr>
          <w:rFonts w:ascii="Times New Roman" w:eastAsia="MS Mincho" w:hAnsi="Times New Roman"/>
          <w:spacing w:val="-4"/>
          <w:sz w:val="28"/>
          <w:szCs w:val="28"/>
          <w:lang w:val="ru-RU"/>
        </w:rPr>
        <w:t xml:space="preserve"> </w:t>
      </w:r>
      <w:r w:rsidR="00AA69DA" w:rsidRPr="00107040">
        <w:rPr>
          <w:rFonts w:ascii="Times New Roman" w:eastAsia="MS Mincho" w:hAnsi="Times New Roman"/>
          <w:sz w:val="28"/>
          <w:szCs w:val="28"/>
          <w:lang w:val="ru-RU"/>
        </w:rPr>
        <w:t>аминокислот, расчетная молекулярная</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масса 72,2</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кДа</w:t>
      </w:r>
      <w:r w:rsidR="00AA69DA" w:rsidRPr="00107040">
        <w:rPr>
          <w:rFonts w:ascii="Times New Roman" w:eastAsia="MS Mincho" w:hAnsi="Times New Roman"/>
          <w:spacing w:val="-4"/>
          <w:sz w:val="28"/>
          <w:szCs w:val="28"/>
          <w:lang w:val="ru-RU"/>
        </w:rPr>
        <w:t xml:space="preserve"> </w:t>
      </w:r>
      <w:r w:rsidR="00AA69DA" w:rsidRPr="00107040">
        <w:rPr>
          <w:rFonts w:ascii="Times New Roman" w:eastAsia="MS Mincho" w:hAnsi="Times New Roman"/>
          <w:sz w:val="28"/>
          <w:szCs w:val="28"/>
          <w:lang w:val="ru-RU"/>
        </w:rPr>
        <w:t>и</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изоэлектрическая точка</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(ИЭТ)</w:t>
      </w:r>
      <w:r w:rsidR="00AA69DA" w:rsidRPr="00107040">
        <w:rPr>
          <w:rFonts w:ascii="Times New Roman" w:eastAsia="MS Mincho" w:hAnsi="Times New Roman"/>
          <w:spacing w:val="-3"/>
          <w:sz w:val="28"/>
          <w:szCs w:val="28"/>
          <w:lang w:val="ru-RU"/>
        </w:rPr>
        <w:t xml:space="preserve"> </w:t>
      </w:r>
      <w:r w:rsidR="00AA69DA" w:rsidRPr="00107040">
        <w:rPr>
          <w:rFonts w:ascii="Times New Roman" w:eastAsia="MS Mincho" w:hAnsi="Times New Roman"/>
          <w:sz w:val="28"/>
          <w:szCs w:val="28"/>
          <w:lang w:val="ru-RU"/>
        </w:rPr>
        <w:t>около</w:t>
      </w:r>
      <w:r w:rsidR="00AA69DA" w:rsidRPr="00107040">
        <w:rPr>
          <w:rFonts w:ascii="Times New Roman" w:eastAsia="MS Mincho" w:hAnsi="Times New Roman"/>
          <w:spacing w:val="-1"/>
          <w:sz w:val="28"/>
          <w:szCs w:val="28"/>
          <w:lang w:val="ru-RU"/>
        </w:rPr>
        <w:t xml:space="preserve"> </w:t>
      </w:r>
      <w:r w:rsidR="00AA69DA" w:rsidRPr="00107040">
        <w:rPr>
          <w:rFonts w:ascii="Times New Roman" w:eastAsia="MS Mincho" w:hAnsi="Times New Roman"/>
          <w:sz w:val="28"/>
          <w:szCs w:val="28"/>
          <w:lang w:val="ru-RU"/>
        </w:rPr>
        <w:t>5,92.</w:t>
      </w:r>
    </w:p>
    <w:p w14:paraId="2CBADE9D" w14:textId="6BEA41E4" w:rsidR="00AA69DA" w:rsidRPr="00107040" w:rsidRDefault="00AA69DA" w:rsidP="008D6882">
      <w:pPr>
        <w:autoSpaceDE w:val="0"/>
        <w:autoSpaceDN w:val="0"/>
        <w:adjustRightInd w:val="0"/>
        <w:spacing w:after="0" w:line="240" w:lineRule="auto"/>
        <w:ind w:firstLine="567"/>
        <w:jc w:val="both"/>
        <w:rPr>
          <w:rFonts w:ascii="Times New Roman" w:eastAsia="MS Mincho" w:hAnsi="Times New Roman"/>
          <w:sz w:val="28"/>
          <w:szCs w:val="28"/>
          <w:lang w:val="ru-RU"/>
        </w:rPr>
      </w:pPr>
      <w:r w:rsidRPr="00107040">
        <w:rPr>
          <w:rFonts w:ascii="Times New Roman" w:eastAsia="MS Mincho" w:hAnsi="Times New Roman"/>
          <w:sz w:val="28"/>
          <w:szCs w:val="28"/>
          <w:lang w:val="ru-RU"/>
        </w:rPr>
        <w:t>На</w:t>
      </w:r>
      <w:r w:rsidRPr="00107040">
        <w:rPr>
          <w:rFonts w:ascii="Times New Roman" w:eastAsia="MS Mincho" w:hAnsi="Times New Roman"/>
          <w:spacing w:val="-12"/>
          <w:sz w:val="28"/>
          <w:szCs w:val="28"/>
          <w:lang w:val="ru-RU"/>
        </w:rPr>
        <w:t xml:space="preserve"> </w:t>
      </w:r>
      <w:r w:rsidRPr="00107040">
        <w:rPr>
          <w:rFonts w:ascii="Times New Roman" w:eastAsia="MS Mincho" w:hAnsi="Times New Roman"/>
          <w:sz w:val="28"/>
          <w:szCs w:val="28"/>
          <w:lang w:val="ru-RU"/>
        </w:rPr>
        <w:t>основании</w:t>
      </w:r>
      <w:r w:rsidRPr="00107040">
        <w:rPr>
          <w:rFonts w:ascii="Times New Roman" w:eastAsia="MS Mincho" w:hAnsi="Times New Roman"/>
          <w:spacing w:val="-10"/>
          <w:sz w:val="28"/>
          <w:szCs w:val="28"/>
          <w:lang w:val="ru-RU"/>
        </w:rPr>
        <w:t xml:space="preserve"> </w:t>
      </w:r>
      <w:r w:rsidRPr="00107040">
        <w:rPr>
          <w:rFonts w:ascii="Times New Roman" w:eastAsia="MS Mincho" w:hAnsi="Times New Roman"/>
          <w:sz w:val="28"/>
          <w:szCs w:val="28"/>
          <w:lang w:val="ru-RU"/>
        </w:rPr>
        <w:t>анализа</w:t>
      </w:r>
      <w:r w:rsidRPr="00107040">
        <w:rPr>
          <w:rFonts w:ascii="Times New Roman" w:eastAsia="MS Mincho" w:hAnsi="Times New Roman"/>
          <w:spacing w:val="-11"/>
          <w:sz w:val="28"/>
          <w:szCs w:val="28"/>
          <w:lang w:val="ru-RU"/>
        </w:rPr>
        <w:t xml:space="preserve"> </w:t>
      </w:r>
      <w:r w:rsidRPr="00107040">
        <w:rPr>
          <w:rFonts w:ascii="Times New Roman" w:eastAsia="MS Mincho" w:hAnsi="Times New Roman"/>
          <w:sz w:val="28"/>
          <w:szCs w:val="28"/>
          <w:lang w:val="ru-RU"/>
        </w:rPr>
        <w:t>нуклеотидной</w:t>
      </w:r>
      <w:r w:rsidRPr="00107040">
        <w:rPr>
          <w:rFonts w:ascii="Times New Roman" w:eastAsia="MS Mincho" w:hAnsi="Times New Roman"/>
          <w:spacing w:val="-12"/>
          <w:sz w:val="28"/>
          <w:szCs w:val="28"/>
          <w:lang w:val="ru-RU"/>
        </w:rPr>
        <w:t xml:space="preserve"> </w:t>
      </w:r>
      <w:r w:rsidRPr="00107040">
        <w:rPr>
          <w:rFonts w:ascii="Times New Roman" w:eastAsia="MS Mincho" w:hAnsi="Times New Roman"/>
          <w:sz w:val="28"/>
          <w:szCs w:val="28"/>
          <w:lang w:val="ru-RU"/>
        </w:rPr>
        <w:t>последовательност</w:t>
      </w:r>
      <w:r w:rsidR="009B2206" w:rsidRPr="00107040">
        <w:rPr>
          <w:rFonts w:ascii="Times New Roman" w:eastAsia="MS Mincho" w:hAnsi="Times New Roman"/>
          <w:sz w:val="28"/>
          <w:szCs w:val="28"/>
          <w:lang w:val="ru-RU"/>
        </w:rPr>
        <w:t>и</w:t>
      </w:r>
      <w:r w:rsidRPr="00107040">
        <w:rPr>
          <w:rFonts w:ascii="Times New Roman" w:eastAsia="MS Mincho" w:hAnsi="Times New Roman"/>
          <w:spacing w:val="-9"/>
          <w:sz w:val="28"/>
          <w:szCs w:val="28"/>
          <w:lang w:val="ru-RU"/>
        </w:rPr>
        <w:t xml:space="preserve"> </w:t>
      </w:r>
      <w:r w:rsidRPr="00107040">
        <w:rPr>
          <w:rFonts w:ascii="Times New Roman" w:eastAsia="MS Mincho" w:hAnsi="Times New Roman"/>
          <w:sz w:val="28"/>
          <w:szCs w:val="28"/>
          <w:lang w:val="ru-RU"/>
        </w:rPr>
        <w:t>кДНК</w:t>
      </w:r>
      <w:r w:rsidRPr="00107040">
        <w:rPr>
          <w:rFonts w:ascii="Times New Roman" w:eastAsia="MS Mincho" w:hAnsi="Times New Roman"/>
          <w:spacing w:val="-10"/>
          <w:sz w:val="28"/>
          <w:szCs w:val="28"/>
          <w:lang w:val="ru-RU"/>
        </w:rPr>
        <w:t xml:space="preserve"> </w:t>
      </w:r>
      <w:r w:rsidRPr="00107040">
        <w:rPr>
          <w:rFonts w:ascii="Times New Roman" w:eastAsia="MS Mincho" w:hAnsi="Times New Roman"/>
          <w:sz w:val="28"/>
          <w:szCs w:val="28"/>
          <w:lang w:val="ru-RU"/>
        </w:rPr>
        <w:t>генов</w:t>
      </w:r>
      <w:r w:rsidRPr="00107040">
        <w:rPr>
          <w:rFonts w:ascii="Times New Roman" w:eastAsia="MS Mincho" w:hAnsi="Times New Roman"/>
          <w:spacing w:val="-11"/>
          <w:sz w:val="28"/>
          <w:szCs w:val="28"/>
          <w:lang w:val="ru-RU"/>
        </w:rPr>
        <w:t xml:space="preserve"> </w:t>
      </w:r>
      <w:r w:rsidRPr="00107040">
        <w:rPr>
          <w:rFonts w:ascii="Times New Roman" w:eastAsia="MS Mincho" w:hAnsi="Times New Roman"/>
          <w:i/>
          <w:iCs/>
          <w:sz w:val="28"/>
          <w:szCs w:val="28"/>
          <w:lang w:val="en-US"/>
        </w:rPr>
        <w:t>AtPARP</w:t>
      </w:r>
      <w:r w:rsidRPr="00107040">
        <w:rPr>
          <w:rFonts w:ascii="Times New Roman" w:eastAsia="MS Mincho" w:hAnsi="Times New Roman"/>
          <w:i/>
          <w:iCs/>
          <w:sz w:val="28"/>
          <w:szCs w:val="28"/>
          <w:lang w:val="ru-RU"/>
        </w:rPr>
        <w:t>1</w:t>
      </w:r>
      <w:r w:rsidRPr="00107040">
        <w:rPr>
          <w:rFonts w:ascii="Times New Roman" w:eastAsia="MS Mincho" w:hAnsi="Times New Roman"/>
          <w:i/>
          <w:spacing w:val="-57"/>
          <w:sz w:val="28"/>
          <w:szCs w:val="28"/>
          <w:lang w:val="ru-RU"/>
        </w:rPr>
        <w:t xml:space="preserve"> </w:t>
      </w:r>
      <w:r w:rsidRPr="00107040">
        <w:rPr>
          <w:rFonts w:ascii="Times New Roman" w:eastAsia="MS Mincho" w:hAnsi="Times New Roman"/>
          <w:iCs/>
          <w:spacing w:val="-57"/>
          <w:sz w:val="28"/>
          <w:szCs w:val="28"/>
          <w:lang w:val="ru-RU"/>
        </w:rPr>
        <w:t xml:space="preserve">и </w:t>
      </w:r>
      <w:r w:rsidRPr="00107040">
        <w:rPr>
          <w:rFonts w:ascii="Times New Roman" w:eastAsia="MS Mincho" w:hAnsi="Times New Roman"/>
          <w:i/>
          <w:iCs/>
          <w:sz w:val="28"/>
          <w:szCs w:val="28"/>
          <w:lang w:val="en-US"/>
        </w:rPr>
        <w:t>AtPARP</w:t>
      </w:r>
      <w:r w:rsidRPr="00107040">
        <w:rPr>
          <w:rFonts w:ascii="Times New Roman" w:eastAsia="MS Mincho" w:hAnsi="Times New Roman"/>
          <w:i/>
          <w:iCs/>
          <w:sz w:val="28"/>
          <w:szCs w:val="28"/>
          <w:lang w:val="ru-RU"/>
        </w:rPr>
        <w:t>2</w:t>
      </w:r>
      <w:r w:rsidRPr="00107040">
        <w:rPr>
          <w:rFonts w:ascii="Times New Roman" w:eastAsia="MS Mincho" w:hAnsi="Times New Roman"/>
          <w:iCs/>
          <w:sz w:val="28"/>
          <w:szCs w:val="28"/>
          <w:lang w:val="ru-RU"/>
        </w:rPr>
        <w:t xml:space="preserve"> </w:t>
      </w:r>
      <w:r w:rsidRPr="00107040">
        <w:rPr>
          <w:rFonts w:ascii="Times New Roman" w:eastAsia="MS Mincho" w:hAnsi="Times New Roman"/>
          <w:sz w:val="28"/>
          <w:szCs w:val="28"/>
          <w:lang w:val="ru-RU"/>
        </w:rPr>
        <w:t>проведен</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расчет</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осуществлен</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синтез</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олигонуклеотидных</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праймеров</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(таблица</w:t>
      </w:r>
      <w:r w:rsidRPr="00107040">
        <w:rPr>
          <w:rFonts w:ascii="Times New Roman" w:eastAsia="MS Mincho" w:hAnsi="Times New Roman"/>
          <w:spacing w:val="1"/>
          <w:sz w:val="28"/>
          <w:szCs w:val="28"/>
          <w:lang w:val="ru-RU"/>
        </w:rPr>
        <w:t xml:space="preserve"> </w:t>
      </w:r>
      <w:r w:rsidR="00AC7601">
        <w:rPr>
          <w:rFonts w:ascii="Times New Roman" w:eastAsia="MS Mincho" w:hAnsi="Times New Roman"/>
          <w:sz w:val="28"/>
          <w:szCs w:val="28"/>
          <w:lang w:val="ru-RU"/>
        </w:rPr>
        <w:t>5</w:t>
      </w:r>
      <w:r w:rsidRPr="00107040">
        <w:rPr>
          <w:rFonts w:ascii="Times New Roman" w:eastAsia="MS Mincho" w:hAnsi="Times New Roman"/>
          <w:sz w:val="28"/>
          <w:szCs w:val="28"/>
          <w:lang w:val="ru-RU"/>
        </w:rPr>
        <w:t>)</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для</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амплификации</w:t>
      </w:r>
      <w:r w:rsidRPr="00107040">
        <w:rPr>
          <w:rFonts w:ascii="Times New Roman" w:eastAsia="MS Mincho" w:hAnsi="Times New Roman"/>
          <w:spacing w:val="25"/>
          <w:sz w:val="28"/>
          <w:szCs w:val="28"/>
          <w:lang w:val="ru-RU"/>
        </w:rPr>
        <w:t xml:space="preserve"> </w:t>
      </w:r>
      <w:r w:rsidRPr="00107040">
        <w:rPr>
          <w:rFonts w:ascii="Times New Roman" w:eastAsia="MS Mincho" w:hAnsi="Times New Roman"/>
          <w:sz w:val="28"/>
          <w:szCs w:val="28"/>
          <w:lang w:val="ru-RU"/>
        </w:rPr>
        <w:t>вышеуказанных генов</w:t>
      </w:r>
      <w:r w:rsidRPr="00107040">
        <w:rPr>
          <w:rFonts w:ascii="Times New Roman" w:eastAsia="MS Mincho" w:hAnsi="Times New Roman"/>
          <w:spacing w:val="24"/>
          <w:sz w:val="28"/>
          <w:szCs w:val="28"/>
          <w:lang w:val="ru-RU"/>
        </w:rPr>
        <w:t xml:space="preserve"> </w:t>
      </w:r>
      <w:r w:rsidRPr="00107040">
        <w:rPr>
          <w:rFonts w:ascii="Times New Roman" w:eastAsia="MS Mincho" w:hAnsi="Times New Roman"/>
          <w:i/>
          <w:sz w:val="28"/>
          <w:szCs w:val="28"/>
          <w:lang w:val="en-US"/>
        </w:rPr>
        <w:t>A</w:t>
      </w:r>
      <w:r w:rsidRPr="00107040">
        <w:rPr>
          <w:rFonts w:ascii="Times New Roman" w:eastAsia="MS Mincho" w:hAnsi="Times New Roman"/>
          <w:i/>
          <w:sz w:val="28"/>
          <w:szCs w:val="28"/>
          <w:lang w:val="ru-RU"/>
        </w:rPr>
        <w:t>.</w:t>
      </w:r>
      <w:r w:rsidRPr="00107040">
        <w:rPr>
          <w:rFonts w:ascii="Times New Roman" w:eastAsia="MS Mincho" w:hAnsi="Times New Roman"/>
          <w:i/>
          <w:spacing w:val="24"/>
          <w:sz w:val="28"/>
          <w:szCs w:val="28"/>
          <w:lang w:val="ru-RU"/>
        </w:rPr>
        <w:t xml:space="preserve"> </w:t>
      </w:r>
      <w:r w:rsidRPr="00107040">
        <w:rPr>
          <w:rFonts w:ascii="Times New Roman" w:eastAsia="MS Mincho" w:hAnsi="Times New Roman"/>
          <w:i/>
          <w:sz w:val="28"/>
          <w:szCs w:val="28"/>
          <w:lang w:val="en-US"/>
        </w:rPr>
        <w:t>thaliana</w:t>
      </w:r>
      <w:r w:rsidRPr="00107040">
        <w:rPr>
          <w:rFonts w:ascii="Times New Roman" w:eastAsia="MS Mincho" w:hAnsi="Times New Roman"/>
          <w:sz w:val="28"/>
          <w:szCs w:val="28"/>
          <w:lang w:val="ru-RU"/>
        </w:rPr>
        <w:t>.</w:t>
      </w:r>
      <w:r w:rsidRPr="00107040">
        <w:rPr>
          <w:rFonts w:ascii="Times New Roman" w:eastAsia="MS Mincho" w:hAnsi="Times New Roman"/>
          <w:spacing w:val="25"/>
          <w:sz w:val="28"/>
          <w:szCs w:val="28"/>
          <w:lang w:val="ru-RU"/>
        </w:rPr>
        <w:t xml:space="preserve"> </w:t>
      </w:r>
      <w:r w:rsidRPr="00107040">
        <w:rPr>
          <w:rFonts w:ascii="Times New Roman" w:eastAsia="MS Mincho" w:hAnsi="Times New Roman"/>
          <w:sz w:val="28"/>
          <w:szCs w:val="28"/>
          <w:lang w:val="ru-RU"/>
        </w:rPr>
        <w:t>Тотальный</w:t>
      </w:r>
      <w:r w:rsidRPr="00107040">
        <w:rPr>
          <w:rFonts w:ascii="Times New Roman" w:eastAsia="MS Mincho" w:hAnsi="Times New Roman"/>
          <w:spacing w:val="22"/>
          <w:sz w:val="28"/>
          <w:szCs w:val="28"/>
          <w:lang w:val="ru-RU"/>
        </w:rPr>
        <w:t xml:space="preserve"> </w:t>
      </w:r>
      <w:r w:rsidRPr="00107040">
        <w:rPr>
          <w:rFonts w:ascii="Times New Roman" w:eastAsia="MS Mincho" w:hAnsi="Times New Roman"/>
          <w:sz w:val="28"/>
          <w:szCs w:val="28"/>
          <w:lang w:val="ru-RU"/>
        </w:rPr>
        <w:t>препарат</w:t>
      </w:r>
      <w:r w:rsidRPr="00107040">
        <w:rPr>
          <w:rFonts w:ascii="Times New Roman" w:eastAsia="MS Mincho" w:hAnsi="Times New Roman"/>
          <w:spacing w:val="25"/>
          <w:sz w:val="28"/>
          <w:szCs w:val="28"/>
          <w:lang w:val="ru-RU"/>
        </w:rPr>
        <w:t xml:space="preserve"> </w:t>
      </w:r>
      <w:r w:rsidRPr="00107040">
        <w:rPr>
          <w:rFonts w:ascii="Times New Roman" w:eastAsia="MS Mincho" w:hAnsi="Times New Roman"/>
          <w:sz w:val="28"/>
          <w:szCs w:val="28"/>
          <w:lang w:val="ru-RU"/>
        </w:rPr>
        <w:t>РНК</w:t>
      </w:r>
      <w:r w:rsidRPr="00107040">
        <w:rPr>
          <w:rFonts w:ascii="Times New Roman" w:eastAsia="MS Mincho" w:hAnsi="Times New Roman"/>
          <w:spacing w:val="24"/>
          <w:sz w:val="28"/>
          <w:szCs w:val="28"/>
          <w:lang w:val="ru-RU"/>
        </w:rPr>
        <w:t xml:space="preserve"> </w:t>
      </w:r>
      <w:r w:rsidRPr="00107040">
        <w:rPr>
          <w:rFonts w:ascii="Times New Roman" w:eastAsia="MS Mincho" w:hAnsi="Times New Roman"/>
          <w:sz w:val="28"/>
          <w:szCs w:val="28"/>
          <w:lang w:val="ru-RU"/>
        </w:rPr>
        <w:t>выделяли</w:t>
      </w:r>
      <w:r w:rsidRPr="00107040">
        <w:rPr>
          <w:rFonts w:ascii="Times New Roman" w:eastAsia="MS Mincho" w:hAnsi="Times New Roman"/>
          <w:spacing w:val="24"/>
          <w:sz w:val="28"/>
          <w:szCs w:val="28"/>
          <w:lang w:val="ru-RU"/>
        </w:rPr>
        <w:t xml:space="preserve"> </w:t>
      </w:r>
      <w:r w:rsidRPr="00107040">
        <w:rPr>
          <w:rFonts w:ascii="Times New Roman" w:eastAsia="MS Mincho" w:hAnsi="Times New Roman"/>
          <w:sz w:val="28"/>
          <w:szCs w:val="28"/>
          <w:lang w:val="ru-RU"/>
        </w:rPr>
        <w:t>из</w:t>
      </w:r>
      <w:r w:rsidRPr="00107040">
        <w:rPr>
          <w:rFonts w:ascii="Times New Roman" w:eastAsia="MS Mincho" w:hAnsi="Times New Roman"/>
          <w:spacing w:val="29"/>
          <w:sz w:val="28"/>
          <w:szCs w:val="28"/>
          <w:lang w:val="ru-RU"/>
        </w:rPr>
        <w:t xml:space="preserve"> </w:t>
      </w:r>
      <w:r w:rsidRPr="00107040">
        <w:rPr>
          <w:rFonts w:ascii="Times New Roman" w:eastAsia="MS Mincho" w:hAnsi="Times New Roman"/>
          <w:sz w:val="28"/>
          <w:szCs w:val="28"/>
          <w:lang w:val="ru-RU"/>
        </w:rPr>
        <w:t>14-дневных проростков растений тризол методом, как описано в разделе методы исследования.</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Электрофоретический анализ РНК на 0,8 % агарозном геле показал наличие 28</w:t>
      </w:r>
      <w:r w:rsidRPr="00107040">
        <w:rPr>
          <w:rFonts w:ascii="Times New Roman" w:eastAsia="MS Mincho" w:hAnsi="Times New Roman"/>
          <w:sz w:val="28"/>
          <w:szCs w:val="28"/>
          <w:lang w:val="en-US"/>
        </w:rPr>
        <w:t>S</w:t>
      </w:r>
      <w:r w:rsidRPr="00107040">
        <w:rPr>
          <w:rFonts w:ascii="Times New Roman" w:eastAsia="MS Mincho" w:hAnsi="Times New Roman"/>
          <w:sz w:val="28"/>
          <w:szCs w:val="28"/>
          <w:lang w:val="ru-RU"/>
        </w:rPr>
        <w:t xml:space="preserve"> рРНК и 18</w:t>
      </w:r>
      <w:r w:rsidRPr="00107040">
        <w:rPr>
          <w:rFonts w:ascii="Times New Roman" w:eastAsia="MS Mincho" w:hAnsi="Times New Roman"/>
          <w:sz w:val="28"/>
          <w:szCs w:val="28"/>
          <w:lang w:val="en-US"/>
        </w:rPr>
        <w:t>S</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 xml:space="preserve">рРНК (рисунок </w:t>
      </w:r>
      <w:r w:rsidR="00AC7601">
        <w:rPr>
          <w:rFonts w:ascii="Times New Roman" w:eastAsia="MS Mincho" w:hAnsi="Times New Roman"/>
          <w:sz w:val="28"/>
          <w:szCs w:val="28"/>
          <w:lang w:val="ru-RU"/>
        </w:rPr>
        <w:t>9</w:t>
      </w:r>
      <w:r w:rsidRPr="00107040">
        <w:rPr>
          <w:rFonts w:ascii="Times New Roman" w:eastAsia="MS Mincho" w:hAnsi="Times New Roman"/>
          <w:sz w:val="28"/>
          <w:szCs w:val="28"/>
          <w:lang w:val="ru-RU"/>
        </w:rPr>
        <w:t xml:space="preserve">А). Отношения </w:t>
      </w:r>
      <w:r w:rsidRPr="00107040">
        <w:rPr>
          <w:rFonts w:ascii="Times New Roman" w:eastAsia="MS Mincho" w:hAnsi="Times New Roman"/>
          <w:sz w:val="28"/>
          <w:szCs w:val="28"/>
          <w:lang w:val="en-US"/>
        </w:rPr>
        <w:t>A</w:t>
      </w:r>
      <w:r w:rsidRPr="00107040">
        <w:rPr>
          <w:rFonts w:ascii="Times New Roman" w:eastAsia="MS Mincho" w:hAnsi="Times New Roman"/>
          <w:sz w:val="28"/>
          <w:szCs w:val="28"/>
          <w:lang w:val="ru-RU"/>
        </w:rPr>
        <w:t>260/</w:t>
      </w:r>
      <w:r w:rsidRPr="00107040">
        <w:rPr>
          <w:rFonts w:ascii="Times New Roman" w:eastAsia="MS Mincho" w:hAnsi="Times New Roman"/>
          <w:sz w:val="28"/>
          <w:szCs w:val="28"/>
          <w:lang w:val="en-US"/>
        </w:rPr>
        <w:t>A</w:t>
      </w:r>
      <w:r w:rsidRPr="00107040">
        <w:rPr>
          <w:rFonts w:ascii="Times New Roman" w:eastAsia="MS Mincho" w:hAnsi="Times New Roman"/>
          <w:sz w:val="28"/>
          <w:szCs w:val="28"/>
          <w:lang w:val="ru-RU"/>
        </w:rPr>
        <w:t xml:space="preserve">280 и </w:t>
      </w:r>
      <w:r w:rsidRPr="00107040">
        <w:rPr>
          <w:rFonts w:ascii="Times New Roman" w:eastAsia="MS Mincho" w:hAnsi="Times New Roman"/>
          <w:sz w:val="28"/>
          <w:szCs w:val="28"/>
          <w:lang w:val="en-US"/>
        </w:rPr>
        <w:t>A</w:t>
      </w:r>
      <w:r w:rsidRPr="00107040">
        <w:rPr>
          <w:rFonts w:ascii="Times New Roman" w:eastAsia="MS Mincho" w:hAnsi="Times New Roman"/>
          <w:sz w:val="28"/>
          <w:szCs w:val="28"/>
          <w:lang w:val="ru-RU"/>
        </w:rPr>
        <w:t>260/</w:t>
      </w:r>
      <w:r w:rsidRPr="00107040">
        <w:rPr>
          <w:rFonts w:ascii="Times New Roman" w:eastAsia="MS Mincho" w:hAnsi="Times New Roman"/>
          <w:sz w:val="28"/>
          <w:szCs w:val="28"/>
          <w:lang w:val="en-US"/>
        </w:rPr>
        <w:t>A</w:t>
      </w:r>
      <w:r w:rsidRPr="00107040">
        <w:rPr>
          <w:rFonts w:ascii="Times New Roman" w:eastAsia="MS Mincho" w:hAnsi="Times New Roman"/>
          <w:sz w:val="28"/>
          <w:szCs w:val="28"/>
          <w:lang w:val="ru-RU"/>
        </w:rPr>
        <w:t>230 были 1,9 и 2,0, соответственно. Это</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свидетельствует</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о</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высоком</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качестве</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препарата</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низкой</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загрязненности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изолированных</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образцов</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белковыми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компонентами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вторичными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метаболитами.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Далее</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препарат</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РНК</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использовали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для</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амплификации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кДНК</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i/>
          <w:iCs/>
          <w:sz w:val="28"/>
          <w:szCs w:val="28"/>
          <w:lang w:val="en-US"/>
        </w:rPr>
        <w:t>AtPARP</w:t>
      </w:r>
      <w:r w:rsidRPr="00107040">
        <w:rPr>
          <w:rFonts w:ascii="Times New Roman" w:eastAsia="MS Mincho" w:hAnsi="Times New Roman"/>
          <w:i/>
          <w:iCs/>
          <w:sz w:val="28"/>
          <w:szCs w:val="28"/>
          <w:lang w:val="ru-RU"/>
        </w:rPr>
        <w:t>2</w:t>
      </w:r>
      <w:r w:rsidRPr="00107040">
        <w:rPr>
          <w:rFonts w:ascii="Times New Roman" w:eastAsia="MS Mincho" w:hAnsi="Times New Roman"/>
          <w:i/>
          <w:spacing w:val="1"/>
          <w:sz w:val="28"/>
          <w:szCs w:val="28"/>
          <w:lang w:val="ru-RU"/>
        </w:rPr>
        <w:t xml:space="preserve"> </w:t>
      </w:r>
      <w:r w:rsidRPr="00107040">
        <w:rPr>
          <w:rFonts w:ascii="Times New Roman" w:eastAsia="MS Mincho" w:hAnsi="Times New Roman"/>
          <w:iCs/>
          <w:spacing w:val="1"/>
          <w:sz w:val="28"/>
          <w:szCs w:val="28"/>
          <w:lang w:val="ru-RU"/>
        </w:rPr>
        <w:t xml:space="preserve">и </w:t>
      </w:r>
      <w:r w:rsidRPr="00107040">
        <w:rPr>
          <w:rFonts w:ascii="Times New Roman" w:eastAsia="MS Mincho" w:hAnsi="Times New Roman"/>
          <w:i/>
          <w:iCs/>
          <w:sz w:val="28"/>
          <w:szCs w:val="28"/>
          <w:lang w:val="en-US"/>
        </w:rPr>
        <w:t>AtPARP</w:t>
      </w:r>
      <w:r w:rsidRPr="00107040">
        <w:rPr>
          <w:rFonts w:ascii="Times New Roman" w:eastAsia="MS Mincho" w:hAnsi="Times New Roman"/>
          <w:i/>
          <w:iCs/>
          <w:sz w:val="28"/>
          <w:szCs w:val="28"/>
          <w:lang w:val="ru-RU"/>
        </w:rPr>
        <w:t>1</w:t>
      </w:r>
      <w:r w:rsidRPr="00107040">
        <w:rPr>
          <w:rFonts w:ascii="Times New Roman" w:eastAsia="MS Mincho" w:hAnsi="Times New Roman"/>
          <w:iCs/>
          <w:sz w:val="28"/>
          <w:szCs w:val="28"/>
          <w:lang w:val="ru-RU"/>
        </w:rPr>
        <w:t xml:space="preserve"> </w:t>
      </w:r>
      <w:r w:rsidRPr="00107040">
        <w:rPr>
          <w:rFonts w:ascii="Times New Roman" w:eastAsia="MS Mincho" w:hAnsi="Times New Roman"/>
          <w:sz w:val="28"/>
          <w:szCs w:val="28"/>
          <w:lang w:val="ru-RU"/>
        </w:rPr>
        <w:t>с</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применением</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сайт</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специфических</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праймеров</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с</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помощью</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реакции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обратной</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транскрипции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(РОТ)</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и</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полимеразной</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цепной</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 xml:space="preserve">реакции (ПЦР). Условия проведения этих реакций указаны в разделе «Материалы и методы», </w:t>
      </w:r>
      <w:r w:rsidRPr="00107040">
        <w:rPr>
          <w:rFonts w:ascii="Times New Roman" w:eastAsia="MS Mincho" w:hAnsi="Times New Roman"/>
          <w:spacing w:val="-57"/>
          <w:sz w:val="28"/>
          <w:szCs w:val="28"/>
          <w:lang w:val="ru-RU"/>
        </w:rPr>
        <w:t xml:space="preserve"> </w:t>
      </w:r>
      <w:r w:rsidRPr="00107040">
        <w:rPr>
          <w:rFonts w:ascii="Times New Roman" w:eastAsia="MS Mincho" w:hAnsi="Times New Roman"/>
          <w:sz w:val="28"/>
          <w:szCs w:val="28"/>
          <w:lang w:val="ru-RU"/>
        </w:rPr>
        <w:t>а</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результаты</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приведены</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на</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рисунке</w:t>
      </w:r>
      <w:r w:rsidRPr="00107040">
        <w:rPr>
          <w:rFonts w:ascii="Times New Roman" w:eastAsia="MS Mincho" w:hAnsi="Times New Roman"/>
          <w:spacing w:val="1"/>
          <w:sz w:val="28"/>
          <w:szCs w:val="28"/>
          <w:lang w:val="ru-RU"/>
        </w:rPr>
        <w:t xml:space="preserve"> </w:t>
      </w:r>
      <w:r w:rsidR="00AC7601">
        <w:rPr>
          <w:rFonts w:ascii="Times New Roman" w:eastAsia="MS Mincho" w:hAnsi="Times New Roman"/>
          <w:spacing w:val="1"/>
          <w:sz w:val="28"/>
          <w:szCs w:val="28"/>
          <w:lang w:val="ru-RU"/>
        </w:rPr>
        <w:t>9</w:t>
      </w:r>
      <w:r w:rsidRPr="00107040">
        <w:rPr>
          <w:rFonts w:ascii="Times New Roman" w:eastAsia="MS Mincho" w:hAnsi="Times New Roman"/>
          <w:sz w:val="28"/>
          <w:szCs w:val="28"/>
          <w:lang w:val="ru-RU"/>
        </w:rPr>
        <w:t>.</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Из</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приведенной</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электрофореграммы</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видно,</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что</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главным продуктом амплификации является кДНК с ожидаемым размером около 1900 и 2900 пар</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нуклеотидов,</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что</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соответствует</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длине</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кДНК</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sz w:val="28"/>
          <w:szCs w:val="28"/>
          <w:lang w:val="ru-RU"/>
        </w:rPr>
        <w:t>генов</w:t>
      </w:r>
      <w:r w:rsidRPr="00107040">
        <w:rPr>
          <w:rFonts w:ascii="Times New Roman" w:eastAsia="MS Mincho" w:hAnsi="Times New Roman"/>
          <w:spacing w:val="-1"/>
          <w:sz w:val="28"/>
          <w:szCs w:val="28"/>
          <w:lang w:val="ru-RU"/>
        </w:rPr>
        <w:t xml:space="preserve"> </w:t>
      </w:r>
      <w:r w:rsidRPr="00107040">
        <w:rPr>
          <w:rFonts w:ascii="Times New Roman" w:eastAsia="MS Mincho" w:hAnsi="Times New Roman"/>
          <w:i/>
          <w:iCs/>
          <w:sz w:val="28"/>
          <w:szCs w:val="28"/>
          <w:lang w:val="en-US"/>
        </w:rPr>
        <w:t>AtPARP</w:t>
      </w:r>
      <w:r w:rsidRPr="00107040">
        <w:rPr>
          <w:rFonts w:ascii="Times New Roman" w:eastAsia="MS Mincho" w:hAnsi="Times New Roman"/>
          <w:i/>
          <w:iCs/>
          <w:sz w:val="28"/>
          <w:szCs w:val="28"/>
          <w:lang w:val="ru-RU"/>
        </w:rPr>
        <w:t>2</w:t>
      </w:r>
      <w:r w:rsidRPr="00107040">
        <w:rPr>
          <w:rFonts w:ascii="Times New Roman" w:eastAsia="MS Mincho" w:hAnsi="Times New Roman"/>
          <w:i/>
          <w:sz w:val="28"/>
          <w:szCs w:val="28"/>
          <w:lang w:val="ru-RU"/>
        </w:rPr>
        <w:t xml:space="preserve"> </w:t>
      </w:r>
      <w:r w:rsidRPr="00107040">
        <w:rPr>
          <w:rFonts w:ascii="Times New Roman" w:eastAsia="MS Mincho" w:hAnsi="Times New Roman"/>
          <w:sz w:val="28"/>
          <w:szCs w:val="28"/>
          <w:lang w:val="ru-RU"/>
        </w:rPr>
        <w:t xml:space="preserve">и </w:t>
      </w:r>
      <w:r w:rsidRPr="00107040">
        <w:rPr>
          <w:rFonts w:ascii="Times New Roman" w:eastAsia="MS Mincho" w:hAnsi="Times New Roman"/>
          <w:i/>
          <w:iCs/>
          <w:sz w:val="28"/>
          <w:szCs w:val="28"/>
          <w:lang w:val="en-US"/>
        </w:rPr>
        <w:t>AtPARP</w:t>
      </w:r>
      <w:r w:rsidRPr="00107040">
        <w:rPr>
          <w:rFonts w:ascii="Times New Roman" w:eastAsia="MS Mincho" w:hAnsi="Times New Roman"/>
          <w:i/>
          <w:iCs/>
          <w:sz w:val="28"/>
          <w:szCs w:val="28"/>
          <w:lang w:val="ru-RU"/>
        </w:rPr>
        <w:t>1</w:t>
      </w:r>
      <w:r w:rsidRPr="00107040">
        <w:rPr>
          <w:rFonts w:ascii="Times New Roman" w:eastAsia="MS Mincho" w:hAnsi="Times New Roman"/>
          <w:i/>
          <w:sz w:val="28"/>
          <w:szCs w:val="28"/>
          <w:lang w:val="ru-RU"/>
        </w:rPr>
        <w:t xml:space="preserve">, </w:t>
      </w:r>
      <w:r w:rsidRPr="00107040">
        <w:rPr>
          <w:rFonts w:ascii="Times New Roman" w:eastAsia="MS Mincho" w:hAnsi="Times New Roman"/>
          <w:sz w:val="28"/>
          <w:szCs w:val="28"/>
          <w:lang w:val="ru-RU"/>
        </w:rPr>
        <w:t>соответственно.</w:t>
      </w:r>
    </w:p>
    <w:p w14:paraId="17FAF844" w14:textId="14D5D31D" w:rsidR="00AA69DA" w:rsidRPr="00107040" w:rsidRDefault="00AA69DA" w:rsidP="000C16BB">
      <w:pPr>
        <w:autoSpaceDE w:val="0"/>
        <w:autoSpaceDN w:val="0"/>
        <w:adjustRightInd w:val="0"/>
        <w:spacing w:after="0" w:line="240" w:lineRule="auto"/>
        <w:ind w:firstLine="567"/>
        <w:jc w:val="both"/>
        <w:rPr>
          <w:rFonts w:ascii="Times New Roman" w:eastAsia="MS Mincho" w:hAnsi="Times New Roman"/>
          <w:sz w:val="28"/>
          <w:szCs w:val="28"/>
          <w:lang w:val="ru-RU"/>
        </w:rPr>
      </w:pPr>
      <w:r w:rsidRPr="00107040">
        <w:rPr>
          <w:rFonts w:ascii="Times New Roman" w:eastAsia="MS Mincho" w:hAnsi="Times New Roman"/>
          <w:sz w:val="28"/>
          <w:szCs w:val="28"/>
          <w:lang w:val="ru-RU"/>
        </w:rPr>
        <w:t xml:space="preserve">В следующих экспериментах, для функциональной экспрессии кДНК </w:t>
      </w:r>
      <w:r w:rsidRPr="00107040">
        <w:rPr>
          <w:rFonts w:ascii="Times New Roman" w:eastAsia="MS Mincho" w:hAnsi="Times New Roman"/>
          <w:i/>
          <w:sz w:val="28"/>
          <w:szCs w:val="28"/>
          <w:lang w:val="ru-RU"/>
        </w:rPr>
        <w:t>AtPARP1</w:t>
      </w:r>
      <w:r w:rsidRPr="00107040">
        <w:rPr>
          <w:rFonts w:ascii="Times New Roman" w:eastAsia="MS Mincho" w:hAnsi="Times New Roman"/>
          <w:sz w:val="28"/>
          <w:szCs w:val="28"/>
          <w:lang w:val="ru-RU"/>
        </w:rPr>
        <w:t xml:space="preserve"> и </w:t>
      </w:r>
      <w:r w:rsidRPr="00107040">
        <w:rPr>
          <w:rFonts w:ascii="Times New Roman" w:eastAsia="MS Mincho" w:hAnsi="Times New Roman"/>
          <w:i/>
          <w:sz w:val="28"/>
          <w:szCs w:val="28"/>
          <w:lang w:val="ru-RU"/>
        </w:rPr>
        <w:t>AtPARP2</w:t>
      </w:r>
      <w:r w:rsidRPr="00107040">
        <w:rPr>
          <w:rFonts w:ascii="Times New Roman" w:eastAsia="MS Mincho" w:hAnsi="Times New Roman"/>
          <w:sz w:val="28"/>
          <w:szCs w:val="28"/>
          <w:lang w:val="ru-RU"/>
        </w:rPr>
        <w:t xml:space="preserve"> в прокариотической системе нами был выбран вектор pET28с (Novagen, Германия), который обладает необходимыми для экспрессии генов качествами: сильным, </w:t>
      </w:r>
      <w:r w:rsidRPr="00107040">
        <w:rPr>
          <w:rFonts w:ascii="Times New Roman" w:eastAsia="MS Mincho" w:hAnsi="Times New Roman"/>
          <w:i/>
          <w:iCs/>
          <w:sz w:val="28"/>
          <w:szCs w:val="28"/>
          <w:lang w:val="ru-RU"/>
        </w:rPr>
        <w:t>lac</w:t>
      </w:r>
      <w:r w:rsidRPr="00107040">
        <w:rPr>
          <w:rFonts w:ascii="Times New Roman" w:eastAsia="MS Mincho" w:hAnsi="Times New Roman"/>
          <w:sz w:val="28"/>
          <w:szCs w:val="28"/>
          <w:lang w:val="ru-RU"/>
        </w:rPr>
        <w:t xml:space="preserve"> индуцибельным промотором бактериофага Т7, с 6xHis•tag последовательностью на С – конце, что позволяет аффинной очистке белкового продукта на основе никель-основанной хроматографии и подходящей для вставки емкостью, и простотой селекции. Для создание рекомбинантной ДНК-конструкции продукт ОТ </w:t>
      </w:r>
      <w:r w:rsidR="00BE07A3" w:rsidRPr="00107040">
        <w:rPr>
          <w:rStyle w:val="jlqj4b"/>
          <w:rFonts w:ascii="Times New Roman" w:hAnsi="Times New Roman"/>
          <w:sz w:val="28"/>
          <w:szCs w:val="28"/>
          <w:shd w:val="clear" w:color="auto" w:fill="FFFFFF"/>
          <w:lang w:val="ru-RU"/>
        </w:rPr>
        <w:sym w:font="Symbol" w:char="F02D"/>
      </w:r>
      <w:r w:rsidRPr="00107040">
        <w:rPr>
          <w:rFonts w:ascii="Times New Roman" w:eastAsia="MS Mincho" w:hAnsi="Times New Roman"/>
          <w:sz w:val="28"/>
          <w:szCs w:val="28"/>
          <w:lang w:val="ru-RU"/>
        </w:rPr>
        <w:t xml:space="preserve"> ПЦР </w:t>
      </w:r>
      <w:r w:rsidRPr="00107040">
        <w:rPr>
          <w:rFonts w:ascii="Times New Roman" w:eastAsia="MS Mincho" w:hAnsi="Times New Roman"/>
          <w:i/>
          <w:sz w:val="28"/>
          <w:szCs w:val="28"/>
          <w:lang w:val="ru-RU"/>
        </w:rPr>
        <w:t>AtPARP1</w:t>
      </w:r>
      <w:r w:rsidRPr="00107040">
        <w:rPr>
          <w:rFonts w:ascii="Times New Roman" w:eastAsia="MS Mincho" w:hAnsi="Times New Roman"/>
          <w:sz w:val="28"/>
          <w:szCs w:val="28"/>
          <w:lang w:val="ru-RU"/>
        </w:rPr>
        <w:t xml:space="preserve"> и </w:t>
      </w:r>
      <w:r w:rsidRPr="00107040">
        <w:rPr>
          <w:rFonts w:ascii="Times New Roman" w:eastAsia="MS Mincho" w:hAnsi="Times New Roman"/>
          <w:i/>
          <w:sz w:val="28"/>
          <w:szCs w:val="28"/>
          <w:lang w:val="ru-RU"/>
        </w:rPr>
        <w:t>AtPARP2</w:t>
      </w:r>
      <w:r w:rsidRPr="00107040">
        <w:rPr>
          <w:rFonts w:ascii="Times New Roman" w:eastAsia="MS Mincho" w:hAnsi="Times New Roman"/>
          <w:sz w:val="28"/>
          <w:szCs w:val="28"/>
          <w:lang w:val="ru-RU"/>
        </w:rPr>
        <w:t xml:space="preserve"> кДНК клонировали в плазмиду pET28c по сайтам рестрикции </w:t>
      </w:r>
      <w:r w:rsidRPr="00107040">
        <w:rPr>
          <w:rFonts w:ascii="Times New Roman" w:eastAsia="MS Mincho" w:hAnsi="Times New Roman"/>
          <w:i/>
          <w:sz w:val="28"/>
          <w:szCs w:val="28"/>
          <w:lang w:val="ru-RU"/>
        </w:rPr>
        <w:t>NdeI</w:t>
      </w:r>
      <w:r w:rsidRPr="00107040">
        <w:rPr>
          <w:rFonts w:ascii="Times New Roman" w:eastAsia="MS Mincho" w:hAnsi="Times New Roman"/>
          <w:sz w:val="28"/>
          <w:szCs w:val="28"/>
          <w:lang w:val="ru-RU"/>
        </w:rPr>
        <w:t xml:space="preserve"> и </w:t>
      </w:r>
      <w:r w:rsidRPr="00107040">
        <w:rPr>
          <w:rFonts w:ascii="Times New Roman" w:eastAsia="MS Mincho" w:hAnsi="Times New Roman"/>
          <w:i/>
          <w:sz w:val="28"/>
          <w:szCs w:val="28"/>
          <w:lang w:val="ru-RU"/>
        </w:rPr>
        <w:t>Ва</w:t>
      </w:r>
      <w:r w:rsidRPr="00107040">
        <w:rPr>
          <w:rFonts w:ascii="Times New Roman" w:eastAsia="MS Mincho" w:hAnsi="Times New Roman"/>
          <w:i/>
          <w:sz w:val="28"/>
          <w:szCs w:val="28"/>
          <w:lang w:val="en-US"/>
        </w:rPr>
        <w:t>m</w:t>
      </w:r>
      <w:r w:rsidRPr="00107040">
        <w:rPr>
          <w:rFonts w:ascii="Times New Roman" w:eastAsia="MS Mincho" w:hAnsi="Times New Roman"/>
          <w:i/>
          <w:sz w:val="28"/>
          <w:szCs w:val="28"/>
          <w:lang w:val="ru-RU"/>
        </w:rPr>
        <w:t>HI</w:t>
      </w:r>
      <w:r w:rsidRPr="00107040">
        <w:rPr>
          <w:rFonts w:ascii="Times New Roman" w:eastAsia="MS Mincho" w:hAnsi="Times New Roman"/>
          <w:sz w:val="28"/>
          <w:szCs w:val="28"/>
          <w:lang w:val="ru-RU"/>
        </w:rPr>
        <w:t>. Полученные конструкции pET28c/</w:t>
      </w:r>
      <w:r w:rsidRPr="00107040">
        <w:rPr>
          <w:rFonts w:ascii="Times New Roman" w:eastAsia="MS Mincho" w:hAnsi="Times New Roman"/>
          <w:i/>
          <w:sz w:val="28"/>
          <w:szCs w:val="28"/>
          <w:lang w:val="ru-RU"/>
        </w:rPr>
        <w:t>AtPARP1</w:t>
      </w:r>
      <w:r w:rsidRPr="00107040">
        <w:rPr>
          <w:rFonts w:ascii="Times New Roman" w:eastAsia="MS Mincho" w:hAnsi="Times New Roman"/>
          <w:sz w:val="28"/>
          <w:szCs w:val="28"/>
          <w:lang w:val="ru-RU"/>
        </w:rPr>
        <w:t xml:space="preserve"> и pET28c/</w:t>
      </w:r>
      <w:r w:rsidRPr="00107040">
        <w:rPr>
          <w:rFonts w:ascii="Times New Roman" w:eastAsia="MS Mincho" w:hAnsi="Times New Roman"/>
          <w:i/>
          <w:sz w:val="28"/>
          <w:szCs w:val="28"/>
          <w:lang w:val="ru-RU"/>
        </w:rPr>
        <w:t>AtPARP2</w:t>
      </w:r>
      <w:r w:rsidRPr="00107040">
        <w:rPr>
          <w:rFonts w:ascii="Times New Roman" w:eastAsia="MS Mincho" w:hAnsi="Times New Roman"/>
          <w:sz w:val="28"/>
          <w:szCs w:val="28"/>
          <w:lang w:val="ru-RU"/>
        </w:rPr>
        <w:t xml:space="preserve"> (рисунок </w:t>
      </w:r>
      <w:r w:rsidR="00AC7601">
        <w:rPr>
          <w:rFonts w:ascii="Times New Roman" w:eastAsia="MS Mincho" w:hAnsi="Times New Roman"/>
          <w:sz w:val="28"/>
          <w:szCs w:val="28"/>
          <w:lang w:val="ru-RU"/>
        </w:rPr>
        <w:t>10</w:t>
      </w:r>
      <w:r w:rsidRPr="00107040">
        <w:rPr>
          <w:rFonts w:ascii="Times New Roman" w:eastAsia="MS Mincho" w:hAnsi="Times New Roman"/>
          <w:sz w:val="28"/>
          <w:szCs w:val="28"/>
          <w:lang w:val="ru-RU"/>
        </w:rPr>
        <w:t xml:space="preserve">) трансформировали в </w:t>
      </w:r>
      <w:r w:rsidRPr="00107040">
        <w:rPr>
          <w:rFonts w:ascii="Times New Roman" w:eastAsia="MS Mincho" w:hAnsi="Times New Roman"/>
          <w:i/>
          <w:iCs/>
          <w:sz w:val="28"/>
          <w:szCs w:val="28"/>
          <w:lang w:val="ru-RU"/>
        </w:rPr>
        <w:t>E.coli</w:t>
      </w:r>
      <w:r w:rsidRPr="00107040">
        <w:rPr>
          <w:rFonts w:ascii="Times New Roman" w:eastAsia="MS Mincho" w:hAnsi="Times New Roman"/>
          <w:sz w:val="28"/>
          <w:szCs w:val="28"/>
          <w:lang w:val="ru-RU"/>
        </w:rPr>
        <w:t xml:space="preserve"> штамм NovaXG Zappers для наработки рекомбинантной плазмиды.</w:t>
      </w:r>
    </w:p>
    <w:p w14:paraId="057ACFE4" w14:textId="4C0650B7" w:rsidR="001B0545" w:rsidRPr="00107040" w:rsidRDefault="001B0545" w:rsidP="000C16BB">
      <w:pPr>
        <w:autoSpaceDE w:val="0"/>
        <w:autoSpaceDN w:val="0"/>
        <w:adjustRightInd w:val="0"/>
        <w:spacing w:after="0" w:line="240" w:lineRule="auto"/>
        <w:ind w:firstLine="567"/>
        <w:jc w:val="both"/>
        <w:rPr>
          <w:rFonts w:ascii="Times New Roman" w:eastAsia="MS Mincho" w:hAnsi="Times New Roman"/>
          <w:sz w:val="28"/>
          <w:szCs w:val="28"/>
          <w:lang w:val="ru-RU"/>
        </w:rPr>
      </w:pPr>
    </w:p>
    <w:p w14:paraId="295353C6" w14:textId="7CC19DDB" w:rsidR="00713715" w:rsidRPr="00107040" w:rsidRDefault="00713715" w:rsidP="000C16BB">
      <w:pPr>
        <w:autoSpaceDE w:val="0"/>
        <w:autoSpaceDN w:val="0"/>
        <w:adjustRightInd w:val="0"/>
        <w:spacing w:after="0" w:line="240" w:lineRule="auto"/>
        <w:ind w:firstLine="567"/>
        <w:jc w:val="both"/>
        <w:rPr>
          <w:rFonts w:ascii="Times New Roman" w:eastAsia="MS Mincho" w:hAnsi="Times New Roman"/>
          <w:sz w:val="28"/>
          <w:szCs w:val="28"/>
          <w:lang w:val="ru-RU"/>
        </w:rPr>
      </w:pPr>
    </w:p>
    <w:p w14:paraId="2AD1CCFA" w14:textId="77777777" w:rsidR="00713715" w:rsidRPr="00107040" w:rsidRDefault="00713715" w:rsidP="000C16BB">
      <w:pPr>
        <w:autoSpaceDE w:val="0"/>
        <w:autoSpaceDN w:val="0"/>
        <w:adjustRightInd w:val="0"/>
        <w:spacing w:after="0" w:line="240" w:lineRule="auto"/>
        <w:ind w:firstLine="567"/>
        <w:jc w:val="both"/>
        <w:rPr>
          <w:rFonts w:ascii="Times New Roman" w:eastAsia="MS Mincho" w:hAnsi="Times New Roman"/>
          <w:sz w:val="28"/>
          <w:szCs w:val="28"/>
          <w:lang w:val="ru-RU"/>
        </w:rPr>
      </w:pPr>
    </w:p>
    <w:p w14:paraId="756E8FDD" w14:textId="77777777" w:rsidR="001B0545" w:rsidRPr="00107040" w:rsidRDefault="001B0545" w:rsidP="000C16BB">
      <w:pPr>
        <w:spacing w:after="0" w:line="240" w:lineRule="auto"/>
        <w:ind w:firstLine="567"/>
        <w:jc w:val="both"/>
        <w:rPr>
          <w:rFonts w:ascii="Times New Roman" w:eastAsia="MS Mincho" w:hAnsi="Times New Roman"/>
          <w:bCs/>
          <w:sz w:val="28"/>
          <w:szCs w:val="28"/>
          <w:lang w:val="ru-RU" w:eastAsia="ja-JP"/>
        </w:rPr>
      </w:pPr>
      <w:r w:rsidRPr="00107040">
        <w:rPr>
          <w:rFonts w:ascii="Times New Roman" w:eastAsia="MS Mincho" w:hAnsi="Times New Roman"/>
          <w:bCs/>
          <w:sz w:val="28"/>
          <w:szCs w:val="28"/>
          <w:lang w:val="ru-RU" w:eastAsia="ja-JP"/>
        </w:rPr>
        <w:lastRenderedPageBreak/>
        <w:t xml:space="preserve">                      А                     </w:t>
      </w:r>
      <w:r w:rsidRPr="00107040">
        <w:rPr>
          <w:rFonts w:ascii="Times New Roman" w:eastAsia="MS Mincho" w:hAnsi="Times New Roman"/>
          <w:bCs/>
          <w:sz w:val="28"/>
          <w:szCs w:val="28"/>
          <w:lang w:val="en-US" w:eastAsia="ja-JP"/>
        </w:rPr>
        <w:t xml:space="preserve">  </w:t>
      </w:r>
      <w:r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en-US" w:eastAsia="ja-JP"/>
        </w:rPr>
        <w:t xml:space="preserve"> B</w:t>
      </w:r>
      <w:r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en-US" w:eastAsia="ja-JP"/>
        </w:rPr>
        <w:t>C</w:t>
      </w:r>
      <w:r w:rsidRPr="00107040">
        <w:rPr>
          <w:rFonts w:ascii="Times New Roman" w:eastAsia="MS Mincho" w:hAnsi="Times New Roman"/>
          <w:bCs/>
          <w:sz w:val="28"/>
          <w:szCs w:val="28"/>
          <w:lang w:val="ru-RU" w:eastAsia="ja-JP"/>
        </w:rPr>
        <w:t xml:space="preserve"> </w:t>
      </w:r>
    </w:p>
    <w:p w14:paraId="2D920427" w14:textId="37FFB381" w:rsidR="001B0545" w:rsidRPr="00107040" w:rsidRDefault="001B0545" w:rsidP="000C16BB">
      <w:pPr>
        <w:spacing w:after="0" w:line="240" w:lineRule="auto"/>
        <w:ind w:firstLine="567"/>
        <w:jc w:val="center"/>
        <w:rPr>
          <w:rFonts w:ascii="Times New Roman" w:eastAsia="MS Mincho" w:hAnsi="Times New Roman"/>
          <w:bCs/>
          <w:sz w:val="28"/>
          <w:szCs w:val="28"/>
          <w:lang w:val="kk-KZ" w:eastAsia="ja-JP"/>
        </w:rPr>
      </w:pPr>
      <w:r w:rsidRPr="00107040">
        <w:rPr>
          <w:rFonts w:ascii="Times New Roman" w:hAnsi="Times New Roman"/>
          <w:noProof/>
          <w:sz w:val="28"/>
          <w:szCs w:val="28"/>
          <w:lang w:val="ru-RU" w:eastAsia="ru-RU"/>
        </w:rPr>
        <w:drawing>
          <wp:inline distT="0" distB="0" distL="0" distR="0" wp14:anchorId="7D565E5A" wp14:editId="3335F4DE">
            <wp:extent cx="4708525" cy="1869440"/>
            <wp:effectExtent l="0" t="0" r="0" b="0"/>
            <wp:docPr id="7" name="Рисунок 7" descr="Изображение выглядит как текст, монитор, внутренний, экр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 монитор, внутренний, экран&#10;&#10;Автоматически созданное описани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8525" cy="1869440"/>
                    </a:xfrm>
                    <a:prstGeom prst="rect">
                      <a:avLst/>
                    </a:prstGeom>
                    <a:noFill/>
                    <a:ln>
                      <a:noFill/>
                    </a:ln>
                  </pic:spPr>
                </pic:pic>
              </a:graphicData>
            </a:graphic>
          </wp:inline>
        </w:drawing>
      </w:r>
    </w:p>
    <w:p w14:paraId="7F7DAA11" w14:textId="77777777" w:rsidR="00AA69DA" w:rsidRPr="00107040" w:rsidRDefault="00AA69DA" w:rsidP="000C16BB">
      <w:pPr>
        <w:spacing w:after="0" w:line="240" w:lineRule="auto"/>
        <w:jc w:val="both"/>
        <w:rPr>
          <w:rFonts w:ascii="Times New Roman" w:eastAsia="MS Mincho" w:hAnsi="Times New Roman"/>
          <w:bCs/>
          <w:sz w:val="28"/>
          <w:szCs w:val="28"/>
          <w:lang w:val="kk-KZ" w:eastAsia="ja-JP"/>
        </w:rPr>
      </w:pPr>
    </w:p>
    <w:p w14:paraId="12F24670" w14:textId="77777777" w:rsidR="00AA69DA" w:rsidRPr="00107040" w:rsidRDefault="00AA69DA" w:rsidP="000C16BB">
      <w:pPr>
        <w:spacing w:after="0" w:line="240" w:lineRule="auto"/>
        <w:jc w:val="center"/>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 xml:space="preserve">A) Прeпaрaты тoтaльнoй РНК: M - GeneRulerTM RNA Ladder. 1-2- суммарный препарат рибонуклеиновых кислот. Справа указано положение 28S рРНК, 18S рРНК. </w:t>
      </w:r>
      <w:r w:rsidRPr="00107040">
        <w:rPr>
          <w:rFonts w:ascii="Times New Roman" w:eastAsia="MS Mincho" w:hAnsi="Times New Roman"/>
          <w:bCs/>
          <w:sz w:val="28"/>
          <w:szCs w:val="28"/>
          <w:lang w:val="en-US" w:eastAsia="ja-JP"/>
        </w:rPr>
        <w:t>B</w:t>
      </w:r>
      <w:r w:rsidRPr="00107040">
        <w:rPr>
          <w:rFonts w:ascii="Times New Roman" w:eastAsia="MS Mincho" w:hAnsi="Times New Roman"/>
          <w:bCs/>
          <w:sz w:val="28"/>
          <w:szCs w:val="28"/>
          <w:lang w:val="kk-KZ" w:eastAsia="ja-JP"/>
        </w:rPr>
        <w:t xml:space="preserve">) РТ-ПЦР продукты </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xml:space="preserve">. </w:t>
      </w:r>
      <w:r w:rsidRPr="00107040">
        <w:rPr>
          <w:rFonts w:ascii="Times New Roman" w:eastAsia="MS Mincho" w:hAnsi="Times New Roman"/>
          <w:bCs/>
          <w:sz w:val="28"/>
          <w:szCs w:val="28"/>
          <w:lang w:val="en-US" w:eastAsia="ja-JP"/>
        </w:rPr>
        <w:t>C</w:t>
      </w:r>
      <w:r w:rsidRPr="00107040">
        <w:rPr>
          <w:rFonts w:ascii="Times New Roman" w:eastAsia="MS Mincho" w:hAnsi="Times New Roman"/>
          <w:bCs/>
          <w:sz w:val="28"/>
          <w:szCs w:val="28"/>
          <w:lang w:val="ru-RU" w:eastAsia="ja-JP"/>
        </w:rPr>
        <w:t>)</w:t>
      </w:r>
      <w:r w:rsidRPr="00107040">
        <w:rPr>
          <w:rFonts w:ascii="Times New Roman" w:eastAsia="MS Mincho" w:hAnsi="Times New Roman"/>
          <w:bCs/>
          <w:sz w:val="28"/>
          <w:szCs w:val="28"/>
          <w:lang w:val="kk-KZ" w:eastAsia="ja-JP"/>
        </w:rPr>
        <w:t xml:space="preserve"> РТ-ПЦР продукты </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М – маркерные ДНК, размеры которых указаны в нуклеотидах слева. 1 - 5 – продукты последовательных реакций РОТ и ПЦР.</w:t>
      </w:r>
    </w:p>
    <w:p w14:paraId="7384FEB1" w14:textId="77777777" w:rsidR="00AA69DA" w:rsidRPr="00107040" w:rsidRDefault="00AA69DA" w:rsidP="000C16BB">
      <w:pPr>
        <w:spacing w:after="0" w:line="240" w:lineRule="auto"/>
        <w:ind w:firstLine="567"/>
        <w:jc w:val="center"/>
        <w:rPr>
          <w:rFonts w:ascii="Times New Roman" w:eastAsia="MS Mincho" w:hAnsi="Times New Roman"/>
          <w:bCs/>
          <w:sz w:val="28"/>
          <w:szCs w:val="28"/>
          <w:lang w:val="kk-KZ" w:eastAsia="ja-JP"/>
        </w:rPr>
      </w:pPr>
    </w:p>
    <w:p w14:paraId="502BBB7E" w14:textId="372173A9" w:rsidR="00AA69DA" w:rsidRPr="00107040" w:rsidRDefault="00AA69DA" w:rsidP="000C16BB">
      <w:pPr>
        <w:spacing w:after="0" w:line="240" w:lineRule="auto"/>
        <w:jc w:val="center"/>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 xml:space="preserve">Рисунок </w:t>
      </w:r>
      <w:r w:rsidR="00AC7601">
        <w:rPr>
          <w:rFonts w:ascii="Times New Roman" w:eastAsia="MS Mincho" w:hAnsi="Times New Roman"/>
          <w:bCs/>
          <w:sz w:val="28"/>
          <w:szCs w:val="28"/>
          <w:lang w:val="kk-KZ" w:eastAsia="ja-JP"/>
        </w:rPr>
        <w:t>9</w:t>
      </w:r>
      <w:r w:rsidRPr="00107040">
        <w:rPr>
          <w:rFonts w:ascii="Times New Roman" w:eastAsia="MS Mincho" w:hAnsi="Times New Roman"/>
          <w:bCs/>
          <w:sz w:val="28"/>
          <w:szCs w:val="28"/>
          <w:lang w:val="kk-KZ" w:eastAsia="ja-JP"/>
        </w:rPr>
        <w:t xml:space="preserve"> – Препараты нуклеиновых кислот, выделенных из проростков </w:t>
      </w:r>
      <w:r w:rsidRPr="00107040">
        <w:rPr>
          <w:rFonts w:ascii="Times New Roman" w:eastAsia="MS Mincho" w:hAnsi="Times New Roman"/>
          <w:bCs/>
          <w:i/>
          <w:sz w:val="28"/>
          <w:szCs w:val="28"/>
          <w:lang w:val="kk-KZ" w:eastAsia="ja-JP"/>
        </w:rPr>
        <w:t>А. thaliana</w:t>
      </w:r>
      <w:r w:rsidRPr="00107040">
        <w:rPr>
          <w:rFonts w:ascii="Times New Roman" w:eastAsia="MS Mincho" w:hAnsi="Times New Roman"/>
          <w:bCs/>
          <w:sz w:val="28"/>
          <w:szCs w:val="28"/>
          <w:lang w:val="kk-KZ" w:eastAsia="ja-JP"/>
        </w:rPr>
        <w:t xml:space="preserve"> и РОТ-ПЦР продукты</w:t>
      </w:r>
    </w:p>
    <w:p w14:paraId="38C4BFE5" w14:textId="77777777" w:rsidR="00AA69DA" w:rsidRPr="00107040" w:rsidRDefault="00AA69DA" w:rsidP="000C16BB">
      <w:pPr>
        <w:spacing w:after="0" w:line="240" w:lineRule="auto"/>
        <w:ind w:firstLine="567"/>
        <w:jc w:val="both"/>
        <w:rPr>
          <w:rFonts w:ascii="Times New Roman" w:eastAsia="MS Mincho" w:hAnsi="Times New Roman"/>
          <w:bCs/>
          <w:sz w:val="28"/>
          <w:szCs w:val="28"/>
          <w:lang w:val="kk-KZ" w:eastAsia="ja-JP"/>
        </w:rPr>
      </w:pPr>
    </w:p>
    <w:p w14:paraId="6F0275FA" w14:textId="2A971C4D" w:rsidR="00AA69DA" w:rsidRPr="00107040" w:rsidRDefault="00AA69DA" w:rsidP="000C16BB">
      <w:pPr>
        <w:spacing w:after="0" w:line="240" w:lineRule="auto"/>
        <w:ind w:firstLine="567"/>
        <w:jc w:val="both"/>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Далее плазмидные ДНК, выделенн</w:t>
      </w:r>
      <w:r w:rsidR="00BE07A3" w:rsidRPr="00107040">
        <w:rPr>
          <w:rFonts w:ascii="Times New Roman" w:eastAsia="MS Mincho" w:hAnsi="Times New Roman"/>
          <w:bCs/>
          <w:sz w:val="28"/>
          <w:szCs w:val="28"/>
          <w:lang w:val="kk-KZ" w:eastAsia="ja-JP"/>
        </w:rPr>
        <w:t>ые</w:t>
      </w:r>
      <w:r w:rsidRPr="00107040">
        <w:rPr>
          <w:rFonts w:ascii="Times New Roman" w:eastAsia="MS Mincho" w:hAnsi="Times New Roman"/>
          <w:bCs/>
          <w:sz w:val="28"/>
          <w:szCs w:val="28"/>
          <w:lang w:val="kk-KZ" w:eastAsia="ja-JP"/>
        </w:rPr>
        <w:t xml:space="preserve"> в соответствии с протоколом набора GeneJET Plasmid Miniprep Kit (Thermo Scientific #K0503), были использованы для тестирования клонов на наличие рекомбинантных плазмид, содержащих в своем составе ген </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xml:space="preserve"> и </w:t>
      </w:r>
      <w:r w:rsidRPr="00107040">
        <w:rPr>
          <w:rFonts w:ascii="Times New Roman" w:eastAsia="MS Mincho" w:hAnsi="Times New Roman"/>
          <w:bCs/>
          <w:i/>
          <w:sz w:val="28"/>
          <w:szCs w:val="28"/>
          <w:lang w:val="kk-KZ" w:eastAsia="ja-JP"/>
        </w:rPr>
        <w:t xml:space="preserve">AtPARP2 </w:t>
      </w:r>
      <w:r w:rsidRPr="00107040">
        <w:rPr>
          <w:rFonts w:ascii="Times New Roman" w:eastAsia="MS Mincho" w:hAnsi="Times New Roman"/>
          <w:bCs/>
          <w:sz w:val="28"/>
          <w:szCs w:val="28"/>
          <w:lang w:val="kk-KZ" w:eastAsia="ja-JP"/>
        </w:rPr>
        <w:t>с помощью рестрикционного и ПЦР анализа.</w:t>
      </w:r>
    </w:p>
    <w:p w14:paraId="4C74E417" w14:textId="62199365" w:rsidR="00AA69DA" w:rsidRPr="00107040" w:rsidRDefault="00AA69DA" w:rsidP="000C16BB">
      <w:pPr>
        <w:spacing w:after="0" w:line="240" w:lineRule="auto"/>
        <w:ind w:firstLine="567"/>
        <w:jc w:val="both"/>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 xml:space="preserve">При проведении ПЦР анализа с использованием ген-специфических праймеров и плазмидной ДНК, выделенных из трансформантов, фрагменты, обнаруженные в результате агарозного гель-электрофореза полностью соответствовали длине клонированного гена </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xml:space="preserve"> (рисунок </w:t>
      </w:r>
      <w:r w:rsidR="00AC7601">
        <w:rPr>
          <w:rFonts w:ascii="Times New Roman" w:eastAsia="MS Mincho" w:hAnsi="Times New Roman"/>
          <w:bCs/>
          <w:sz w:val="28"/>
          <w:szCs w:val="28"/>
          <w:lang w:val="kk-KZ" w:eastAsia="ja-JP"/>
        </w:rPr>
        <w:t>10</w:t>
      </w:r>
      <w:r w:rsidRPr="00107040">
        <w:rPr>
          <w:rFonts w:ascii="Times New Roman" w:eastAsia="MS Mincho" w:hAnsi="Times New Roman"/>
          <w:bCs/>
          <w:sz w:val="28"/>
          <w:szCs w:val="28"/>
          <w:lang w:val="en-US" w:eastAsia="ja-JP"/>
        </w:rPr>
        <w:t>C</w:t>
      </w:r>
      <w:r w:rsidRPr="00107040">
        <w:rPr>
          <w:rFonts w:ascii="Times New Roman" w:eastAsia="MS Mincho" w:hAnsi="Times New Roman"/>
          <w:bCs/>
          <w:sz w:val="28"/>
          <w:szCs w:val="28"/>
          <w:lang w:val="kk-KZ" w:eastAsia="ja-JP"/>
        </w:rPr>
        <w:t xml:space="preserve">) и </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xml:space="preserve"> (рисунок </w:t>
      </w:r>
      <w:r w:rsidR="00AC7601">
        <w:rPr>
          <w:rFonts w:ascii="Times New Roman" w:eastAsia="MS Mincho" w:hAnsi="Times New Roman"/>
          <w:bCs/>
          <w:sz w:val="28"/>
          <w:szCs w:val="28"/>
          <w:lang w:val="kk-KZ" w:eastAsia="ja-JP"/>
        </w:rPr>
        <w:t>10</w:t>
      </w:r>
      <w:r w:rsidRPr="00107040">
        <w:rPr>
          <w:rFonts w:ascii="Times New Roman" w:eastAsia="MS Mincho" w:hAnsi="Times New Roman"/>
          <w:bCs/>
          <w:sz w:val="28"/>
          <w:szCs w:val="28"/>
          <w:lang w:val="kk-KZ" w:eastAsia="ja-JP"/>
        </w:rPr>
        <w:t xml:space="preserve">А). Результаты рестрикционного анализа плазмиды представлены на рисунке </w:t>
      </w:r>
      <w:r w:rsidR="00AC7601">
        <w:rPr>
          <w:rFonts w:ascii="Times New Roman" w:eastAsia="MS Mincho" w:hAnsi="Times New Roman"/>
          <w:bCs/>
          <w:sz w:val="28"/>
          <w:szCs w:val="28"/>
          <w:lang w:val="kk-KZ" w:eastAsia="ja-JP"/>
        </w:rPr>
        <w:t>10</w:t>
      </w:r>
      <w:r w:rsidRPr="00107040">
        <w:rPr>
          <w:rFonts w:ascii="Times New Roman" w:eastAsia="MS Mincho" w:hAnsi="Times New Roman"/>
          <w:bCs/>
          <w:sz w:val="28"/>
          <w:szCs w:val="28"/>
          <w:lang w:val="en-US" w:eastAsia="ja-JP"/>
        </w:rPr>
        <w:t>B</w:t>
      </w:r>
      <w:r w:rsidRPr="00107040">
        <w:rPr>
          <w:rFonts w:ascii="Times New Roman" w:eastAsia="MS Mincho" w:hAnsi="Times New Roman"/>
          <w:bCs/>
          <w:sz w:val="28"/>
          <w:szCs w:val="28"/>
          <w:lang w:val="kk-KZ" w:eastAsia="ja-JP"/>
        </w:rPr>
        <w:t xml:space="preserve"> и </w:t>
      </w:r>
      <w:r w:rsidRPr="00107040">
        <w:rPr>
          <w:rFonts w:ascii="Times New Roman" w:eastAsia="MS Mincho" w:hAnsi="Times New Roman"/>
          <w:bCs/>
          <w:sz w:val="28"/>
          <w:szCs w:val="28"/>
          <w:lang w:val="en-US" w:eastAsia="ja-JP"/>
        </w:rPr>
        <w:t>D</w:t>
      </w:r>
      <w:r w:rsidRPr="00107040">
        <w:rPr>
          <w:rFonts w:ascii="Times New Roman" w:eastAsia="MS Mincho" w:hAnsi="Times New Roman"/>
          <w:bCs/>
          <w:sz w:val="28"/>
          <w:szCs w:val="28"/>
          <w:lang w:val="kk-KZ" w:eastAsia="ja-JP"/>
        </w:rPr>
        <w:t xml:space="preserve">. Как видно из рисунка </w:t>
      </w:r>
      <w:r w:rsidR="00AC7601">
        <w:rPr>
          <w:rFonts w:ascii="Times New Roman" w:eastAsia="MS Mincho" w:hAnsi="Times New Roman"/>
          <w:bCs/>
          <w:sz w:val="28"/>
          <w:szCs w:val="28"/>
          <w:lang w:val="kk-KZ" w:eastAsia="ja-JP"/>
        </w:rPr>
        <w:t>10</w:t>
      </w:r>
      <w:r w:rsidRPr="00107040">
        <w:rPr>
          <w:rFonts w:ascii="Times New Roman" w:eastAsia="MS Mincho" w:hAnsi="Times New Roman"/>
          <w:bCs/>
          <w:sz w:val="28"/>
          <w:szCs w:val="28"/>
          <w:lang w:val="en-US" w:eastAsia="ja-JP"/>
        </w:rPr>
        <w:t>B</w:t>
      </w:r>
      <w:r w:rsidRPr="00107040">
        <w:rPr>
          <w:rFonts w:ascii="Times New Roman" w:eastAsia="MS Mincho" w:hAnsi="Times New Roman"/>
          <w:bCs/>
          <w:sz w:val="28"/>
          <w:szCs w:val="28"/>
          <w:lang w:val="kk-KZ" w:eastAsia="ja-JP"/>
        </w:rPr>
        <w:t xml:space="preserve"> клоны, содержащие плазмиды pET28c/</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xml:space="preserve"> при обработке эндонуклеазами рестрикции </w:t>
      </w:r>
      <w:r w:rsidRPr="00107040">
        <w:rPr>
          <w:rFonts w:ascii="Times New Roman" w:eastAsia="MS Mincho" w:hAnsi="Times New Roman"/>
          <w:bCs/>
          <w:i/>
          <w:iCs/>
          <w:sz w:val="28"/>
          <w:szCs w:val="28"/>
          <w:lang w:val="kk-KZ" w:eastAsia="ja-JP"/>
        </w:rPr>
        <w:t xml:space="preserve">NdeI </w:t>
      </w:r>
      <w:r w:rsidRPr="00107040">
        <w:rPr>
          <w:rFonts w:ascii="Times New Roman" w:eastAsia="MS Mincho" w:hAnsi="Times New Roman"/>
          <w:bCs/>
          <w:sz w:val="28"/>
          <w:szCs w:val="28"/>
          <w:lang w:val="kk-KZ" w:eastAsia="ja-JP"/>
        </w:rPr>
        <w:t xml:space="preserve">и </w:t>
      </w:r>
      <w:r w:rsidRPr="00107040">
        <w:rPr>
          <w:rFonts w:ascii="Times New Roman" w:eastAsia="MS Mincho" w:hAnsi="Times New Roman"/>
          <w:bCs/>
          <w:i/>
          <w:iCs/>
          <w:sz w:val="28"/>
          <w:szCs w:val="28"/>
          <w:lang w:val="kk-KZ" w:eastAsia="ja-JP"/>
        </w:rPr>
        <w:t>BamHI</w:t>
      </w:r>
      <w:r w:rsidRPr="00107040">
        <w:rPr>
          <w:rFonts w:ascii="Times New Roman" w:eastAsia="MS Mincho" w:hAnsi="Times New Roman"/>
          <w:bCs/>
          <w:sz w:val="28"/>
          <w:szCs w:val="28"/>
          <w:lang w:val="kk-KZ" w:eastAsia="ja-JP"/>
        </w:rPr>
        <w:t xml:space="preserve"> на 1 % агарозном геле, дают четко выраженные две полосы с длиной около 5,4 т.п.н. и 1,9 т.п.н. тогда как клоны, содержащие плазмиды pET28c/</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xml:space="preserve"> при обработке эндонуклеазами рестрикции </w:t>
      </w:r>
      <w:r w:rsidRPr="00107040">
        <w:rPr>
          <w:rFonts w:ascii="Times New Roman" w:eastAsia="MS Mincho" w:hAnsi="Times New Roman"/>
          <w:bCs/>
          <w:i/>
          <w:iCs/>
          <w:sz w:val="28"/>
          <w:szCs w:val="28"/>
          <w:lang w:val="kk-KZ" w:eastAsia="ja-JP"/>
        </w:rPr>
        <w:t>NdeI</w:t>
      </w:r>
      <w:r w:rsidRPr="00107040">
        <w:rPr>
          <w:rFonts w:ascii="Times New Roman" w:eastAsia="MS Mincho" w:hAnsi="Times New Roman"/>
          <w:bCs/>
          <w:sz w:val="28"/>
          <w:szCs w:val="28"/>
          <w:lang w:val="kk-KZ" w:eastAsia="ja-JP"/>
        </w:rPr>
        <w:t xml:space="preserve"> и </w:t>
      </w:r>
      <w:r w:rsidRPr="00107040">
        <w:rPr>
          <w:rFonts w:ascii="Times New Roman" w:eastAsia="MS Mincho" w:hAnsi="Times New Roman"/>
          <w:bCs/>
          <w:i/>
          <w:iCs/>
          <w:sz w:val="28"/>
          <w:szCs w:val="28"/>
          <w:lang w:val="kk-KZ" w:eastAsia="ja-JP"/>
        </w:rPr>
        <w:t>BamHI</w:t>
      </w:r>
      <w:r w:rsidRPr="00107040">
        <w:rPr>
          <w:rFonts w:ascii="Times New Roman" w:eastAsia="MS Mincho" w:hAnsi="Times New Roman"/>
          <w:bCs/>
          <w:sz w:val="28"/>
          <w:szCs w:val="28"/>
          <w:lang w:val="kk-KZ" w:eastAsia="ja-JP"/>
        </w:rPr>
        <w:t xml:space="preserve"> на 1 % агарозном геле, дают четко выраженные две полосы с длиной около 5,4 т.п.н. и 2,9 т.п.н. По размеру первая полоса соответствовала длине плазмиды pEТ28с без вставки, а вторая длине гена. В результате скрининга удалось идентифицировать 5 колоний, содержащих рекомбинантные плазмиды. Клоны были секвенированы в обоих направлениях. Определение нуклеотидной последовательности показало полное соответствие первичной структуры гена ранее опубликованной нуклеотидной последовательности генов </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xml:space="preserve"> и </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xml:space="preserve"> (</w:t>
      </w:r>
      <w:r w:rsidRPr="00107040">
        <w:rPr>
          <w:rFonts w:ascii="Times New Roman" w:hAnsi="Times New Roman"/>
          <w:sz w:val="28"/>
          <w:szCs w:val="28"/>
        </w:rPr>
        <w:t>AY</w:t>
      </w:r>
      <w:r w:rsidRPr="00107040">
        <w:rPr>
          <w:rFonts w:ascii="Times New Roman" w:hAnsi="Times New Roman"/>
          <w:sz w:val="28"/>
          <w:szCs w:val="28"/>
          <w:lang w:val="ru-RU"/>
        </w:rPr>
        <w:t xml:space="preserve">150460.1 и </w:t>
      </w:r>
      <w:r w:rsidRPr="00107040">
        <w:rPr>
          <w:rFonts w:ascii="Times New Roman" w:hAnsi="Times New Roman"/>
          <w:sz w:val="28"/>
          <w:szCs w:val="28"/>
        </w:rPr>
        <w:t>NM</w:t>
      </w:r>
      <w:r w:rsidRPr="00107040">
        <w:rPr>
          <w:rFonts w:ascii="Times New Roman" w:hAnsi="Times New Roman"/>
          <w:sz w:val="28"/>
          <w:szCs w:val="28"/>
          <w:lang w:val="ru-RU"/>
        </w:rPr>
        <w:t>_116472.4</w:t>
      </w:r>
      <w:r w:rsidRPr="00107040">
        <w:rPr>
          <w:rFonts w:ascii="Times New Roman" w:hAnsi="Times New Roman"/>
          <w:spacing w:val="1"/>
          <w:sz w:val="28"/>
          <w:szCs w:val="28"/>
          <w:lang w:val="ru-RU"/>
        </w:rPr>
        <w:t xml:space="preserve"> </w:t>
      </w:r>
      <w:r w:rsidRPr="00107040">
        <w:rPr>
          <w:rFonts w:ascii="Times New Roman" w:hAnsi="Times New Roman"/>
          <w:sz w:val="28"/>
          <w:szCs w:val="28"/>
          <w:lang w:val="ru-RU"/>
        </w:rPr>
        <w:t>в</w:t>
      </w:r>
      <w:r w:rsidRPr="00107040">
        <w:rPr>
          <w:rFonts w:ascii="Times New Roman" w:hAnsi="Times New Roman"/>
          <w:spacing w:val="1"/>
          <w:sz w:val="28"/>
          <w:szCs w:val="28"/>
          <w:lang w:val="ru-RU"/>
        </w:rPr>
        <w:t xml:space="preserve"> </w:t>
      </w:r>
      <w:r w:rsidRPr="00107040">
        <w:rPr>
          <w:rFonts w:ascii="Times New Roman" w:hAnsi="Times New Roman"/>
          <w:sz w:val="28"/>
          <w:szCs w:val="28"/>
        </w:rPr>
        <w:t>GenBank</w:t>
      </w:r>
      <w:r w:rsidRPr="00107040">
        <w:rPr>
          <w:rFonts w:ascii="Times New Roman" w:eastAsia="MS Mincho" w:hAnsi="Times New Roman"/>
          <w:bCs/>
          <w:sz w:val="28"/>
          <w:szCs w:val="28"/>
          <w:lang w:val="kk-KZ" w:eastAsia="ja-JP"/>
        </w:rPr>
        <w:t>).</w:t>
      </w:r>
    </w:p>
    <w:p w14:paraId="3B5F3254" w14:textId="1400F328" w:rsidR="00AA69DA" w:rsidRPr="00107040" w:rsidRDefault="001B0545" w:rsidP="000C16BB">
      <w:pPr>
        <w:spacing w:after="0" w:line="240" w:lineRule="auto"/>
        <w:jc w:val="center"/>
        <w:rPr>
          <w:rFonts w:ascii="Times New Roman" w:eastAsia="MS Mincho" w:hAnsi="Times New Roman"/>
          <w:bCs/>
          <w:sz w:val="28"/>
          <w:szCs w:val="28"/>
          <w:lang w:val="kk-KZ" w:eastAsia="ja-JP"/>
        </w:rPr>
      </w:pPr>
      <w:r w:rsidRPr="00107040">
        <w:rPr>
          <w:rFonts w:ascii="Times New Roman" w:hAnsi="Times New Roman"/>
          <w:noProof/>
          <w:sz w:val="28"/>
          <w:szCs w:val="28"/>
          <w:lang w:val="ru-RU" w:eastAsia="ru-RU"/>
        </w:rPr>
        <w:lastRenderedPageBreak/>
        <w:drawing>
          <wp:inline distT="0" distB="0" distL="0" distR="0" wp14:anchorId="7E309C09" wp14:editId="09E8CFD7">
            <wp:extent cx="2865755" cy="34804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5755" cy="3480435"/>
                    </a:xfrm>
                    <a:prstGeom prst="rect">
                      <a:avLst/>
                    </a:prstGeom>
                    <a:noFill/>
                    <a:ln>
                      <a:noFill/>
                    </a:ln>
                  </pic:spPr>
                </pic:pic>
              </a:graphicData>
            </a:graphic>
          </wp:inline>
        </w:drawing>
      </w:r>
    </w:p>
    <w:p w14:paraId="037CFDBB" w14:textId="77777777" w:rsidR="00414AF3" w:rsidRPr="00107040" w:rsidRDefault="00414AF3" w:rsidP="000C16BB">
      <w:pPr>
        <w:spacing w:after="0" w:line="240" w:lineRule="auto"/>
        <w:jc w:val="center"/>
        <w:rPr>
          <w:rFonts w:ascii="Times New Roman" w:eastAsia="MS Mincho" w:hAnsi="Times New Roman"/>
          <w:bCs/>
          <w:sz w:val="28"/>
          <w:szCs w:val="28"/>
          <w:lang w:val="kk-KZ" w:eastAsia="ja-JP"/>
        </w:rPr>
      </w:pPr>
    </w:p>
    <w:p w14:paraId="4E1A908A" w14:textId="77777777" w:rsidR="00AA69DA" w:rsidRPr="00107040" w:rsidRDefault="00AA69DA" w:rsidP="000C16BB">
      <w:pPr>
        <w:spacing w:after="0" w:line="240" w:lineRule="auto"/>
        <w:jc w:val="center"/>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А) ПЦР анализ рекомбинантной плазмиды pET28c/</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B) Рестрикционный анализ рекомбинантной плазмиды pET28c/</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C) ПЦР анализ рекомбинантной плазмиды pET28c/</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D) Рестрикционный анализ рекомбинантной плазмиды pET28c/</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М: ДНК маркер; 1-5 – клоны.</w:t>
      </w:r>
    </w:p>
    <w:p w14:paraId="6C27D7AB" w14:textId="77777777" w:rsidR="00AA69DA" w:rsidRPr="00107040" w:rsidRDefault="00AA69DA" w:rsidP="000C16BB">
      <w:pPr>
        <w:spacing w:after="0" w:line="240" w:lineRule="auto"/>
        <w:jc w:val="center"/>
        <w:rPr>
          <w:rFonts w:ascii="Times New Roman" w:eastAsia="MS Mincho" w:hAnsi="Times New Roman"/>
          <w:bCs/>
          <w:sz w:val="28"/>
          <w:szCs w:val="28"/>
          <w:lang w:val="kk-KZ" w:eastAsia="ja-JP"/>
        </w:rPr>
      </w:pPr>
    </w:p>
    <w:p w14:paraId="4F89BDA5" w14:textId="3FD43D74" w:rsidR="00AA69DA" w:rsidRPr="00107040" w:rsidRDefault="00AA69DA" w:rsidP="000C16BB">
      <w:pPr>
        <w:spacing w:after="0" w:line="240" w:lineRule="auto"/>
        <w:jc w:val="center"/>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 xml:space="preserve">Рисунок </w:t>
      </w:r>
      <w:r w:rsidR="00AC7601">
        <w:rPr>
          <w:rFonts w:ascii="Times New Roman" w:eastAsia="MS Mincho" w:hAnsi="Times New Roman"/>
          <w:bCs/>
          <w:sz w:val="28"/>
          <w:szCs w:val="28"/>
          <w:lang w:val="kk-KZ" w:eastAsia="ja-JP"/>
        </w:rPr>
        <w:t>10</w:t>
      </w:r>
      <w:r w:rsidRPr="00107040">
        <w:rPr>
          <w:rFonts w:ascii="Times New Roman" w:eastAsia="MS Mincho" w:hAnsi="Times New Roman"/>
          <w:bCs/>
          <w:sz w:val="28"/>
          <w:szCs w:val="28"/>
          <w:lang w:val="kk-KZ" w:eastAsia="ja-JP"/>
        </w:rPr>
        <w:t xml:space="preserve"> – Анализ клонов, трансформированных pET28c/</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xml:space="preserve"> и pET28c/</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xml:space="preserve"> штаммов </w:t>
      </w:r>
      <w:r w:rsidRPr="00107040">
        <w:rPr>
          <w:rFonts w:ascii="Times New Roman" w:eastAsia="MS Mincho" w:hAnsi="Times New Roman"/>
          <w:bCs/>
          <w:i/>
          <w:iCs/>
          <w:sz w:val="28"/>
          <w:szCs w:val="28"/>
          <w:lang w:val="kk-KZ" w:eastAsia="ja-JP"/>
        </w:rPr>
        <w:t>E.coli</w:t>
      </w:r>
      <w:r w:rsidRPr="00107040">
        <w:rPr>
          <w:rFonts w:ascii="Times New Roman" w:eastAsia="MS Mincho" w:hAnsi="Times New Roman"/>
          <w:bCs/>
          <w:sz w:val="28"/>
          <w:szCs w:val="28"/>
          <w:lang w:val="kk-KZ" w:eastAsia="ja-JP"/>
        </w:rPr>
        <w:t xml:space="preserve"> на наличие рекомбинантной плазмиды</w:t>
      </w:r>
    </w:p>
    <w:p w14:paraId="723D4CF6" w14:textId="37DA0351" w:rsidR="00AA69DA" w:rsidRPr="00107040" w:rsidRDefault="00AA69DA" w:rsidP="000C16BB">
      <w:pPr>
        <w:spacing w:after="0" w:line="240" w:lineRule="auto"/>
        <w:ind w:firstLine="567"/>
        <w:jc w:val="both"/>
        <w:rPr>
          <w:rFonts w:ascii="Times New Roman" w:eastAsia="MS Mincho" w:hAnsi="Times New Roman"/>
          <w:bCs/>
          <w:sz w:val="28"/>
          <w:szCs w:val="28"/>
          <w:lang w:val="kk-KZ" w:eastAsia="ja-JP"/>
        </w:rPr>
      </w:pPr>
    </w:p>
    <w:p w14:paraId="34BE7A65" w14:textId="77777777" w:rsidR="00AA69DA" w:rsidRPr="00107040" w:rsidRDefault="00AA69DA" w:rsidP="000C16BB">
      <w:pPr>
        <w:spacing w:after="0" w:line="240" w:lineRule="auto"/>
        <w:ind w:firstLine="567"/>
        <w:jc w:val="both"/>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 xml:space="preserve">Для идентификации продукта генов </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xml:space="preserve"> и </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xml:space="preserve"> в клетках </w:t>
      </w:r>
      <w:r w:rsidRPr="00107040">
        <w:rPr>
          <w:rFonts w:ascii="Times New Roman" w:eastAsia="MS Mincho" w:hAnsi="Times New Roman"/>
          <w:bCs/>
          <w:i/>
          <w:sz w:val="28"/>
          <w:szCs w:val="28"/>
          <w:lang w:val="kk-KZ" w:eastAsia="ja-JP"/>
        </w:rPr>
        <w:t xml:space="preserve">Е. coli </w:t>
      </w:r>
      <w:r w:rsidRPr="00107040">
        <w:rPr>
          <w:rFonts w:ascii="Times New Roman" w:eastAsia="MS Mincho" w:hAnsi="Times New Roman"/>
          <w:bCs/>
          <w:sz w:val="28"/>
          <w:szCs w:val="28"/>
          <w:lang w:val="kk-KZ" w:eastAsia="ja-JP"/>
        </w:rPr>
        <w:t xml:space="preserve">использовали систему экспрессии на основе РНК-полимеразы фага Т7. Для синтеза поли (АДФ-рибоза) полимераз </w:t>
      </w:r>
      <w:r w:rsidRPr="00107040">
        <w:rPr>
          <w:rFonts w:ascii="Times New Roman" w:eastAsia="MS Mincho" w:hAnsi="Times New Roman"/>
          <w:bCs/>
          <w:i/>
          <w:iCs/>
          <w:sz w:val="28"/>
          <w:szCs w:val="28"/>
          <w:lang w:val="kk-KZ" w:eastAsia="ja-JP"/>
        </w:rPr>
        <w:t>A. thaliana</w:t>
      </w:r>
      <w:r w:rsidRPr="00107040">
        <w:rPr>
          <w:rFonts w:ascii="Times New Roman" w:eastAsia="MS Mincho" w:hAnsi="Times New Roman"/>
          <w:bCs/>
          <w:sz w:val="28"/>
          <w:szCs w:val="28"/>
          <w:lang w:val="kk-KZ" w:eastAsia="ja-JP"/>
        </w:rPr>
        <w:t xml:space="preserve"> в бактериальных клетках нами был выбран экспрессионный штамм </w:t>
      </w:r>
      <w:r w:rsidRPr="00107040">
        <w:rPr>
          <w:rFonts w:ascii="Times New Roman" w:eastAsia="MS Mincho" w:hAnsi="Times New Roman"/>
          <w:bCs/>
          <w:i/>
          <w:iCs/>
          <w:sz w:val="28"/>
          <w:szCs w:val="28"/>
          <w:lang w:val="kk-KZ" w:eastAsia="ja-JP"/>
        </w:rPr>
        <w:t>E. coli</w:t>
      </w:r>
      <w:r w:rsidRPr="00107040">
        <w:rPr>
          <w:rFonts w:ascii="Times New Roman" w:eastAsia="MS Mincho" w:hAnsi="Times New Roman"/>
          <w:bCs/>
          <w:sz w:val="28"/>
          <w:szCs w:val="28"/>
          <w:lang w:val="kk-KZ" w:eastAsia="ja-JP"/>
        </w:rPr>
        <w:t xml:space="preserve"> Rosetta2 (DE3) pLysS, разновидность штамма К-12. Этот штамм содержал в хромосоме копию гена, кодирующий Т7 РНК полимеразу под контролем lacUV5-промотора. Rosetta2(DE3)pLysS создан на основе штамма BL21 lacZY для увеличения экспрессии эукариотических белков, содержащих редко используемые в </w:t>
      </w:r>
      <w:r w:rsidRPr="00107040">
        <w:rPr>
          <w:rFonts w:ascii="Times New Roman" w:eastAsia="MS Mincho" w:hAnsi="Times New Roman"/>
          <w:bCs/>
          <w:i/>
          <w:sz w:val="28"/>
          <w:szCs w:val="28"/>
          <w:lang w:val="kk-KZ" w:eastAsia="ja-JP"/>
        </w:rPr>
        <w:t>E. coli</w:t>
      </w:r>
      <w:r w:rsidRPr="00107040">
        <w:rPr>
          <w:rFonts w:ascii="Times New Roman" w:eastAsia="MS Mincho" w:hAnsi="Times New Roman"/>
          <w:bCs/>
          <w:sz w:val="28"/>
          <w:szCs w:val="28"/>
          <w:lang w:val="kk-KZ" w:eastAsia="ja-JP"/>
        </w:rPr>
        <w:t xml:space="preserve"> кодоны. Этот штамм содержит гены тРНК к следующим кодонам: AUA, AGG, AGA, CUA, CCC, GGA в, устойчивой к хлорамфениколу, плазмиде.</w:t>
      </w:r>
    </w:p>
    <w:p w14:paraId="0A6A4671" w14:textId="021F9A62" w:rsidR="00AA69DA" w:rsidRPr="00107040" w:rsidRDefault="00AA69DA" w:rsidP="000C16BB">
      <w:pPr>
        <w:spacing w:after="0" w:line="240" w:lineRule="auto"/>
        <w:ind w:firstLine="567"/>
        <w:jc w:val="both"/>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 xml:space="preserve">Экспрессию генов </w:t>
      </w:r>
      <w:r w:rsidRPr="00107040">
        <w:rPr>
          <w:rFonts w:ascii="Times New Roman" w:eastAsia="MS Mincho" w:hAnsi="Times New Roman"/>
          <w:bCs/>
          <w:i/>
          <w:sz w:val="28"/>
          <w:szCs w:val="28"/>
          <w:lang w:val="kk-KZ" w:eastAsia="ja-JP"/>
        </w:rPr>
        <w:t xml:space="preserve">AtPARP1 </w:t>
      </w:r>
      <w:r w:rsidRPr="00107040">
        <w:rPr>
          <w:rFonts w:ascii="Times New Roman" w:eastAsia="MS Mincho" w:hAnsi="Times New Roman"/>
          <w:bCs/>
          <w:sz w:val="28"/>
          <w:szCs w:val="28"/>
          <w:lang w:val="kk-KZ" w:eastAsia="ja-JP"/>
        </w:rPr>
        <w:t xml:space="preserve">и </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xml:space="preserve">, в трансформированных клетках </w:t>
      </w:r>
      <w:r w:rsidRPr="00107040">
        <w:rPr>
          <w:rFonts w:ascii="Times New Roman" w:eastAsia="MS Mincho" w:hAnsi="Times New Roman"/>
          <w:bCs/>
          <w:i/>
          <w:iCs/>
          <w:sz w:val="28"/>
          <w:szCs w:val="28"/>
          <w:lang w:val="kk-KZ" w:eastAsia="ja-JP"/>
        </w:rPr>
        <w:t>E. coli</w:t>
      </w:r>
      <w:r w:rsidRPr="00107040">
        <w:rPr>
          <w:rFonts w:ascii="Times New Roman" w:eastAsia="MS Mincho" w:hAnsi="Times New Roman"/>
          <w:bCs/>
          <w:sz w:val="28"/>
          <w:szCs w:val="28"/>
          <w:lang w:val="kk-KZ" w:eastAsia="ja-JP"/>
        </w:rPr>
        <w:t xml:space="preserve"> штамма Rosetta2(DE3) pLysS, выявляли с помощью </w:t>
      </w:r>
      <w:r w:rsidRPr="00107040">
        <w:rPr>
          <w:rFonts w:ascii="Times New Roman" w:eastAsia="MS Mincho" w:hAnsi="Times New Roman"/>
          <w:bCs/>
          <w:sz w:val="28"/>
          <w:szCs w:val="28"/>
          <w:lang w:val="en-US" w:eastAsia="ja-JP"/>
        </w:rPr>
        <w:t>SDS</w:t>
      </w:r>
      <w:r w:rsidRPr="00107040">
        <w:rPr>
          <w:rFonts w:ascii="Times New Roman" w:eastAsia="MS Mincho" w:hAnsi="Times New Roman"/>
          <w:bCs/>
          <w:sz w:val="28"/>
          <w:szCs w:val="28"/>
          <w:lang w:val="kk-KZ" w:eastAsia="ja-JP"/>
        </w:rPr>
        <w:t xml:space="preserve">-ПААГ электрофореза и определения ферментативной активности. По результатам </w:t>
      </w:r>
      <w:r w:rsidRPr="00107040">
        <w:rPr>
          <w:rFonts w:ascii="Times New Roman" w:eastAsia="MS Mincho" w:hAnsi="Times New Roman"/>
          <w:bCs/>
          <w:sz w:val="28"/>
          <w:szCs w:val="28"/>
          <w:lang w:val="en-US" w:eastAsia="ja-JP"/>
        </w:rPr>
        <w:t>SDS</w:t>
      </w:r>
      <w:r w:rsidRPr="00107040">
        <w:rPr>
          <w:rFonts w:ascii="Times New Roman" w:eastAsia="MS Mincho" w:hAnsi="Times New Roman"/>
          <w:bCs/>
          <w:sz w:val="28"/>
          <w:szCs w:val="28"/>
          <w:lang w:val="kk-KZ" w:eastAsia="ja-JP"/>
        </w:rPr>
        <w:t>-ПААГ электрофореза удалось установить, что рекомбинантный штамм Rosetta2(DE3)pLysSpET28с/</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xml:space="preserve"> продуцирует белок с молекулярной массой 111,2 кДа, тогда как Rosetta2(DE3)pLysSpET28с/</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xml:space="preserve"> продуцирует белок с молекулярной массой 72 кДа, что соответствует молекулярной массе, предсказанной для AtPARP2</w:t>
      </w:r>
      <w:r w:rsidR="0068745D" w:rsidRPr="0068745D">
        <w:rPr>
          <w:rFonts w:ascii="Times New Roman" w:eastAsia="MS Mincho" w:hAnsi="Times New Roman"/>
          <w:bCs/>
          <w:sz w:val="28"/>
          <w:szCs w:val="28"/>
          <w:lang w:val="ru-RU" w:eastAsia="ja-JP"/>
        </w:rPr>
        <w:t xml:space="preserve"> [</w:t>
      </w:r>
      <w:r w:rsidR="00ED7215" w:rsidRPr="00ED7215">
        <w:rPr>
          <w:rFonts w:ascii="Times New Roman" w:eastAsia="MS Mincho" w:hAnsi="Times New Roman"/>
          <w:bCs/>
          <w:sz w:val="28"/>
          <w:szCs w:val="28"/>
          <w:lang w:val="ru-RU" w:eastAsia="ja-JP"/>
        </w:rPr>
        <w:t>469</w:t>
      </w:r>
      <w:r w:rsidR="0068745D" w:rsidRPr="0068745D">
        <w:rPr>
          <w:rFonts w:ascii="Times New Roman" w:eastAsia="MS Mincho" w:hAnsi="Times New Roman"/>
          <w:bCs/>
          <w:sz w:val="28"/>
          <w:szCs w:val="28"/>
          <w:lang w:val="ru-RU" w:eastAsia="ja-JP"/>
        </w:rPr>
        <w:t>]</w:t>
      </w:r>
      <w:r w:rsidRPr="00107040">
        <w:rPr>
          <w:rFonts w:ascii="Times New Roman" w:eastAsia="MS Mincho" w:hAnsi="Times New Roman"/>
          <w:bCs/>
          <w:sz w:val="28"/>
          <w:szCs w:val="28"/>
          <w:lang w:val="kk-KZ" w:eastAsia="ja-JP"/>
        </w:rPr>
        <w:t xml:space="preserve">. В отсутствии индуктора накопление белка с </w:t>
      </w:r>
      <w:r w:rsidRPr="00107040">
        <w:rPr>
          <w:rFonts w:ascii="Times New Roman" w:eastAsia="MS Mincho" w:hAnsi="Times New Roman"/>
          <w:bCs/>
          <w:sz w:val="28"/>
          <w:szCs w:val="28"/>
          <w:lang w:val="kk-KZ" w:eastAsia="ja-JP"/>
        </w:rPr>
        <w:lastRenderedPageBreak/>
        <w:t xml:space="preserve">сответствующей молекулярной массой не происходило (рисунок </w:t>
      </w:r>
      <w:r w:rsidR="00371014">
        <w:rPr>
          <w:rFonts w:ascii="Times New Roman" w:eastAsia="MS Mincho" w:hAnsi="Times New Roman"/>
          <w:bCs/>
          <w:sz w:val="28"/>
          <w:szCs w:val="28"/>
          <w:lang w:val="kk-KZ" w:eastAsia="ja-JP"/>
        </w:rPr>
        <w:t>11</w:t>
      </w:r>
      <w:r w:rsidRPr="00107040">
        <w:rPr>
          <w:rFonts w:ascii="Times New Roman" w:eastAsia="MS Mincho" w:hAnsi="Times New Roman"/>
          <w:bCs/>
          <w:sz w:val="28"/>
          <w:szCs w:val="28"/>
          <w:lang w:val="kk-KZ" w:eastAsia="ja-JP"/>
        </w:rPr>
        <w:t>), что свидетельствует об эффективной экспрессии данных генов.</w:t>
      </w:r>
    </w:p>
    <w:p w14:paraId="2A1D170C" w14:textId="4D7E432C" w:rsidR="00AA69DA" w:rsidRPr="00107040" w:rsidRDefault="00AA69DA" w:rsidP="000C16BB">
      <w:pPr>
        <w:spacing w:after="0" w:line="240" w:lineRule="auto"/>
        <w:ind w:firstLine="567"/>
        <w:jc w:val="center"/>
        <w:rPr>
          <w:rFonts w:ascii="Times New Roman" w:eastAsia="MS Mincho" w:hAnsi="Times New Roman"/>
          <w:bCs/>
          <w:sz w:val="28"/>
          <w:szCs w:val="28"/>
          <w:lang w:val="kk-KZ" w:eastAsia="ja-JP"/>
        </w:rPr>
      </w:pPr>
    </w:p>
    <w:p w14:paraId="4FAA6CC1" w14:textId="77777777" w:rsidR="00414AF3" w:rsidRPr="00107040" w:rsidRDefault="00414AF3" w:rsidP="000C16BB">
      <w:pPr>
        <w:spacing w:after="0" w:line="240" w:lineRule="auto"/>
        <w:ind w:firstLine="567"/>
        <w:jc w:val="both"/>
        <w:rPr>
          <w:rFonts w:ascii="Times New Roman" w:eastAsia="MS Mincho" w:hAnsi="Times New Roman"/>
          <w:bCs/>
          <w:sz w:val="28"/>
          <w:szCs w:val="28"/>
          <w:lang w:val="en-US" w:eastAsia="ja-JP"/>
        </w:rPr>
      </w:pPr>
      <w:r w:rsidRPr="00107040">
        <w:rPr>
          <w:rFonts w:ascii="Times New Roman" w:eastAsia="MS Mincho" w:hAnsi="Times New Roman"/>
          <w:bCs/>
          <w:sz w:val="28"/>
          <w:szCs w:val="28"/>
          <w:lang w:val="kk-KZ" w:eastAsia="ja-JP"/>
        </w:rPr>
        <w:t xml:space="preserve">                                      А                                           В</w:t>
      </w:r>
    </w:p>
    <w:p w14:paraId="581AF9C9" w14:textId="021501CF" w:rsidR="00414AF3" w:rsidRPr="00107040" w:rsidRDefault="00414AF3" w:rsidP="000C16BB">
      <w:pPr>
        <w:spacing w:after="0" w:line="240" w:lineRule="auto"/>
        <w:ind w:firstLine="567"/>
        <w:jc w:val="center"/>
        <w:rPr>
          <w:rFonts w:ascii="Times New Roman" w:eastAsia="MS Mincho" w:hAnsi="Times New Roman"/>
          <w:bCs/>
          <w:sz w:val="28"/>
          <w:szCs w:val="28"/>
          <w:lang w:val="kk-KZ" w:eastAsia="ja-JP"/>
        </w:rPr>
      </w:pPr>
      <w:r w:rsidRPr="00107040">
        <w:rPr>
          <w:rFonts w:ascii="Times New Roman" w:hAnsi="Times New Roman"/>
          <w:noProof/>
          <w:sz w:val="28"/>
          <w:szCs w:val="28"/>
          <w:lang w:val="ru-RU" w:eastAsia="ru-RU"/>
        </w:rPr>
        <w:drawing>
          <wp:inline distT="0" distB="0" distL="0" distR="0" wp14:anchorId="604B9BF2" wp14:editId="43FAA83D">
            <wp:extent cx="3220720" cy="2211070"/>
            <wp:effectExtent l="0" t="0" r="0" b="0"/>
            <wp:docPr id="9" name="Рисунок 9"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Изображение выглядит как текст, внутренний&#10;&#10;Автоматически созданное описание"/>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0720" cy="2211070"/>
                    </a:xfrm>
                    <a:prstGeom prst="rect">
                      <a:avLst/>
                    </a:prstGeom>
                    <a:noFill/>
                    <a:ln>
                      <a:noFill/>
                    </a:ln>
                  </pic:spPr>
                </pic:pic>
              </a:graphicData>
            </a:graphic>
          </wp:inline>
        </w:drawing>
      </w:r>
    </w:p>
    <w:p w14:paraId="7FE3C6B9" w14:textId="77777777" w:rsidR="00414AF3" w:rsidRPr="00107040" w:rsidRDefault="00414AF3" w:rsidP="000C16BB">
      <w:pPr>
        <w:spacing w:after="0" w:line="240" w:lineRule="auto"/>
        <w:ind w:firstLine="567"/>
        <w:jc w:val="center"/>
        <w:rPr>
          <w:rFonts w:ascii="Times New Roman" w:eastAsia="MS Mincho" w:hAnsi="Times New Roman"/>
          <w:bCs/>
          <w:sz w:val="28"/>
          <w:szCs w:val="28"/>
          <w:lang w:val="kk-KZ" w:eastAsia="ja-JP"/>
        </w:rPr>
      </w:pPr>
    </w:p>
    <w:p w14:paraId="3909F177" w14:textId="77777777" w:rsidR="00AA69DA" w:rsidRPr="00107040" w:rsidRDefault="00AA69DA" w:rsidP="000C16BB">
      <w:pPr>
        <w:spacing w:after="0" w:line="240" w:lineRule="auto"/>
        <w:ind w:firstLine="567"/>
        <w:jc w:val="center"/>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 xml:space="preserve">M – Маркер; 1 – </w:t>
      </w:r>
      <w:bookmarkStart w:id="62" w:name="_Hlk102117910"/>
      <w:r w:rsidRPr="00107040">
        <w:rPr>
          <w:rFonts w:ascii="Times New Roman" w:eastAsia="MS Mincho" w:hAnsi="Times New Roman"/>
          <w:bCs/>
          <w:sz w:val="28"/>
          <w:szCs w:val="28"/>
          <w:lang w:val="kk-KZ" w:eastAsia="ja-JP"/>
        </w:rPr>
        <w:t xml:space="preserve">клеточный экстракт </w:t>
      </w:r>
      <w:r w:rsidRPr="00107040">
        <w:rPr>
          <w:rFonts w:ascii="Times New Roman" w:eastAsia="MS Mincho" w:hAnsi="Times New Roman"/>
          <w:bCs/>
          <w:i/>
          <w:iCs/>
          <w:sz w:val="28"/>
          <w:szCs w:val="28"/>
          <w:lang w:val="kk-KZ" w:eastAsia="ja-JP"/>
        </w:rPr>
        <w:t>E. coli</w:t>
      </w:r>
      <w:r w:rsidRPr="00107040">
        <w:rPr>
          <w:rFonts w:ascii="Times New Roman" w:eastAsia="MS Mincho" w:hAnsi="Times New Roman"/>
          <w:bCs/>
          <w:sz w:val="28"/>
          <w:szCs w:val="28"/>
          <w:lang w:val="kk-KZ" w:eastAsia="ja-JP"/>
        </w:rPr>
        <w:t>, несущий пустой вектор pET28с</w:t>
      </w:r>
      <w:bookmarkEnd w:id="62"/>
      <w:r w:rsidRPr="00107040">
        <w:rPr>
          <w:rFonts w:ascii="Times New Roman" w:eastAsia="MS Mincho" w:hAnsi="Times New Roman"/>
          <w:bCs/>
          <w:sz w:val="28"/>
          <w:szCs w:val="28"/>
          <w:lang w:val="kk-KZ" w:eastAsia="ja-JP"/>
        </w:rPr>
        <w:t xml:space="preserve">; 2-4- клеточный экстракт </w:t>
      </w:r>
      <w:r w:rsidRPr="00107040">
        <w:rPr>
          <w:rFonts w:ascii="Times New Roman" w:eastAsia="MS Mincho" w:hAnsi="Times New Roman"/>
          <w:bCs/>
          <w:i/>
          <w:iCs/>
          <w:sz w:val="28"/>
          <w:szCs w:val="28"/>
          <w:lang w:val="kk-KZ" w:eastAsia="ja-JP"/>
        </w:rPr>
        <w:t>E. coli</w:t>
      </w:r>
      <w:r w:rsidRPr="00107040">
        <w:rPr>
          <w:rFonts w:ascii="Times New Roman" w:eastAsia="MS Mincho" w:hAnsi="Times New Roman"/>
          <w:bCs/>
          <w:sz w:val="28"/>
          <w:szCs w:val="28"/>
          <w:lang w:val="kk-KZ" w:eastAsia="ja-JP"/>
        </w:rPr>
        <w:t xml:space="preserve"> несущий pET28с/</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xml:space="preserve"> (А)  и pET28с/</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xml:space="preserve"> (Б) после 12 часов индукции с ИПТГ, 1-3- клеточный экстракт </w:t>
      </w:r>
      <w:r w:rsidRPr="00107040">
        <w:rPr>
          <w:rFonts w:ascii="Times New Roman" w:eastAsia="MS Mincho" w:hAnsi="Times New Roman"/>
          <w:bCs/>
          <w:i/>
          <w:sz w:val="28"/>
          <w:szCs w:val="28"/>
          <w:lang w:val="kk-KZ" w:eastAsia="ja-JP"/>
        </w:rPr>
        <w:t>E. coli</w:t>
      </w:r>
      <w:r w:rsidRPr="00107040">
        <w:rPr>
          <w:rFonts w:ascii="Times New Roman" w:eastAsia="MS Mincho" w:hAnsi="Times New Roman"/>
          <w:bCs/>
          <w:sz w:val="28"/>
          <w:szCs w:val="28"/>
          <w:lang w:val="kk-KZ" w:eastAsia="ja-JP"/>
        </w:rPr>
        <w:t xml:space="preserve"> несущий pET28с/</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xml:space="preserve">, 4 - клеточный экстракт </w:t>
      </w:r>
      <w:r w:rsidRPr="00107040">
        <w:rPr>
          <w:rFonts w:ascii="Times New Roman" w:eastAsia="MS Mincho" w:hAnsi="Times New Roman"/>
          <w:bCs/>
          <w:i/>
          <w:iCs/>
          <w:sz w:val="28"/>
          <w:szCs w:val="28"/>
          <w:lang w:val="kk-KZ" w:eastAsia="ja-JP"/>
        </w:rPr>
        <w:t>E. coli</w:t>
      </w:r>
      <w:r w:rsidRPr="00107040">
        <w:rPr>
          <w:rFonts w:ascii="Times New Roman" w:eastAsia="MS Mincho" w:hAnsi="Times New Roman"/>
          <w:bCs/>
          <w:sz w:val="28"/>
          <w:szCs w:val="28"/>
          <w:lang w:val="kk-KZ" w:eastAsia="ja-JP"/>
        </w:rPr>
        <w:t>, несущий пустой вектор pET28с.</w:t>
      </w:r>
    </w:p>
    <w:p w14:paraId="4D812E5B" w14:textId="77777777" w:rsidR="00AA69DA" w:rsidRPr="00107040" w:rsidRDefault="00AA69DA" w:rsidP="000C16BB">
      <w:pPr>
        <w:spacing w:after="0" w:line="240" w:lineRule="auto"/>
        <w:ind w:firstLine="567"/>
        <w:jc w:val="center"/>
        <w:rPr>
          <w:rFonts w:ascii="Times New Roman" w:eastAsia="MS Mincho" w:hAnsi="Times New Roman"/>
          <w:bCs/>
          <w:sz w:val="28"/>
          <w:szCs w:val="28"/>
          <w:lang w:val="kk-KZ" w:eastAsia="ja-JP"/>
        </w:rPr>
      </w:pPr>
    </w:p>
    <w:p w14:paraId="6FDC47E0" w14:textId="2ED995D0" w:rsidR="00AA69DA" w:rsidRPr="00107040" w:rsidRDefault="00AA69DA" w:rsidP="000C16BB">
      <w:pPr>
        <w:spacing w:after="0" w:line="240" w:lineRule="auto"/>
        <w:ind w:firstLine="567"/>
        <w:jc w:val="center"/>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 xml:space="preserve">Рисунок </w:t>
      </w:r>
      <w:r w:rsidR="00AC7601">
        <w:rPr>
          <w:rFonts w:ascii="Times New Roman" w:eastAsia="MS Mincho" w:hAnsi="Times New Roman"/>
          <w:bCs/>
          <w:sz w:val="28"/>
          <w:szCs w:val="28"/>
          <w:lang w:val="ru-RU" w:eastAsia="ja-JP"/>
        </w:rPr>
        <w:t>11</w:t>
      </w:r>
      <w:r w:rsidRPr="00107040">
        <w:rPr>
          <w:rFonts w:ascii="Times New Roman" w:eastAsia="MS Mincho" w:hAnsi="Times New Roman"/>
          <w:bCs/>
          <w:sz w:val="28"/>
          <w:szCs w:val="28"/>
          <w:lang w:val="kk-KZ" w:eastAsia="ja-JP"/>
        </w:rPr>
        <w:t xml:space="preserve"> – Экспрессия кДНК гена </w:t>
      </w:r>
      <w:r w:rsidRPr="00107040">
        <w:rPr>
          <w:rFonts w:ascii="Times New Roman" w:eastAsia="MS Mincho" w:hAnsi="Times New Roman"/>
          <w:bCs/>
          <w:i/>
          <w:sz w:val="28"/>
          <w:szCs w:val="28"/>
          <w:lang w:val="kk-KZ" w:eastAsia="ja-JP"/>
        </w:rPr>
        <w:t>AtPARP2</w:t>
      </w:r>
      <w:r w:rsidRPr="00107040">
        <w:rPr>
          <w:rFonts w:ascii="Times New Roman" w:eastAsia="MS Mincho" w:hAnsi="Times New Roman"/>
          <w:bCs/>
          <w:sz w:val="28"/>
          <w:szCs w:val="28"/>
          <w:lang w:val="kk-KZ" w:eastAsia="ja-JP"/>
        </w:rPr>
        <w:t xml:space="preserve"> и </w:t>
      </w:r>
      <w:r w:rsidRPr="00107040">
        <w:rPr>
          <w:rFonts w:ascii="Times New Roman" w:eastAsia="MS Mincho" w:hAnsi="Times New Roman"/>
          <w:bCs/>
          <w:i/>
          <w:sz w:val="28"/>
          <w:szCs w:val="28"/>
          <w:lang w:val="kk-KZ" w:eastAsia="ja-JP"/>
        </w:rPr>
        <w:t>AtPARP1</w:t>
      </w:r>
      <w:r w:rsidRPr="00107040">
        <w:rPr>
          <w:rFonts w:ascii="Times New Roman" w:eastAsia="MS Mincho" w:hAnsi="Times New Roman"/>
          <w:bCs/>
          <w:sz w:val="28"/>
          <w:szCs w:val="28"/>
          <w:lang w:val="kk-KZ" w:eastAsia="ja-JP"/>
        </w:rPr>
        <w:t xml:space="preserve"> в </w:t>
      </w:r>
      <w:r w:rsidRPr="00107040">
        <w:rPr>
          <w:rFonts w:ascii="Times New Roman" w:eastAsia="MS Mincho" w:hAnsi="Times New Roman"/>
          <w:bCs/>
          <w:i/>
          <w:iCs/>
          <w:sz w:val="28"/>
          <w:szCs w:val="28"/>
          <w:lang w:val="kk-KZ" w:eastAsia="ja-JP"/>
        </w:rPr>
        <w:t>E. coli</w:t>
      </w:r>
    </w:p>
    <w:p w14:paraId="70BE4F03" w14:textId="77777777" w:rsidR="00AA69DA" w:rsidRPr="00107040" w:rsidRDefault="00AA69DA" w:rsidP="000C16BB">
      <w:pPr>
        <w:spacing w:after="0" w:line="240" w:lineRule="auto"/>
        <w:ind w:firstLine="567"/>
        <w:jc w:val="both"/>
        <w:rPr>
          <w:rFonts w:ascii="Times New Roman" w:eastAsia="MS Mincho" w:hAnsi="Times New Roman"/>
          <w:bCs/>
          <w:sz w:val="28"/>
          <w:szCs w:val="28"/>
          <w:lang w:val="kk-KZ" w:eastAsia="ja-JP"/>
        </w:rPr>
      </w:pPr>
    </w:p>
    <w:p w14:paraId="4FEA22FF" w14:textId="09312836" w:rsidR="00AA69DA" w:rsidRPr="00107040" w:rsidRDefault="00AA69DA" w:rsidP="000C16BB">
      <w:pPr>
        <w:spacing w:after="0" w:line="240" w:lineRule="auto"/>
        <w:ind w:firstLine="567"/>
        <w:jc w:val="both"/>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 xml:space="preserve">Так как для экспрессии кДНК поли (АДФ-рибоза) полимераз </w:t>
      </w:r>
      <w:r w:rsidRPr="00107040">
        <w:rPr>
          <w:rFonts w:ascii="Times New Roman" w:eastAsia="MS Mincho" w:hAnsi="Times New Roman"/>
          <w:bCs/>
          <w:i/>
          <w:iCs/>
          <w:sz w:val="28"/>
          <w:szCs w:val="28"/>
          <w:lang w:val="kk-KZ" w:eastAsia="ja-JP"/>
        </w:rPr>
        <w:t>A. thaliana</w:t>
      </w:r>
      <w:r w:rsidRPr="00107040">
        <w:rPr>
          <w:rFonts w:ascii="Times New Roman" w:eastAsia="MS Mincho" w:hAnsi="Times New Roman"/>
          <w:bCs/>
          <w:sz w:val="28"/>
          <w:szCs w:val="28"/>
          <w:lang w:val="kk-KZ" w:eastAsia="ja-JP"/>
        </w:rPr>
        <w:t xml:space="preserve"> в </w:t>
      </w:r>
      <w:r w:rsidRPr="00107040">
        <w:rPr>
          <w:rFonts w:ascii="Times New Roman" w:eastAsia="MS Mincho" w:hAnsi="Times New Roman"/>
          <w:bCs/>
          <w:i/>
          <w:iCs/>
          <w:sz w:val="28"/>
          <w:szCs w:val="28"/>
          <w:lang w:val="kk-KZ" w:eastAsia="ja-JP"/>
        </w:rPr>
        <w:t>E.coli</w:t>
      </w:r>
      <w:r w:rsidRPr="00107040">
        <w:rPr>
          <w:rFonts w:ascii="Times New Roman" w:eastAsia="MS Mincho" w:hAnsi="Times New Roman"/>
          <w:bCs/>
          <w:sz w:val="28"/>
          <w:szCs w:val="28"/>
          <w:lang w:val="kk-KZ" w:eastAsia="ja-JP"/>
        </w:rPr>
        <w:t xml:space="preserve"> был выбран вектор pET28с с 6xHis•tag последовательностью на С–конце, экспрессированный рекомбинантный белок содержал шесть идентичных гистидиновых остатков на С-конце, которые действовали как сайт связывания металлов для очистки экспрессированных белков. В связи с этим, рекомбинантные белки с His-концом были очищены металлоаффинной хроматографией. Степень очистки полученных белков определяли с помощью </w:t>
      </w:r>
      <w:r w:rsidRPr="00107040">
        <w:rPr>
          <w:rFonts w:ascii="Times New Roman" w:eastAsia="MS Mincho" w:hAnsi="Times New Roman"/>
          <w:bCs/>
          <w:sz w:val="28"/>
          <w:szCs w:val="28"/>
          <w:lang w:val="en-US" w:eastAsia="ja-JP"/>
        </w:rPr>
        <w:t>SDS</w:t>
      </w:r>
      <w:r w:rsidRPr="00107040">
        <w:rPr>
          <w:rFonts w:ascii="Times New Roman" w:eastAsia="MS Mincho" w:hAnsi="Times New Roman"/>
          <w:bCs/>
          <w:sz w:val="28"/>
          <w:szCs w:val="28"/>
          <w:lang w:val="kk-KZ" w:eastAsia="ja-JP"/>
        </w:rPr>
        <w:t xml:space="preserve">-ПААГЭ (Рисунок </w:t>
      </w:r>
      <w:r w:rsidRPr="00107040">
        <w:rPr>
          <w:rFonts w:ascii="Times New Roman" w:eastAsia="MS Mincho" w:hAnsi="Times New Roman"/>
          <w:bCs/>
          <w:sz w:val="28"/>
          <w:szCs w:val="28"/>
          <w:lang w:val="ru-RU" w:eastAsia="ja-JP"/>
        </w:rPr>
        <w:t>1</w:t>
      </w:r>
      <w:r w:rsidR="00AC7601">
        <w:rPr>
          <w:rFonts w:ascii="Times New Roman" w:eastAsia="MS Mincho" w:hAnsi="Times New Roman"/>
          <w:bCs/>
          <w:sz w:val="28"/>
          <w:szCs w:val="28"/>
          <w:lang w:val="kk-KZ" w:eastAsia="ja-JP"/>
        </w:rPr>
        <w:t>2</w:t>
      </w:r>
      <w:r w:rsidRPr="00107040">
        <w:rPr>
          <w:rFonts w:ascii="Times New Roman" w:eastAsia="MS Mincho" w:hAnsi="Times New Roman"/>
          <w:bCs/>
          <w:sz w:val="28"/>
          <w:szCs w:val="28"/>
          <w:lang w:val="kk-KZ" w:eastAsia="ja-JP"/>
        </w:rPr>
        <w:t xml:space="preserve">). Как видно из представленных данных (рисунок </w:t>
      </w:r>
      <w:r w:rsidRPr="00107040">
        <w:rPr>
          <w:rFonts w:ascii="Times New Roman" w:eastAsia="MS Mincho" w:hAnsi="Times New Roman"/>
          <w:bCs/>
          <w:sz w:val="28"/>
          <w:szCs w:val="28"/>
          <w:lang w:val="ru-RU" w:eastAsia="ja-JP"/>
        </w:rPr>
        <w:t>1</w:t>
      </w:r>
      <w:r w:rsidR="00AC7601">
        <w:rPr>
          <w:rFonts w:ascii="Times New Roman" w:eastAsia="MS Mincho" w:hAnsi="Times New Roman"/>
          <w:bCs/>
          <w:sz w:val="28"/>
          <w:szCs w:val="28"/>
          <w:lang w:val="ru-RU" w:eastAsia="ja-JP"/>
        </w:rPr>
        <w:t>2</w:t>
      </w:r>
      <w:r w:rsidRPr="00107040">
        <w:rPr>
          <w:rFonts w:ascii="Times New Roman" w:eastAsia="MS Mincho" w:hAnsi="Times New Roman"/>
          <w:bCs/>
          <w:sz w:val="28"/>
          <w:szCs w:val="28"/>
          <w:lang w:val="kk-KZ" w:eastAsia="ja-JP"/>
        </w:rPr>
        <w:t>А, В) рекомбинантные белки AtPARP1 и AtPARP2 были очищены до гомогенного состояния и не содержали примесей других белков</w:t>
      </w:r>
      <w:r w:rsidR="00ED7215" w:rsidRPr="00ED7215">
        <w:rPr>
          <w:rFonts w:ascii="Times New Roman" w:eastAsia="MS Mincho" w:hAnsi="Times New Roman"/>
          <w:bCs/>
          <w:sz w:val="28"/>
          <w:szCs w:val="28"/>
          <w:lang w:val="ru-RU" w:eastAsia="ja-JP"/>
        </w:rPr>
        <w:t xml:space="preserve"> [471]</w:t>
      </w:r>
      <w:r w:rsidRPr="00107040">
        <w:rPr>
          <w:rFonts w:ascii="Times New Roman" w:eastAsia="MS Mincho" w:hAnsi="Times New Roman"/>
          <w:bCs/>
          <w:sz w:val="28"/>
          <w:szCs w:val="28"/>
          <w:lang w:val="kk-KZ" w:eastAsia="ja-JP"/>
        </w:rPr>
        <w:t>.</w:t>
      </w:r>
    </w:p>
    <w:p w14:paraId="644D62AE" w14:textId="77777777" w:rsidR="00AA69DA" w:rsidRPr="00107040" w:rsidRDefault="00AA69DA" w:rsidP="000C16BB">
      <w:pPr>
        <w:spacing w:after="0" w:line="240" w:lineRule="auto"/>
        <w:ind w:firstLine="567"/>
        <w:jc w:val="both"/>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Для обнаружения белков AtPARP1 и AtPARP2 в растениях требуется получение специфических антител к данным ферментам. Для этого очищенные рекомбинантные белки AtPARP1 и AtPARP2 совместно с адьювантом Фрейнда ввели в кровоток кролика. После серии иммунизации было отобрано необходимое количество крови, из которой выделена сыворотка, содержащая антитела к AtPARP1 и AtPARP2.</w:t>
      </w:r>
    </w:p>
    <w:p w14:paraId="192B9055" w14:textId="1E867B85" w:rsidR="00414AF3" w:rsidRPr="00107040" w:rsidRDefault="00414AF3" w:rsidP="000C16BB">
      <w:pPr>
        <w:spacing w:after="0" w:line="240" w:lineRule="auto"/>
        <w:ind w:firstLine="567"/>
        <w:jc w:val="center"/>
        <w:rPr>
          <w:rFonts w:ascii="Times New Roman" w:eastAsia="MS Mincho" w:hAnsi="Times New Roman"/>
          <w:bCs/>
          <w:sz w:val="28"/>
          <w:szCs w:val="28"/>
          <w:lang w:val="kk-KZ" w:eastAsia="ja-JP"/>
        </w:rPr>
      </w:pPr>
      <w:r w:rsidRPr="00107040">
        <w:rPr>
          <w:rFonts w:ascii="Times New Roman" w:hAnsi="Times New Roman"/>
          <w:noProof/>
          <w:sz w:val="28"/>
          <w:szCs w:val="28"/>
          <w:lang w:val="ru-RU" w:eastAsia="ru-RU"/>
        </w:rPr>
        <w:lastRenderedPageBreak/>
        <w:drawing>
          <wp:inline distT="0" distB="0" distL="0" distR="0" wp14:anchorId="0694E541" wp14:editId="2C85A7E3">
            <wp:extent cx="4681220" cy="210185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1220" cy="2101850"/>
                    </a:xfrm>
                    <a:prstGeom prst="rect">
                      <a:avLst/>
                    </a:prstGeom>
                    <a:noFill/>
                    <a:ln>
                      <a:noFill/>
                    </a:ln>
                  </pic:spPr>
                </pic:pic>
              </a:graphicData>
            </a:graphic>
          </wp:inline>
        </w:drawing>
      </w:r>
    </w:p>
    <w:p w14:paraId="44A43409" w14:textId="77777777" w:rsidR="00AA69DA" w:rsidRPr="00107040" w:rsidRDefault="00AA69DA" w:rsidP="000C16BB">
      <w:pPr>
        <w:spacing w:after="0" w:line="240" w:lineRule="auto"/>
        <w:jc w:val="both"/>
        <w:rPr>
          <w:rFonts w:ascii="Times New Roman" w:eastAsia="MS Mincho" w:hAnsi="Times New Roman"/>
          <w:bCs/>
          <w:sz w:val="28"/>
          <w:szCs w:val="28"/>
          <w:lang w:val="kk-KZ" w:eastAsia="ja-JP"/>
        </w:rPr>
      </w:pPr>
    </w:p>
    <w:p w14:paraId="6A6D0AE5" w14:textId="77777777" w:rsidR="00AA69DA" w:rsidRPr="00107040" w:rsidRDefault="00AA69DA" w:rsidP="000C16BB">
      <w:pPr>
        <w:spacing w:after="0" w:line="240" w:lineRule="auto"/>
        <w:jc w:val="center"/>
        <w:rPr>
          <w:rFonts w:ascii="Times New Roman" w:eastAsia="MS Mincho" w:hAnsi="Times New Roman"/>
          <w:bCs/>
          <w:sz w:val="28"/>
          <w:szCs w:val="28"/>
          <w:lang w:val="kk-KZ" w:eastAsia="ja-JP"/>
        </w:rPr>
      </w:pPr>
      <w:bookmarkStart w:id="63" w:name="_Hlk103941074"/>
      <w:r w:rsidRPr="00107040">
        <w:rPr>
          <w:rFonts w:ascii="Times New Roman" w:eastAsia="MS Mincho" w:hAnsi="Times New Roman"/>
          <w:bCs/>
          <w:sz w:val="28"/>
          <w:szCs w:val="28"/>
          <w:lang w:val="kk-KZ" w:eastAsia="ja-JP"/>
        </w:rPr>
        <w:t>A) Очистка нa Ni-NTA мaтрице рекомбинантного AtPARP1, coдeржaщего гиcтидинoвую мeтку. В) Очистка нa Ni-NTA мaтрице рекомбинантного AtPARP2.  М - бeлкoвый мaркeр, рaзмeры кoтoрых укaзaны в кДa cлeвa. 1-9 - Oчищeнныe фрaкции белка.</w:t>
      </w:r>
    </w:p>
    <w:p w14:paraId="7447D3EC" w14:textId="77777777" w:rsidR="00AA69DA" w:rsidRPr="00107040" w:rsidRDefault="00AA69DA" w:rsidP="000C16BB">
      <w:pPr>
        <w:spacing w:after="0" w:line="240" w:lineRule="auto"/>
        <w:jc w:val="center"/>
        <w:rPr>
          <w:rFonts w:ascii="Times New Roman" w:eastAsia="MS Mincho" w:hAnsi="Times New Roman"/>
          <w:bCs/>
          <w:sz w:val="28"/>
          <w:szCs w:val="28"/>
          <w:lang w:val="kk-KZ" w:eastAsia="ja-JP"/>
        </w:rPr>
      </w:pPr>
    </w:p>
    <w:p w14:paraId="0299F1AF" w14:textId="4B6DDF2F" w:rsidR="00AA69DA" w:rsidRPr="00107040" w:rsidRDefault="00AA69DA" w:rsidP="000C16BB">
      <w:pPr>
        <w:spacing w:after="0" w:line="240" w:lineRule="auto"/>
        <w:jc w:val="center"/>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Риcунoк 1</w:t>
      </w:r>
      <w:r w:rsidR="00AC7601">
        <w:rPr>
          <w:rFonts w:ascii="Times New Roman" w:eastAsia="MS Mincho" w:hAnsi="Times New Roman"/>
          <w:bCs/>
          <w:sz w:val="28"/>
          <w:szCs w:val="28"/>
          <w:lang w:val="kk-KZ" w:eastAsia="ja-JP"/>
        </w:rPr>
        <w:t>2</w:t>
      </w:r>
      <w:r w:rsidRPr="00107040">
        <w:rPr>
          <w:rFonts w:ascii="Times New Roman" w:eastAsia="MS Mincho" w:hAnsi="Times New Roman"/>
          <w:bCs/>
          <w:sz w:val="28"/>
          <w:szCs w:val="28"/>
          <w:lang w:val="kk-KZ" w:eastAsia="ja-JP"/>
        </w:rPr>
        <w:t xml:space="preserve"> – Аффинная хроматография клеточного экстракта клеток </w:t>
      </w:r>
      <w:r w:rsidRPr="00107040">
        <w:rPr>
          <w:rFonts w:ascii="Times New Roman" w:eastAsia="MS Mincho" w:hAnsi="Times New Roman"/>
          <w:bCs/>
          <w:i/>
          <w:iCs/>
          <w:sz w:val="28"/>
          <w:szCs w:val="28"/>
          <w:lang w:val="kk-KZ" w:eastAsia="ja-JP"/>
        </w:rPr>
        <w:t>E.coli</w:t>
      </w:r>
      <w:r w:rsidRPr="00107040">
        <w:rPr>
          <w:rFonts w:ascii="Times New Roman" w:eastAsia="MS Mincho" w:hAnsi="Times New Roman"/>
          <w:bCs/>
          <w:sz w:val="28"/>
          <w:szCs w:val="28"/>
          <w:lang w:val="kk-KZ" w:eastAsia="ja-JP"/>
        </w:rPr>
        <w:t>, экспрессирующих рекомбинантные AtPARP1-6хHis и AtPARP2-6хHis белки.</w:t>
      </w:r>
    </w:p>
    <w:p w14:paraId="66D97E3E" w14:textId="77777777" w:rsidR="00C90A32" w:rsidRPr="00107040" w:rsidRDefault="00C90A32" w:rsidP="000C16BB">
      <w:pPr>
        <w:spacing w:after="0" w:line="240" w:lineRule="auto"/>
        <w:ind w:firstLine="567"/>
        <w:jc w:val="center"/>
        <w:rPr>
          <w:rFonts w:ascii="Times New Roman" w:eastAsia="MS Mincho" w:hAnsi="Times New Roman"/>
          <w:bCs/>
          <w:sz w:val="28"/>
          <w:szCs w:val="28"/>
          <w:lang w:val="kk-KZ" w:eastAsia="ja-JP"/>
        </w:rPr>
      </w:pPr>
    </w:p>
    <w:bookmarkEnd w:id="63"/>
    <w:p w14:paraId="40CD0F28" w14:textId="77777777" w:rsidR="00AA69DA" w:rsidRPr="00107040" w:rsidRDefault="00C90A32" w:rsidP="000C16BB">
      <w:pPr>
        <w:keepNext/>
        <w:tabs>
          <w:tab w:val="left" w:pos="6742"/>
        </w:tabs>
        <w:spacing w:after="0" w:line="240" w:lineRule="auto"/>
        <w:ind w:firstLine="567"/>
        <w:jc w:val="both"/>
        <w:outlineLvl w:val="0"/>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 xml:space="preserve">В последующих экспериментах для выявления AtPARP1 и AtPARP2 в корнях и листьях проростка арабидопсиса, семена выращивали 14 дней после стратификации и отделяли корни и листья. Затем экстрагировали белок и белки фракционировали с помощью </w:t>
      </w:r>
      <w:r w:rsidRPr="00107040">
        <w:rPr>
          <w:rFonts w:ascii="Times New Roman" w:eastAsia="MS Mincho" w:hAnsi="Times New Roman"/>
          <w:bCs/>
          <w:sz w:val="28"/>
          <w:szCs w:val="28"/>
          <w:lang w:val="en-US" w:eastAsia="ja-JP"/>
        </w:rPr>
        <w:t>SDS</w:t>
      </w:r>
      <w:r w:rsidRPr="00107040">
        <w:rPr>
          <w:rFonts w:ascii="Times New Roman" w:eastAsia="MS Mincho" w:hAnsi="Times New Roman"/>
          <w:bCs/>
          <w:sz w:val="28"/>
          <w:szCs w:val="28"/>
          <w:lang w:val="kk-KZ" w:eastAsia="ja-JP"/>
        </w:rPr>
        <w:t>-ПААГЭ.</w:t>
      </w:r>
    </w:p>
    <w:p w14:paraId="15CB3AF7" w14:textId="04424382" w:rsidR="00AA69DA" w:rsidRPr="00107040" w:rsidRDefault="00AA69DA" w:rsidP="000C16BB">
      <w:pPr>
        <w:autoSpaceDE w:val="0"/>
        <w:autoSpaceDN w:val="0"/>
        <w:adjustRightInd w:val="0"/>
        <w:spacing w:after="0" w:line="240" w:lineRule="auto"/>
        <w:ind w:firstLine="567"/>
        <w:jc w:val="center"/>
        <w:rPr>
          <w:rFonts w:ascii="Times New Roman" w:eastAsia="MS Mincho" w:hAnsi="Times New Roman"/>
          <w:b/>
          <w:sz w:val="28"/>
          <w:szCs w:val="28"/>
          <w:lang w:val="ru-RU"/>
        </w:rPr>
      </w:pPr>
    </w:p>
    <w:p w14:paraId="76D86F99" w14:textId="77777777" w:rsidR="00414AF3" w:rsidRPr="00107040" w:rsidRDefault="00414AF3" w:rsidP="000C16BB">
      <w:pPr>
        <w:keepNext/>
        <w:tabs>
          <w:tab w:val="left" w:pos="6742"/>
        </w:tabs>
        <w:spacing w:after="0" w:line="240" w:lineRule="auto"/>
        <w:ind w:firstLine="567"/>
        <w:outlineLvl w:val="0"/>
        <w:rPr>
          <w:rFonts w:ascii="Times New Roman" w:eastAsia="Times New Roman" w:hAnsi="Times New Roman"/>
          <w:b/>
          <w:bCs/>
          <w:kern w:val="32"/>
          <w:sz w:val="28"/>
          <w:szCs w:val="28"/>
          <w:lang w:val="ru-RU"/>
        </w:rPr>
      </w:pPr>
      <w:r w:rsidRPr="00107040">
        <w:rPr>
          <w:rFonts w:ascii="Times New Roman" w:eastAsia="Times New Roman" w:hAnsi="Times New Roman"/>
          <w:b/>
          <w:bCs/>
          <w:kern w:val="32"/>
          <w:sz w:val="28"/>
          <w:szCs w:val="28"/>
          <w:lang w:val="ru-RU"/>
        </w:rPr>
        <w:t xml:space="preserve">                                            </w:t>
      </w:r>
      <w:r w:rsidRPr="00107040">
        <w:rPr>
          <w:rFonts w:ascii="Times New Roman" w:eastAsia="Times New Roman" w:hAnsi="Times New Roman"/>
          <w:b/>
          <w:bCs/>
          <w:kern w:val="32"/>
          <w:sz w:val="28"/>
          <w:szCs w:val="28"/>
        </w:rPr>
        <w:t>А</w:t>
      </w:r>
      <w:r w:rsidRPr="00107040">
        <w:rPr>
          <w:rFonts w:ascii="Times New Roman" w:eastAsia="Times New Roman" w:hAnsi="Times New Roman"/>
          <w:b/>
          <w:bCs/>
          <w:kern w:val="32"/>
          <w:sz w:val="28"/>
          <w:szCs w:val="28"/>
          <w:lang w:val="ru-RU"/>
        </w:rPr>
        <w:t xml:space="preserve">                               </w:t>
      </w:r>
      <w:r w:rsidRPr="00107040">
        <w:rPr>
          <w:rFonts w:ascii="Times New Roman" w:eastAsia="Times New Roman" w:hAnsi="Times New Roman"/>
          <w:b/>
          <w:bCs/>
          <w:kern w:val="32"/>
          <w:sz w:val="28"/>
          <w:szCs w:val="28"/>
          <w:lang w:val="en-US"/>
        </w:rPr>
        <w:t xml:space="preserve">       </w:t>
      </w:r>
      <w:r w:rsidRPr="00107040">
        <w:rPr>
          <w:rFonts w:ascii="Times New Roman" w:eastAsia="Times New Roman" w:hAnsi="Times New Roman"/>
          <w:b/>
          <w:bCs/>
          <w:kern w:val="32"/>
          <w:sz w:val="28"/>
          <w:szCs w:val="28"/>
          <w:lang w:val="ru-RU"/>
        </w:rPr>
        <w:t xml:space="preserve"> В</w:t>
      </w:r>
    </w:p>
    <w:p w14:paraId="683E395D" w14:textId="2B79A582" w:rsidR="00414AF3" w:rsidRPr="00107040" w:rsidRDefault="00414AF3" w:rsidP="000C16BB">
      <w:pPr>
        <w:autoSpaceDE w:val="0"/>
        <w:autoSpaceDN w:val="0"/>
        <w:adjustRightInd w:val="0"/>
        <w:spacing w:after="0" w:line="240" w:lineRule="auto"/>
        <w:ind w:firstLine="567"/>
        <w:jc w:val="center"/>
        <w:rPr>
          <w:rFonts w:ascii="Times New Roman" w:eastAsia="MS Mincho" w:hAnsi="Times New Roman"/>
          <w:b/>
          <w:sz w:val="28"/>
          <w:szCs w:val="28"/>
          <w:lang w:val="ru-RU"/>
        </w:rPr>
      </w:pPr>
      <w:r w:rsidRPr="00107040">
        <w:rPr>
          <w:rFonts w:ascii="Times New Roman" w:eastAsia="MS Mincho" w:hAnsi="Times New Roman"/>
          <w:noProof/>
          <w:sz w:val="28"/>
          <w:szCs w:val="28"/>
          <w:lang w:val="ru-RU" w:eastAsia="ru-RU"/>
        </w:rPr>
        <w:drawing>
          <wp:inline distT="0" distB="0" distL="0" distR="0" wp14:anchorId="7F5AA2D7" wp14:editId="29F15C96">
            <wp:extent cx="3725545" cy="1555750"/>
            <wp:effectExtent l="0" t="0" r="825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25545" cy="1555750"/>
                    </a:xfrm>
                    <a:prstGeom prst="rect">
                      <a:avLst/>
                    </a:prstGeom>
                    <a:noFill/>
                    <a:ln>
                      <a:noFill/>
                    </a:ln>
                  </pic:spPr>
                </pic:pic>
              </a:graphicData>
            </a:graphic>
          </wp:inline>
        </w:drawing>
      </w:r>
    </w:p>
    <w:p w14:paraId="7D24944F" w14:textId="77777777" w:rsidR="00414AF3" w:rsidRPr="00107040" w:rsidRDefault="00414AF3" w:rsidP="000C16BB">
      <w:pPr>
        <w:autoSpaceDE w:val="0"/>
        <w:autoSpaceDN w:val="0"/>
        <w:adjustRightInd w:val="0"/>
        <w:spacing w:after="0" w:line="240" w:lineRule="auto"/>
        <w:ind w:firstLine="567"/>
        <w:jc w:val="center"/>
        <w:rPr>
          <w:rFonts w:ascii="Times New Roman" w:eastAsia="MS Mincho" w:hAnsi="Times New Roman"/>
          <w:b/>
          <w:sz w:val="28"/>
          <w:szCs w:val="28"/>
          <w:lang w:val="ru-RU"/>
        </w:rPr>
      </w:pPr>
    </w:p>
    <w:p w14:paraId="30A1C982" w14:textId="77777777" w:rsidR="00AA69DA" w:rsidRPr="00107040" w:rsidRDefault="00AA69DA" w:rsidP="000C16BB">
      <w:pPr>
        <w:spacing w:after="0" w:line="240" w:lineRule="auto"/>
        <w:jc w:val="center"/>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 xml:space="preserve">А) Вестерн блоттинг клеточных экстрактов </w:t>
      </w:r>
      <w:r w:rsidRPr="00107040">
        <w:rPr>
          <w:rFonts w:ascii="Times New Roman" w:eastAsia="MS Mincho" w:hAnsi="Times New Roman"/>
          <w:bCs/>
          <w:i/>
          <w:iCs/>
          <w:sz w:val="28"/>
          <w:szCs w:val="28"/>
          <w:lang w:val="kk-KZ" w:eastAsia="ja-JP"/>
        </w:rPr>
        <w:t>A. thaliana</w:t>
      </w:r>
      <w:r w:rsidRPr="00107040">
        <w:rPr>
          <w:rFonts w:ascii="Times New Roman" w:eastAsia="MS Mincho" w:hAnsi="Times New Roman"/>
          <w:bCs/>
          <w:sz w:val="28"/>
          <w:szCs w:val="28"/>
          <w:lang w:val="kk-KZ" w:eastAsia="ja-JP"/>
        </w:rPr>
        <w:t xml:space="preserve"> с поликлональными антителами к AtPARP1; В) Вестерн блоттинг клеточных экстрактов </w:t>
      </w:r>
      <w:r w:rsidRPr="00107040">
        <w:rPr>
          <w:rFonts w:ascii="Times New Roman" w:eastAsia="MS Mincho" w:hAnsi="Times New Roman"/>
          <w:bCs/>
          <w:i/>
          <w:iCs/>
          <w:sz w:val="28"/>
          <w:szCs w:val="28"/>
          <w:lang w:val="kk-KZ" w:eastAsia="ja-JP"/>
        </w:rPr>
        <w:t>A. thaliana</w:t>
      </w:r>
      <w:r w:rsidRPr="00107040">
        <w:rPr>
          <w:rFonts w:ascii="Times New Roman" w:eastAsia="MS Mincho" w:hAnsi="Times New Roman"/>
          <w:bCs/>
          <w:sz w:val="28"/>
          <w:szCs w:val="28"/>
          <w:lang w:val="kk-KZ" w:eastAsia="ja-JP"/>
        </w:rPr>
        <w:t xml:space="preserve"> с поликлональными антителами к AtPARP2. М - бeлкoвый мaркeр, рaзмeры кoтoрых укaзaны в кДa cлeвa.1- Рекомбинантный белок AtPARP2 или AtPARP1. 2- Корень. 3- Листья. 4- 14 дневное растение 5- Рекомбинантный белок AtPARP1.</w:t>
      </w:r>
    </w:p>
    <w:p w14:paraId="49BC4768" w14:textId="77777777" w:rsidR="00AA69DA" w:rsidRPr="00107040" w:rsidRDefault="00AA69DA" w:rsidP="000C16BB">
      <w:pPr>
        <w:spacing w:after="0" w:line="240" w:lineRule="auto"/>
        <w:jc w:val="center"/>
        <w:rPr>
          <w:rFonts w:ascii="Times New Roman" w:eastAsia="MS Mincho" w:hAnsi="Times New Roman"/>
          <w:bCs/>
          <w:sz w:val="28"/>
          <w:szCs w:val="28"/>
          <w:lang w:val="kk-KZ" w:eastAsia="ja-JP"/>
        </w:rPr>
      </w:pPr>
    </w:p>
    <w:p w14:paraId="570C500C" w14:textId="1C9ED3E4" w:rsidR="00AA69DA" w:rsidRPr="00107040" w:rsidRDefault="00AA69DA" w:rsidP="000C16BB">
      <w:pPr>
        <w:spacing w:after="0" w:line="240" w:lineRule="auto"/>
        <w:jc w:val="center"/>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Рисунок 1</w:t>
      </w:r>
      <w:r w:rsidR="00AC7601">
        <w:rPr>
          <w:rFonts w:ascii="Times New Roman" w:eastAsia="MS Mincho" w:hAnsi="Times New Roman"/>
          <w:bCs/>
          <w:sz w:val="28"/>
          <w:szCs w:val="28"/>
          <w:lang w:val="kk-KZ" w:eastAsia="ja-JP"/>
        </w:rPr>
        <w:t>3</w:t>
      </w:r>
      <w:r w:rsidRPr="00107040">
        <w:rPr>
          <w:rFonts w:ascii="Times New Roman" w:eastAsia="MS Mincho" w:hAnsi="Times New Roman"/>
          <w:bCs/>
          <w:sz w:val="28"/>
          <w:szCs w:val="28"/>
          <w:lang w:val="kk-KZ" w:eastAsia="ja-JP"/>
        </w:rPr>
        <w:t xml:space="preserve"> – Анализ специфичности анти-AtPARP1 и анти-AtPARP2 поликлональных антител</w:t>
      </w:r>
    </w:p>
    <w:p w14:paraId="0E67D273" w14:textId="77777777" w:rsidR="006273C6" w:rsidRPr="00107040" w:rsidRDefault="006273C6" w:rsidP="000C16BB">
      <w:pPr>
        <w:spacing w:after="0" w:line="240" w:lineRule="auto"/>
        <w:ind w:firstLine="567"/>
        <w:jc w:val="center"/>
        <w:rPr>
          <w:rFonts w:ascii="Times New Roman" w:eastAsia="MS Mincho" w:hAnsi="Times New Roman"/>
          <w:bCs/>
          <w:sz w:val="28"/>
          <w:szCs w:val="28"/>
          <w:lang w:val="kk-KZ" w:eastAsia="ja-JP"/>
        </w:rPr>
      </w:pPr>
    </w:p>
    <w:p w14:paraId="40014372" w14:textId="18628971" w:rsidR="00C90A32" w:rsidRPr="00107040" w:rsidRDefault="00C90A32" w:rsidP="000C16BB">
      <w:pPr>
        <w:spacing w:after="0" w:line="240" w:lineRule="auto"/>
        <w:ind w:firstLine="567"/>
        <w:jc w:val="both"/>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lastRenderedPageBreak/>
        <w:t xml:space="preserve">Далее переносили белки из полиакриламидного геля на PVDF мембрану и инкубировали ее с поликлональными антителами к AtPARP1 и AtPARP2. При этом хроматографически очищенные рекомбинантные AtPARP1 и AtPARP2 использовали в качестве контроля (рисунок </w:t>
      </w:r>
      <w:r w:rsidRPr="00107040">
        <w:rPr>
          <w:rFonts w:ascii="Times New Roman" w:eastAsia="MS Mincho" w:hAnsi="Times New Roman"/>
          <w:bCs/>
          <w:sz w:val="28"/>
          <w:szCs w:val="28"/>
          <w:lang w:val="ru-RU" w:eastAsia="ja-JP"/>
        </w:rPr>
        <w:t>1</w:t>
      </w:r>
      <w:r w:rsidR="00AC7601">
        <w:rPr>
          <w:rFonts w:ascii="Times New Roman" w:eastAsia="MS Mincho" w:hAnsi="Times New Roman"/>
          <w:bCs/>
          <w:sz w:val="28"/>
          <w:szCs w:val="28"/>
          <w:lang w:val="kk-KZ" w:eastAsia="ja-JP"/>
        </w:rPr>
        <w:t>3</w:t>
      </w:r>
      <w:r w:rsidRPr="00107040">
        <w:rPr>
          <w:rFonts w:ascii="Times New Roman" w:eastAsia="MS Mincho" w:hAnsi="Times New Roman"/>
          <w:bCs/>
          <w:sz w:val="28"/>
          <w:szCs w:val="28"/>
          <w:lang w:val="kk-KZ" w:eastAsia="ja-JP"/>
        </w:rPr>
        <w:t>, дорожка 1).</w:t>
      </w:r>
    </w:p>
    <w:p w14:paraId="0B8532B3" w14:textId="3D86FD5E" w:rsidR="00C90A32" w:rsidRPr="00107040" w:rsidRDefault="004C2AA3" w:rsidP="000C16BB">
      <w:pPr>
        <w:spacing w:after="0" w:line="240" w:lineRule="auto"/>
        <w:ind w:firstLine="567"/>
        <w:jc w:val="both"/>
        <w:rPr>
          <w:rFonts w:ascii="Times New Roman" w:eastAsia="MS Mincho" w:hAnsi="Times New Roman"/>
          <w:bCs/>
          <w:sz w:val="28"/>
          <w:szCs w:val="28"/>
          <w:lang w:val="kk-KZ" w:eastAsia="ja-JP"/>
        </w:rPr>
      </w:pPr>
      <w:bookmarkStart w:id="64" w:name="_Hlk106309644"/>
      <w:r w:rsidRPr="00107040">
        <w:rPr>
          <w:rFonts w:ascii="Times New Roman" w:hAnsi="Times New Roman"/>
          <w:sz w:val="28"/>
          <w:szCs w:val="28"/>
        </w:rPr>
        <w:t>Анти-AtPARP1 антитела специфически распознают AtPARP1, на это указывает белковая полоса с молекулярной массой приблизительно 110 кДа (рисунок 1</w:t>
      </w:r>
      <w:r w:rsidR="00AC7601">
        <w:rPr>
          <w:rFonts w:ascii="Times New Roman" w:hAnsi="Times New Roman"/>
          <w:sz w:val="28"/>
          <w:szCs w:val="28"/>
          <w:lang w:val="kk-KZ"/>
        </w:rPr>
        <w:t>3</w:t>
      </w:r>
      <w:r w:rsidRPr="00107040">
        <w:rPr>
          <w:rFonts w:ascii="Times New Roman" w:hAnsi="Times New Roman"/>
          <w:sz w:val="28"/>
          <w:szCs w:val="28"/>
        </w:rPr>
        <w:t>А)</w:t>
      </w:r>
      <w:r w:rsidRPr="00107040">
        <w:rPr>
          <w:rFonts w:ascii="Times New Roman" w:eastAsia="MS Mincho" w:hAnsi="Times New Roman"/>
          <w:bCs/>
          <w:sz w:val="28"/>
          <w:szCs w:val="28"/>
          <w:lang w:val="kk-KZ" w:eastAsia="ja-JP"/>
        </w:rPr>
        <w:t>. Тогда как, анти-AtPARP2 антитела выявили белок с молекулярной массой 70 кДа (рисунок 1</w:t>
      </w:r>
      <w:r w:rsidR="00AC7601">
        <w:rPr>
          <w:rFonts w:ascii="Times New Roman" w:eastAsia="MS Mincho" w:hAnsi="Times New Roman"/>
          <w:bCs/>
          <w:sz w:val="28"/>
          <w:szCs w:val="28"/>
          <w:lang w:val="kk-KZ" w:eastAsia="ja-JP"/>
        </w:rPr>
        <w:t>3</w:t>
      </w:r>
      <w:r w:rsidRPr="00107040">
        <w:rPr>
          <w:rFonts w:ascii="Times New Roman" w:eastAsia="MS Mincho" w:hAnsi="Times New Roman"/>
          <w:bCs/>
          <w:sz w:val="28"/>
          <w:szCs w:val="28"/>
          <w:lang w:val="kk-KZ" w:eastAsia="ja-JP"/>
        </w:rPr>
        <w:t>В), что соотвествует молекулярной массе AtPARP2. Эти данные свидетельствуют о том, что</w:t>
      </w:r>
      <w:r w:rsidRPr="00107040">
        <w:rPr>
          <w:rFonts w:ascii="Times New Roman" w:hAnsi="Times New Roman"/>
          <w:sz w:val="28"/>
          <w:szCs w:val="28"/>
        </w:rPr>
        <w:t xml:space="preserve"> AtPARP1</w:t>
      </w:r>
      <w:r w:rsidRPr="00107040">
        <w:rPr>
          <w:rFonts w:ascii="Times New Roman" w:eastAsia="MS Mincho" w:hAnsi="Times New Roman"/>
          <w:bCs/>
          <w:sz w:val="28"/>
          <w:szCs w:val="28"/>
          <w:lang w:val="kk-KZ" w:eastAsia="ja-JP"/>
        </w:rPr>
        <w:t xml:space="preserve"> и AtPARP2 присутствуют в тканях растений арабидопсис</w:t>
      </w:r>
      <w:r w:rsidR="00C90A32" w:rsidRPr="00107040">
        <w:rPr>
          <w:rFonts w:ascii="Times New Roman" w:eastAsia="MS Mincho" w:hAnsi="Times New Roman"/>
          <w:bCs/>
          <w:sz w:val="28"/>
          <w:szCs w:val="28"/>
          <w:lang w:val="kk-KZ" w:eastAsia="ja-JP"/>
        </w:rPr>
        <w:t>.</w:t>
      </w:r>
    </w:p>
    <w:bookmarkEnd w:id="64"/>
    <w:p w14:paraId="6CD7D399" w14:textId="77777777" w:rsidR="00713715" w:rsidRPr="00107040" w:rsidRDefault="00713715" w:rsidP="000C16BB">
      <w:pPr>
        <w:spacing w:after="0" w:line="240" w:lineRule="auto"/>
        <w:ind w:firstLine="567"/>
        <w:jc w:val="both"/>
        <w:rPr>
          <w:rFonts w:ascii="Times New Roman" w:hAnsi="Times New Roman"/>
          <w:sz w:val="28"/>
          <w:szCs w:val="28"/>
        </w:rPr>
      </w:pPr>
    </w:p>
    <w:p w14:paraId="080BBD73" w14:textId="67DD5787" w:rsidR="00AA69DA" w:rsidRPr="00107040" w:rsidRDefault="00AA69DA" w:rsidP="000C16BB">
      <w:pPr>
        <w:spacing w:after="0" w:line="240" w:lineRule="auto"/>
        <w:ind w:firstLine="567"/>
        <w:jc w:val="both"/>
        <w:rPr>
          <w:rFonts w:ascii="Times New Roman" w:eastAsia="MS Mincho" w:hAnsi="Times New Roman"/>
          <w:b/>
          <w:bCs/>
          <w:sz w:val="28"/>
          <w:szCs w:val="28"/>
          <w:shd w:val="clear" w:color="auto" w:fill="FFFFFF"/>
          <w:lang w:val="ru-RU" w:eastAsia="ja-JP"/>
        </w:rPr>
      </w:pPr>
      <w:r w:rsidRPr="00107040">
        <w:rPr>
          <w:rFonts w:ascii="Times New Roman" w:eastAsia="MS Mincho" w:hAnsi="Times New Roman"/>
          <w:b/>
          <w:bCs/>
          <w:sz w:val="28"/>
          <w:szCs w:val="28"/>
          <w:lang w:val="kk-KZ" w:eastAsia="ja-JP"/>
        </w:rPr>
        <w:t>3.2</w:t>
      </w:r>
      <w:r w:rsidRPr="00107040">
        <w:rPr>
          <w:rFonts w:ascii="Times New Roman" w:hAnsi="Times New Roman"/>
          <w:b/>
          <w:bCs/>
          <w:sz w:val="28"/>
          <w:szCs w:val="28"/>
          <w:lang w:val="ru-RU" w:eastAsia="ja-JP"/>
        </w:rPr>
        <w:t xml:space="preserve"> Характеристика субстратной специфичности </w:t>
      </w:r>
      <w:r w:rsidRPr="00107040">
        <w:rPr>
          <w:rFonts w:ascii="Times New Roman" w:eastAsia="MS Mincho" w:hAnsi="Times New Roman"/>
          <w:b/>
          <w:bCs/>
          <w:sz w:val="28"/>
          <w:szCs w:val="28"/>
          <w:shd w:val="clear" w:color="auto" w:fill="FFFFFF"/>
          <w:lang w:val="ru-RU" w:eastAsia="ja-JP"/>
        </w:rPr>
        <w:t>А</w:t>
      </w:r>
      <w:r w:rsidRPr="00107040">
        <w:rPr>
          <w:rFonts w:ascii="Times New Roman" w:eastAsia="MS Mincho" w:hAnsi="Times New Roman"/>
          <w:b/>
          <w:bCs/>
          <w:sz w:val="28"/>
          <w:szCs w:val="28"/>
          <w:shd w:val="clear" w:color="auto" w:fill="FFFFFF"/>
          <w:lang w:val="en-US" w:eastAsia="ja-JP"/>
        </w:rPr>
        <w:t>tPARP</w:t>
      </w:r>
      <w:r w:rsidRPr="00107040">
        <w:rPr>
          <w:rFonts w:ascii="Times New Roman" w:eastAsia="MS Mincho" w:hAnsi="Times New Roman"/>
          <w:b/>
          <w:bCs/>
          <w:sz w:val="28"/>
          <w:szCs w:val="28"/>
          <w:shd w:val="clear" w:color="auto" w:fill="FFFFFF"/>
          <w:lang w:val="ru-RU" w:eastAsia="ja-JP"/>
        </w:rPr>
        <w:t xml:space="preserve">1, </w:t>
      </w:r>
      <w:r w:rsidRPr="00107040">
        <w:rPr>
          <w:rFonts w:ascii="Times New Roman" w:eastAsia="MS Mincho" w:hAnsi="Times New Roman"/>
          <w:b/>
          <w:bCs/>
          <w:sz w:val="28"/>
          <w:szCs w:val="28"/>
          <w:shd w:val="clear" w:color="auto" w:fill="FFFFFF"/>
          <w:lang w:val="en-US" w:eastAsia="ja-JP"/>
        </w:rPr>
        <w:t>AtPARP</w:t>
      </w:r>
      <w:r w:rsidRPr="00107040">
        <w:rPr>
          <w:rFonts w:ascii="Times New Roman" w:eastAsia="MS Mincho" w:hAnsi="Times New Roman"/>
          <w:b/>
          <w:bCs/>
          <w:sz w:val="28"/>
          <w:szCs w:val="28"/>
          <w:shd w:val="clear" w:color="auto" w:fill="FFFFFF"/>
          <w:lang w:val="ru-RU" w:eastAsia="ja-JP"/>
        </w:rPr>
        <w:t xml:space="preserve">2 и </w:t>
      </w:r>
      <w:r w:rsidRPr="00107040">
        <w:rPr>
          <w:rFonts w:ascii="Times New Roman" w:eastAsia="MS Mincho" w:hAnsi="Times New Roman"/>
          <w:b/>
          <w:bCs/>
          <w:sz w:val="28"/>
          <w:szCs w:val="28"/>
          <w:shd w:val="clear" w:color="auto" w:fill="FFFFFF"/>
          <w:lang w:val="en-US" w:eastAsia="ja-JP"/>
        </w:rPr>
        <w:t>AtPARP</w:t>
      </w:r>
      <w:r w:rsidRPr="00107040">
        <w:rPr>
          <w:rFonts w:ascii="Times New Roman" w:eastAsia="MS Mincho" w:hAnsi="Times New Roman"/>
          <w:b/>
          <w:bCs/>
          <w:sz w:val="28"/>
          <w:szCs w:val="28"/>
          <w:shd w:val="clear" w:color="auto" w:fill="FFFFFF"/>
          <w:lang w:val="ru-RU" w:eastAsia="ja-JP"/>
        </w:rPr>
        <w:t xml:space="preserve">3 </w:t>
      </w:r>
      <w:r w:rsidRPr="00107040">
        <w:rPr>
          <w:rFonts w:ascii="Times New Roman" w:hAnsi="Times New Roman"/>
          <w:b/>
          <w:bCs/>
          <w:i/>
          <w:iCs/>
          <w:sz w:val="28"/>
          <w:szCs w:val="28"/>
          <w:lang w:val="en-US" w:eastAsia="ja-JP"/>
        </w:rPr>
        <w:t>A</w:t>
      </w:r>
      <w:r w:rsidRPr="00107040">
        <w:rPr>
          <w:rFonts w:ascii="Times New Roman" w:hAnsi="Times New Roman"/>
          <w:b/>
          <w:bCs/>
          <w:i/>
          <w:iCs/>
          <w:sz w:val="28"/>
          <w:szCs w:val="28"/>
          <w:lang w:val="ru-RU" w:eastAsia="ja-JP"/>
        </w:rPr>
        <w:t>.</w:t>
      </w:r>
      <w:r w:rsidRPr="00107040">
        <w:rPr>
          <w:rFonts w:ascii="Times New Roman" w:hAnsi="Times New Roman"/>
          <w:b/>
          <w:bCs/>
          <w:i/>
          <w:iCs/>
          <w:sz w:val="28"/>
          <w:szCs w:val="28"/>
          <w:lang w:val="en-US" w:eastAsia="ja-JP"/>
        </w:rPr>
        <w:t>thaliana</w:t>
      </w:r>
      <w:r w:rsidRPr="00107040">
        <w:rPr>
          <w:rFonts w:ascii="Times New Roman" w:hAnsi="Times New Roman"/>
          <w:b/>
          <w:bCs/>
          <w:i/>
          <w:iCs/>
          <w:sz w:val="28"/>
          <w:szCs w:val="28"/>
          <w:lang w:val="ru-RU" w:eastAsia="ja-JP"/>
        </w:rPr>
        <w:t xml:space="preserve"> </w:t>
      </w:r>
      <w:r w:rsidRPr="00107040">
        <w:rPr>
          <w:rFonts w:ascii="Times New Roman" w:hAnsi="Times New Roman"/>
          <w:b/>
          <w:bCs/>
          <w:iCs/>
          <w:sz w:val="28"/>
          <w:szCs w:val="28"/>
          <w:lang w:val="ru-RU" w:eastAsia="ja-JP"/>
        </w:rPr>
        <w:t>к</w:t>
      </w:r>
      <w:r w:rsidRPr="00107040">
        <w:rPr>
          <w:rFonts w:ascii="Times New Roman" w:hAnsi="Times New Roman"/>
          <w:b/>
          <w:bCs/>
          <w:sz w:val="28"/>
          <w:szCs w:val="28"/>
          <w:lang w:val="ru-RU" w:eastAsia="ja-JP"/>
        </w:rPr>
        <w:t xml:space="preserve"> олигонуклеотидным субстратам с разными конфигурация</w:t>
      </w:r>
      <w:r w:rsidR="000A479F" w:rsidRPr="00107040">
        <w:rPr>
          <w:rFonts w:ascii="Times New Roman" w:hAnsi="Times New Roman"/>
          <w:b/>
          <w:bCs/>
          <w:sz w:val="28"/>
          <w:szCs w:val="28"/>
          <w:lang w:val="ru-RU" w:eastAsia="ja-JP"/>
        </w:rPr>
        <w:t>ми и структурой 5' и 3'-концов</w:t>
      </w:r>
    </w:p>
    <w:p w14:paraId="660B3D74"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В предыдущих работах было продемонстрировано, что </w:t>
      </w:r>
      <w:r w:rsidRPr="00107040">
        <w:rPr>
          <w:rFonts w:ascii="Times New Roman" w:eastAsia="MS Mincho" w:hAnsi="Times New Roman"/>
          <w:i/>
          <w:sz w:val="28"/>
          <w:szCs w:val="28"/>
          <w:lang w:val="en-US"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vitro</w:t>
      </w:r>
      <w:r w:rsidRPr="00107040">
        <w:rPr>
          <w:rFonts w:ascii="Times New Roman" w:eastAsia="MS Mincho" w:hAnsi="Times New Roman"/>
          <w:sz w:val="28"/>
          <w:szCs w:val="28"/>
          <w:lang w:val="ru-RU" w:eastAsia="ja-JP"/>
        </w:rPr>
        <w:t xml:space="preserve"> белки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2 млекопитающих могут поли(</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ДФ-рибозил)ировать (ПАРилирование) олигонуклеотидные дуплексы, содержащие множественные близко расположенные разрывы и фосфорилированные концы цепи ДНК</w:t>
      </w:r>
      <w:r w:rsidR="00D40873" w:rsidRPr="00107040">
        <w:rPr>
          <w:rFonts w:ascii="Times New Roman" w:eastAsia="MS Mincho" w:hAnsi="Times New Roman"/>
          <w:sz w:val="28"/>
          <w:szCs w:val="28"/>
          <w:lang w:val="ru-RU" w:eastAsia="ja-JP"/>
        </w:rPr>
        <w:t xml:space="preserve"> </w:t>
      </w:r>
      <w:r w:rsidR="00D40873" w:rsidRPr="00107040">
        <w:rPr>
          <w:rFonts w:ascii="Times New Roman" w:eastAsia="MS Mincho" w:hAnsi="Times New Roman"/>
          <w:sz w:val="28"/>
          <w:szCs w:val="28"/>
          <w:lang w:val="ru-RU" w:eastAsia="ja-JP"/>
        </w:rPr>
        <w:fldChar w:fldCharType="begin"/>
      </w:r>
      <w:r w:rsidR="00174ED5" w:rsidRPr="00107040">
        <w:rPr>
          <w:rFonts w:ascii="Times New Roman" w:eastAsia="MS Mincho" w:hAnsi="Times New Roman"/>
          <w:sz w:val="28"/>
          <w:szCs w:val="28"/>
          <w:lang w:val="ru-RU" w:eastAsia="ja-JP"/>
        </w:rPr>
        <w:instrText xml:space="preserve"> ADDIN ZOTERO_ITEM CSL_CITATION {"citationID":"SE5A5X3i","properties":{"formattedCitation":"[31]","plainCitation":"[31]","noteIndex":0},"citationItems":[{"id":1295,"uris":["http://zotero.org/users/9078202/items/V43W7KVW"],"itemData":{"id":1295,"type":"article-journal","abstract":"Poly(ADP-ribose) polymerases (PARPs/ARTDs) use nicotinamide adenine dinucleotide (NAD+) to catalyse the synthesis of a long branched poly(ADP-ribose) polymer (PAR) attached to the acceptor amino acid residues of nuclear proteins. PARPs act on single- and double-stranded DNA breaks by recruiting DNA repair factors. Here, in in vitro biochemical experiments, we found that the mammalian PARP1 and PARP2 proteins can directly ADP-ribosylate the termini of DNA oligonucleotides. PARP1 preferentially catalysed covalent attachment of ADP-ribose units to the ends of recessed DNA duplexes containing 3'-cordycepin, 5'- and 3'-phosphate and also to 5'-phosphate of a single-stranded oligonucleotide. PARP2 preferentially ADP-ribosylated the nicked/gapped DNA duplexes containing 5'-phosphate at the double-stranded termini. PAR glycohydrolase (PARG) restored native DNA structure by hydrolysing PAR-DNA adducts generated by PARP1 and PARP2. Biochemical and mass spectrometry analyses of the adducts suggested that PARPs utilise DNA termini as an alternative to 2'-hydroxyl of ADP-ribose and protein acceptor residues to catalyse PAR chain initiation either via the 2',1″-O-glycosidic ribose-ribose bond or via phosphodiester bond formation between C1' of ADP-ribose and the phosphate of a terminal deoxyribonucleotide. This new type of post-replicative modification of DNA provides novel insights into the molecular mechanisms underlying biological phenomena of ADP-ribosylation mediated by PARPs.","container-title":"Nucleic Acids Research","DOI":"10.1093/nar/gkw675","ISSN":"1362-4962","issue":"19","journalAbbreviation":"Nucleic Acids Res","language":"eng","note":"PMID: 27471034\nPMCID: PMC5100588","page":"9279-9295","source":"PubMed","title":"Poly(ADP-ribose) polymerases covalently modify strand break termini in DNA fragments in vitro","volume":"44","author":[{"family":"Talhaoui","given":"Ibtissam"},{"family":"Lebedeva","given":"Natalia A."},{"family":"Zarkovic","given":"Gabriella"},{"family":"Saint-Pierre","given":"Christine"},{"family":"Kutuzov","given":"Mikhail M."},{"family":"Sukhanova","given":"Maria V."},{"family":"Matkarimov","given":"Bakhyt T."},{"family":"Gasparutto","given":"Didier"},{"family":"Saparbaev","given":"Murat K."},{"family":"Lavrik","given":"Olga I."},{"family":"Ishchenko","given":"Alexander A."}],"issued":{"date-parts":[["2016",11,2]]}}}],"schema":"https://github.com/citation-style-language/schema/raw/master/csl-citation.json"} </w:instrText>
      </w:r>
      <w:r w:rsidR="00D40873" w:rsidRPr="00107040">
        <w:rPr>
          <w:rFonts w:ascii="Times New Roman" w:eastAsia="MS Mincho" w:hAnsi="Times New Roman"/>
          <w:sz w:val="28"/>
          <w:szCs w:val="28"/>
          <w:lang w:val="ru-RU" w:eastAsia="ja-JP"/>
        </w:rPr>
        <w:fldChar w:fldCharType="separate"/>
      </w:r>
      <w:r w:rsidR="00174ED5" w:rsidRPr="00107040">
        <w:rPr>
          <w:rFonts w:ascii="Times New Roman" w:hAnsi="Times New Roman"/>
          <w:sz w:val="28"/>
          <w:szCs w:val="28"/>
        </w:rPr>
        <w:t>[31]</w:t>
      </w:r>
      <w:r w:rsidR="00D40873"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Белки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w:t>
      </w:r>
      <w:r w:rsidRPr="00107040">
        <w:rPr>
          <w:rFonts w:ascii="Times New Roman" w:eastAsia="MS Mincho" w:hAnsi="Times New Roman"/>
          <w:i/>
          <w:sz w:val="28"/>
          <w:szCs w:val="28"/>
          <w:lang w:val="en-US" w:eastAsia="ja-JP"/>
        </w:rPr>
        <w:t>A</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thaliana</w:t>
      </w:r>
      <w:r w:rsidRPr="00107040">
        <w:rPr>
          <w:rFonts w:ascii="Times New Roman" w:eastAsia="MS Mincho" w:hAnsi="Times New Roman"/>
          <w:sz w:val="28"/>
          <w:szCs w:val="28"/>
          <w:lang w:val="ru-RU" w:eastAsia="ja-JP"/>
        </w:rPr>
        <w:t xml:space="preserve"> обладают гомологией с белками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2 млекопитающих, соответственно, что позволяет предположить, что белки растений также могут проявлять активность по модификации ДНК. </w:t>
      </w:r>
    </w:p>
    <w:p w14:paraId="58418499" w14:textId="2E1B9502" w:rsidR="00AA69DA" w:rsidRPr="00107040" w:rsidRDefault="005A329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Для того ч</w:t>
      </w:r>
      <w:r w:rsidR="00AA69DA" w:rsidRPr="00107040">
        <w:rPr>
          <w:rFonts w:ascii="Times New Roman" w:eastAsia="MS Mincho" w:hAnsi="Times New Roman"/>
          <w:sz w:val="28"/>
          <w:szCs w:val="28"/>
          <w:lang w:val="ru-RU" w:eastAsia="ja-JP"/>
        </w:rPr>
        <w:t xml:space="preserve">тобы проверить это, мы исследовали ферментативную активность очищенных белков </w:t>
      </w:r>
      <w:r w:rsidR="00AA69DA" w:rsidRPr="00107040">
        <w:rPr>
          <w:rFonts w:ascii="Times New Roman" w:eastAsia="MS Mincho" w:hAnsi="Times New Roman"/>
          <w:sz w:val="28"/>
          <w:szCs w:val="28"/>
          <w:lang w:val="en-US" w:eastAsia="ja-JP"/>
        </w:rPr>
        <w:t>AtPARP</w:t>
      </w:r>
      <w:r w:rsidR="00AA69DA" w:rsidRPr="00107040">
        <w:rPr>
          <w:rFonts w:ascii="Times New Roman" w:eastAsia="MS Mincho" w:hAnsi="Times New Roman"/>
          <w:sz w:val="28"/>
          <w:szCs w:val="28"/>
          <w:lang w:val="ru-RU" w:eastAsia="ja-JP"/>
        </w:rPr>
        <w:t xml:space="preserve">1 и </w:t>
      </w:r>
      <w:r w:rsidR="00AA69DA" w:rsidRPr="00107040">
        <w:rPr>
          <w:rFonts w:ascii="Times New Roman" w:eastAsia="MS Mincho" w:hAnsi="Times New Roman"/>
          <w:sz w:val="28"/>
          <w:szCs w:val="28"/>
          <w:lang w:val="en-US" w:eastAsia="ja-JP"/>
        </w:rPr>
        <w:t>AtPARP</w:t>
      </w:r>
      <w:r w:rsidR="00AA69DA" w:rsidRPr="00107040">
        <w:rPr>
          <w:rFonts w:ascii="Times New Roman" w:eastAsia="MS Mincho" w:hAnsi="Times New Roman"/>
          <w:sz w:val="28"/>
          <w:szCs w:val="28"/>
          <w:lang w:val="ru-RU" w:eastAsia="ja-JP"/>
        </w:rPr>
        <w:t xml:space="preserve">2 с использованием ДНК-субстратов, содержащих более двух разрывов цепи, для имитации кластерных повреждений ДНК и промежуточных продуктов репарации: </w:t>
      </w:r>
      <w:r w:rsidR="00AA69DA" w:rsidRPr="00107040">
        <w:rPr>
          <w:rFonts w:ascii="Times New Roman" w:eastAsia="MS Mincho" w:hAnsi="Times New Roman"/>
          <w:sz w:val="28"/>
          <w:szCs w:val="28"/>
          <w:lang w:val="en-US" w:eastAsia="ja-JP"/>
        </w:rPr>
        <w:t>ExoA</w:t>
      </w:r>
      <w:r w:rsidR="00AA69DA" w:rsidRPr="00107040">
        <w:rPr>
          <w:rFonts w:ascii="Times New Roman" w:eastAsia="MS Mincho" w:hAnsi="Times New Roman"/>
          <w:sz w:val="28"/>
          <w:szCs w:val="28"/>
          <w:lang w:val="ru-RU" w:eastAsia="ja-JP"/>
        </w:rPr>
        <w:t>•</w:t>
      </w:r>
      <w:r w:rsidR="00AA69DA" w:rsidRPr="00107040">
        <w:rPr>
          <w:rFonts w:ascii="Times New Roman" w:eastAsia="MS Mincho" w:hAnsi="Times New Roman"/>
          <w:sz w:val="28"/>
          <w:szCs w:val="28"/>
          <w:lang w:val="en-US" w:eastAsia="ja-JP"/>
        </w:rPr>
        <w:t>RexT</w:t>
      </w:r>
      <w:r w:rsidR="00AA69DA" w:rsidRPr="00107040">
        <w:rPr>
          <w:rFonts w:ascii="Times New Roman" w:eastAsia="MS Mincho" w:hAnsi="Times New Roman"/>
          <w:sz w:val="28"/>
          <w:szCs w:val="28"/>
          <w:vertAlign w:val="superscript"/>
          <w:lang w:val="en-US" w:eastAsia="ja-JP"/>
        </w:rPr>
        <w:t>nick</w:t>
      </w:r>
      <w:r w:rsidR="00AA69DA" w:rsidRPr="00107040">
        <w:rPr>
          <w:rFonts w:ascii="Times New Roman" w:eastAsia="MS Mincho" w:hAnsi="Times New Roman"/>
          <w:sz w:val="28"/>
          <w:szCs w:val="28"/>
          <w:lang w:val="ru-RU" w:eastAsia="ja-JP"/>
        </w:rPr>
        <w:t xml:space="preserve"> и </w:t>
      </w:r>
      <w:r w:rsidR="00AA69DA" w:rsidRPr="00107040">
        <w:rPr>
          <w:rFonts w:ascii="Times New Roman" w:eastAsia="MS Mincho" w:hAnsi="Times New Roman"/>
          <w:sz w:val="28"/>
          <w:szCs w:val="28"/>
          <w:lang w:val="en-US" w:eastAsia="ja-JP"/>
        </w:rPr>
        <w:t>ExoA</w:t>
      </w:r>
      <w:r w:rsidR="00AA69DA" w:rsidRPr="00107040">
        <w:rPr>
          <w:rFonts w:ascii="Times New Roman" w:eastAsia="MS Mincho" w:hAnsi="Times New Roman"/>
          <w:sz w:val="28"/>
          <w:szCs w:val="28"/>
          <w:lang w:val="ru-RU" w:eastAsia="ja-JP"/>
        </w:rPr>
        <w:t>•</w:t>
      </w:r>
      <w:r w:rsidR="00AA69DA" w:rsidRPr="00107040">
        <w:rPr>
          <w:rFonts w:ascii="Times New Roman" w:eastAsia="MS Mincho" w:hAnsi="Times New Roman"/>
          <w:sz w:val="28"/>
          <w:szCs w:val="28"/>
          <w:lang w:val="en-US" w:eastAsia="ja-JP"/>
        </w:rPr>
        <w:t>RexT</w:t>
      </w:r>
      <w:r w:rsidR="00AA69DA" w:rsidRPr="00107040">
        <w:rPr>
          <w:rFonts w:ascii="Times New Roman" w:eastAsia="MS Mincho" w:hAnsi="Times New Roman"/>
          <w:sz w:val="28"/>
          <w:szCs w:val="28"/>
          <w:vertAlign w:val="superscript"/>
          <w:lang w:val="en-US" w:eastAsia="ja-JP"/>
        </w:rPr>
        <w:t>gap</w:t>
      </w:r>
      <w:r w:rsidR="00AA69DA" w:rsidRPr="00107040">
        <w:rPr>
          <w:rFonts w:ascii="Times New Roman" w:eastAsia="MS Mincho" w:hAnsi="Times New Roman"/>
          <w:sz w:val="28"/>
          <w:szCs w:val="28"/>
          <w:lang w:val="ru-RU" w:eastAsia="ja-JP"/>
        </w:rPr>
        <w:t>, которые представляют собой 40-мерные олигонуклеотидные дуплексы, содержащие разрыв и брешь длиной в один нуклеотид, соответственно. Эти ДНК субстраты состоят из 40-мерной (</w:t>
      </w:r>
      <w:r w:rsidR="00AA69DA" w:rsidRPr="00107040">
        <w:rPr>
          <w:rFonts w:ascii="Times New Roman" w:eastAsia="MS Mincho" w:hAnsi="Times New Roman"/>
          <w:sz w:val="28"/>
          <w:szCs w:val="28"/>
          <w:lang w:val="en-US" w:eastAsia="ja-JP"/>
        </w:rPr>
        <w:t>RexT</w:t>
      </w:r>
      <w:r w:rsidR="00AA69DA" w:rsidRPr="00107040">
        <w:rPr>
          <w:rFonts w:ascii="Times New Roman" w:eastAsia="MS Mincho" w:hAnsi="Times New Roman"/>
          <w:sz w:val="28"/>
          <w:szCs w:val="28"/>
          <w:lang w:val="ru-RU" w:eastAsia="ja-JP"/>
        </w:rPr>
        <w:t xml:space="preserve">) </w:t>
      </w:r>
      <w:r w:rsidR="00AA69DA" w:rsidRPr="00107040">
        <w:rPr>
          <w:rFonts w:ascii="Times New Roman" w:eastAsia="MS Mincho" w:hAnsi="Times New Roman"/>
          <w:sz w:val="28"/>
          <w:szCs w:val="28"/>
          <w:lang w:val="kk-KZ" w:eastAsia="ja-JP"/>
        </w:rPr>
        <w:t>м</w:t>
      </w:r>
      <w:r w:rsidR="00AA69DA" w:rsidRPr="00107040">
        <w:rPr>
          <w:rFonts w:ascii="Times New Roman" w:eastAsia="MS Mincho" w:hAnsi="Times New Roman"/>
          <w:sz w:val="28"/>
          <w:szCs w:val="28"/>
          <w:lang w:val="ru-RU" w:eastAsia="ja-JP"/>
        </w:rPr>
        <w:t>атричной цепи и двух комплементарных цепей: 21-мерная (</w:t>
      </w:r>
      <w:r w:rsidR="00AA69DA" w:rsidRPr="00107040">
        <w:rPr>
          <w:rFonts w:ascii="Times New Roman" w:eastAsia="MS Mincho" w:hAnsi="Times New Roman"/>
          <w:sz w:val="28"/>
          <w:szCs w:val="28"/>
          <w:lang w:eastAsia="ja-JP"/>
        </w:rPr>
        <w:t>ExoA</w:t>
      </w:r>
      <w:r w:rsidR="00AA69DA" w:rsidRPr="00107040">
        <w:rPr>
          <w:rFonts w:ascii="Times New Roman" w:eastAsia="MS Mincho" w:hAnsi="Times New Roman"/>
          <w:sz w:val="28"/>
          <w:szCs w:val="28"/>
          <w:lang w:val="ru-RU" w:eastAsia="ja-JP"/>
        </w:rPr>
        <w:t>) и фосфорилированные 18-мерная (5'</w:t>
      </w:r>
      <w:r w:rsidR="00AA69DA" w:rsidRPr="00107040">
        <w:rPr>
          <w:rFonts w:ascii="Times New Roman" w:eastAsia="MS Mincho" w:hAnsi="Times New Roman"/>
          <w:sz w:val="28"/>
          <w:szCs w:val="28"/>
          <w:lang w:eastAsia="ja-JP"/>
        </w:rPr>
        <w:t>pExo</w:t>
      </w:r>
      <w:r w:rsidR="00AA69DA" w:rsidRPr="00107040">
        <w:rPr>
          <w:rFonts w:ascii="Times New Roman" w:eastAsia="MS Mincho" w:hAnsi="Times New Roman"/>
          <w:sz w:val="28"/>
          <w:szCs w:val="28"/>
          <w:lang w:val="ru-RU" w:eastAsia="ja-JP"/>
        </w:rPr>
        <w:t>18) или 19-мерная (5'</w:t>
      </w:r>
      <w:r w:rsidR="00AA69DA" w:rsidRPr="00107040">
        <w:rPr>
          <w:rFonts w:ascii="Times New Roman" w:eastAsia="MS Mincho" w:hAnsi="Times New Roman"/>
          <w:sz w:val="28"/>
          <w:szCs w:val="28"/>
          <w:lang w:eastAsia="ja-JP"/>
        </w:rPr>
        <w:t>pExo</w:t>
      </w:r>
      <w:r w:rsidR="00AA69DA" w:rsidRPr="00107040">
        <w:rPr>
          <w:rFonts w:ascii="Times New Roman" w:eastAsia="MS Mincho" w:hAnsi="Times New Roman"/>
          <w:sz w:val="28"/>
          <w:szCs w:val="28"/>
          <w:lang w:val="ru-RU" w:eastAsia="ja-JP"/>
        </w:rPr>
        <w:t xml:space="preserve">19) цепи (таблица </w:t>
      </w:r>
      <w:r w:rsidR="00AC7601">
        <w:rPr>
          <w:rFonts w:ascii="Times New Roman" w:eastAsia="MS Mincho" w:hAnsi="Times New Roman"/>
          <w:sz w:val="28"/>
          <w:szCs w:val="28"/>
          <w:lang w:val="ru-RU" w:eastAsia="ja-JP"/>
        </w:rPr>
        <w:t>4</w:t>
      </w:r>
      <w:r w:rsidR="00AA69DA" w:rsidRPr="00107040">
        <w:rPr>
          <w:rFonts w:ascii="Times New Roman" w:eastAsia="MS Mincho" w:hAnsi="Times New Roman"/>
          <w:sz w:val="28"/>
          <w:szCs w:val="28"/>
          <w:lang w:val="ru-RU" w:eastAsia="ja-JP"/>
        </w:rPr>
        <w:t xml:space="preserve">). Кроме того, мы подготовили </w:t>
      </w:r>
      <w:r w:rsidR="00AA69DA" w:rsidRPr="00107040">
        <w:rPr>
          <w:rFonts w:ascii="Times New Roman" w:eastAsia="MS Mincho" w:hAnsi="Times New Roman"/>
          <w:sz w:val="28"/>
          <w:szCs w:val="28"/>
          <w:lang w:eastAsia="ja-JP"/>
        </w:rPr>
        <w:t>Exo</w:t>
      </w:r>
      <w:r w:rsidR="00AA69DA" w:rsidRPr="00107040">
        <w:rPr>
          <w:rFonts w:ascii="Times New Roman" w:eastAsia="MS Mincho" w:hAnsi="Times New Roman"/>
          <w:sz w:val="28"/>
          <w:szCs w:val="28"/>
          <w:lang w:val="ru-RU" w:eastAsia="ja-JP"/>
        </w:rPr>
        <w:t>21•</w:t>
      </w:r>
      <w:r w:rsidR="00AA69DA" w:rsidRPr="00107040">
        <w:rPr>
          <w:rFonts w:ascii="Times New Roman" w:eastAsia="MS Mincho" w:hAnsi="Times New Roman"/>
          <w:sz w:val="28"/>
          <w:szCs w:val="28"/>
          <w:lang w:eastAsia="ja-JP"/>
        </w:rPr>
        <w:t>RexT</w:t>
      </w:r>
      <w:r w:rsidR="00AA69DA" w:rsidRPr="00107040">
        <w:rPr>
          <w:rFonts w:ascii="Times New Roman" w:eastAsia="MS Mincho" w:hAnsi="Times New Roman"/>
          <w:sz w:val="28"/>
          <w:szCs w:val="28"/>
          <w:vertAlign w:val="superscript"/>
          <w:lang w:eastAsia="ja-JP"/>
        </w:rPr>
        <w:t>rec</w:t>
      </w:r>
      <w:r w:rsidR="00AA69DA" w:rsidRPr="00107040">
        <w:rPr>
          <w:rFonts w:ascii="Times New Roman" w:eastAsia="MS Mincho" w:hAnsi="Times New Roman"/>
          <w:sz w:val="28"/>
          <w:szCs w:val="28"/>
          <w:lang w:val="ru-RU" w:eastAsia="ja-JP"/>
        </w:rPr>
        <w:t xml:space="preserve">, который представляет собой дуплекс с 5'- однонитевой выступающей матричной цепью, состоящий из </w:t>
      </w:r>
      <w:r w:rsidR="00AA69DA" w:rsidRPr="00107040">
        <w:rPr>
          <w:rFonts w:ascii="Times New Roman" w:eastAsia="MS Mincho" w:hAnsi="Times New Roman"/>
          <w:sz w:val="28"/>
          <w:szCs w:val="28"/>
          <w:lang w:eastAsia="ja-JP"/>
        </w:rPr>
        <w:t>RexT</w:t>
      </w:r>
      <w:r w:rsidR="00AA69DA" w:rsidRPr="00107040">
        <w:rPr>
          <w:rFonts w:ascii="Times New Roman" w:eastAsia="MS Mincho" w:hAnsi="Times New Roman"/>
          <w:sz w:val="28"/>
          <w:szCs w:val="28"/>
          <w:lang w:val="ru-RU" w:eastAsia="ja-JP"/>
        </w:rPr>
        <w:t xml:space="preserve"> и </w:t>
      </w:r>
      <w:r w:rsidR="00AA69DA" w:rsidRPr="00107040">
        <w:rPr>
          <w:rFonts w:ascii="Times New Roman" w:eastAsia="MS Mincho" w:hAnsi="Times New Roman"/>
          <w:sz w:val="28"/>
          <w:szCs w:val="28"/>
          <w:lang w:eastAsia="ja-JP"/>
        </w:rPr>
        <w:t>ExoA</w:t>
      </w:r>
      <w:r w:rsidR="00AA69DA" w:rsidRPr="00107040">
        <w:rPr>
          <w:rFonts w:ascii="Times New Roman" w:eastAsia="MS Mincho" w:hAnsi="Times New Roman"/>
          <w:sz w:val="28"/>
          <w:szCs w:val="28"/>
          <w:lang w:val="ru-RU" w:eastAsia="ja-JP"/>
        </w:rPr>
        <w:t xml:space="preserve">. В каждом дуплексе </w:t>
      </w:r>
      <w:r w:rsidR="00AA69DA" w:rsidRPr="00107040">
        <w:rPr>
          <w:rFonts w:ascii="Times New Roman" w:eastAsia="MS Mincho" w:hAnsi="Times New Roman"/>
          <w:sz w:val="28"/>
          <w:szCs w:val="28"/>
          <w:lang w:eastAsia="ja-JP"/>
        </w:rPr>
        <w:t>ExoA</w:t>
      </w:r>
      <w:r w:rsidR="00AA69DA" w:rsidRPr="00107040">
        <w:rPr>
          <w:rFonts w:ascii="Times New Roman" w:eastAsia="MS Mincho" w:hAnsi="Times New Roman"/>
          <w:sz w:val="28"/>
          <w:szCs w:val="28"/>
          <w:lang w:val="ru-RU" w:eastAsia="ja-JP"/>
        </w:rPr>
        <w:t xml:space="preserve"> или </w:t>
      </w:r>
      <w:r w:rsidR="00AA69DA" w:rsidRPr="00107040">
        <w:rPr>
          <w:rFonts w:ascii="Times New Roman" w:eastAsia="MS Mincho" w:hAnsi="Times New Roman"/>
          <w:sz w:val="28"/>
          <w:szCs w:val="28"/>
          <w:lang w:eastAsia="ja-JP"/>
        </w:rPr>
        <w:t>RexT</w:t>
      </w:r>
      <w:r w:rsidR="00AA69DA" w:rsidRPr="00107040">
        <w:rPr>
          <w:rFonts w:ascii="Times New Roman" w:eastAsia="MS Mincho" w:hAnsi="Times New Roman"/>
          <w:sz w:val="28"/>
          <w:szCs w:val="28"/>
          <w:lang w:val="ru-RU" w:eastAsia="ja-JP"/>
        </w:rPr>
        <w:t xml:space="preserve"> были помечены [</w:t>
      </w:r>
      <w:r w:rsidR="00AA69DA" w:rsidRPr="00107040">
        <w:rPr>
          <w:rFonts w:ascii="Times New Roman" w:eastAsia="MS Mincho" w:hAnsi="Times New Roman"/>
          <w:sz w:val="28"/>
          <w:szCs w:val="28"/>
          <w:vertAlign w:val="superscript"/>
          <w:lang w:val="ru-RU" w:eastAsia="ja-JP"/>
        </w:rPr>
        <w:t>32</w:t>
      </w:r>
      <w:r w:rsidR="00AA69DA" w:rsidRPr="00107040">
        <w:rPr>
          <w:rFonts w:ascii="Times New Roman" w:eastAsia="MS Mincho" w:hAnsi="Times New Roman"/>
          <w:sz w:val="28"/>
          <w:szCs w:val="28"/>
          <w:lang w:eastAsia="ja-JP"/>
        </w:rPr>
        <w:t>P</w:t>
      </w:r>
      <w:r w:rsidR="00AA69DA" w:rsidRPr="00107040">
        <w:rPr>
          <w:rFonts w:ascii="Times New Roman" w:eastAsia="MS Mincho" w:hAnsi="Times New Roman"/>
          <w:sz w:val="28"/>
          <w:szCs w:val="28"/>
          <w:lang w:val="ru-RU" w:eastAsia="ja-JP"/>
        </w:rPr>
        <w:t>] радиоактивным фосфором либо 5', либо 3' концы. Меченные 5'-[</w:t>
      </w:r>
      <w:r w:rsidR="00AA69DA" w:rsidRPr="00107040">
        <w:rPr>
          <w:rFonts w:ascii="Times New Roman" w:eastAsia="MS Mincho" w:hAnsi="Times New Roman"/>
          <w:sz w:val="28"/>
          <w:szCs w:val="28"/>
          <w:vertAlign w:val="superscript"/>
          <w:lang w:val="ru-RU" w:eastAsia="ja-JP"/>
        </w:rPr>
        <w:t>32</w:t>
      </w:r>
      <w:r w:rsidR="00AA69DA" w:rsidRPr="00107040">
        <w:rPr>
          <w:rFonts w:ascii="Times New Roman" w:eastAsia="MS Mincho" w:hAnsi="Times New Roman"/>
          <w:sz w:val="28"/>
          <w:szCs w:val="28"/>
          <w:lang w:eastAsia="ja-JP"/>
        </w:rPr>
        <w:t>P</w:t>
      </w:r>
      <w:r w:rsidR="00AA69DA" w:rsidRPr="00107040">
        <w:rPr>
          <w:rFonts w:ascii="Times New Roman" w:eastAsia="MS Mincho" w:hAnsi="Times New Roman"/>
          <w:sz w:val="28"/>
          <w:szCs w:val="28"/>
          <w:lang w:val="ru-RU" w:eastAsia="ja-JP"/>
        </w:rPr>
        <w:t xml:space="preserve">] -олигонуклеотидные дуплексы инкубировали с белками </w:t>
      </w:r>
      <w:r w:rsidR="00AA69DA" w:rsidRPr="00107040">
        <w:rPr>
          <w:rFonts w:ascii="Times New Roman" w:eastAsia="MS Mincho" w:hAnsi="Times New Roman"/>
          <w:sz w:val="28"/>
          <w:szCs w:val="28"/>
          <w:lang w:eastAsia="ja-JP"/>
        </w:rPr>
        <w:t>AtPARP</w:t>
      </w:r>
      <w:r w:rsidR="00AA69DA" w:rsidRPr="00107040">
        <w:rPr>
          <w:rFonts w:ascii="Times New Roman" w:eastAsia="MS Mincho" w:hAnsi="Times New Roman"/>
          <w:sz w:val="28"/>
          <w:szCs w:val="28"/>
          <w:lang w:val="ru-RU" w:eastAsia="ja-JP"/>
        </w:rPr>
        <w:t xml:space="preserve"> в присутствии 1 мМ НАД</w:t>
      </w:r>
      <w:r w:rsidR="00AA69DA" w:rsidRPr="00107040">
        <w:rPr>
          <w:rFonts w:ascii="Times New Roman" w:eastAsia="MS Mincho" w:hAnsi="Times New Roman"/>
          <w:sz w:val="28"/>
          <w:szCs w:val="28"/>
          <w:vertAlign w:val="superscript"/>
          <w:lang w:val="ru-RU" w:eastAsia="ja-JP"/>
        </w:rPr>
        <w:t>+</w:t>
      </w:r>
      <w:r w:rsidR="00AA69DA" w:rsidRPr="00107040">
        <w:rPr>
          <w:rFonts w:ascii="Times New Roman" w:eastAsia="MS Mincho" w:hAnsi="Times New Roman"/>
          <w:sz w:val="28"/>
          <w:szCs w:val="28"/>
          <w:lang w:val="ru-RU" w:eastAsia="ja-JP"/>
        </w:rPr>
        <w:t xml:space="preserve">, затем реакцию останавливали добавлением 0,15 % </w:t>
      </w:r>
      <w:r w:rsidR="00AA69DA" w:rsidRPr="00107040">
        <w:rPr>
          <w:rFonts w:ascii="Times New Roman" w:eastAsia="MS Mincho" w:hAnsi="Times New Roman"/>
          <w:sz w:val="28"/>
          <w:szCs w:val="28"/>
          <w:lang w:val="en-US" w:eastAsia="ja-JP"/>
        </w:rPr>
        <w:t>SDS</w:t>
      </w:r>
      <w:r w:rsidR="00AA69DA" w:rsidRPr="00107040">
        <w:rPr>
          <w:rFonts w:ascii="Times New Roman" w:eastAsia="MS Mincho" w:hAnsi="Times New Roman"/>
          <w:sz w:val="28"/>
          <w:szCs w:val="28"/>
          <w:lang w:val="ru-RU" w:eastAsia="ja-JP"/>
        </w:rPr>
        <w:t xml:space="preserve"> и 50 мкг∙мл</w:t>
      </w:r>
      <w:r w:rsidR="00AA69DA" w:rsidRPr="00107040">
        <w:rPr>
          <w:rFonts w:ascii="Times New Roman" w:eastAsia="MS Mincho" w:hAnsi="Times New Roman"/>
          <w:sz w:val="28"/>
          <w:szCs w:val="28"/>
          <w:vertAlign w:val="superscript"/>
          <w:lang w:val="ru-RU" w:eastAsia="ja-JP"/>
        </w:rPr>
        <w:t>-1</w:t>
      </w:r>
      <w:r w:rsidR="00AA69DA" w:rsidRPr="00107040">
        <w:rPr>
          <w:rFonts w:ascii="Times New Roman" w:eastAsia="MS Mincho" w:hAnsi="Times New Roman"/>
          <w:sz w:val="28"/>
          <w:szCs w:val="28"/>
          <w:lang w:val="ru-RU" w:eastAsia="ja-JP"/>
        </w:rPr>
        <w:t xml:space="preserve"> протеиназы </w:t>
      </w:r>
      <w:r w:rsidR="00AA69DA" w:rsidRPr="00107040">
        <w:rPr>
          <w:rFonts w:ascii="Times New Roman" w:eastAsia="MS Mincho" w:hAnsi="Times New Roman"/>
          <w:sz w:val="28"/>
          <w:szCs w:val="28"/>
          <w:lang w:eastAsia="ja-JP"/>
        </w:rPr>
        <w:t>K</w:t>
      </w:r>
      <w:r w:rsidR="00AA69DA" w:rsidRPr="00107040">
        <w:rPr>
          <w:rFonts w:ascii="Times New Roman" w:eastAsia="MS Mincho" w:hAnsi="Times New Roman"/>
          <w:sz w:val="28"/>
          <w:szCs w:val="28"/>
          <w:lang w:val="ru-RU" w:eastAsia="ja-JP"/>
        </w:rPr>
        <w:t xml:space="preserve"> и инкубацией в течение 30 мин при 55 °</w:t>
      </w:r>
      <w:r w:rsidR="00AA69DA" w:rsidRPr="00107040">
        <w:rPr>
          <w:rFonts w:ascii="Times New Roman" w:eastAsia="MS Mincho" w:hAnsi="Times New Roman"/>
          <w:sz w:val="28"/>
          <w:szCs w:val="28"/>
          <w:lang w:eastAsia="ja-JP"/>
        </w:rPr>
        <w:t>C</w:t>
      </w:r>
      <w:r w:rsidR="00AA69DA" w:rsidRPr="00107040">
        <w:rPr>
          <w:rFonts w:ascii="Times New Roman" w:eastAsia="MS Mincho" w:hAnsi="Times New Roman"/>
          <w:sz w:val="28"/>
          <w:szCs w:val="28"/>
          <w:lang w:val="ru-RU" w:eastAsia="ja-JP"/>
        </w:rPr>
        <w:t>. После этого образцы обессоливали, а затем подвергали термообработке (5 мин при 95 °</w:t>
      </w:r>
      <w:r w:rsidR="00AA69DA" w:rsidRPr="00107040">
        <w:rPr>
          <w:rFonts w:ascii="Times New Roman" w:eastAsia="MS Mincho" w:hAnsi="Times New Roman"/>
          <w:sz w:val="28"/>
          <w:szCs w:val="28"/>
          <w:lang w:eastAsia="ja-JP"/>
        </w:rPr>
        <w:t>C</w:t>
      </w:r>
      <w:r w:rsidR="00AA69DA" w:rsidRPr="00107040">
        <w:rPr>
          <w:rFonts w:ascii="Times New Roman" w:eastAsia="MS Mincho" w:hAnsi="Times New Roman"/>
          <w:sz w:val="28"/>
          <w:szCs w:val="28"/>
          <w:lang w:val="ru-RU" w:eastAsia="ja-JP"/>
        </w:rPr>
        <w:t xml:space="preserve">) в буфере для загрузки геля, и продукты разделяли электрофорезом на денатурирующем полиакриламидном геле. </w:t>
      </w:r>
    </w:p>
    <w:p w14:paraId="6488CC47"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Как показан</w:t>
      </w:r>
      <w:r w:rsidRPr="00107040">
        <w:rPr>
          <w:rFonts w:ascii="Times New Roman" w:eastAsia="MS Mincho" w:hAnsi="Times New Roman"/>
          <w:sz w:val="28"/>
          <w:szCs w:val="28"/>
          <w:lang w:val="kk-KZ" w:eastAsia="ja-JP"/>
        </w:rPr>
        <w:t>о</w:t>
      </w:r>
      <w:r w:rsidRPr="00107040">
        <w:rPr>
          <w:rFonts w:ascii="Times New Roman" w:eastAsia="MS Mincho" w:hAnsi="Times New Roman"/>
          <w:sz w:val="28"/>
          <w:szCs w:val="28"/>
          <w:lang w:val="ru-RU" w:eastAsia="ja-JP"/>
        </w:rPr>
        <w:t xml:space="preserve">, обработка протеиназой К и последующая термическая обработка не разрушили продукты ПАР-ДНК, что свидетельствует о том, что </w:t>
      </w:r>
      <w:r w:rsidRPr="00107040">
        <w:rPr>
          <w:rFonts w:ascii="Times New Roman" w:eastAsia="MS Mincho" w:hAnsi="Times New Roman"/>
          <w:sz w:val="28"/>
          <w:szCs w:val="28"/>
          <w:lang w:eastAsia="ja-JP"/>
        </w:rPr>
        <w:t>HMW</w:t>
      </w:r>
      <w:r w:rsidRPr="00107040">
        <w:rPr>
          <w:rFonts w:ascii="Times New Roman" w:eastAsia="MS Mincho" w:hAnsi="Times New Roman"/>
          <w:sz w:val="28"/>
          <w:szCs w:val="28"/>
          <w:lang w:val="ru-RU" w:eastAsia="ja-JP"/>
        </w:rPr>
        <w:t xml:space="preserve"> ДНК-продукты являются ковалентно присоединенными к ДНК полимерами АДФ-рибозы.</w:t>
      </w:r>
    </w:p>
    <w:p w14:paraId="6F11B2CE" w14:textId="4619ABA0"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lastRenderedPageBreak/>
        <w:t>Анализ продуктов реакции показал, что от трех до шестидесяти процентов меченных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олигонуклеотидов превращаются в медленно мигрирующие продукты ДНК, которые локализованы на геле над немодифицированным 21-мерным фрагментом (рисунок 1</w:t>
      </w:r>
      <w:r w:rsidR="00AC7601">
        <w:rPr>
          <w:rFonts w:ascii="Times New Roman" w:eastAsia="MS Mincho" w:hAnsi="Times New Roman"/>
          <w:sz w:val="28"/>
          <w:szCs w:val="28"/>
          <w:lang w:val="ru-RU" w:eastAsia="ja-JP"/>
        </w:rPr>
        <w:t>4</w:t>
      </w:r>
      <w:r w:rsidRPr="00107040">
        <w:rPr>
          <w:rFonts w:ascii="Times New Roman" w:eastAsia="MS Mincho" w:hAnsi="Times New Roman"/>
          <w:sz w:val="28"/>
          <w:szCs w:val="28"/>
          <w:lang w:val="ru-RU" w:eastAsia="ja-JP"/>
        </w:rPr>
        <w:t xml:space="preserve">А, дорожки 2, 4, 6, 8, 10 и 12), предполагая, что полимер ПАР, синтезируемый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 генерирует комплекс с ДНК. Важно отметить, что эти медленно мигрирующие продукты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были устойчивы к протеиназе </w:t>
      </w:r>
      <w:r w:rsidRPr="00107040">
        <w:rPr>
          <w:rFonts w:ascii="Times New Roman" w:eastAsia="MS Mincho" w:hAnsi="Times New Roman"/>
          <w:sz w:val="28"/>
          <w:szCs w:val="28"/>
          <w:lang w:eastAsia="ja-JP"/>
        </w:rPr>
        <w:t>K</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SDS</w:t>
      </w:r>
      <w:r w:rsidRPr="00107040">
        <w:rPr>
          <w:rFonts w:ascii="Times New Roman" w:eastAsia="MS Mincho" w:hAnsi="Times New Roman"/>
          <w:sz w:val="28"/>
          <w:szCs w:val="28"/>
          <w:lang w:val="ru-RU" w:eastAsia="ja-JP"/>
        </w:rPr>
        <w:t xml:space="preserve"> и термообработке, что указывает на возможную ковалентную природу модификаций ДНК, индуцированных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 ферментами. Примечательно, что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более эффективно модифицирует ДНК по сравнению с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1 (рисунок 1</w:t>
      </w:r>
      <w:r w:rsidR="00AC7601">
        <w:rPr>
          <w:rFonts w:ascii="Times New Roman" w:eastAsia="MS Mincho" w:hAnsi="Times New Roman"/>
          <w:sz w:val="28"/>
          <w:szCs w:val="28"/>
          <w:lang w:val="ru-RU" w:eastAsia="ja-JP"/>
        </w:rPr>
        <w:t>4</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t>B</w:t>
      </w:r>
      <w:r w:rsidRPr="00107040">
        <w:rPr>
          <w:rFonts w:ascii="Times New Roman" w:eastAsia="MS Mincho" w:hAnsi="Times New Roman"/>
          <w:sz w:val="28"/>
          <w:szCs w:val="28"/>
          <w:lang w:val="ru-RU" w:eastAsia="ja-JP"/>
        </w:rPr>
        <w:t xml:space="preserve">). В частности,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1 генерировал в основном продукты ПАР-ДНК с высокой молекулярной массой (</w:t>
      </w:r>
      <w:r w:rsidRPr="00107040">
        <w:rPr>
          <w:rFonts w:ascii="Times New Roman" w:eastAsia="MS Mincho" w:hAnsi="Times New Roman"/>
          <w:sz w:val="28"/>
          <w:szCs w:val="28"/>
          <w:lang w:eastAsia="ja-JP"/>
        </w:rPr>
        <w:t>HMW</w:t>
      </w:r>
      <w:r w:rsidRPr="00107040">
        <w:rPr>
          <w:rFonts w:ascii="Times New Roman" w:eastAsia="MS Mincho" w:hAnsi="Times New Roman"/>
          <w:sz w:val="28"/>
          <w:szCs w:val="28"/>
          <w:lang w:val="ru-RU" w:eastAsia="ja-JP"/>
        </w:rPr>
        <w:t>-ДНК), которые не могли проникать в гель (рисунок 1</w:t>
      </w:r>
      <w:r w:rsidR="00AC7601">
        <w:rPr>
          <w:rFonts w:ascii="Times New Roman" w:eastAsia="MS Mincho" w:hAnsi="Times New Roman"/>
          <w:sz w:val="28"/>
          <w:szCs w:val="28"/>
          <w:lang w:val="ru-RU" w:eastAsia="ja-JP"/>
        </w:rPr>
        <w:t>4</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 дорожки 2, 4 и 6), тогда как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производил, в дополнение к </w:t>
      </w:r>
      <w:r w:rsidRPr="00107040">
        <w:rPr>
          <w:rFonts w:ascii="Times New Roman" w:eastAsia="MS Mincho" w:hAnsi="Times New Roman"/>
          <w:sz w:val="28"/>
          <w:szCs w:val="28"/>
          <w:lang w:eastAsia="ja-JP"/>
        </w:rPr>
        <w:t>HMW</w:t>
      </w:r>
      <w:r w:rsidRPr="00107040">
        <w:rPr>
          <w:rFonts w:ascii="Times New Roman" w:eastAsia="MS Mincho" w:hAnsi="Times New Roman"/>
          <w:sz w:val="28"/>
          <w:szCs w:val="28"/>
          <w:lang w:val="ru-RU" w:eastAsia="ja-JP"/>
        </w:rPr>
        <w:t>, низкомолекулярные (</w:t>
      </w:r>
      <w:r w:rsidRPr="00107040">
        <w:rPr>
          <w:rFonts w:ascii="Times New Roman" w:eastAsia="MS Mincho" w:hAnsi="Times New Roman"/>
          <w:sz w:val="28"/>
          <w:szCs w:val="28"/>
          <w:lang w:eastAsia="ja-JP"/>
        </w:rPr>
        <w:t>LMW</w:t>
      </w:r>
      <w:r w:rsidRPr="00107040">
        <w:rPr>
          <w:rFonts w:ascii="Times New Roman" w:eastAsia="MS Mincho" w:hAnsi="Times New Roman"/>
          <w:sz w:val="28"/>
          <w:szCs w:val="28"/>
          <w:lang w:val="ru-RU" w:eastAsia="ja-JP"/>
        </w:rPr>
        <w:t>-ДНК) продукты ПАР-ДНК, которые могли проникать в гель и мигрировать в виде лестницы отдельных фрагментов ДНК разного размера над свободным 21-мерным фрагментом (дорожки 8, 10 и 12). Как показано на рисунке 1</w:t>
      </w:r>
      <w:r w:rsidR="00371014">
        <w:rPr>
          <w:rFonts w:ascii="Times New Roman" w:eastAsia="MS Mincho" w:hAnsi="Times New Roman"/>
          <w:sz w:val="28"/>
          <w:szCs w:val="28"/>
          <w:lang w:val="ru-RU" w:eastAsia="ja-JP"/>
        </w:rPr>
        <w:t>4</w:t>
      </w:r>
      <w:r w:rsidRPr="00107040">
        <w:rPr>
          <w:rFonts w:ascii="Times New Roman" w:eastAsia="MS Mincho" w:hAnsi="Times New Roman"/>
          <w:sz w:val="28"/>
          <w:szCs w:val="28"/>
          <w:lang w:eastAsia="ja-JP"/>
        </w:rPr>
        <w:t>B</w:t>
      </w:r>
      <w:r w:rsidRPr="00107040">
        <w:rPr>
          <w:rFonts w:ascii="Times New Roman" w:eastAsia="MS Mincho" w:hAnsi="Times New Roman"/>
          <w:sz w:val="28"/>
          <w:szCs w:val="28"/>
          <w:lang w:val="ru-RU" w:eastAsia="ja-JP"/>
        </w:rPr>
        <w:t xml:space="preserve">, эффективность катализируемого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образования продуктов ПАР-ДНК сильно зависят от структур ДНК дуплекса.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1 предпочтительно модифицирует дуплексы с выступающей цепью </w:t>
      </w:r>
      <w:r w:rsidRPr="00107040">
        <w:rPr>
          <w:rFonts w:ascii="Times New Roman" w:eastAsia="MS Mincho" w:hAnsi="Times New Roman"/>
          <w:sz w:val="28"/>
          <w:szCs w:val="28"/>
          <w:lang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RexT</w:t>
      </w:r>
      <w:r w:rsidRPr="00107040">
        <w:rPr>
          <w:rFonts w:ascii="Times New Roman" w:eastAsia="MS Mincho" w:hAnsi="Times New Roman"/>
          <w:sz w:val="28"/>
          <w:szCs w:val="28"/>
          <w:vertAlign w:val="superscript"/>
          <w:lang w:eastAsia="ja-JP"/>
        </w:rPr>
        <w:t>rec</w:t>
      </w:r>
      <w:r w:rsidRPr="00107040">
        <w:rPr>
          <w:rFonts w:ascii="Times New Roman" w:eastAsia="MS Mincho" w:hAnsi="Times New Roman"/>
          <w:sz w:val="28"/>
          <w:szCs w:val="28"/>
          <w:lang w:val="ru-RU" w:eastAsia="ja-JP"/>
        </w:rPr>
        <w:t xml:space="preserve"> (20 % продуктов </w:t>
      </w:r>
      <w:r w:rsidRPr="00107040">
        <w:rPr>
          <w:rFonts w:ascii="Times New Roman" w:eastAsia="MS Mincho" w:hAnsi="Times New Roman"/>
          <w:sz w:val="28"/>
          <w:szCs w:val="28"/>
          <w:lang w:eastAsia="ja-JP"/>
        </w:rPr>
        <w:t>HMW</w:t>
      </w:r>
      <w:r w:rsidRPr="00107040">
        <w:rPr>
          <w:rFonts w:ascii="Times New Roman" w:eastAsia="MS Mincho" w:hAnsi="Times New Roman"/>
          <w:sz w:val="28"/>
          <w:szCs w:val="28"/>
          <w:lang w:val="ru-RU" w:eastAsia="ja-JP"/>
        </w:rPr>
        <w:t xml:space="preserve"> ПАР-ДНК) и, в меньшей степени, ДНК дуплексы с разрывом и брешью (3 и 10 % продуктов </w:t>
      </w:r>
      <w:r w:rsidRPr="00107040">
        <w:rPr>
          <w:rFonts w:ascii="Times New Roman" w:eastAsia="MS Mincho" w:hAnsi="Times New Roman"/>
          <w:sz w:val="28"/>
          <w:szCs w:val="28"/>
          <w:lang w:eastAsia="ja-JP"/>
        </w:rPr>
        <w:t>HMW</w:t>
      </w:r>
      <w:r w:rsidRPr="00107040">
        <w:rPr>
          <w:rFonts w:ascii="Times New Roman" w:eastAsia="MS Mincho" w:hAnsi="Times New Roman"/>
          <w:sz w:val="28"/>
          <w:szCs w:val="28"/>
          <w:lang w:val="ru-RU" w:eastAsia="ja-JP"/>
        </w:rPr>
        <w:t xml:space="preserve"> ПАР-ДНК, соответственно), тогда как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предпочитает дуплексы с разрывом и брешью (30 % продуктов </w:t>
      </w:r>
      <w:r w:rsidRPr="00107040">
        <w:rPr>
          <w:rFonts w:ascii="Times New Roman" w:eastAsia="MS Mincho" w:hAnsi="Times New Roman"/>
          <w:sz w:val="28"/>
          <w:szCs w:val="28"/>
          <w:lang w:val="en-US" w:eastAsia="ja-JP"/>
        </w:rPr>
        <w:t>L</w:t>
      </w:r>
      <w:r w:rsidRPr="00107040">
        <w:rPr>
          <w:rFonts w:ascii="Times New Roman" w:eastAsia="MS Mincho" w:hAnsi="Times New Roman"/>
          <w:sz w:val="28"/>
          <w:szCs w:val="28"/>
          <w:lang w:eastAsia="ja-JP"/>
        </w:rPr>
        <w:t>MW</w:t>
      </w:r>
      <w:r w:rsidRPr="00107040">
        <w:rPr>
          <w:rFonts w:ascii="Times New Roman" w:eastAsia="MS Mincho" w:hAnsi="Times New Roman"/>
          <w:sz w:val="28"/>
          <w:szCs w:val="28"/>
          <w:lang w:val="ru-RU" w:eastAsia="ja-JP"/>
        </w:rPr>
        <w:t xml:space="preserve"> и 60 % </w:t>
      </w:r>
      <w:r w:rsidRPr="00107040">
        <w:rPr>
          <w:rFonts w:ascii="Times New Roman" w:eastAsia="MS Mincho" w:hAnsi="Times New Roman"/>
          <w:sz w:val="28"/>
          <w:szCs w:val="28"/>
          <w:lang w:eastAsia="ja-JP"/>
        </w:rPr>
        <w:t>HMW</w:t>
      </w:r>
      <w:r w:rsidRPr="00107040">
        <w:rPr>
          <w:rFonts w:ascii="Times New Roman" w:eastAsia="MS Mincho" w:hAnsi="Times New Roman"/>
          <w:sz w:val="28"/>
          <w:szCs w:val="28"/>
          <w:lang w:val="ru-RU" w:eastAsia="ja-JP"/>
        </w:rPr>
        <w:t xml:space="preserve"> ПАР-ДНК) по сравнению с ДНК субстратом </w:t>
      </w:r>
      <w:r w:rsidRPr="00107040">
        <w:rPr>
          <w:rFonts w:ascii="Times New Roman" w:eastAsia="MS Mincho" w:hAnsi="Times New Roman"/>
          <w:sz w:val="28"/>
          <w:szCs w:val="28"/>
          <w:lang w:eastAsia="ja-JP"/>
        </w:rPr>
        <w:t>c</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kk-KZ" w:eastAsia="ja-JP"/>
        </w:rPr>
        <w:t xml:space="preserve">выступающей цепью </w:t>
      </w:r>
      <w:r w:rsidRPr="00107040">
        <w:rPr>
          <w:rFonts w:ascii="Times New Roman" w:eastAsia="MS Mincho" w:hAnsi="Times New Roman"/>
          <w:sz w:val="28"/>
          <w:szCs w:val="28"/>
          <w:lang w:val="ru-RU" w:eastAsia="ja-JP"/>
        </w:rPr>
        <w:t xml:space="preserve">(14 % продуктов ПАР-ДНК). Следует отметить, что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1, но не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2, индуцирует неспецифическое расщепление 21-мерного фрагмента 3'→5</w:t>
      </w:r>
      <w:bookmarkStart w:id="65" w:name="_Hlk103776235"/>
      <w:r w:rsidRPr="00107040">
        <w:rPr>
          <w:rFonts w:ascii="Times New Roman" w:eastAsia="MS Mincho" w:hAnsi="Times New Roman"/>
          <w:sz w:val="28"/>
          <w:szCs w:val="28"/>
          <w:lang w:val="ru-RU" w:eastAsia="ja-JP"/>
        </w:rPr>
        <w:t>'</w:t>
      </w:r>
      <w:bookmarkEnd w:id="65"/>
      <w:r w:rsidRPr="00107040">
        <w:rPr>
          <w:rFonts w:ascii="Times New Roman" w:eastAsia="MS Mincho" w:hAnsi="Times New Roman"/>
          <w:sz w:val="28"/>
          <w:szCs w:val="28"/>
          <w:lang w:val="ru-RU" w:eastAsia="ja-JP"/>
        </w:rPr>
        <w:t xml:space="preserve"> экзонуклеазой (рисунок 1</w:t>
      </w:r>
      <w:r w:rsidR="00AC7601">
        <w:rPr>
          <w:rFonts w:ascii="Times New Roman" w:eastAsia="MS Mincho" w:hAnsi="Times New Roman"/>
          <w:sz w:val="28"/>
          <w:szCs w:val="28"/>
          <w:lang w:val="ru-RU" w:eastAsia="ja-JP"/>
        </w:rPr>
        <w:t>4</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 дорожки 2, 4 и 6). Кроме того, инкубация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1 с </w:t>
      </w:r>
      <w:r w:rsidRPr="00107040">
        <w:rPr>
          <w:rFonts w:ascii="Times New Roman" w:eastAsia="MS Mincho" w:hAnsi="Times New Roman"/>
          <w:sz w:val="28"/>
          <w:szCs w:val="28"/>
          <w:lang w:val="en-US"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RexT</w:t>
      </w:r>
      <w:r w:rsidRPr="00107040">
        <w:rPr>
          <w:rFonts w:ascii="Times New Roman" w:eastAsia="MS Mincho" w:hAnsi="Times New Roman"/>
          <w:sz w:val="28"/>
          <w:szCs w:val="28"/>
          <w:vertAlign w:val="superscript"/>
          <w:lang w:val="en-US" w:eastAsia="ja-JP"/>
        </w:rPr>
        <w:t>nick</w:t>
      </w:r>
      <w:r w:rsidRPr="00107040">
        <w:rPr>
          <w:rFonts w:ascii="Times New Roman" w:eastAsia="MS Mincho" w:hAnsi="Times New Roman"/>
          <w:sz w:val="28"/>
          <w:szCs w:val="28"/>
          <w:lang w:val="ru-RU" w:eastAsia="ja-JP"/>
        </w:rPr>
        <w:t xml:space="preserve"> и, в гораздо меньшей степени с </w:t>
      </w:r>
      <w:r w:rsidRPr="00107040">
        <w:rPr>
          <w:rFonts w:ascii="Times New Roman" w:eastAsia="MS Mincho" w:hAnsi="Times New Roman"/>
          <w:sz w:val="28"/>
          <w:szCs w:val="28"/>
          <w:lang w:val="en-US"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RexT</w:t>
      </w:r>
      <w:r w:rsidRPr="00107040">
        <w:rPr>
          <w:rFonts w:ascii="Times New Roman" w:eastAsia="MS Mincho" w:hAnsi="Times New Roman"/>
          <w:sz w:val="28"/>
          <w:szCs w:val="28"/>
          <w:vertAlign w:val="superscript"/>
          <w:lang w:val="en-US" w:eastAsia="ja-JP"/>
        </w:rPr>
        <w:t>gap</w:t>
      </w:r>
      <w:r w:rsidRPr="00107040">
        <w:rPr>
          <w:rFonts w:ascii="Times New Roman" w:eastAsia="MS Mincho" w:hAnsi="Times New Roman"/>
          <w:sz w:val="28"/>
          <w:szCs w:val="28"/>
          <w:lang w:val="ru-RU" w:eastAsia="ja-JP"/>
        </w:rPr>
        <w:t xml:space="preserve"> приводит к формированию дискретной полосы, мигрирующую в положении 40-мерного фрагмента (дорожки 4 и 6), что свидетельствует о наличии активности ДНК-лигазы в очищенном растительном белке. Эти наблюдения предполагают, что рекомбинантный белок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1, несмотря на обширную очистку, загрязнен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-зависимой ДНК-лигазой </w:t>
      </w:r>
      <w:r w:rsidRPr="00107040">
        <w:rPr>
          <w:rFonts w:ascii="Times New Roman" w:eastAsia="MS Mincho" w:hAnsi="Times New Roman"/>
          <w:i/>
          <w:sz w:val="28"/>
          <w:szCs w:val="28"/>
          <w:lang w:val="en-US" w:eastAsia="ja-JP"/>
        </w:rPr>
        <w:t>E</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coli</w:t>
      </w:r>
      <w:r w:rsidRPr="00107040">
        <w:rPr>
          <w:rFonts w:ascii="Times New Roman" w:eastAsia="MS Mincho" w:hAnsi="Times New Roman"/>
          <w:sz w:val="28"/>
          <w:szCs w:val="28"/>
          <w:lang w:val="ru-RU" w:eastAsia="ja-JP"/>
        </w:rPr>
        <w:t xml:space="preserve"> хозяина и неспецифическими экзонуклеазами ДНК.  </w:t>
      </w:r>
    </w:p>
    <w:p w14:paraId="15058213" w14:textId="5FF8A2BD"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Таким образом, результаты нами проведенных </w:t>
      </w:r>
      <w:r w:rsidRPr="00107040">
        <w:rPr>
          <w:rFonts w:ascii="Times New Roman" w:eastAsia="MS Mincho" w:hAnsi="Times New Roman"/>
          <w:i/>
          <w:iCs/>
          <w:sz w:val="28"/>
          <w:szCs w:val="28"/>
          <w:lang w:val="ru-RU" w:eastAsia="ja-JP"/>
        </w:rPr>
        <w:t>in vitro</w:t>
      </w:r>
      <w:r w:rsidRPr="00107040">
        <w:rPr>
          <w:rFonts w:ascii="Times New Roman" w:eastAsia="MS Mincho" w:hAnsi="Times New Roman"/>
          <w:sz w:val="28"/>
          <w:szCs w:val="28"/>
          <w:lang w:val="ru-RU" w:eastAsia="ja-JP"/>
        </w:rPr>
        <w:t xml:space="preserve"> экспериментов показало, что поли (АДФ-рибоза)полимеразы растений </w:t>
      </w:r>
      <w:r w:rsidRPr="00107040">
        <w:rPr>
          <w:rFonts w:ascii="Times New Roman" w:eastAsia="MS Mincho" w:hAnsi="Times New Roman"/>
          <w:i/>
          <w:iCs/>
          <w:sz w:val="28"/>
          <w:szCs w:val="28"/>
          <w:lang w:val="ru-RU" w:eastAsia="ja-JP"/>
        </w:rPr>
        <w:t>Arabidopsis thaliana</w:t>
      </w:r>
      <w:r w:rsidRPr="00107040">
        <w:rPr>
          <w:rFonts w:ascii="Times New Roman" w:eastAsia="MS Mincho" w:hAnsi="Times New Roman"/>
          <w:sz w:val="28"/>
          <w:szCs w:val="28"/>
          <w:lang w:val="ru-RU" w:eastAsia="ja-JP"/>
        </w:rPr>
        <w:t xml:space="preserve"> AtPARP1 и AtPARP2, как и их аналоги у млекопитающих, AДФ рибозилируют концевые фосфатные остатки разрывов цепи ДНК. В частности, AtPARP1, подобно человеческому PARP1, предпочтительно ПАРилируют ДНК дуплексы с выступающей цепью и проявляет следующий порядок предпочтения по отношению к ДНК субстратам: Rec&gt; Nick&gt; Gap. Тогда как AtPARP2, подобно PARP2 млекопитающих, ПАРилируют дуплексы с разрывом и брешью более эффективно, чем ДНК дуплексы с выступающей цепью, и отображает следующий порядок предпочтения дуплексов: Nick&gt; Gap&gt; Rec</w:t>
      </w:r>
      <w:r w:rsidR="00ED7215" w:rsidRPr="00ED7215">
        <w:rPr>
          <w:rFonts w:ascii="Times New Roman" w:eastAsia="MS Mincho" w:hAnsi="Times New Roman"/>
          <w:sz w:val="28"/>
          <w:szCs w:val="28"/>
          <w:lang w:val="ru-RU" w:eastAsia="ja-JP"/>
        </w:rPr>
        <w:t xml:space="preserve"> [465, 468]</w:t>
      </w:r>
      <w:r w:rsidRPr="00107040">
        <w:rPr>
          <w:rFonts w:ascii="Times New Roman" w:eastAsia="MS Mincho" w:hAnsi="Times New Roman"/>
          <w:sz w:val="28"/>
          <w:szCs w:val="28"/>
          <w:lang w:val="ru-RU" w:eastAsia="ja-JP"/>
        </w:rPr>
        <w:t>.</w:t>
      </w:r>
    </w:p>
    <w:p w14:paraId="0F5BC27C" w14:textId="39B20155" w:rsidR="00822B55" w:rsidRPr="00107040" w:rsidRDefault="00414AF3"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noProof/>
          <w:sz w:val="28"/>
          <w:szCs w:val="28"/>
          <w:lang w:val="ru-RU" w:eastAsia="ru-RU"/>
        </w:rPr>
        <w:lastRenderedPageBreak/>
        <w:drawing>
          <wp:inline distT="0" distB="0" distL="0" distR="0" wp14:anchorId="045C4916" wp14:editId="59944469">
            <wp:extent cx="2879725" cy="45040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9725" cy="4504055"/>
                    </a:xfrm>
                    <a:prstGeom prst="rect">
                      <a:avLst/>
                    </a:prstGeom>
                    <a:noFill/>
                    <a:ln>
                      <a:noFill/>
                    </a:ln>
                  </pic:spPr>
                </pic:pic>
              </a:graphicData>
            </a:graphic>
          </wp:inline>
        </w:drawing>
      </w:r>
    </w:p>
    <w:p w14:paraId="7CE9EFBE" w14:textId="77777777" w:rsidR="00414AF3" w:rsidRPr="00107040" w:rsidRDefault="00414AF3" w:rsidP="000C16BB">
      <w:pPr>
        <w:spacing w:after="0" w:line="240" w:lineRule="auto"/>
        <w:ind w:firstLine="567"/>
        <w:jc w:val="center"/>
        <w:rPr>
          <w:rFonts w:ascii="Times New Roman" w:eastAsia="MS Mincho" w:hAnsi="Times New Roman"/>
          <w:sz w:val="28"/>
          <w:szCs w:val="28"/>
          <w:lang w:val="ru-RU" w:eastAsia="ja-JP"/>
        </w:rPr>
      </w:pPr>
    </w:p>
    <w:p w14:paraId="4E40CFA2" w14:textId="77777777" w:rsidR="00AA69DA" w:rsidRPr="00107040" w:rsidRDefault="00AA69DA" w:rsidP="000C16BB">
      <w:pPr>
        <w:spacing w:after="0" w:line="240" w:lineRule="auto"/>
        <w:contextualSpacing/>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Анализ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 продуктов, генерированных </w:t>
      </w:r>
      <w:r w:rsidR="00D40873"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1 и </w:t>
      </w:r>
      <w:r w:rsidR="00D40873"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2, после инкубации с меченными 5’-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 40-мерными ДНК дуплексами с разрывами, брешью и выступами с помощью ПААГ в денатурирующих условиях. Стрелки указывают на свободный 21-мерный олигонуклеотид,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продукты. Звездочкой обозначен продукт неспецифического лигирования, генерируемый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-зависимой ДНК-лигазой </w:t>
      </w:r>
      <w:r w:rsidRPr="00107040">
        <w:rPr>
          <w:rFonts w:ascii="Times New Roman" w:eastAsia="MS Mincho" w:hAnsi="Times New Roman"/>
          <w:i/>
          <w:sz w:val="28"/>
          <w:szCs w:val="28"/>
          <w:lang w:val="en-US" w:eastAsia="ja-JP"/>
        </w:rPr>
        <w:t>E</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coli</w:t>
      </w:r>
      <w:r w:rsidRPr="00107040">
        <w:rPr>
          <w:rFonts w:ascii="Times New Roman" w:eastAsia="MS Mincho" w:hAnsi="Times New Roman"/>
          <w:sz w:val="28"/>
          <w:szCs w:val="28"/>
          <w:lang w:val="ru-RU" w:eastAsia="ja-JP"/>
        </w:rPr>
        <w:t>.</w:t>
      </w:r>
    </w:p>
    <w:p w14:paraId="276A69B9" w14:textId="77777777" w:rsidR="00AA69DA" w:rsidRPr="00107040" w:rsidRDefault="00AA69DA" w:rsidP="000C16BB">
      <w:pPr>
        <w:spacing w:after="0" w:line="240" w:lineRule="auto"/>
        <w:contextualSpacing/>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en-US" w:eastAsia="ja-JP"/>
        </w:rPr>
        <w:t>B</w:t>
      </w:r>
      <w:r w:rsidRPr="00107040">
        <w:rPr>
          <w:rFonts w:ascii="Times New Roman" w:eastAsia="MS Mincho" w:hAnsi="Times New Roman"/>
          <w:sz w:val="28"/>
          <w:szCs w:val="28"/>
          <w:lang w:val="ru-RU" w:eastAsia="ja-JP"/>
        </w:rPr>
        <w:t xml:space="preserve">) Графическое представление образования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продуктов с помощью </w:t>
      </w:r>
      <w:r w:rsidR="00D40873"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en-US" w:eastAsia="ja-JP"/>
        </w:rPr>
        <w:t>tPARP</w:t>
      </w:r>
      <w:r w:rsidRPr="00107040">
        <w:rPr>
          <w:rFonts w:ascii="Times New Roman" w:eastAsia="MS Mincho" w:hAnsi="Times New Roman"/>
          <w:sz w:val="28"/>
          <w:szCs w:val="28"/>
          <w:lang w:val="ru-RU" w:eastAsia="ja-JP"/>
        </w:rPr>
        <w:t xml:space="preserve">1 и 2 при воздействии на дуплексы ДНК с разрывом, брешью и выступом. Каждая полоса представляет активность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 как среднее значение ± стандартное отклонение от трех независимых экспериментов.</w:t>
      </w:r>
    </w:p>
    <w:p w14:paraId="386698F4" w14:textId="77777777" w:rsidR="00AA69DA" w:rsidRPr="00107040" w:rsidRDefault="00AA69DA" w:rsidP="000C16BB">
      <w:pPr>
        <w:spacing w:after="0" w:line="240" w:lineRule="auto"/>
        <w:contextualSpacing/>
        <w:rPr>
          <w:rFonts w:ascii="Times New Roman" w:eastAsia="MS Mincho" w:hAnsi="Times New Roman"/>
          <w:sz w:val="28"/>
          <w:szCs w:val="28"/>
          <w:lang w:val="ru-RU" w:eastAsia="ja-JP"/>
        </w:rPr>
      </w:pPr>
    </w:p>
    <w:p w14:paraId="53068BB3" w14:textId="5608D5BD" w:rsidR="00AA69DA" w:rsidRPr="00107040" w:rsidRDefault="00AA69DA" w:rsidP="000C16BB">
      <w:pPr>
        <w:spacing w:after="0" w:line="240" w:lineRule="auto"/>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Рисунок 1</w:t>
      </w:r>
      <w:r w:rsidR="00AC7601">
        <w:rPr>
          <w:rFonts w:ascii="Times New Roman" w:eastAsia="MS Mincho" w:hAnsi="Times New Roman"/>
          <w:sz w:val="28"/>
          <w:szCs w:val="28"/>
          <w:lang w:val="ru-RU" w:eastAsia="ja-JP"/>
        </w:rPr>
        <w:t>4</w:t>
      </w:r>
      <w:r w:rsidRPr="00107040">
        <w:rPr>
          <w:rFonts w:ascii="Times New Roman" w:eastAsia="MS Mincho" w:hAnsi="Times New Roman"/>
          <w:sz w:val="28"/>
          <w:szCs w:val="28"/>
          <w:lang w:val="ru-RU" w:eastAsia="ja-JP"/>
        </w:rPr>
        <w:t xml:space="preserve"> –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 зависимое образование радиоактивно меченных высокомолекулярных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 продуктов ДНК </w:t>
      </w:r>
    </w:p>
    <w:p w14:paraId="3D2A41AC"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p>
    <w:p w14:paraId="19262FB0" w14:textId="525C9219"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Следует подчеркнуть, что в качестве субстратов для катализируемого PARP ПАРилирования </w:t>
      </w:r>
      <w:r w:rsidR="005A329A" w:rsidRPr="00107040">
        <w:rPr>
          <w:rFonts w:ascii="Times New Roman" w:eastAsia="MS Mincho" w:hAnsi="Times New Roman"/>
          <w:sz w:val="28"/>
          <w:szCs w:val="28"/>
          <w:lang w:val="ru-RU" w:eastAsia="ja-JP"/>
        </w:rPr>
        <w:t>были</w:t>
      </w:r>
      <w:r w:rsidRPr="00107040">
        <w:rPr>
          <w:rFonts w:ascii="Times New Roman" w:eastAsia="MS Mincho" w:hAnsi="Times New Roman"/>
          <w:sz w:val="28"/>
          <w:szCs w:val="28"/>
          <w:lang w:val="ru-RU" w:eastAsia="ja-JP"/>
        </w:rPr>
        <w:t xml:space="preserve"> использова</w:t>
      </w:r>
      <w:r w:rsidR="005A329A" w:rsidRPr="00107040">
        <w:rPr>
          <w:rFonts w:ascii="Times New Roman" w:eastAsia="MS Mincho" w:hAnsi="Times New Roman"/>
          <w:sz w:val="28"/>
          <w:szCs w:val="28"/>
          <w:lang w:val="ru-RU" w:eastAsia="ja-JP"/>
        </w:rPr>
        <w:t>ны</w:t>
      </w:r>
      <w:r w:rsidRPr="00107040">
        <w:rPr>
          <w:rFonts w:ascii="Times New Roman" w:eastAsia="MS Mincho" w:hAnsi="Times New Roman"/>
          <w:sz w:val="28"/>
          <w:szCs w:val="28"/>
          <w:lang w:val="ru-RU" w:eastAsia="ja-JP"/>
        </w:rPr>
        <w:t xml:space="preserve"> дуплексные ДНК олигонуклеотиды с </w:t>
      </w:r>
      <w:r w:rsidRPr="00107040">
        <w:rPr>
          <w:rFonts w:ascii="Times New Roman" w:eastAsia="MS Mincho" w:hAnsi="Times New Roman"/>
          <w:sz w:val="28"/>
          <w:szCs w:val="28"/>
          <w:lang w:val="kk-KZ" w:eastAsia="ja-JP"/>
        </w:rPr>
        <w:t>одноцепочечным разрывом</w:t>
      </w:r>
      <w:r w:rsidRPr="00107040">
        <w:rPr>
          <w:rFonts w:ascii="Times New Roman" w:eastAsia="MS Mincho" w:hAnsi="Times New Roman"/>
          <w:sz w:val="28"/>
          <w:szCs w:val="28"/>
          <w:lang w:val="ru-RU" w:eastAsia="ja-JP"/>
        </w:rPr>
        <w:t xml:space="preserve">, с брешью и дуплексы с выступающей цепью, а также олигонуклеотиды в одноцепочечной форме. Эти дуплексы ДНК в условиях </w:t>
      </w:r>
      <w:r w:rsidRPr="00107040">
        <w:rPr>
          <w:rFonts w:ascii="Times New Roman" w:eastAsia="MS Mincho" w:hAnsi="Times New Roman"/>
          <w:i/>
          <w:iCs/>
          <w:sz w:val="28"/>
          <w:szCs w:val="28"/>
          <w:lang w:val="en-US" w:eastAsia="ja-JP"/>
        </w:rPr>
        <w:t>in</w:t>
      </w:r>
      <w:r w:rsidRPr="00107040">
        <w:rPr>
          <w:rFonts w:ascii="Times New Roman" w:eastAsia="MS Mincho" w:hAnsi="Times New Roman"/>
          <w:i/>
          <w:iCs/>
          <w:sz w:val="28"/>
          <w:szCs w:val="28"/>
          <w:lang w:val="ru-RU" w:eastAsia="ja-JP"/>
        </w:rPr>
        <w:t xml:space="preserve"> </w:t>
      </w:r>
      <w:r w:rsidRPr="00107040">
        <w:rPr>
          <w:rFonts w:ascii="Times New Roman" w:eastAsia="MS Mincho" w:hAnsi="Times New Roman"/>
          <w:i/>
          <w:iCs/>
          <w:sz w:val="28"/>
          <w:szCs w:val="28"/>
          <w:lang w:val="en-US" w:eastAsia="ja-JP"/>
        </w:rPr>
        <w:t>vivo</w:t>
      </w:r>
      <w:r w:rsidRPr="00107040">
        <w:rPr>
          <w:rFonts w:ascii="Times New Roman" w:eastAsia="MS Mincho" w:hAnsi="Times New Roman"/>
          <w:i/>
          <w:iCs/>
          <w:sz w:val="28"/>
          <w:szCs w:val="28"/>
          <w:lang w:val="ru-RU" w:eastAsia="ja-JP"/>
        </w:rPr>
        <w:t xml:space="preserve"> </w:t>
      </w:r>
      <w:r w:rsidRPr="00107040">
        <w:rPr>
          <w:rFonts w:ascii="Times New Roman" w:eastAsia="MS Mincho" w:hAnsi="Times New Roman"/>
          <w:sz w:val="28"/>
          <w:szCs w:val="28"/>
          <w:lang w:val="ru-RU" w:eastAsia="ja-JP"/>
        </w:rPr>
        <w:t xml:space="preserve">могут образовываться либо в результате прямого действия активных форм кислорода </w:t>
      </w:r>
      <w:r w:rsidR="00A92BB0" w:rsidRPr="00107040">
        <w:rPr>
          <w:rFonts w:ascii="Times New Roman" w:eastAsia="MS Mincho" w:hAnsi="Times New Roman"/>
          <w:sz w:val="28"/>
          <w:szCs w:val="28"/>
          <w:lang w:val="ru-RU" w:eastAsia="ja-JP"/>
        </w:rPr>
        <w:fldChar w:fldCharType="begin"/>
      </w:r>
      <w:r w:rsidR="00107040">
        <w:rPr>
          <w:rFonts w:ascii="Times New Roman" w:eastAsia="MS Mincho" w:hAnsi="Times New Roman"/>
          <w:sz w:val="28"/>
          <w:szCs w:val="28"/>
          <w:lang w:val="ru-RU" w:eastAsia="ja-JP"/>
        </w:rPr>
        <w:instrText xml:space="preserve"> ADDIN ZOTERO_ITEM CSL_CITATION {"citationID":"N0STGLDt","properties":{"formattedCitation":"[397\\uc0\\u8211{}399]","plainCitation":"[397–399]","dontUpdate":true,"noteIndex":0},"citationItems":[{"id":1356,"uris":["http://zotero.org/users/9078202/items/SW7T33FJ"],"itemData":{"id":1356,"type":"article-journal","abstract":"Cancer initiation and progression has been linked to oxidative stress, a condition in which the balance between production and disposal of reactive oxygen or nitrogen species is altered. Oxidative stress has several protumorigenic effects, such as increasing DNA mutation rate or inducing DNA damage, genome instability and cell proliferation. Conversely, oxidative stress also exerts antitumorigenic actions, and it is has been linked to senescence and apoptosis, two major mechanisms that counteract tumor development. In this review, recent findings that relate oxidative stress to cancer-associated conditions, such as chronic inflammation, steroid hormone signaling and altered chromosome segregation, are highlighted, and how these studies may identify new targets for the development of drugs and strategies for cancer prevention and cure is discussed.","container-title":"Current Opinion in Drug Discovery &amp; Development","ISSN":"2040-3437","issue":"2","journalAbbreviation":"Curr Opin Drug Discov Devel","language":"eng","note":"PMID: 19333869","page":"240-245","source":"PubMed","title":"New insights on oxidative stress in cancer","volume":"12","author":[{"family":"Visconti","given":"Roberta"},{"family":"Grieco","given":"Domenico"}],"issued":{"date-parts":[["2009",3]]}}},{"id":1358,"uris":["http://zotero.org/users/9078202/items/F8CRNAPS"],"itemData":{"id":1358,"type":"article-journal","abstract":"Extensive research during the past 2 decades has revealed the mechanism by which continued oxidative stress can lead to chronic inflammation, which in turn could mediate most chronic diseases including cancer, diabetes, and cardiovascular, neurological, and pulmonary diseases. Oxidative stress can activate a variety of transcription factors including NF-κB, AP-1, p53, HIF-1α, PPAR-γ, β-catenin/Wnt, and Nrf2. Activation of these transcription factors can lead to the expression of over 500 different genes, including those for growth factors, inflammatory cytokines, chemokines, cell cycle regulatory molecules, and anti-inflammatory molecules. How oxidative stress activates inflammatory pathways leading to transformation of a normal cell to tumor cell, tumor cell survival, proliferation, chemoresistance, radioresistance, invasion, angiogenesis, and stem cell survival is the focus of this review. Overall, observations to date suggest that oxidative stress, chronic inflammation, and cancer are closely linked.","container-title":"Free Radical Biology &amp; Medicine","DOI":"10.1016/j.freeradbiomed.2010.09.006","ISSN":"1873-4596","issue":"11","journalAbbreviation":"Free Radic Biol Med","language":"eng","note":"PMID: 20840865\nPMCID: PMC2990475","page":"1603-1616","source":"PubMed","title":"Oxidative stress, inflammation, and cancer: how are they linked?","title-short":"Oxidative stress, inflammation, and cancer","volume":"49","author":[{"family":"Reuter","given":"Simone"},{"family":"Gupta","given":"Subash C."},{"family":"Chaturvedi","given":"Madan M."},{"family":"Aggarwal","given":"Bharat B."}],"issued":{"date-parts":[["2010",12,1]]}}},{"id":1361,"uris":["http://zotero.org/users/9078202/items/RYB4QVQZ"],"itemData":{"id":1361,"type":"article-journal","abstract":"Oxidative stress is a distinctive sign in several genetic disorders characterized by cancer predisposition, such as Ataxia-Telangiectasia, Fanconi Anemia, Down syndrome, progeroid syndromes, Beckwith-Wiedemann syndrome, and Costello syndrome. Recent literature unveiled new molecular mechanisms linking oxidative stress to the pathogenesis of these conditions, with particular regard to mitochondrial dysfunction. Since mitochondria are one of the major sites of ROS production as well as one of the major targets of their action, this dysfunction is thought to be the cause of the prooxidant status. Deeper insight of the pathogenesis of the syndromes raises the possibility to identify new possible therapeutic targets. In particular, the use of mitochondrial-targeted agents seems to be an appropriate clinical strategy in order to improve the quality of life and the life span of the patients.","container-title":"Oxidative Medicine and Cellular Longevity","DOI":"10.1155/2016/4782426","ISSN":"1942-0900","journalAbbreviation":"Oxid Med Cell Longev","note":"PMID: 27239251\nPMCID: PMC4863121","page":"4782426","source":"PubMed Central","title":"Oxidative Stress in Cancer-Prone Genetic Diseases in Pediatric Age: The Role of Mitochondrial Dysfunction","title-short":"Oxidative Stress in Cancer-Prone Genetic Diseases in Pediatric Age","URL":"https://www.ncbi.nlm.nih.gov/pmc/articles/PMC4863121/","volume":"2016","author":[{"family":"Perrone","given":"Serafina"},{"family":"Lotti","given":"Federica"},{"family":"Geronzi","given":"Ursula"},{"family":"Guidoni","given":"Elisa"},{"family":"Longini","given":"Mariangela"},{"family":"Buonocore","given":"Giuseppe"}],"accessed":{"date-parts":[["2022",5,23]]},"issued":{"date-parts":[["2016"]]}}}],"schema":"https://github.com/citation-style-language/schema/raw/master/csl-citation.json"} </w:instrText>
      </w:r>
      <w:r w:rsidR="00A92BB0" w:rsidRPr="00107040">
        <w:rPr>
          <w:rFonts w:ascii="Times New Roman" w:eastAsia="MS Mincho" w:hAnsi="Times New Roman"/>
          <w:sz w:val="28"/>
          <w:szCs w:val="28"/>
          <w:lang w:val="ru-RU" w:eastAsia="ja-JP"/>
        </w:rPr>
        <w:fldChar w:fldCharType="separate"/>
      </w:r>
      <w:r w:rsidR="00BB5A29" w:rsidRPr="00107040">
        <w:rPr>
          <w:rFonts w:ascii="Times New Roman" w:hAnsi="Times New Roman"/>
          <w:sz w:val="28"/>
          <w:szCs w:val="28"/>
        </w:rPr>
        <w:t>[397</w:t>
      </w:r>
      <w:r w:rsidR="005A329A" w:rsidRPr="00107040">
        <w:rPr>
          <w:rFonts w:ascii="Times New Roman" w:hAnsi="Times New Roman"/>
          <w:sz w:val="28"/>
          <w:szCs w:val="28"/>
          <w:lang w:val="ru-RU"/>
        </w:rPr>
        <w:t>-</w:t>
      </w:r>
      <w:r w:rsidR="00BB5A29" w:rsidRPr="00107040">
        <w:rPr>
          <w:rFonts w:ascii="Times New Roman" w:hAnsi="Times New Roman"/>
          <w:sz w:val="28"/>
          <w:szCs w:val="28"/>
        </w:rPr>
        <w:t>399]</w:t>
      </w:r>
      <w:r w:rsidR="00A92BB0"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либо во время репликации ДНК</w:t>
      </w:r>
      <w:r w:rsidR="00843412" w:rsidRPr="00107040">
        <w:rPr>
          <w:rFonts w:ascii="Times New Roman" w:hAnsi="Times New Roman"/>
          <w:sz w:val="28"/>
          <w:szCs w:val="28"/>
        </w:rPr>
        <w:t xml:space="preserve"> </w:t>
      </w:r>
      <w:r w:rsidR="00843412" w:rsidRPr="00107040">
        <w:rPr>
          <w:rFonts w:ascii="Times New Roman" w:hAnsi="Times New Roman"/>
          <w:sz w:val="28"/>
          <w:szCs w:val="28"/>
        </w:rPr>
        <w:fldChar w:fldCharType="begin"/>
      </w:r>
      <w:r w:rsidR="00107040">
        <w:rPr>
          <w:rFonts w:ascii="Times New Roman" w:hAnsi="Times New Roman"/>
          <w:sz w:val="28"/>
          <w:szCs w:val="28"/>
        </w:rPr>
        <w:instrText xml:space="preserve"> ADDIN ZOTERO_ITEM CSL_CITATION {"citationID":"gD4wJYJZ","properties":{"formattedCitation":"[45,106,400]","plainCitation":"[45,106,400]","dontUpdate":true,"noteIndex":0},"citationItems":[{"id":116,"uris":["http://zotero.org/users/9078202/items/5BKHAIDC"],"itemData":{"id":116,"type":"article-journal","abstract":"There is increasing evidence that most human cancers contain multiple mutations. By the time a tumor is clinically detectable it may have accumulated tens of thousands of mutations. In normal cells, mutations are rare events occurring at a rate of 10(-10) mutations per nucleotide per cell per generation. We have argued that the mutation rates exhibited by normal human cells are insufficient to account for the large number of mutations found in human cancers, and therefore, that an early event in tumorigenesis is the development of a mutator phenotype. In normal cells, spontaneous and induced DNA damage is balanced by multiple pathways for DNA repair, and most DNA damage is repaired without error. However, in tumor cells this balance may be shifted such that damage overwhelms the repair capacity, resulting in the accumulation of multiple mutations. Our hypothesis is that multiple random mutations occur during carcinogenesis. The sequential mutations that are observed in some human tumors result from selective events required for tumor progression. We consider the possibility that endogenous sources of DNA damage, in particular oxidative DNA damage, may contribute to genomic instability and to a mutator phenotype in some tumors. Endogenous and environmental sources of reactive oxygen species (ROS) are abundant. In tumor cells, antioxidant or DNA repair capacity may be insufficient to compensate for the production of ROS, and these endogenous ROS may be capable of damaging DNA and inducing mutations in critical DNA stability genes. The possibility that oxidative DNA damage could be a significant source of the genomic instability characteristic of human cancers is exciting, because it may be feasible to modulate the extent of oxidative damage through antioxidant therapy. The use of antioxidants to reduce the extent of molecular damage by ROS could delay the progression of cancer.","container-title":"Mutation Research","DOI":"10.1016/s0027-5107(01)00091-4","ISSN":"0027-5107","issue":"1-2","journalAbbreviation":"Mutat Res","language":"eng","note":"PMID: 11376682","page":"7-21","source":"PubMed","title":"The contribution of endogenous sources of DNA damage to the multiple mutations in cancer","volume":"477","author":[{"family":"Jackson","given":"A. L."},{"family":"Loeb","given":"L. A."}],"issued":{"date-parts":[["2001",6,2]]}}},{"id":41,"uris":["http://zotero.org/users/9078202/items/LM6AYTZ7"],"itemData":{"id":41,"type":"article-journal","abstract":"\"It has not escaped our notice that the specific pairing we have postulated immediately suggests a possible copying mechanism for the genetic material\" (Watson and Crick 1953). In the years since this remarkable understatement, we have come to realize the enormous complexity of the cellular machinery devoted to replicating DNA with the accuracy needed to maintain genetic information over many generations, balanced by the emergence of mutations on which selection can act. This complexity is partly based on the need to remove or tolerate cytotoxic and mutagenic lesions in DNA generated by environmental stress. Considered here is the fidelity with which undamaged and damaged DNA is replicated by the many DNA polymerases now known to exist. Some of these seriously violate Watson-Crick base-pairing rules such that, depending on the polymerase, the composition and location of the error, and the ability to correct errors (or not), DNA synthesis error rates can vary by more than a millionfold. This offers the potential to modulate rates of point mutations over a wide range, with consequences that can be either deleterious or beneficial.","container-title":"Cold Spring Harbor Symposia on Quantitative Biology","DOI":"10.1101/sqb.2009.74.027","ISSN":"1943-4456","journalAbbreviation":"Cold Spring Harb Symp Quant Biol","language":"eng","note":"PMID: 19903750\nPMCID: PMC3628614","page":"91-101","source":"PubMed","title":"Evolving views of DNA replication (in)fidelity","volume":"74","author":[{"family":"Kunkel","given":"T. A."}],"issued":{"date-parts":[["2009"]]}}},{"id":1364,"uris":["http://zotero.org/users/9078202/items/TZ9FF9HZ"],"itemData":{"id":1364,"type":"article-journal","abstract":"The human genome encodes at least 14 DNA-dependent DNA polymerases--a surprisingly large number. These include the more abundant, high-fidelity enzymes that replicate the bulk of genomic DNA, together with eight or more specialized DNA polymerases that have been discovered in the past decade. Although the roles of the newly recognized polymerases are still being defined, one of their crucial functions is to allow synthesis past DNA damage that blocks replication-fork progression. We explore the reasons that might justify the need for so many DNA polymerases, describe their function and mode of regulation, and finally consider links between mutations in DNA polymerases and human disease.","container-title":"Nature Reviews. Genetics","DOI":"10.1038/nrg2345","ISSN":"1471-0064","issue":"8","journalAbbreviation":"Nat Rev Genet","language":"eng","note":"PMID: 18626473","page":"594-604","source":"PubMed","title":"DNA polymerases and human disease","volume":"9","author":[{"family":"Loeb","given":"Lawrence A."},{"family":"Monnat","given":"Raymond J."}],"issued":{"date-parts":[["2008",8]]}}}],"schema":"https://github.com/citation-style-language/schema/raw/master/csl-citation.json"} </w:instrText>
      </w:r>
      <w:r w:rsidR="00843412" w:rsidRPr="00107040">
        <w:rPr>
          <w:rFonts w:ascii="Times New Roman" w:hAnsi="Times New Roman"/>
          <w:sz w:val="28"/>
          <w:szCs w:val="28"/>
        </w:rPr>
        <w:fldChar w:fldCharType="separate"/>
      </w:r>
      <w:r w:rsidR="00BB5A29" w:rsidRPr="00107040">
        <w:rPr>
          <w:rFonts w:ascii="Times New Roman" w:hAnsi="Times New Roman"/>
          <w:sz w:val="28"/>
          <w:szCs w:val="28"/>
        </w:rPr>
        <w:t>[45</w:t>
      </w:r>
      <w:r w:rsidR="005A329A" w:rsidRPr="00107040">
        <w:rPr>
          <w:rFonts w:ascii="Times New Roman" w:hAnsi="Times New Roman"/>
          <w:sz w:val="28"/>
          <w:szCs w:val="28"/>
          <w:lang w:val="ru-RU"/>
        </w:rPr>
        <w:t xml:space="preserve">; </w:t>
      </w:r>
      <w:r w:rsidR="00BB5A29" w:rsidRPr="00107040">
        <w:rPr>
          <w:rFonts w:ascii="Times New Roman" w:hAnsi="Times New Roman"/>
          <w:sz w:val="28"/>
          <w:szCs w:val="28"/>
        </w:rPr>
        <w:t>106</w:t>
      </w:r>
      <w:r w:rsidR="005A329A" w:rsidRPr="00107040">
        <w:rPr>
          <w:rFonts w:ascii="Times New Roman" w:hAnsi="Times New Roman"/>
          <w:sz w:val="28"/>
          <w:szCs w:val="28"/>
          <w:lang w:val="ru-RU"/>
        </w:rPr>
        <w:t xml:space="preserve">; </w:t>
      </w:r>
      <w:r w:rsidR="00BB5A29" w:rsidRPr="00107040">
        <w:rPr>
          <w:rFonts w:ascii="Times New Roman" w:hAnsi="Times New Roman"/>
          <w:sz w:val="28"/>
          <w:szCs w:val="28"/>
        </w:rPr>
        <w:t>400]</w:t>
      </w:r>
      <w:r w:rsidR="00843412" w:rsidRPr="00107040">
        <w:rPr>
          <w:rFonts w:ascii="Times New Roman" w:hAnsi="Times New Roman"/>
          <w:sz w:val="28"/>
          <w:szCs w:val="28"/>
        </w:rPr>
        <w:fldChar w:fldCharType="end"/>
      </w:r>
      <w:r w:rsidR="001F1A0D" w:rsidRPr="00107040">
        <w:rPr>
          <w:rFonts w:ascii="Times New Roman" w:hAnsi="Times New Roman"/>
          <w:sz w:val="28"/>
          <w:szCs w:val="28"/>
        </w:rPr>
        <w:t xml:space="preserve"> </w:t>
      </w:r>
      <w:r w:rsidRPr="00107040">
        <w:rPr>
          <w:rFonts w:ascii="Times New Roman" w:eastAsia="MS Mincho" w:hAnsi="Times New Roman"/>
          <w:sz w:val="28"/>
          <w:szCs w:val="28"/>
          <w:lang w:val="ru-RU" w:eastAsia="ja-JP"/>
        </w:rPr>
        <w:t xml:space="preserve">либо в результате различных путей эксцизионной репарации ДНК, когда они воздействуют на повреждение ДНК </w:t>
      </w:r>
      <w:r w:rsidR="00C9063C" w:rsidRPr="00107040">
        <w:rPr>
          <w:rFonts w:ascii="Times New Roman" w:eastAsia="MS Mincho" w:hAnsi="Times New Roman"/>
          <w:sz w:val="28"/>
          <w:szCs w:val="28"/>
          <w:lang w:val="ru-RU" w:eastAsia="ja-JP"/>
        </w:rPr>
        <w:fldChar w:fldCharType="begin"/>
      </w:r>
      <w:r w:rsidR="00107040">
        <w:rPr>
          <w:rFonts w:ascii="Times New Roman" w:eastAsia="MS Mincho" w:hAnsi="Times New Roman"/>
          <w:sz w:val="28"/>
          <w:szCs w:val="28"/>
          <w:lang w:val="ru-RU" w:eastAsia="ja-JP"/>
        </w:rPr>
        <w:instrText xml:space="preserve"> ADDIN ZOTERO_ITEM CSL_CITATION {"citationID":"gTSC6yfn","properties":{"formattedCitation":"[360,401]","plainCitation":"[360,401]","dontUpdate":true,"noteIndex":0},"citationItems":[{"id":236,"uris":["http://zotero.org/users/9078202/items/PSKNJBRA"],"itemData":{"id":236,"type":"article-journal","abstract":"Reversible post-translational modification by poly(ADP-ribose) (PAR) regulates chromatin structure, DNA repair and cell fate in response to genotoxic stress. PAR glycohydrolase (PARG) removes PAR chains from poly ADP-ribosylated proteins to restore protein function and release oligo(ADP-ribose) chains to signal damage. Here we report crystal structures of mammalian PARG and its complex with a substrate mimic that reveal an open substrate-binding site and a unique 'tyrosine clasp' enabling endoglycosidic cleavage of branched PAR chains.","container-title":"Nature Structural &amp; Molecular Biology","DOI":"10.1038/nsmb.2305","ISSN":"1545-9985","issue":"6","journalAbbreviation":"Nat Struct Mol Biol","language":"eng","note":"PMID: 22609859\nPMCID: PMC3381899","page":"653-656","source":"PubMed","title":"Structure of mammalian poly(ADP-ribose) glycohydrolase reveals a flexible tyrosine clasp as a substrate-binding element","volume":"19","author":[{"family":"Kim","given":"In-Kwon"},{"family":"Kiefer","given":"James R."},{"family":"Ho","given":"Chris M. W."},{"family":"Stegeman","given":"Roderick A."},{"family":"Classen","given":"Scott"},{"family":"Tainer","given":"John A."},{"family":"Ellenberger","given":"Tom"}],"issued":{"date-parts":[["2012",5,20]]}}},{"id":1366,"uris":["http://zotero.org/users/9078202/items/AYRRL7ZV"],"itemData":{"id":1366,"type":"article-journal","container-title":"Progress in Nucleic Acid Research and Molecular Biology","DOI":"10.1016/s0079-6603(08)60800-4","ISSN":"0079-6603","journalAbbreviation":"Prog Nucleic Acid Res Mol Biol","language":"eng","note":"PMID: 392601","page":"135-192","source":"PubMed","title":"DNA glycosylases, endonucleases for apurinic/apyrimidinic sites, and base excision-repair","volume":"22","author":[{"family":"Lindahl","given":"T."}],"issued":{"date-parts":[["1979"]]}}}],"schema":"https://github.com/citation-style-language/schema/raw/master/csl-citation.json"} </w:instrText>
      </w:r>
      <w:r w:rsidR="00C9063C" w:rsidRPr="00107040">
        <w:rPr>
          <w:rFonts w:ascii="Times New Roman" w:eastAsia="MS Mincho" w:hAnsi="Times New Roman"/>
          <w:sz w:val="28"/>
          <w:szCs w:val="28"/>
          <w:lang w:val="ru-RU" w:eastAsia="ja-JP"/>
        </w:rPr>
        <w:fldChar w:fldCharType="separate"/>
      </w:r>
      <w:r w:rsidR="00BB5A29" w:rsidRPr="00107040">
        <w:rPr>
          <w:rFonts w:ascii="Times New Roman" w:hAnsi="Times New Roman"/>
          <w:sz w:val="28"/>
          <w:szCs w:val="28"/>
        </w:rPr>
        <w:t>[360</w:t>
      </w:r>
      <w:r w:rsidR="005A329A" w:rsidRPr="00107040">
        <w:rPr>
          <w:rFonts w:ascii="Times New Roman" w:hAnsi="Times New Roman"/>
          <w:sz w:val="28"/>
          <w:szCs w:val="28"/>
          <w:lang w:val="ru-RU"/>
        </w:rPr>
        <w:t xml:space="preserve">; </w:t>
      </w:r>
      <w:r w:rsidR="00BB5A29" w:rsidRPr="00107040">
        <w:rPr>
          <w:rFonts w:ascii="Times New Roman" w:hAnsi="Times New Roman"/>
          <w:sz w:val="28"/>
          <w:szCs w:val="28"/>
        </w:rPr>
        <w:t>401]</w:t>
      </w:r>
      <w:r w:rsidR="00C9063C"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Например, дуплексы ДНК с </w:t>
      </w:r>
      <w:r w:rsidRPr="00107040">
        <w:rPr>
          <w:rFonts w:ascii="Times New Roman" w:eastAsia="MS Mincho" w:hAnsi="Times New Roman"/>
          <w:sz w:val="28"/>
          <w:szCs w:val="28"/>
          <w:lang w:val="ru-RU" w:eastAsia="ja-JP"/>
        </w:rPr>
        <w:lastRenderedPageBreak/>
        <w:t>одноцепочечными разрывами имитируют промежуточный продукт BER, NER и других путей эксцизионной репарации ДНК</w:t>
      </w:r>
      <w:r w:rsidR="00977A13" w:rsidRPr="00107040">
        <w:rPr>
          <w:rFonts w:ascii="Times New Roman" w:eastAsia="MS Mincho" w:hAnsi="Times New Roman"/>
          <w:sz w:val="28"/>
          <w:szCs w:val="28"/>
          <w:lang w:val="ru-RU" w:eastAsia="ja-JP"/>
        </w:rPr>
        <w:t xml:space="preserve"> </w:t>
      </w:r>
      <w:r w:rsidR="00977A13" w:rsidRPr="00107040">
        <w:rPr>
          <w:rFonts w:ascii="Times New Roman" w:eastAsia="MS Mincho" w:hAnsi="Times New Roman"/>
          <w:sz w:val="28"/>
          <w:szCs w:val="28"/>
          <w:lang w:val="en-US" w:eastAsia="ja-JP"/>
        </w:rPr>
        <w:fldChar w:fldCharType="begin"/>
      </w:r>
      <w:r w:rsidR="00107040">
        <w:rPr>
          <w:rFonts w:ascii="Times New Roman" w:eastAsia="MS Mincho" w:hAnsi="Times New Roman"/>
          <w:sz w:val="28"/>
          <w:szCs w:val="28"/>
          <w:lang w:val="ru-RU" w:eastAsia="ja-JP"/>
        </w:rPr>
        <w:instrText xml:space="preserve"> ADDIN ZOTERO_ITEM CSL_CITATION {"citationID":"IIZk81SL","properties":{"formattedCitation":"[360,401]","plainCitation":"[360,401]","dontUpdate":true,"noteIndex":0},"citationItems":[{"id":236,"uris":["http://zotero.org/users/9078202/items/PSKNJBRA"],"itemData":{"id":236,"type":"article-journal","abstract":"Reversible post-translational modification by poly(ADP-ribose) (PAR) regulates chromatin structure, DNA repair and cell fate in response to genotoxic stress. PAR glycohydrolase (PARG) removes PAR chains from poly ADP-ribosylated proteins to restore protein function and release oligo(ADP-ribose) chains to signal damage. Here we report crystal structures of mammalian PARG and its complex with a substrate mimic that reveal an open substrate-binding site and a unique 'tyrosine clasp' enabling endoglycosidic cleavage of branched PAR chains.","container-title":"Nature Structural &amp; Molecular Biology","DOI":"10.1038/nsmb.2305","ISSN":"1545-9985","issue":"6","journalAbbreviation":"Nat Struct Mol Biol","language":"eng","note":"PMID: 22609859\nPMCID: PMC3381899","page":"653-656","source":"PubMed","title":"Structure of mammalian poly(ADP-ribose) glycohydrolase reveals a flexible tyrosine clasp as a substrate-binding element","volume":"19","author":[{"family":"Kim","given":"In-Kwon"},{"family":"Kiefer","given":"James R."},{"family":"Ho","given":"Chris M. W."},{"family":"Stegeman","given":"Roderick A."},{"family":"Classen","given":"Scott"},{"family":"Tainer","given":"John A."},{"family":"Ellenberger","given":"Tom"}],"issued":{"date-parts":[["2012",5,20]]}}},{"id":1366,"uris":["http://zotero.org/users/9078202/items/AYRRL7ZV"],"itemData":{"id":1366,"type":"article-journal","container-title":"Progress in Nucleic Acid Research and Molecular Biology","DOI":"10.1016/s0079-6603(08)60800-4","ISSN":"0079-6603","journalAbbreviation":"Prog Nucleic Acid Res Mol Biol","language":"eng","note":"PMID: 392601","page":"135-192","source":"PubMed","title":"DNA glycosylases, endonucleases for apurinic/apyrimidinic sites, and base excision-repair","volume":"22","author":[{"family":"Lindahl","given":"T."}],"issued":{"date-parts":[["1979"]]}}}],"schema":"https://github.com/citation-style-language/schema/raw/master/csl-citation.json"} </w:instrText>
      </w:r>
      <w:r w:rsidR="00977A13" w:rsidRPr="00107040">
        <w:rPr>
          <w:rFonts w:ascii="Times New Roman" w:eastAsia="MS Mincho" w:hAnsi="Times New Roman"/>
          <w:sz w:val="28"/>
          <w:szCs w:val="28"/>
          <w:lang w:val="en-US" w:eastAsia="ja-JP"/>
        </w:rPr>
        <w:fldChar w:fldCharType="separate"/>
      </w:r>
      <w:r w:rsidR="00BB5A29" w:rsidRPr="00107040">
        <w:rPr>
          <w:rFonts w:ascii="Times New Roman" w:hAnsi="Times New Roman"/>
          <w:sz w:val="28"/>
          <w:szCs w:val="28"/>
        </w:rPr>
        <w:t>[360</w:t>
      </w:r>
      <w:r w:rsidR="005A329A" w:rsidRPr="00107040">
        <w:rPr>
          <w:rFonts w:ascii="Times New Roman" w:hAnsi="Times New Roman"/>
          <w:sz w:val="28"/>
          <w:szCs w:val="28"/>
          <w:lang w:val="ru-RU"/>
        </w:rPr>
        <w:t xml:space="preserve">; </w:t>
      </w:r>
      <w:r w:rsidR="00BB5A29" w:rsidRPr="00107040">
        <w:rPr>
          <w:rFonts w:ascii="Times New Roman" w:hAnsi="Times New Roman"/>
          <w:sz w:val="28"/>
          <w:szCs w:val="28"/>
        </w:rPr>
        <w:t>401]</w:t>
      </w:r>
      <w:r w:rsidR="00977A13" w:rsidRPr="00107040">
        <w:rPr>
          <w:rFonts w:ascii="Times New Roman" w:eastAsia="MS Mincho" w:hAnsi="Times New Roman"/>
          <w:sz w:val="28"/>
          <w:szCs w:val="28"/>
          <w:lang w:val="en-US" w:eastAsia="ja-JP"/>
        </w:rPr>
        <w:fldChar w:fldCharType="end"/>
      </w:r>
      <w:r w:rsidRPr="00107040">
        <w:rPr>
          <w:rFonts w:ascii="Times New Roman" w:eastAsia="MS Mincho" w:hAnsi="Times New Roman"/>
          <w:sz w:val="28"/>
          <w:szCs w:val="28"/>
          <w:lang w:val="ru-RU" w:eastAsia="ja-JP"/>
        </w:rPr>
        <w:t xml:space="preserve">. Концы разрыва цепи ДНК, содержащие 3' -фосфатные и 3' -блокирующие группы, могут представлять собой продукты действия бифункциональных ДНК-гликозилаз и Tdp1-подобных ферментов </w:t>
      </w:r>
      <w:r w:rsidR="00934A28"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{"citationID":"jjrW0lO7","properties":{"formattedCitation":"[453]","plainCitation":"[453]","noteIndex":0},"citationItems":[{"id":1370,"uris":["http://zotero.org/users/9078202/items/8MJNQ7HD"],"itemData":{"id":1370,"type":"book","abstract":"The system of base excision repair (BER) evolved to correct the most abundant DNA damages in mammalian cells is the most essential for maintaining the genome integrity. The multistep BER process involves several enzymes and protein factors functioning in a coordinated fashion that ensures the repair efficiency. The coordination is facilitated by the formation of protein complexes stabilized via either direct or indirect DNA-mediated interactions. This review focuses on direct interactions of proteins participating in BER with each other and with noncanonical factors found recently to modulate the efficiency of BER. All the known partners of main BER participants, the sites responsible for their interaction, and the characteristics of protein-protein affinity are summarized. Well-documented evidences of how DNA intermediates and posttranslational modifications of proteins modulate protein-protein interactions are presented. The available data allow to suggest that the multiprotein complexes are assembled with the involvement of a scaffold protein XRCC1 and poly(ADP-ribose) polymerase 1, a key regulator of the BER process, irrespective of the DNA damage; the composition and the structure of the complexes are dynamically changed depending on the DNA damage, its chromatin environment, and the step of BER process.","ISBN":"978-1-83880-783-2","language":"en","note":"container-title: DNA Repair- An Update\nDOI: 10.5772/intechopen.82642","publisher":"IntechOpen","source":"www.intechopen.com","title":"Coordination of DNA Base Excision Repair by Protein-Protein Interactions","URL":"https://www.intechopen.com/chapters/undefined/state.item.id","author":[{"family":"Moor","given":"Nina"},{"family":"Lavrik","given":"Olga"}],"accessed":{"date-parts":[["2022",5,23]]},"issued":{"date-parts":[["2018",12,17]]}}}],"schema":"https://github.com/citation-style-language/schema/raw/master/csl-citation.json"} </w:instrText>
      </w:r>
      <w:r w:rsidR="00934A28"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[453]</w:t>
      </w:r>
      <w:r w:rsidR="00934A28"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ДНК-дуплексы с выступающей цепью могут образовываться в результате коллапса репликационной вилки и/или резекции </w:t>
      </w:r>
      <w:r w:rsidR="00B37BD0" w:rsidRPr="00107040">
        <w:rPr>
          <w:rFonts w:ascii="Times New Roman" w:eastAsia="MS Mincho" w:hAnsi="Times New Roman"/>
          <w:sz w:val="28"/>
          <w:szCs w:val="28"/>
          <w:lang w:val="ru-RU" w:eastAsia="ja-JP"/>
        </w:rPr>
        <w:t xml:space="preserve">3'→5' </w:t>
      </w:r>
      <w:r w:rsidRPr="00107040">
        <w:rPr>
          <w:rFonts w:ascii="Times New Roman" w:eastAsia="MS Mincho" w:hAnsi="Times New Roman"/>
          <w:sz w:val="28"/>
          <w:szCs w:val="28"/>
          <w:lang w:val="ru-RU" w:eastAsia="ja-JP"/>
        </w:rPr>
        <w:t>разрывов цепей ДНК</w:t>
      </w:r>
      <w:r w:rsidR="00B37BD0" w:rsidRPr="00107040">
        <w:rPr>
          <w:rFonts w:ascii="Times New Roman" w:eastAsia="MS Mincho" w:hAnsi="Times New Roman"/>
          <w:sz w:val="28"/>
          <w:szCs w:val="28"/>
          <w:lang w:val="ru-RU" w:eastAsia="ja-JP"/>
        </w:rPr>
        <w:t xml:space="preserve"> </w:t>
      </w:r>
      <w:r w:rsidR="009B348A" w:rsidRPr="00107040">
        <w:rPr>
          <w:rFonts w:ascii="Times New Roman" w:eastAsia="MS Mincho" w:hAnsi="Times New Roman"/>
          <w:sz w:val="28"/>
          <w:szCs w:val="28"/>
          <w:lang w:val="ru-RU" w:eastAsia="ja-JP"/>
        </w:rPr>
        <w:fldChar w:fldCharType="begin"/>
      </w:r>
      <w:r w:rsidR="00107040">
        <w:rPr>
          <w:rFonts w:ascii="Times New Roman" w:eastAsia="MS Mincho" w:hAnsi="Times New Roman"/>
          <w:sz w:val="28"/>
          <w:szCs w:val="28"/>
          <w:lang w:val="ru-RU" w:eastAsia="ja-JP"/>
        </w:rPr>
        <w:instrText xml:space="preserve"> ADDIN ZOTERO_ITEM CSL_CITATION {"citationID":"CwI8desq","properties":{"formattedCitation":"[169,403,404]","plainCitation":"[169,403,404]","dontUpdate":true,"noteIndex":0},"citationItems":[{"id":386,"uris":["http://zotero.org/users/9078202/items/9SNU62WP"],"itemData":{"id":386,"type":"article-journal","abstract":"In this study, we investigate the interplay between Ku, a central non-homologous end-joining component, and the Mre11-Rad50-Xrs2 (MRX) complex and Sae2, end-processing factors crucial for initiating 5'-3' resection of double-strand break (DSB) ends. We show that in the absence of end protection by Ku, the requirement for the MRX complex is bypassed and resection is executed by Exo1. In contrast, both the Exo1 and Sgs1 resection pathways contribute to DSB processing in the absence of Ku and Sae2 or when the MRX complex is intact, but functionally compromised by elimination of the Mre11 nuclease activity. The ionizing radiation sensitivity of a mutant defective for extensive resection (exo1Δ sgs1Δ) cannot be suppressed by the yku70Δ mutation, indicating that Ku suppression is specific to the initiation of resection. We provide evidence that replication-associated DSBs need to be processed by Sae2 for repair by homologous recombination unless Ku is absent. Finally, we show that the presence of Ku exacerbates DNA end-processing defects established in the sae2Δ sgs1Δ mutant, leading to its lethality.","container-title":"The EMBO journal","DOI":"10.1038/emboj.2010.193","ISSN":"1460-2075","issue":"19","journalAbbreviation":"EMBO J","language":"eng","note":"PMID: 20729809\nPMCID: PMC2957202","page":"3358-3369","source":"PubMed","title":"Ku prevents Exo1 and Sgs1-dependent resection of DNA ends in the absence of a functional MRX complex or Sae2","volume":"29","author":[{"family":"Mimitou","given":"Eleni P."},{"family":"Symington","given":"Lorraine S."}],"issued":{"date-parts":[["2010",10,6]]}}},{"id":1373,"uris":["http://zotero.org/users/9078202/items/XPLM55TU"],"itemData":{"id":1373,"type":"article-journal","abstract":"Nucleases play important roles in DNA synthesis, recombination and repair. We have previously shown that human exonuclease 1 (hEXO1) is phosphorylated in response to agents stalling DNA replication and that hEXO1 consequently undergoes ubiquitination and degradation in a proteasome-dependent manner. In the present study, we have addressed the identity of the pathway transducing stalled-replication signals to hEXO1. Using chemical inhibitors, RNA interference, ATM- and ATR-deficient cell lines we have concluded that hEXO1 phosphorylation is ATR-dependent. By means of mass spectrometry, we have identified the sites of phosphorylation in hEXO1 in undamaged cells and in cells treated with hydroxyurea (HU). hEXO1 is phosphorylated at nine basal sites and three additional sites are induced by HU treatment. Analysis of single- and multiple-point mutants revealed that mutation to Ala of the three HU-induced sites of phosphorylation partially rescued HU-dependent degradation of hEXO1 and additionally stabilized the protein in non-treated cells. We have raised an antibody to pS714, an HU-induced site of the S/T-Q type, and we provide evidence that S714 is phosphorylated upon HU but not IR treatment. The antibody may be a useful tool to monitor signal transduction events triggered by stalled DNA replication.","container-title":"Nucleic Acids Research","DOI":"10.1093/nar/gkm1052","ISSN":"0305-1048","issue":"2","journalAbbreviation":"Nucleic Acids Res","note":"PMID: 18048416\nPMCID: PMC2241874","page":"511-519","source":"PubMed Central","title":"ATR-dependent pathways control hEXO1 stability in response to stalled forks","URL":"https://www.ncbi.nlm.nih.gov/pmc/articles/PMC2241874/","volume":"36","author":[{"family":"El-Shemerly","given":"Mahmoud"},{"family":"Hess","given":"Daniel"},{"family":"Pyakurel","given":"Aswin K."},{"family":"Moselhy","given":"Said"},{"family":"Ferrari","given":"Stefano"}],"accessed":{"date-parts":[["2022",5,23]]},"issued":{"date-parts":[["2008",2]]}}},{"id":1376,"uris":["http:/</w:instrText>
      </w:r>
      <w:r w:rsidR="00107040">
        <w:rPr>
          <w:rFonts w:ascii="Times New Roman" w:eastAsia="MS Mincho" w:hAnsi="Times New Roman" w:hint="eastAsia"/>
          <w:sz w:val="28"/>
          <w:szCs w:val="28"/>
          <w:lang w:val="ru-RU" w:eastAsia="ja-JP"/>
        </w:rPr>
        <w:instrText>/zotero.org/users/9078202/items/NU88SS2G"],"itemData":{"id":1376,"type":"article-journal","abstract":"DNA ends exposed after introduction of double-strand breaks (DSBs) undergo 5</w:instrText>
      </w:r>
      <w:r w:rsidR="00107040">
        <w:rPr>
          <w:rFonts w:ascii="Times New Roman" w:eastAsia="MS Mincho" w:hAnsi="Times New Roman" w:hint="eastAsia"/>
          <w:sz w:val="28"/>
          <w:szCs w:val="28"/>
          <w:lang w:val="ru-RU" w:eastAsia="ja-JP"/>
        </w:rPr>
        <w:instrText>′</w:instrText>
      </w:r>
      <w:r w:rsidR="00107040">
        <w:rPr>
          <w:rFonts w:ascii="Times New Roman" w:eastAsia="MS Mincho" w:hAnsi="Times New Roman" w:hint="eastAsia"/>
          <w:sz w:val="28"/>
          <w:szCs w:val="28"/>
          <w:lang w:val="ru-RU" w:eastAsia="ja-JP"/>
        </w:rPr>
        <w:instrText>-3</w:instrText>
      </w:r>
      <w:r w:rsidR="00107040">
        <w:rPr>
          <w:rFonts w:ascii="Times New Roman" w:eastAsia="MS Mincho" w:hAnsi="Times New Roman" w:hint="eastAsia"/>
          <w:sz w:val="28"/>
          <w:szCs w:val="28"/>
          <w:lang w:val="ru-RU" w:eastAsia="ja-JP"/>
        </w:rPr>
        <w:instrText>′</w:instrText>
      </w:r>
      <w:r w:rsidR="00107040">
        <w:rPr>
          <w:rFonts w:ascii="Times New Roman" w:eastAsia="MS Mincho" w:hAnsi="Times New Roman" w:hint="eastAsia"/>
          <w:sz w:val="28"/>
          <w:szCs w:val="28"/>
          <w:lang w:val="ru-RU" w:eastAsia="ja-JP"/>
        </w:rPr>
        <w:instrText xml:space="preserve"> nucleolytic degradation to generate single-stranded DNA (ssDNA), the sub</w:instrText>
      </w:r>
      <w:r w:rsidR="00107040">
        <w:rPr>
          <w:rFonts w:ascii="Times New Roman" w:eastAsia="MS Mincho" w:hAnsi="Times New Roman"/>
          <w:sz w:val="28"/>
          <w:szCs w:val="28"/>
          <w:lang w:val="ru-RU" w:eastAsia="ja-JP"/>
        </w:rPr>
        <w:instrText xml:space="preserve">strate for binding by the Rad51 protein to initiate homologous recombination. This process is poorly understood in eukaryotes, but several factors have been implicated, including the Mre11 complex (Mre11-Rad50-Xrs2/NBS1), Sae2/CtIP/Ctp1 and Exo1. Here we demonstrate that yeast Exo1 nuclease and Sgs1 helicase function in alternate pathways for DSB processing. Novel, partially resected intermediates accumulate in a double mutant lacking Exo1 and Sgs1 that are poor substrates for homologous recombination. The early processing step that generates partially resected intermediates is dependent on Sae2. When Sae2 is absent, in addition to Exo1 and Sgs1, unprocessed DSBs accumulate and homology-dependent repair fails. These results suggest a two-step mechanism for DSB processing during homologous recombination. First, the Mre11 complex and Sae2 remove a small oligonucleotide(s) from the DNA ends to form an early intermediate. Second, Exo1 and/or Sgs1 rapidly process this intermediate to generate extensive tracts of ssDNA that serve as substrate for Rad51.","container-title":"Nature","DOI":"10.1038/nature07312","ISSN":"0028-0836","issue":"7214","journalAbbreviation":"Nature","note":"PMID: 18806779\nPMCID: PMC3818707","page":"10.1038/nature07312","source":"PubMed Central","title":"Sae2, Exo1 and Sgs1 collaborate in DNA double-strand break processing","URL":"https://www.ncbi.nlm.nih.gov/pmc/articles/PMC3818707/","volume":"455","author":[{"family":"Mimitou","given":"Eleni P."},{"family":"Symington","given":"Lorraine S."}],"accessed":{"date-parts":[["2022",5,23]]},"issued":{"date-parts":[["2008",10,9]]}}}],"schema":"https://github.com/citation-style-language/schema/raw/master/csl-citation.json"} </w:instrText>
      </w:r>
      <w:r w:rsidR="009B348A" w:rsidRPr="00107040">
        <w:rPr>
          <w:rFonts w:ascii="Times New Roman" w:eastAsia="MS Mincho" w:hAnsi="Times New Roman"/>
          <w:sz w:val="28"/>
          <w:szCs w:val="28"/>
          <w:lang w:val="ru-RU" w:eastAsia="ja-JP"/>
        </w:rPr>
        <w:fldChar w:fldCharType="separate"/>
      </w:r>
      <w:r w:rsidR="00BB5A29" w:rsidRPr="00107040">
        <w:rPr>
          <w:rFonts w:ascii="Times New Roman" w:hAnsi="Times New Roman"/>
          <w:sz w:val="28"/>
          <w:szCs w:val="28"/>
        </w:rPr>
        <w:t>[169</w:t>
      </w:r>
      <w:r w:rsidR="005A329A" w:rsidRPr="00107040">
        <w:rPr>
          <w:rFonts w:ascii="Times New Roman" w:hAnsi="Times New Roman"/>
          <w:sz w:val="28"/>
          <w:szCs w:val="28"/>
          <w:lang w:val="ru-RU"/>
        </w:rPr>
        <w:t xml:space="preserve">; </w:t>
      </w:r>
      <w:r w:rsidR="00BB5A29" w:rsidRPr="00107040">
        <w:rPr>
          <w:rFonts w:ascii="Times New Roman" w:hAnsi="Times New Roman"/>
          <w:sz w:val="28"/>
          <w:szCs w:val="28"/>
        </w:rPr>
        <w:t>403</w:t>
      </w:r>
      <w:r w:rsidR="005A329A" w:rsidRPr="00107040">
        <w:rPr>
          <w:rFonts w:ascii="Times New Roman" w:hAnsi="Times New Roman"/>
          <w:sz w:val="28"/>
          <w:szCs w:val="28"/>
          <w:lang w:val="ru-RU"/>
        </w:rPr>
        <w:t xml:space="preserve">; </w:t>
      </w:r>
      <w:r w:rsidR="00BB5A29" w:rsidRPr="00107040">
        <w:rPr>
          <w:rFonts w:ascii="Times New Roman" w:hAnsi="Times New Roman"/>
          <w:sz w:val="28"/>
          <w:szCs w:val="28"/>
        </w:rPr>
        <w:t>404]</w:t>
      </w:r>
      <w:r w:rsidR="009B348A"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Все дуплексные ДНК, которые использовались в качестве субстратов в этой работе, содержали по крайней мере один конец с двуцепочечным разрывом, указывая на то, что PARP-катализируемое ПАРилирование может специфически происходить на сайтах хромосом с двуцепочечным разрывом. </w:t>
      </w:r>
    </w:p>
    <w:p w14:paraId="6900425C" w14:textId="2C303486"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Как правило, источником остатков АДФ-рибозы служит </w:t>
      </w:r>
      <w:r w:rsidRPr="00107040">
        <w:rPr>
          <w:rFonts w:ascii="Times New Roman" w:eastAsia="MS Mincho" w:hAnsi="Times New Roman"/>
          <w:sz w:val="28"/>
          <w:szCs w:val="28"/>
          <w:lang w:val="kk-KZ"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В этой реакции переноса N-гликозидная связь в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которая связывает АДФ-рибозу с никотинамидной группой, разрывается, после чего боковая группа модифицируемой аминокислоты осуществляет нуклеофильную атаку </w:t>
      </w:r>
      <w:r w:rsidR="00B37BD0"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{"citationID":"6wmkxskD","properties":{"formattedCitation":"[456]","plainCitation":"[456]","noteIndex":0},"citationItems":[{"id":1379,"uris":["http://zotero.org/users/9078202/items/HLCWN2KH"],"itemData":{"id":1379,"type":"article-journal","abstract":"Poly(ADP-ribosyl)ation (PARylation) is posttranslational modification of proteins by linear or branched chains of ADP-ribose units, originating from NAD+. The central enzyme for PAR production in cells and the main target of poly(ADP-ribosyl)ation during DNA damage is poly(ADP-ribose) polymerase 1 (PARP1). PARP1 ability to function as a catalytic and acceptor protein simultaneously made a considerable contribution to accumulation of contradictory data. This topic is directly related to other questions, such as the stoichiometry of PARP1 molecules in auto-modification reaction, direction of the chain growth during PAR elongation and functional coupling of PARP1 with PARylation targets. Besides DNA damage necessary for the folding of catalytically active PARP1, other mechanisms appear to be required for the relevant intensity and specificity of PARylation reaction. Indeed, in recent years, PARP research has been enriched by the discovery of novel PARP1 interaction partners modulating its enzymatic activity. Understanding the details of PARP1 catalytic mechanism and its regulation is especially important in light of PARP-targeted therapy and may significantly aid to PARP inhibitors drug design. In this review we summarize old and up-to-date literature to clarify several points concerning PARylation mechanism and discuss different ways for regulation of PAR synthesis by accessory proteins reported thus far.","container-title":"Nucleic Acids Research","DOI":"10.1093/nar/gkz120","ISSN":"0305-1048","issue":"8","journalAbbreviation":"Nucleic Acids Res","note":"PMID: 30799503\nPMCID: PMC6486540","page":"3811-3827","source":"PubMed Central","title":"Poly(ADP-ribosyl)ation by PARP1: reaction mechanism and regulatory proteins","title-short":"Poly(ADP-ribosyl)ation by PARP1","URL":"https://www.ncbi.nlm.nih.gov/pmc/articles/PMC6486540/","volume":"47","author":[{"family":"Alemasova","given":"Elizaveta E"},{"family":"Lavrik","given":"Olga I"}],"accessed":{"date-parts":[["2022",5,23]]},"issued":{"date-parts":[["2019",5,7]]}}}],"schema":"https://github.com/citation-style-language/schema/raw/master/csl-citation.json"} </w:instrText>
      </w:r>
      <w:r w:rsidR="00B37BD0"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[456]</w:t>
      </w:r>
      <w:r w:rsidR="00B37BD0"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При этом, для модификации одного акцептора требуется несколько молекул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В связи с этим, мы в последующих экспериментах изучали зависимость ферментативной активности АtPARP1 и 2 от концентрации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и фермента.</w:t>
      </w:r>
    </w:p>
    <w:p w14:paraId="4AFD4151" w14:textId="5D7E697B"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p>
    <w:p w14:paraId="55A17803" w14:textId="40DA5890" w:rsidR="00414AF3" w:rsidRPr="00107040" w:rsidRDefault="00414AF3"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noProof/>
          <w:sz w:val="28"/>
          <w:szCs w:val="28"/>
          <w:lang w:val="ru-RU" w:eastAsia="ru-RU"/>
        </w:rPr>
        <w:drawing>
          <wp:inline distT="0" distB="0" distL="0" distR="0" wp14:anchorId="2E85ED3F" wp14:editId="20A9B199">
            <wp:extent cx="4667250" cy="36302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7250" cy="3630295"/>
                    </a:xfrm>
                    <a:prstGeom prst="rect">
                      <a:avLst/>
                    </a:prstGeom>
                    <a:noFill/>
                    <a:ln>
                      <a:noFill/>
                    </a:ln>
                  </pic:spPr>
                </pic:pic>
              </a:graphicData>
            </a:graphic>
          </wp:inline>
        </w:drawing>
      </w:r>
    </w:p>
    <w:p w14:paraId="1384724B" w14:textId="77777777" w:rsidR="00414AF3" w:rsidRPr="00107040" w:rsidRDefault="00414AF3" w:rsidP="000C16BB">
      <w:pPr>
        <w:spacing w:after="0" w:line="240" w:lineRule="auto"/>
        <w:ind w:firstLine="567"/>
        <w:jc w:val="both"/>
        <w:rPr>
          <w:rFonts w:ascii="Times New Roman" w:eastAsia="MS Mincho" w:hAnsi="Times New Roman"/>
          <w:sz w:val="28"/>
          <w:szCs w:val="28"/>
          <w:lang w:val="ru-RU" w:eastAsia="ja-JP"/>
        </w:rPr>
      </w:pPr>
    </w:p>
    <w:p w14:paraId="70BFA74D" w14:textId="77777777" w:rsidR="00AA69DA" w:rsidRPr="00107040" w:rsidRDefault="00AA69DA" w:rsidP="000C16BB">
      <w:pPr>
        <w:spacing w:after="0" w:line="240" w:lineRule="auto"/>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Катализируемое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ПАРилирование ДНК в присутствии различных концентраций </w:t>
      </w:r>
      <w:r w:rsidRPr="00107040">
        <w:rPr>
          <w:rFonts w:ascii="Times New Roman" w:eastAsia="MS Mincho" w:hAnsi="Times New Roman"/>
          <w:sz w:val="28"/>
          <w:szCs w:val="28"/>
          <w:lang w:val="kk-KZ"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(от 1 мкМ до 1000 мкМ). </w:t>
      </w:r>
      <w:r w:rsidRPr="00107040">
        <w:rPr>
          <w:rFonts w:ascii="Times New Roman" w:eastAsia="MS Mincho" w:hAnsi="Times New Roman"/>
          <w:sz w:val="28"/>
          <w:szCs w:val="28"/>
          <w:lang w:val="en-US" w:eastAsia="ja-JP"/>
        </w:rPr>
        <w:t>B</w:t>
      </w:r>
      <w:r w:rsidRPr="00107040">
        <w:rPr>
          <w:rFonts w:ascii="Times New Roman" w:eastAsia="MS Mincho" w:hAnsi="Times New Roman"/>
          <w:sz w:val="28"/>
          <w:szCs w:val="28"/>
          <w:lang w:val="ru-RU" w:eastAsia="ja-JP"/>
        </w:rPr>
        <w:t xml:space="preserve">) Зависимость </w:t>
      </w:r>
      <w:r w:rsidRPr="00107040">
        <w:rPr>
          <w:rFonts w:ascii="Times New Roman" w:eastAsia="MS Mincho" w:hAnsi="Times New Roman"/>
          <w:sz w:val="28"/>
          <w:szCs w:val="28"/>
          <w:lang w:val="kk-KZ" w:eastAsia="ja-JP"/>
        </w:rPr>
        <w:t>ПАРилирования</w:t>
      </w:r>
      <w:r w:rsidRPr="00107040">
        <w:rPr>
          <w:rFonts w:ascii="Times New Roman" w:eastAsia="MS Mincho" w:hAnsi="Times New Roman"/>
          <w:sz w:val="28"/>
          <w:szCs w:val="28"/>
          <w:lang w:val="ru-RU" w:eastAsia="ja-JP"/>
        </w:rPr>
        <w:t xml:space="preserve"> ДНК от концентрации белков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 (0–250 нМ). </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 Зависимость от времени </w:t>
      </w:r>
      <w:r w:rsidRPr="00107040">
        <w:rPr>
          <w:rFonts w:ascii="Times New Roman" w:eastAsia="MS Mincho" w:hAnsi="Times New Roman"/>
          <w:sz w:val="28"/>
          <w:szCs w:val="28"/>
          <w:lang w:val="kk-KZ" w:eastAsia="ja-JP"/>
        </w:rPr>
        <w:t>ПАРилирования</w:t>
      </w:r>
      <w:r w:rsidRPr="00107040">
        <w:rPr>
          <w:rFonts w:ascii="Times New Roman" w:eastAsia="MS Mincho" w:hAnsi="Times New Roman"/>
          <w:sz w:val="28"/>
          <w:szCs w:val="28"/>
          <w:lang w:val="ru-RU" w:eastAsia="ja-JP"/>
        </w:rPr>
        <w:t xml:space="preserve"> ДНК с помощью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 (0-30 мин).</w:t>
      </w:r>
    </w:p>
    <w:p w14:paraId="03821DE0" w14:textId="77777777" w:rsidR="00AA69DA" w:rsidRPr="00107040" w:rsidRDefault="00AA69DA" w:rsidP="000C16BB">
      <w:pPr>
        <w:spacing w:after="0" w:line="240" w:lineRule="auto"/>
        <w:jc w:val="center"/>
        <w:rPr>
          <w:rFonts w:ascii="Times New Roman" w:eastAsia="MS Mincho" w:hAnsi="Times New Roman"/>
          <w:sz w:val="28"/>
          <w:szCs w:val="28"/>
          <w:lang w:val="ru-RU" w:eastAsia="ja-JP"/>
        </w:rPr>
      </w:pPr>
    </w:p>
    <w:p w14:paraId="31C0D93E" w14:textId="11D8E42B" w:rsidR="00AA69DA" w:rsidRPr="00107040" w:rsidRDefault="00AA69DA" w:rsidP="000C16BB">
      <w:pPr>
        <w:spacing w:after="0" w:line="240" w:lineRule="auto"/>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Рисунок 1</w:t>
      </w:r>
      <w:r w:rsidR="00AC7601">
        <w:rPr>
          <w:rFonts w:ascii="Times New Roman" w:eastAsia="MS Mincho" w:hAnsi="Times New Roman"/>
          <w:sz w:val="28"/>
          <w:szCs w:val="28"/>
          <w:lang w:val="ru-RU" w:eastAsia="ja-JP"/>
        </w:rPr>
        <w:t>5</w:t>
      </w:r>
      <w:r w:rsidRPr="00107040">
        <w:rPr>
          <w:rFonts w:ascii="Times New Roman" w:eastAsia="MS Mincho" w:hAnsi="Times New Roman"/>
          <w:sz w:val="28"/>
          <w:szCs w:val="28"/>
          <w:lang w:val="ru-RU" w:eastAsia="ja-JP"/>
        </w:rPr>
        <w:t xml:space="preserve"> – Зависимость</w:t>
      </w:r>
      <w:r w:rsidR="00875D69" w:rsidRPr="00107040">
        <w:rPr>
          <w:rFonts w:ascii="Times New Roman" w:eastAsia="MS Mincho" w:hAnsi="Times New Roman"/>
          <w:sz w:val="28"/>
          <w:szCs w:val="28"/>
          <w:lang w:val="ru-RU" w:eastAsia="ja-JP"/>
        </w:rPr>
        <w:t xml:space="preserve"> от условий реакции</w:t>
      </w:r>
      <w:r w:rsidRPr="00107040">
        <w:rPr>
          <w:rFonts w:ascii="Times New Roman" w:eastAsia="MS Mincho" w:hAnsi="Times New Roman"/>
          <w:sz w:val="28"/>
          <w:szCs w:val="28"/>
          <w:lang w:val="ru-RU" w:eastAsia="ja-JP"/>
        </w:rPr>
        <w:t xml:space="preserve"> образования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катализируемого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kk-KZ" w:eastAsia="ja-JP"/>
        </w:rPr>
        <w:t xml:space="preserve">1 </w:t>
      </w:r>
      <w:r w:rsidRPr="00107040">
        <w:rPr>
          <w:rFonts w:ascii="Times New Roman" w:eastAsia="MS Mincho" w:hAnsi="Times New Roman"/>
          <w:sz w:val="28"/>
          <w:szCs w:val="28"/>
          <w:lang w:val="ru-RU" w:eastAsia="ja-JP"/>
        </w:rPr>
        <w:t xml:space="preserve">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2</w:t>
      </w:r>
    </w:p>
    <w:p w14:paraId="43F9C2B5" w14:textId="1D96A734" w:rsidR="00713715" w:rsidRPr="00107040" w:rsidRDefault="00713715"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lastRenderedPageBreak/>
        <w:t xml:space="preserve">Для этого мы инкубировали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2 с их предпочтительными субстратами меченными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RexT</w:t>
      </w:r>
      <w:r w:rsidRPr="00107040">
        <w:rPr>
          <w:rFonts w:ascii="Times New Roman" w:eastAsia="MS Mincho" w:hAnsi="Times New Roman"/>
          <w:sz w:val="28"/>
          <w:szCs w:val="28"/>
          <w:vertAlign w:val="superscript"/>
          <w:lang w:val="en-US" w:eastAsia="ja-JP"/>
        </w:rPr>
        <w:t>rec</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RexT</w:t>
      </w:r>
      <w:r w:rsidRPr="00107040">
        <w:rPr>
          <w:rFonts w:ascii="Times New Roman" w:eastAsia="MS Mincho" w:hAnsi="Times New Roman"/>
          <w:sz w:val="28"/>
          <w:szCs w:val="28"/>
          <w:vertAlign w:val="superscript"/>
          <w:lang w:val="en-US" w:eastAsia="ja-JP"/>
        </w:rPr>
        <w:t>nick</w:t>
      </w:r>
      <w:r w:rsidRPr="00107040">
        <w:rPr>
          <w:rFonts w:ascii="Times New Roman" w:eastAsia="MS Mincho" w:hAnsi="Times New Roman"/>
          <w:sz w:val="28"/>
          <w:szCs w:val="28"/>
          <w:lang w:val="ru-RU" w:eastAsia="ja-JP"/>
        </w:rPr>
        <w:t>, соответственно, в присутствии разных концентрации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и фермента. Для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1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продукты не образовывались в отсутствие или при очень низких концентрациях </w:t>
      </w:r>
      <w:r w:rsidRPr="00107040">
        <w:rPr>
          <w:rFonts w:ascii="Times New Roman" w:eastAsia="MS Mincho" w:hAnsi="Times New Roman"/>
          <w:sz w:val="28"/>
          <w:szCs w:val="28"/>
          <w:lang w:val="kk-KZ"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(0-10 мкМ) и белка (5-50 нМ) (рисунок 1</w:t>
      </w:r>
      <w:r w:rsidR="00AC7601">
        <w:rPr>
          <w:rFonts w:ascii="Times New Roman" w:eastAsia="MS Mincho" w:hAnsi="Times New Roman"/>
          <w:sz w:val="28"/>
          <w:szCs w:val="28"/>
          <w:lang w:val="ru-RU" w:eastAsia="ja-JP"/>
        </w:rPr>
        <w:t>5</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B</w:t>
      </w:r>
      <w:r w:rsidRPr="00107040">
        <w:rPr>
          <w:rFonts w:ascii="Times New Roman" w:eastAsia="MS Mincho" w:hAnsi="Times New Roman"/>
          <w:sz w:val="28"/>
          <w:szCs w:val="28"/>
          <w:lang w:val="ru-RU" w:eastAsia="ja-JP"/>
        </w:rPr>
        <w:t>), но уровень модификации ДНК увеличивается при более высоких концентрациях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(от 25 мкМ до 1 мМ) и белка (100–250 нМ) (рисунок 1</w:t>
      </w:r>
      <w:r w:rsidR="00AC7601">
        <w:rPr>
          <w:rFonts w:ascii="Times New Roman" w:eastAsia="MS Mincho" w:hAnsi="Times New Roman"/>
          <w:sz w:val="28"/>
          <w:szCs w:val="28"/>
          <w:lang w:val="ru-RU" w:eastAsia="ja-JP"/>
        </w:rPr>
        <w:t>5</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B</w:t>
      </w:r>
      <w:r w:rsidRPr="00107040">
        <w:rPr>
          <w:rFonts w:ascii="Times New Roman" w:eastAsia="MS Mincho" w:hAnsi="Times New Roman"/>
          <w:sz w:val="28"/>
          <w:szCs w:val="28"/>
          <w:lang w:val="ru-RU" w:eastAsia="ja-JP"/>
        </w:rPr>
        <w:t xml:space="preserve">). Примечательно, что активность ПАРилирования ДНК под действием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1 быстро достигла уровня плато уже через 1 мин инкубации (рисунок 1</w:t>
      </w:r>
      <w:r w:rsidR="00AC7601">
        <w:rPr>
          <w:rFonts w:ascii="Times New Roman" w:eastAsia="MS Mincho" w:hAnsi="Times New Roman"/>
          <w:sz w:val="28"/>
          <w:szCs w:val="28"/>
          <w:lang w:val="ru-RU" w:eastAsia="ja-JP"/>
        </w:rPr>
        <w:t>5</w:t>
      </w:r>
      <w:r w:rsidRPr="00107040">
        <w:rPr>
          <w:rFonts w:ascii="Times New Roman" w:eastAsia="MS Mincho" w:hAnsi="Times New Roman"/>
          <w:sz w:val="28"/>
          <w:szCs w:val="28"/>
          <w:lang w:val="ru-RU" w:eastAsia="ja-JP"/>
        </w:rPr>
        <w:t xml:space="preserve">С). Аналогично для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ПАРилирование ДНК было очень низким или отсутствовало при низких концентрациях </w:t>
      </w:r>
      <w:r w:rsidRPr="00107040">
        <w:rPr>
          <w:rFonts w:ascii="Times New Roman" w:eastAsia="MS Mincho" w:hAnsi="Times New Roman"/>
          <w:sz w:val="28"/>
          <w:szCs w:val="28"/>
          <w:lang w:val="kk-KZ"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(0-25 мкМ) (рисунок 1</w:t>
      </w:r>
      <w:r w:rsidR="00AC7601">
        <w:rPr>
          <w:rFonts w:ascii="Times New Roman" w:eastAsia="MS Mincho" w:hAnsi="Times New Roman"/>
          <w:sz w:val="28"/>
          <w:szCs w:val="28"/>
          <w:lang w:val="ru-RU" w:eastAsia="ja-JP"/>
        </w:rPr>
        <w:t>5</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и белка (5-10 нМ) (рисунок 1</w:t>
      </w:r>
      <w:r w:rsidR="00371014">
        <w:rPr>
          <w:rFonts w:ascii="Times New Roman" w:eastAsia="MS Mincho" w:hAnsi="Times New Roman"/>
          <w:sz w:val="28"/>
          <w:szCs w:val="28"/>
          <w:lang w:val="ru-RU" w:eastAsia="ja-JP"/>
        </w:rPr>
        <w:t>5</w:t>
      </w:r>
      <w:r w:rsidRPr="00107040">
        <w:rPr>
          <w:rFonts w:ascii="Times New Roman" w:eastAsia="MS Mincho" w:hAnsi="Times New Roman"/>
          <w:sz w:val="28"/>
          <w:szCs w:val="28"/>
          <w:lang w:val="en-US" w:eastAsia="ja-JP"/>
        </w:rPr>
        <w:t>B</w:t>
      </w:r>
      <w:r w:rsidRPr="00107040">
        <w:rPr>
          <w:rFonts w:ascii="Times New Roman" w:eastAsia="MS Mincho" w:hAnsi="Times New Roman"/>
          <w:sz w:val="28"/>
          <w:szCs w:val="28"/>
          <w:lang w:val="ru-RU" w:eastAsia="ja-JP"/>
        </w:rPr>
        <w:t>), но активность возрастала при более высоких концентрациях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(от 0,1 до 1 мМ) и белка (25-250 нМ) (рисунок 1</w:t>
      </w:r>
      <w:r w:rsidR="00AC7601">
        <w:rPr>
          <w:rFonts w:ascii="Times New Roman" w:eastAsia="MS Mincho" w:hAnsi="Times New Roman"/>
          <w:sz w:val="28"/>
          <w:szCs w:val="28"/>
          <w:lang w:val="ru-RU" w:eastAsia="ja-JP"/>
        </w:rPr>
        <w:t>5</w:t>
      </w:r>
      <w:r w:rsidRPr="00107040">
        <w:rPr>
          <w:rFonts w:ascii="Times New Roman" w:eastAsia="MS Mincho" w:hAnsi="Times New Roman"/>
          <w:sz w:val="28"/>
          <w:szCs w:val="28"/>
          <w:lang w:val="ru-RU" w:eastAsia="ja-JP"/>
        </w:rPr>
        <w:t xml:space="preserve"> и рисунок 1</w:t>
      </w:r>
      <w:r w:rsidR="00AC7601">
        <w:rPr>
          <w:rFonts w:ascii="Times New Roman" w:eastAsia="MS Mincho" w:hAnsi="Times New Roman"/>
          <w:sz w:val="28"/>
          <w:szCs w:val="28"/>
          <w:lang w:val="ru-RU" w:eastAsia="ja-JP"/>
        </w:rPr>
        <w:t>6</w:t>
      </w:r>
      <w:r w:rsidRPr="00107040">
        <w:rPr>
          <w:rFonts w:ascii="Times New Roman" w:eastAsia="MS Mincho" w:hAnsi="Times New Roman"/>
          <w:sz w:val="28"/>
          <w:szCs w:val="28"/>
          <w:lang w:val="ru-RU" w:eastAsia="ja-JP"/>
        </w:rPr>
        <w:t xml:space="preserve">). Интересно отметить, что при концентрации белка ниже 250 нМ,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не мог генерировать продукты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 ПАР-ДНК, при этом наблюдалась на электрофореграмме только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продукты (рисунок 1</w:t>
      </w:r>
      <w:r w:rsidR="00AC7601">
        <w:rPr>
          <w:rFonts w:ascii="Times New Roman" w:eastAsia="MS Mincho" w:hAnsi="Times New Roman"/>
          <w:sz w:val="28"/>
          <w:szCs w:val="28"/>
          <w:lang w:val="ru-RU" w:eastAsia="ja-JP"/>
        </w:rPr>
        <w:t>6</w:t>
      </w:r>
      <w:r w:rsidRPr="00107040">
        <w:rPr>
          <w:rFonts w:ascii="Times New Roman" w:eastAsia="MS Mincho" w:hAnsi="Times New Roman"/>
          <w:sz w:val="28"/>
          <w:szCs w:val="28"/>
          <w:lang w:val="ru-RU" w:eastAsia="ja-JP"/>
        </w:rPr>
        <w:t xml:space="preserve">). Следует отметить, что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но не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1, генерировал продукты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-ДНК, которые мигрируют в виде лестницы отдельных фрагментов ДНК разного размера над свободным 21-мерным олигонуклеотидом, который становится слитым на расстоянии 1/3 от начала геля (рисунок 1</w:t>
      </w:r>
      <w:r w:rsidR="00371014">
        <w:rPr>
          <w:rFonts w:ascii="Times New Roman" w:eastAsia="MS Mincho" w:hAnsi="Times New Roman"/>
          <w:sz w:val="28"/>
          <w:szCs w:val="28"/>
          <w:lang w:val="ru-RU" w:eastAsia="ja-JP"/>
        </w:rPr>
        <w:t>6</w:t>
      </w:r>
      <w:r w:rsidRPr="00107040">
        <w:rPr>
          <w:rFonts w:ascii="Times New Roman" w:eastAsia="MS Mincho" w:hAnsi="Times New Roman"/>
          <w:sz w:val="28"/>
          <w:szCs w:val="28"/>
          <w:lang w:val="ru-RU" w:eastAsia="ja-JP"/>
        </w:rPr>
        <w:t xml:space="preserve">).  </w:t>
      </w:r>
    </w:p>
    <w:p w14:paraId="5FAF632F" w14:textId="7F2CA3A2" w:rsidR="00713715" w:rsidRPr="00107040" w:rsidRDefault="00713715"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Появление лестницы ДНК подразумевает дистрибутивный синтез полимера ПАР катализируемое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тогда как образование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-фрагментов ПАР-ДНК обоими ферментами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 указывает на высокую процессивность синтеза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полимера ферментами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 растений (Рисунок 1</w:t>
      </w:r>
      <w:r w:rsidR="00AC7601">
        <w:rPr>
          <w:rFonts w:ascii="Times New Roman" w:eastAsia="MS Mincho" w:hAnsi="Times New Roman"/>
          <w:sz w:val="28"/>
          <w:szCs w:val="28"/>
          <w:lang w:val="ru-RU" w:eastAsia="ja-JP"/>
        </w:rPr>
        <w:t>6</w:t>
      </w:r>
      <w:r w:rsidRPr="00107040">
        <w:rPr>
          <w:rFonts w:ascii="Times New Roman" w:eastAsia="MS Mincho" w:hAnsi="Times New Roman"/>
          <w:sz w:val="28"/>
          <w:szCs w:val="28"/>
          <w:lang w:val="ru-RU" w:eastAsia="ja-JP"/>
        </w:rPr>
        <w:t xml:space="preserve">). Эти данные, позволяют предположить, что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 растений, подобно своим аналогам у млекопитающих, могут синтезировать длинные полимеры ПАР, ковалентно связанные с ДНК.  </w:t>
      </w:r>
    </w:p>
    <w:p w14:paraId="47C12FAE" w14:textId="264123F4" w:rsidR="00AA69DA" w:rsidRPr="00107040" w:rsidRDefault="00AA69DA" w:rsidP="000C16BB">
      <w:pPr>
        <w:spacing w:after="0" w:line="240" w:lineRule="auto"/>
        <w:ind w:firstLine="567"/>
        <w:jc w:val="both"/>
        <w:rPr>
          <w:rFonts w:ascii="Times New Roman" w:eastAsia="MS Mincho" w:hAnsi="Times New Roman"/>
          <w:bCs/>
          <w:sz w:val="28"/>
          <w:szCs w:val="28"/>
          <w:lang w:val="ru-RU" w:eastAsia="ja-JP"/>
        </w:rPr>
      </w:pPr>
      <w:r w:rsidRPr="00107040">
        <w:rPr>
          <w:rFonts w:ascii="Times New Roman" w:eastAsia="MS Mincho" w:hAnsi="Times New Roman"/>
          <w:sz w:val="28"/>
          <w:szCs w:val="28"/>
          <w:lang w:val="ru-RU" w:eastAsia="ja-JP"/>
        </w:rPr>
        <w:t>Таким образом, н</w:t>
      </w:r>
      <w:r w:rsidRPr="00107040">
        <w:rPr>
          <w:rFonts w:ascii="Times New Roman" w:eastAsia="MS Mincho" w:hAnsi="Times New Roman"/>
          <w:bCs/>
          <w:sz w:val="28"/>
          <w:szCs w:val="28"/>
          <w:lang w:val="ru-RU" w:eastAsia="ja-JP"/>
        </w:rPr>
        <w:t xml:space="preserve">а основании </w:t>
      </w:r>
      <w:r w:rsidR="005A329A" w:rsidRPr="00107040">
        <w:rPr>
          <w:rFonts w:ascii="Times New Roman" w:eastAsia="MS Mincho" w:hAnsi="Times New Roman"/>
          <w:bCs/>
          <w:sz w:val="28"/>
          <w:szCs w:val="28"/>
          <w:lang w:val="ru-RU" w:eastAsia="ja-JP"/>
        </w:rPr>
        <w:t>проведенных</w:t>
      </w:r>
      <w:r w:rsidRPr="00107040">
        <w:rPr>
          <w:rFonts w:ascii="Times New Roman" w:eastAsia="MS Mincho" w:hAnsi="Times New Roman"/>
          <w:bCs/>
          <w:sz w:val="28"/>
          <w:szCs w:val="28"/>
          <w:lang w:val="ru-RU" w:eastAsia="ja-JP"/>
        </w:rPr>
        <w:t xml:space="preserve"> экспериментов </w:t>
      </w:r>
      <w:r w:rsidR="005A329A" w:rsidRPr="00107040">
        <w:rPr>
          <w:rFonts w:ascii="Times New Roman" w:eastAsia="MS Mincho" w:hAnsi="Times New Roman"/>
          <w:bCs/>
          <w:sz w:val="28"/>
          <w:szCs w:val="28"/>
          <w:lang w:val="ru-RU" w:eastAsia="ja-JP"/>
        </w:rPr>
        <w:t>были</w:t>
      </w:r>
      <w:r w:rsidRPr="00107040">
        <w:rPr>
          <w:rFonts w:ascii="Times New Roman" w:eastAsia="MS Mincho" w:hAnsi="Times New Roman"/>
          <w:bCs/>
          <w:sz w:val="28"/>
          <w:szCs w:val="28"/>
          <w:lang w:val="ru-RU" w:eastAsia="ja-JP"/>
        </w:rPr>
        <w:t xml:space="preserve"> выявлены оптимальные стандартные условия ферментативной реакции для atPARP1 и AtPARP2. Кроме этого выявлено, что </w:t>
      </w:r>
      <w:r w:rsidRPr="00107040">
        <w:rPr>
          <w:rFonts w:ascii="Times New Roman" w:eastAsia="MS Mincho" w:hAnsi="Times New Roman"/>
          <w:bCs/>
          <w:sz w:val="28"/>
          <w:szCs w:val="28"/>
          <w:lang w:val="en-US" w:eastAsia="ja-JP"/>
        </w:rPr>
        <w:t>A</w:t>
      </w:r>
      <w:r w:rsidRPr="00107040">
        <w:rPr>
          <w:rFonts w:ascii="Times New Roman" w:eastAsia="MS Mincho" w:hAnsi="Times New Roman"/>
          <w:bCs/>
          <w:sz w:val="28"/>
          <w:szCs w:val="28"/>
          <w:lang w:val="ru-RU" w:eastAsia="ja-JP"/>
        </w:rPr>
        <w:t xml:space="preserve">tPARP2 обладает высокой активностью АДФ-рибозилирования ДНК по сравнению с </w:t>
      </w:r>
      <w:r w:rsidRPr="00107040">
        <w:rPr>
          <w:rFonts w:ascii="Times New Roman" w:eastAsia="MS Mincho" w:hAnsi="Times New Roman"/>
          <w:bCs/>
          <w:sz w:val="28"/>
          <w:szCs w:val="28"/>
          <w:lang w:val="en-US" w:eastAsia="ja-JP"/>
        </w:rPr>
        <w:t>A</w:t>
      </w:r>
      <w:r w:rsidRPr="00107040">
        <w:rPr>
          <w:rFonts w:ascii="Times New Roman" w:eastAsia="MS Mincho" w:hAnsi="Times New Roman"/>
          <w:bCs/>
          <w:sz w:val="28"/>
          <w:szCs w:val="28"/>
          <w:lang w:val="ru-RU" w:eastAsia="ja-JP"/>
        </w:rPr>
        <w:t>tPARP1, но образу</w:t>
      </w:r>
      <w:r w:rsidR="005A329A" w:rsidRPr="00107040">
        <w:rPr>
          <w:rFonts w:ascii="Times New Roman" w:eastAsia="MS Mincho" w:hAnsi="Times New Roman"/>
          <w:bCs/>
          <w:sz w:val="28"/>
          <w:szCs w:val="28"/>
          <w:lang w:val="ru-RU" w:eastAsia="ja-JP"/>
        </w:rPr>
        <w:t>ющие</w:t>
      </w:r>
      <w:r w:rsidRPr="00107040">
        <w:rPr>
          <w:rFonts w:ascii="Times New Roman" w:eastAsia="MS Mincho" w:hAnsi="Times New Roman"/>
          <w:bCs/>
          <w:sz w:val="28"/>
          <w:szCs w:val="28"/>
          <w:lang w:val="ru-RU" w:eastAsia="ja-JP"/>
        </w:rPr>
        <w:t xml:space="preserve"> более короткие цепи</w:t>
      </w:r>
      <w:r w:rsidR="005A329A" w:rsidRPr="00107040">
        <w:rPr>
          <w:rFonts w:ascii="Times New Roman" w:eastAsia="MS Mincho" w:hAnsi="Times New Roman"/>
          <w:bCs/>
          <w:sz w:val="28"/>
          <w:szCs w:val="28"/>
          <w:lang w:val="ru-RU" w:eastAsia="ja-JP"/>
        </w:rPr>
        <w:t xml:space="preserve"> и</w:t>
      </w:r>
      <w:r w:rsidRPr="00107040">
        <w:rPr>
          <w:rFonts w:ascii="Times New Roman" w:eastAsia="MS Mincho" w:hAnsi="Times New Roman"/>
          <w:bCs/>
          <w:sz w:val="28"/>
          <w:szCs w:val="28"/>
          <w:lang w:val="ru-RU" w:eastAsia="ja-JP"/>
        </w:rPr>
        <w:t xml:space="preserve"> содержащие </w:t>
      </w:r>
      <w:r w:rsidRPr="00107040">
        <w:rPr>
          <w:rFonts w:ascii="Times New Roman" w:eastAsia="MS Mincho" w:hAnsi="Times New Roman"/>
          <w:sz w:val="28"/>
          <w:szCs w:val="28"/>
          <w:lang w:val="ru-RU" w:eastAsia="ja-JP"/>
        </w:rPr>
        <w:t>до 20 единиц АДФ-рибозы</w:t>
      </w:r>
      <w:r w:rsidRPr="00107040">
        <w:rPr>
          <w:rFonts w:ascii="Times New Roman" w:eastAsia="MS Mincho" w:hAnsi="Times New Roman"/>
          <w:bCs/>
          <w:sz w:val="28"/>
          <w:szCs w:val="28"/>
          <w:lang w:val="ru-RU" w:eastAsia="ja-JP"/>
        </w:rPr>
        <w:t>. Показано, что продукты АДФ-рибозилирования ДНК не образуются в отсутствие или при очень низких концентрациях НАД</w:t>
      </w:r>
      <w:r w:rsidRPr="00107040">
        <w:rPr>
          <w:rFonts w:ascii="Times New Roman" w:eastAsia="MS Mincho" w:hAnsi="Times New Roman"/>
          <w:bCs/>
          <w:sz w:val="28"/>
          <w:szCs w:val="28"/>
          <w:vertAlign w:val="superscript"/>
          <w:lang w:val="ru-RU" w:eastAsia="ja-JP"/>
        </w:rPr>
        <w:t>+</w:t>
      </w:r>
      <w:r w:rsidRPr="00107040">
        <w:rPr>
          <w:rFonts w:ascii="Times New Roman" w:eastAsia="MS Mincho" w:hAnsi="Times New Roman"/>
          <w:bCs/>
          <w:sz w:val="28"/>
          <w:szCs w:val="28"/>
          <w:lang w:val="ru-RU" w:eastAsia="ja-JP"/>
        </w:rPr>
        <w:t xml:space="preserve"> (0–10 нМ), но их образование увеличивается при более высоких концентрациях НАД</w:t>
      </w:r>
      <w:r w:rsidRPr="00107040">
        <w:rPr>
          <w:rFonts w:ascii="Times New Roman" w:eastAsia="MS Mincho" w:hAnsi="Times New Roman"/>
          <w:bCs/>
          <w:sz w:val="28"/>
          <w:szCs w:val="28"/>
          <w:vertAlign w:val="superscript"/>
          <w:lang w:val="ru-RU" w:eastAsia="ja-JP"/>
        </w:rPr>
        <w:t>+</w:t>
      </w:r>
      <w:r w:rsidRPr="00107040">
        <w:rPr>
          <w:rFonts w:ascii="Times New Roman" w:eastAsia="MS Mincho" w:hAnsi="Times New Roman"/>
          <w:bCs/>
          <w:sz w:val="28"/>
          <w:szCs w:val="28"/>
          <w:lang w:val="ru-RU" w:eastAsia="ja-JP"/>
        </w:rPr>
        <w:t xml:space="preserve"> (от 25 nМ до 1 мМ). </w:t>
      </w:r>
    </w:p>
    <w:p w14:paraId="594EF3C3" w14:textId="19B9F552" w:rsidR="00AA69DA" w:rsidRPr="00107040" w:rsidRDefault="00414AF3" w:rsidP="000C16BB">
      <w:pPr>
        <w:spacing w:after="0" w:line="240" w:lineRule="auto"/>
        <w:ind w:firstLine="567"/>
        <w:jc w:val="center"/>
        <w:rPr>
          <w:rFonts w:ascii="Times New Roman" w:eastAsia="MS Mincho" w:hAnsi="Times New Roman"/>
          <w:bCs/>
          <w:sz w:val="28"/>
          <w:szCs w:val="28"/>
          <w:lang w:val="ru-RU" w:eastAsia="ja-JP"/>
        </w:rPr>
      </w:pPr>
      <w:r w:rsidRPr="00107040">
        <w:rPr>
          <w:rFonts w:ascii="Times New Roman" w:eastAsia="MS Mincho" w:hAnsi="Times New Roman"/>
          <w:b/>
          <w:noProof/>
          <w:sz w:val="28"/>
          <w:szCs w:val="28"/>
          <w:lang w:val="ru-RU" w:eastAsia="ru-RU"/>
        </w:rPr>
        <w:lastRenderedPageBreak/>
        <w:drawing>
          <wp:inline distT="0" distB="0" distL="0" distR="0" wp14:anchorId="618E88D3" wp14:editId="03CB981A">
            <wp:extent cx="4094480" cy="5404485"/>
            <wp:effectExtent l="0" t="0" r="127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4480" cy="5404485"/>
                    </a:xfrm>
                    <a:prstGeom prst="rect">
                      <a:avLst/>
                    </a:prstGeom>
                    <a:noFill/>
                    <a:ln>
                      <a:noFill/>
                    </a:ln>
                  </pic:spPr>
                </pic:pic>
              </a:graphicData>
            </a:graphic>
          </wp:inline>
        </w:drawing>
      </w:r>
    </w:p>
    <w:p w14:paraId="0E0515A5" w14:textId="77777777" w:rsidR="00414AF3" w:rsidRPr="00107040" w:rsidRDefault="00414AF3" w:rsidP="000C16BB">
      <w:pPr>
        <w:spacing w:after="0" w:line="240" w:lineRule="auto"/>
        <w:ind w:firstLine="567"/>
        <w:jc w:val="center"/>
        <w:rPr>
          <w:rFonts w:ascii="Times New Roman" w:eastAsia="MS Mincho" w:hAnsi="Times New Roman"/>
          <w:bCs/>
          <w:sz w:val="28"/>
          <w:szCs w:val="28"/>
          <w:lang w:val="ru-RU" w:eastAsia="ja-JP"/>
        </w:rPr>
      </w:pPr>
    </w:p>
    <w:p w14:paraId="44EA599B" w14:textId="77777777" w:rsidR="00AA69DA" w:rsidRPr="00107040" w:rsidRDefault="00AA69DA" w:rsidP="000C16BB">
      <w:pPr>
        <w:spacing w:after="0" w:line="240" w:lineRule="auto"/>
        <w:jc w:val="center"/>
        <w:rPr>
          <w:rFonts w:ascii="Times New Roman" w:hAnsi="Times New Roman"/>
          <w:sz w:val="28"/>
          <w:szCs w:val="28"/>
          <w:lang w:val="ru-RU"/>
        </w:rPr>
      </w:pP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w:t>
      </w:r>
      <w:r w:rsidRPr="00107040">
        <w:rPr>
          <w:rFonts w:ascii="Times New Roman" w:hAnsi="Times New Roman"/>
          <w:sz w:val="28"/>
          <w:szCs w:val="28"/>
          <w:lang w:val="ru-RU"/>
        </w:rPr>
        <w:t xml:space="preserve"> </w:t>
      </w:r>
      <w:r w:rsidRPr="00107040">
        <w:rPr>
          <w:rFonts w:ascii="Times New Roman" w:hAnsi="Times New Roman"/>
          <w:sz w:val="28"/>
          <w:szCs w:val="28"/>
          <w:lang w:val="en-US"/>
        </w:rPr>
        <w:t>AtPARP</w:t>
      </w:r>
      <w:r w:rsidRPr="00107040">
        <w:rPr>
          <w:rFonts w:ascii="Times New Roman" w:hAnsi="Times New Roman"/>
          <w:sz w:val="28"/>
          <w:szCs w:val="28"/>
          <w:lang w:val="ru-RU"/>
        </w:rPr>
        <w:t>1 зависимое ПАР</w:t>
      </w:r>
      <w:r w:rsidRPr="00107040">
        <w:rPr>
          <w:rFonts w:ascii="Times New Roman" w:hAnsi="Times New Roman"/>
          <w:sz w:val="28"/>
          <w:szCs w:val="28"/>
          <w:lang w:val="kk-KZ"/>
        </w:rPr>
        <w:t>илирования</w:t>
      </w:r>
      <w:r w:rsidRPr="00107040">
        <w:rPr>
          <w:rFonts w:ascii="Times New Roman" w:hAnsi="Times New Roman"/>
          <w:sz w:val="28"/>
          <w:szCs w:val="28"/>
          <w:lang w:val="ru-RU"/>
        </w:rPr>
        <w:t xml:space="preserve"> ДНК в присутствии разных концентрации НАД</w:t>
      </w:r>
      <w:r w:rsidRPr="00107040">
        <w:rPr>
          <w:rFonts w:ascii="Times New Roman" w:hAnsi="Times New Roman"/>
          <w:sz w:val="28"/>
          <w:szCs w:val="28"/>
          <w:vertAlign w:val="superscript"/>
          <w:lang w:val="ru-RU"/>
        </w:rPr>
        <w:t>+</w:t>
      </w:r>
      <w:r w:rsidRPr="00107040">
        <w:rPr>
          <w:rFonts w:ascii="Times New Roman" w:hAnsi="Times New Roman"/>
          <w:sz w:val="28"/>
          <w:szCs w:val="28"/>
          <w:lang w:val="ru-RU"/>
        </w:rPr>
        <w:t>; В) ПАР</w:t>
      </w:r>
      <w:r w:rsidRPr="00107040">
        <w:rPr>
          <w:rFonts w:ascii="Times New Roman" w:hAnsi="Times New Roman"/>
          <w:sz w:val="28"/>
          <w:szCs w:val="28"/>
          <w:lang w:val="kk-KZ"/>
        </w:rPr>
        <w:t>илирования</w:t>
      </w:r>
      <w:r w:rsidRPr="00107040">
        <w:rPr>
          <w:rFonts w:ascii="Times New Roman" w:hAnsi="Times New Roman"/>
          <w:sz w:val="28"/>
          <w:szCs w:val="28"/>
          <w:lang w:val="ru-RU"/>
        </w:rPr>
        <w:t xml:space="preserve"> ДНК в зависимости от концентрации </w:t>
      </w:r>
      <w:r w:rsidRPr="00107040">
        <w:rPr>
          <w:rFonts w:ascii="Times New Roman" w:hAnsi="Times New Roman"/>
          <w:sz w:val="28"/>
          <w:szCs w:val="28"/>
          <w:lang w:val="en-US"/>
        </w:rPr>
        <w:t>AtPARP</w:t>
      </w:r>
      <w:r w:rsidRPr="00107040">
        <w:rPr>
          <w:rFonts w:ascii="Times New Roman" w:hAnsi="Times New Roman"/>
          <w:sz w:val="28"/>
          <w:szCs w:val="28"/>
          <w:lang w:val="ru-RU"/>
        </w:rPr>
        <w:t xml:space="preserve">1 и времени инкубации; </w:t>
      </w:r>
      <w:r w:rsidRPr="00107040">
        <w:rPr>
          <w:rFonts w:ascii="Times New Roman" w:hAnsi="Times New Roman"/>
          <w:sz w:val="28"/>
          <w:szCs w:val="28"/>
          <w:lang w:val="en-US"/>
        </w:rPr>
        <w:t>C</w:t>
      </w:r>
      <w:r w:rsidRPr="00107040">
        <w:rPr>
          <w:rFonts w:ascii="Times New Roman" w:hAnsi="Times New Roman"/>
          <w:sz w:val="28"/>
          <w:szCs w:val="28"/>
          <w:lang w:val="ru-RU"/>
        </w:rPr>
        <w:t xml:space="preserve">) ПАРилирования ДНК в зависимости от концентрации AtPARP2 и времени инкубации; </w:t>
      </w:r>
      <w:r w:rsidRPr="00107040">
        <w:rPr>
          <w:rFonts w:ascii="Times New Roman" w:hAnsi="Times New Roman"/>
          <w:sz w:val="28"/>
          <w:szCs w:val="28"/>
          <w:lang w:val="en-US"/>
        </w:rPr>
        <w:t>D</w:t>
      </w:r>
      <w:r w:rsidRPr="00107040">
        <w:rPr>
          <w:rFonts w:ascii="Times New Roman" w:hAnsi="Times New Roman"/>
          <w:sz w:val="28"/>
          <w:szCs w:val="28"/>
          <w:lang w:val="ru-RU"/>
        </w:rPr>
        <w:t xml:space="preserve">) </w:t>
      </w:r>
      <w:r w:rsidRPr="00107040">
        <w:rPr>
          <w:rFonts w:ascii="Times New Roman" w:hAnsi="Times New Roman"/>
          <w:sz w:val="28"/>
          <w:szCs w:val="28"/>
          <w:lang w:val="en-US"/>
        </w:rPr>
        <w:t>AtPARP</w:t>
      </w:r>
      <w:r w:rsidRPr="00107040">
        <w:rPr>
          <w:rFonts w:ascii="Times New Roman" w:hAnsi="Times New Roman"/>
          <w:sz w:val="28"/>
          <w:szCs w:val="28"/>
          <w:lang w:val="ru-RU"/>
        </w:rPr>
        <w:t>2 зависимое ПАРилирования ДНК в присутствии разных концентрации НАД</w:t>
      </w:r>
      <w:r w:rsidRPr="00107040">
        <w:rPr>
          <w:rFonts w:ascii="Times New Roman" w:hAnsi="Times New Roman"/>
          <w:sz w:val="28"/>
          <w:szCs w:val="28"/>
          <w:vertAlign w:val="superscript"/>
          <w:lang w:val="ru-RU"/>
        </w:rPr>
        <w:t>+</w:t>
      </w:r>
      <w:r w:rsidRPr="00107040">
        <w:rPr>
          <w:rFonts w:ascii="Times New Roman" w:hAnsi="Times New Roman"/>
          <w:sz w:val="28"/>
          <w:szCs w:val="28"/>
          <w:lang w:val="ru-RU"/>
        </w:rPr>
        <w:t>.</w:t>
      </w:r>
    </w:p>
    <w:p w14:paraId="6D7C5A02" w14:textId="77777777" w:rsidR="00AA69DA" w:rsidRPr="00107040" w:rsidRDefault="00AA69DA" w:rsidP="000C16BB">
      <w:pPr>
        <w:spacing w:after="0" w:line="240" w:lineRule="auto"/>
        <w:contextualSpacing/>
        <w:rPr>
          <w:rFonts w:ascii="Times New Roman" w:eastAsia="MS Mincho" w:hAnsi="Times New Roman"/>
          <w:sz w:val="28"/>
          <w:szCs w:val="28"/>
          <w:lang w:val="ru-RU" w:eastAsia="ja-JP"/>
        </w:rPr>
      </w:pPr>
    </w:p>
    <w:p w14:paraId="56960299" w14:textId="60F7A166" w:rsidR="00AA69DA" w:rsidRPr="00107040" w:rsidRDefault="00AA69DA" w:rsidP="000C16BB">
      <w:pPr>
        <w:spacing w:after="0" w:line="240" w:lineRule="auto"/>
        <w:contextualSpacing/>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Рисунок 1</w:t>
      </w:r>
      <w:r w:rsidR="002A568C">
        <w:rPr>
          <w:rFonts w:ascii="Times New Roman" w:eastAsia="MS Mincho" w:hAnsi="Times New Roman"/>
          <w:sz w:val="28"/>
          <w:szCs w:val="28"/>
          <w:lang w:val="ru-RU" w:eastAsia="ja-JP"/>
        </w:rPr>
        <w:t>6</w:t>
      </w:r>
      <w:r w:rsidRPr="00107040">
        <w:rPr>
          <w:rFonts w:ascii="Times New Roman" w:eastAsia="MS Mincho" w:hAnsi="Times New Roman"/>
          <w:sz w:val="28"/>
          <w:szCs w:val="28"/>
          <w:lang w:val="ru-RU" w:eastAsia="ja-JP"/>
        </w:rPr>
        <w:t xml:space="preserve"> – Катализируемое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2 ПАРилирование ДНК в зависимости от концентраций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белка и времени инкубации</w:t>
      </w:r>
    </w:p>
    <w:p w14:paraId="53EE9BCB" w14:textId="77777777" w:rsidR="00AA69DA" w:rsidRPr="00107040" w:rsidRDefault="00AA69DA" w:rsidP="000C16BB">
      <w:pPr>
        <w:spacing w:after="0" w:line="240" w:lineRule="auto"/>
        <w:jc w:val="both"/>
        <w:rPr>
          <w:rFonts w:ascii="Times New Roman" w:eastAsia="MS Mincho" w:hAnsi="Times New Roman"/>
          <w:bCs/>
          <w:sz w:val="28"/>
          <w:szCs w:val="28"/>
          <w:lang w:val="ru-RU" w:eastAsia="ja-JP"/>
        </w:rPr>
      </w:pPr>
    </w:p>
    <w:p w14:paraId="03DBB063" w14:textId="0C10D31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В следующих экспериментах мы более подробно оценили влияние различных структур ДНК (разрыв, брешь, дуплексы </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kk-KZ" w:eastAsia="ja-JP"/>
        </w:rPr>
        <w:t>выступами</w:t>
      </w:r>
      <w:r w:rsidRPr="00107040">
        <w:rPr>
          <w:rFonts w:ascii="Times New Roman" w:eastAsia="MS Mincho" w:hAnsi="Times New Roman"/>
          <w:sz w:val="28"/>
          <w:szCs w:val="28"/>
          <w:lang w:val="ru-RU" w:eastAsia="ja-JP"/>
        </w:rPr>
        <w:t xml:space="preserve"> и одноцепочечная (оцДНК) и природы концов ДНК на катализируемое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 образование ПАР-ДНК аддуктов. Для этого мы инкубировали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]-меченные олигонуклеотиды различной конфигурации и концевых структур в присутствии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 и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После инкубации продукты реакции анализировали с помощью ПААГ в денатурирующих условиях и количественно выражали образованные ПАР-ДНК аддукты (рисунок 1</w:t>
      </w:r>
      <w:r w:rsidR="002A568C">
        <w:rPr>
          <w:rFonts w:ascii="Times New Roman" w:eastAsia="MS Mincho" w:hAnsi="Times New Roman"/>
          <w:sz w:val="28"/>
          <w:szCs w:val="28"/>
          <w:lang w:val="ru-RU" w:eastAsia="ja-JP"/>
        </w:rPr>
        <w:t>7</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ru-RU" w:eastAsia="ja-JP"/>
        </w:rPr>
        <w:t xml:space="preserve">). Количественная оценка результатов, </w:t>
      </w:r>
      <w:r w:rsidRPr="00107040">
        <w:rPr>
          <w:rFonts w:ascii="Times New Roman" w:eastAsia="MS Mincho" w:hAnsi="Times New Roman"/>
          <w:sz w:val="28"/>
          <w:szCs w:val="28"/>
          <w:lang w:val="ru-RU" w:eastAsia="ja-JP"/>
        </w:rPr>
        <w:lastRenderedPageBreak/>
        <w:t>представленные на рисунке 1</w:t>
      </w:r>
      <w:r w:rsidR="00371014">
        <w:rPr>
          <w:rFonts w:ascii="Times New Roman" w:eastAsia="MS Mincho" w:hAnsi="Times New Roman"/>
          <w:sz w:val="28"/>
          <w:szCs w:val="28"/>
          <w:lang w:val="ru-RU" w:eastAsia="ja-JP"/>
        </w:rPr>
        <w:t>7</w:t>
      </w:r>
      <w:r w:rsidRPr="00107040">
        <w:rPr>
          <w:rFonts w:ascii="Times New Roman" w:eastAsia="MS Mincho" w:hAnsi="Times New Roman"/>
          <w:sz w:val="28"/>
          <w:szCs w:val="28"/>
          <w:lang w:val="en-GB" w:eastAsia="ja-JP"/>
        </w:rPr>
        <w:t>B</w:t>
      </w:r>
      <w:r w:rsidRPr="00107040">
        <w:rPr>
          <w:rFonts w:ascii="Times New Roman" w:eastAsia="MS Mincho" w:hAnsi="Times New Roman"/>
          <w:sz w:val="28"/>
          <w:szCs w:val="28"/>
          <w:lang w:val="ru-RU" w:eastAsia="ja-JP"/>
        </w:rPr>
        <w:t>, показала, что: (</w:t>
      </w:r>
      <w:r w:rsidRPr="00107040">
        <w:rPr>
          <w:rFonts w:ascii="Times New Roman" w:eastAsia="MS Mincho" w:hAnsi="Times New Roman"/>
          <w:sz w:val="28"/>
          <w:szCs w:val="28"/>
          <w:lang w:val="en-GB" w:eastAsia="ja-JP"/>
        </w:rPr>
        <w:t>i</w:t>
      </w:r>
      <w:r w:rsidRPr="00107040">
        <w:rPr>
          <w:rFonts w:ascii="Times New Roman" w:eastAsia="MS Mincho" w:hAnsi="Times New Roman"/>
          <w:sz w:val="28"/>
          <w:szCs w:val="28"/>
          <w:lang w:val="ru-RU" w:eastAsia="ja-JP"/>
        </w:rPr>
        <w:t xml:space="preserve">) в целом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2 более активен по сравнению с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1 на большинстве тестируемых субстратов ДНК; (</w:t>
      </w:r>
      <w:r w:rsidRPr="00107040">
        <w:rPr>
          <w:rFonts w:ascii="Times New Roman" w:eastAsia="MS Mincho" w:hAnsi="Times New Roman"/>
          <w:sz w:val="28"/>
          <w:szCs w:val="28"/>
          <w:lang w:val="en-GB" w:eastAsia="ja-JP"/>
        </w:rPr>
        <w:t>ii</w:t>
      </w:r>
      <w:r w:rsidRPr="00107040">
        <w:rPr>
          <w:rFonts w:ascii="Times New Roman" w:eastAsia="MS Mincho" w:hAnsi="Times New Roman"/>
          <w:sz w:val="28"/>
          <w:szCs w:val="28"/>
          <w:lang w:val="ru-RU" w:eastAsia="ja-JP"/>
        </w:rPr>
        <w:t xml:space="preserve">) тем не менее,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1 был более активен в отношении меченной 3'-кордицепином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дуплексной ДНК с выступающей цепью (3'</w:t>
      </w:r>
      <w:r w:rsidRPr="00107040">
        <w:rPr>
          <w:rFonts w:ascii="Times New Roman" w:eastAsia="MS Mincho" w:hAnsi="Times New Roman"/>
          <w:sz w:val="28"/>
          <w:szCs w:val="28"/>
          <w:lang w:val="en-GB" w:eastAsia="ja-JP"/>
        </w:rPr>
        <w:t>dAM</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vertAlign w:val="superscript"/>
          <w:lang w:val="en-GB" w:eastAsia="ja-JP"/>
        </w:rPr>
        <w:t>rec</w:t>
      </w:r>
      <w:r w:rsidRPr="00107040">
        <w:rPr>
          <w:rFonts w:ascii="Times New Roman" w:eastAsia="MS Mincho" w:hAnsi="Times New Roman"/>
          <w:sz w:val="28"/>
          <w:szCs w:val="28"/>
          <w:lang w:val="ru-RU" w:eastAsia="ja-JP"/>
        </w:rPr>
        <w:t xml:space="preserve">) по сравнению с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2; (</w:t>
      </w:r>
      <w:r w:rsidRPr="00107040">
        <w:rPr>
          <w:rFonts w:ascii="Times New Roman" w:eastAsia="MS Mincho" w:hAnsi="Times New Roman"/>
          <w:sz w:val="28"/>
          <w:szCs w:val="28"/>
          <w:lang w:val="en-GB" w:eastAsia="ja-JP"/>
        </w:rPr>
        <w:t>iii</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1 более активен на ДНК дуплексе с выступами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pExo</w:t>
      </w:r>
      <w:r w:rsidRPr="00107040">
        <w:rPr>
          <w:rFonts w:ascii="Times New Roman" w:eastAsia="MS Mincho" w:hAnsi="Times New Roman"/>
          <w:sz w:val="28"/>
          <w:szCs w:val="28"/>
          <w:lang w:val="ru-RU" w:eastAsia="ja-JP"/>
        </w:rPr>
        <w:t>15•</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lang w:val="ru-RU" w:eastAsia="ja-JP"/>
        </w:rPr>
        <w:t>-12</w:t>
      </w:r>
      <w:r w:rsidRPr="00107040">
        <w:rPr>
          <w:rFonts w:ascii="Times New Roman" w:eastAsia="MS Mincho" w:hAnsi="Times New Roman"/>
          <w:sz w:val="28"/>
          <w:szCs w:val="28"/>
          <w:vertAlign w:val="superscript"/>
          <w:lang w:val="en-GB" w:eastAsia="ja-JP"/>
        </w:rPr>
        <w:t>rec</w:t>
      </w:r>
      <w:r w:rsidRPr="00107040">
        <w:rPr>
          <w:rFonts w:ascii="Times New Roman" w:eastAsia="MS Mincho" w:hAnsi="Times New Roman"/>
          <w:sz w:val="28"/>
          <w:szCs w:val="28"/>
          <w:lang w:val="ru-RU" w:eastAsia="ja-JP"/>
        </w:rPr>
        <w:t xml:space="preserve">), который содержит 15-мерный фрагмент, по сравнению с дуплексом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vertAlign w:val="superscript"/>
          <w:lang w:val="en-GB" w:eastAsia="ja-JP"/>
        </w:rPr>
        <w:t>rec</w:t>
      </w:r>
      <w:r w:rsidRPr="00107040">
        <w:rPr>
          <w:rFonts w:ascii="Times New Roman" w:eastAsia="MS Mincho" w:hAnsi="Times New Roman"/>
          <w:sz w:val="28"/>
          <w:szCs w:val="28"/>
          <w:lang w:val="ru-RU" w:eastAsia="ja-JP"/>
        </w:rPr>
        <w:t xml:space="preserve"> с более длинной 21-мерной цепью; (</w:t>
      </w:r>
      <w:r w:rsidRPr="00107040">
        <w:rPr>
          <w:rFonts w:ascii="Times New Roman" w:eastAsia="MS Mincho" w:hAnsi="Times New Roman"/>
          <w:sz w:val="28"/>
          <w:szCs w:val="28"/>
          <w:lang w:val="en-GB" w:eastAsia="ja-JP"/>
        </w:rPr>
        <w:t>iv</w:t>
      </w:r>
      <w:r w:rsidRPr="00107040">
        <w:rPr>
          <w:rFonts w:ascii="Times New Roman" w:eastAsia="MS Mincho" w:hAnsi="Times New Roman"/>
          <w:sz w:val="28"/>
          <w:szCs w:val="28"/>
          <w:lang w:val="ru-RU" w:eastAsia="ja-JP"/>
        </w:rPr>
        <w:t xml:space="preserve">) субстратное предпочтение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2 было противоположным таковому у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1, поскольку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2 был активен на втором субстрате ДНК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vertAlign w:val="superscript"/>
          <w:lang w:val="en-GB" w:eastAsia="ja-JP"/>
        </w:rPr>
        <w:t>rec</w:t>
      </w:r>
      <w:r w:rsidRPr="00107040">
        <w:rPr>
          <w:rFonts w:ascii="Times New Roman" w:eastAsia="MS Mincho" w:hAnsi="Times New Roman"/>
          <w:sz w:val="28"/>
          <w:szCs w:val="28"/>
          <w:lang w:val="ru-RU" w:eastAsia="ja-JP"/>
        </w:rPr>
        <w:t>), но терял свою активность на первом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pExo</w:t>
      </w:r>
      <w:r w:rsidRPr="00107040">
        <w:rPr>
          <w:rFonts w:ascii="Times New Roman" w:eastAsia="MS Mincho" w:hAnsi="Times New Roman"/>
          <w:sz w:val="28"/>
          <w:szCs w:val="28"/>
          <w:lang w:val="ru-RU" w:eastAsia="ja-JP"/>
        </w:rPr>
        <w:t>15•</w:t>
      </w:r>
      <w:r w:rsidRPr="00107040">
        <w:rPr>
          <w:rFonts w:ascii="Times New Roman" w:eastAsia="MS Mincho" w:hAnsi="Times New Roman"/>
          <w:sz w:val="28"/>
          <w:szCs w:val="28"/>
          <w:lang w:val="en-GB" w:eastAsia="ja-JP"/>
        </w:rPr>
        <w:t>Rex</w:t>
      </w:r>
      <w:r w:rsidRPr="00107040">
        <w:rPr>
          <w:rFonts w:ascii="Times New Roman" w:eastAsia="MS Mincho" w:hAnsi="Times New Roman"/>
          <w:sz w:val="28"/>
          <w:szCs w:val="28"/>
          <w:lang w:val="ru-RU" w:eastAsia="ja-JP"/>
        </w:rPr>
        <w:t>12</w:t>
      </w:r>
      <w:r w:rsidRPr="00107040">
        <w:rPr>
          <w:rFonts w:ascii="Times New Roman" w:eastAsia="MS Mincho" w:hAnsi="Times New Roman"/>
          <w:sz w:val="28"/>
          <w:szCs w:val="28"/>
          <w:lang w:val="en-GB" w:eastAsia="ja-JP"/>
        </w:rPr>
        <w:t>T</w:t>
      </w:r>
      <w:r w:rsidRPr="00107040">
        <w:rPr>
          <w:rFonts w:ascii="Times New Roman" w:eastAsia="MS Mincho" w:hAnsi="Times New Roman"/>
          <w:sz w:val="28"/>
          <w:szCs w:val="28"/>
          <w:vertAlign w:val="superscript"/>
          <w:lang w:val="en-GB" w:eastAsia="ja-JP"/>
        </w:rPr>
        <w:t>rec</w:t>
      </w:r>
      <w:r w:rsidRPr="00107040">
        <w:rPr>
          <w:rFonts w:ascii="Times New Roman" w:eastAsia="MS Mincho" w:hAnsi="Times New Roman"/>
          <w:sz w:val="28"/>
          <w:szCs w:val="28"/>
          <w:lang w:val="ru-RU" w:eastAsia="ja-JP"/>
        </w:rPr>
        <w:t>); (</w:t>
      </w:r>
      <w:r w:rsidRPr="00107040">
        <w:rPr>
          <w:rFonts w:ascii="Times New Roman" w:eastAsia="MS Mincho" w:hAnsi="Times New Roman"/>
          <w:sz w:val="28"/>
          <w:szCs w:val="28"/>
          <w:lang w:val="en-GB" w:eastAsia="ja-JP"/>
        </w:rPr>
        <w:t>v</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1 был активен на одноцепочечном 40-мерном олигонуклеотиде </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lang w:val="ru-RU" w:eastAsia="ja-JP"/>
        </w:rPr>
        <w:t>-12, содержащем как 3'-</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так и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концевые остатки, но не на фрагменте ДНК, содержащем только один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концевой остаток. Тогда как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2 проявлял очень низкую активность или не проявлял активности на одноцепочечном ДНК субстратах. Интересно, что присутствие двух 5'-концевых фосфатов в дуплексах </w:t>
      </w:r>
      <w:r w:rsidRPr="00107040">
        <w:rPr>
          <w:rFonts w:ascii="Times New Roman" w:eastAsia="MS Mincho" w:hAnsi="Times New Roman"/>
          <w:sz w:val="28"/>
          <w:szCs w:val="28"/>
          <w:lang w:val="en-GB"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vertAlign w:val="superscript"/>
          <w:lang w:val="en-GB" w:eastAsia="ja-JP"/>
        </w:rPr>
        <w:t>nick</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vertAlign w:val="superscript"/>
          <w:lang w:val="en-GB" w:eastAsia="ja-JP"/>
        </w:rPr>
        <w:t>gap</w:t>
      </w:r>
      <w:r w:rsidRPr="00107040">
        <w:rPr>
          <w:rFonts w:ascii="Times New Roman" w:eastAsia="MS Mincho" w:hAnsi="Times New Roman"/>
          <w:sz w:val="28"/>
          <w:szCs w:val="28"/>
          <w:vertAlign w:val="superscript"/>
          <w:lang w:val="ru-RU" w:eastAsia="ja-JP"/>
        </w:rPr>
        <w:t xml:space="preserve"> </w:t>
      </w:r>
      <w:r w:rsidRPr="00107040">
        <w:rPr>
          <w:rFonts w:ascii="Times New Roman" w:eastAsia="MS Mincho" w:hAnsi="Times New Roman"/>
          <w:sz w:val="28"/>
          <w:szCs w:val="28"/>
          <w:lang w:val="ru-RU" w:eastAsia="ja-JP"/>
        </w:rPr>
        <w:t>было необходимо для эффективного ПАРилирования ДНК, тогда как присутствие 3'-концевого фосфата сильно ингибировало модификацию ДНК (рисунок 1</w:t>
      </w:r>
      <w:r w:rsidR="002A568C">
        <w:rPr>
          <w:rFonts w:ascii="Times New Roman" w:eastAsia="MS Mincho" w:hAnsi="Times New Roman"/>
          <w:sz w:val="28"/>
          <w:szCs w:val="28"/>
          <w:lang w:val="ru-RU" w:eastAsia="ja-JP"/>
        </w:rPr>
        <w:t>7</w:t>
      </w:r>
      <w:r w:rsidRPr="00107040">
        <w:rPr>
          <w:rFonts w:ascii="Times New Roman" w:eastAsia="MS Mincho" w:hAnsi="Times New Roman"/>
          <w:sz w:val="28"/>
          <w:szCs w:val="28"/>
          <w:lang w:val="ru-RU" w:eastAsia="ja-JP"/>
        </w:rPr>
        <w:t xml:space="preserve">). </w:t>
      </w:r>
    </w:p>
    <w:p w14:paraId="1E0A8030" w14:textId="3F024A38" w:rsidR="007D1CB7" w:rsidRPr="00107040" w:rsidRDefault="007D1CB7"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bCs/>
          <w:iCs/>
          <w:sz w:val="28"/>
          <w:szCs w:val="28"/>
          <w:lang w:val="ru-RU" w:eastAsia="ja-JP"/>
        </w:rPr>
        <w:t xml:space="preserve">Ранее было показано, что </w:t>
      </w:r>
      <w:r w:rsidRPr="00107040">
        <w:rPr>
          <w:rFonts w:ascii="Times New Roman" w:eastAsia="MS Mincho" w:hAnsi="Times New Roman"/>
          <w:bCs/>
          <w:iCs/>
          <w:sz w:val="28"/>
          <w:szCs w:val="28"/>
          <w:lang w:val="en-GB" w:eastAsia="ja-JP"/>
        </w:rPr>
        <w:t>PARP</w:t>
      </w:r>
      <w:r w:rsidRPr="00107040">
        <w:rPr>
          <w:rFonts w:ascii="Times New Roman" w:eastAsia="MS Mincho" w:hAnsi="Times New Roman"/>
          <w:bCs/>
          <w:iCs/>
          <w:sz w:val="28"/>
          <w:szCs w:val="28"/>
          <w:lang w:val="ru-RU" w:eastAsia="ja-JP"/>
        </w:rPr>
        <w:t xml:space="preserve"> млекопитающих могут </w:t>
      </w:r>
      <w:r w:rsidRPr="00107040">
        <w:rPr>
          <w:rFonts w:ascii="Times New Roman" w:eastAsia="MS Mincho" w:hAnsi="Times New Roman"/>
          <w:bCs/>
          <w:iCs/>
          <w:sz w:val="28"/>
          <w:szCs w:val="28"/>
          <w:lang w:val="en-GB" w:eastAsia="ja-JP"/>
        </w:rPr>
        <w:t>A</w:t>
      </w:r>
      <w:r w:rsidRPr="00107040">
        <w:rPr>
          <w:rFonts w:ascii="Times New Roman" w:eastAsia="MS Mincho" w:hAnsi="Times New Roman"/>
          <w:bCs/>
          <w:iCs/>
          <w:sz w:val="28"/>
          <w:szCs w:val="28"/>
          <w:lang w:val="kk-KZ" w:eastAsia="ja-JP"/>
        </w:rPr>
        <w:t>ДФ</w:t>
      </w:r>
      <w:r w:rsidRPr="00107040">
        <w:rPr>
          <w:rFonts w:ascii="Times New Roman" w:eastAsia="MS Mincho" w:hAnsi="Times New Roman"/>
          <w:bCs/>
          <w:iCs/>
          <w:sz w:val="28"/>
          <w:szCs w:val="28"/>
          <w:lang w:val="ru-RU" w:eastAsia="ja-JP"/>
        </w:rPr>
        <w:t>-рибозилировать длинные фрагменты плазмидной ДНК, содержащих одноцепочечные разрывы (</w:t>
      </w:r>
      <w:r w:rsidRPr="00107040">
        <w:rPr>
          <w:rFonts w:ascii="Times New Roman" w:eastAsia="MS Mincho" w:hAnsi="Times New Roman"/>
          <w:bCs/>
          <w:iCs/>
          <w:sz w:val="28"/>
          <w:szCs w:val="28"/>
          <w:lang w:val="en-GB" w:eastAsia="ja-JP"/>
        </w:rPr>
        <w:t>SSB</w:t>
      </w:r>
      <w:r w:rsidRPr="00107040">
        <w:rPr>
          <w:rFonts w:ascii="Times New Roman" w:eastAsia="MS Mincho" w:hAnsi="Times New Roman"/>
          <w:bCs/>
          <w:iCs/>
          <w:sz w:val="28"/>
          <w:szCs w:val="28"/>
          <w:lang w:val="ru-RU" w:eastAsia="ja-JP"/>
        </w:rPr>
        <w:t>), в непосредственной близости к концам двуцепочечных разрывов (</w:t>
      </w:r>
      <w:r w:rsidRPr="00107040">
        <w:rPr>
          <w:rFonts w:ascii="Times New Roman" w:eastAsia="MS Mincho" w:hAnsi="Times New Roman"/>
          <w:bCs/>
          <w:iCs/>
          <w:sz w:val="28"/>
          <w:szCs w:val="28"/>
          <w:lang w:val="en-GB" w:eastAsia="ja-JP"/>
        </w:rPr>
        <w:t>DSB</w:t>
      </w:r>
      <w:r w:rsidRPr="00107040">
        <w:rPr>
          <w:rFonts w:ascii="Times New Roman" w:eastAsia="MS Mincho" w:hAnsi="Times New Roman"/>
          <w:bCs/>
          <w:iCs/>
          <w:sz w:val="28"/>
          <w:szCs w:val="28"/>
          <w:lang w:val="ru-RU" w:eastAsia="ja-JP"/>
        </w:rPr>
        <w:t xml:space="preserve">) </w:t>
      </w:r>
      <w:r w:rsidRPr="00107040">
        <w:rPr>
          <w:rFonts w:ascii="Times New Roman" w:eastAsia="MS Mincho" w:hAnsi="Times New Roman"/>
          <w:bCs/>
          <w:iCs/>
          <w:sz w:val="28"/>
          <w:szCs w:val="28"/>
          <w:lang w:eastAsia="ja-JP"/>
        </w:rPr>
        <w:fldChar w:fldCharType="begin"/>
      </w:r>
      <w:r w:rsidR="00FB5E68">
        <w:rPr>
          <w:rFonts w:ascii="Times New Roman" w:eastAsia="MS Mincho" w:hAnsi="Times New Roman"/>
          <w:bCs/>
          <w:iCs/>
          <w:sz w:val="28"/>
          <w:szCs w:val="28"/>
          <w:lang w:val="ru-RU" w:eastAsia="ja-JP"/>
        </w:rPr>
        <w:instrText xml:space="preserve"> ADDIN ZOTERO_ITEM CSL_CITATION {"citationID":"uI4wIlEe","properties":{"formattedCitation":"[442]","plainCitation":"[442]","noteIndex":0},"citationItems":[{"id":1322,"uris":["http://zotero.org/users/9078202/items/IRJADZKH"],"itemData":{"id":1322,"type":"article-journal","abstract":"Poly(ADP-ribose) polymerases (PARPs) act as DNA break sensors and catalyze the synthesis of polymers of ADP-ribose (PAR) covalently attached to acceptor proteins at DNA damage sites. It has been demonstrated that both mammalian PARP1 and PARP2 PARylate double-strand break termini in DNA oligonucleotide duplexes in vitro. Here, we show that mammalian PARP2 and PARP3 can PARylate and mono(ADP-ribosyl)ate (MARylate), respectively, 5'- and 3'-terminal phosphate residues at double- and single-strand break termini of a DNA molecule containing multiple strand breaks. PARP3-catalyzed DNA MARylation can be considered a new type of reversible post-replicative DNA modification. According to DNA substrate specificity of PARP3 and PARP2, we propose a putative mechanistic model of PARP-catalyzed strand break-oriented ADP-ribosylation of DNA termini. Notably, PARP-mediated DNA ADP-ribosylation can be more effective than PARPs' auto-ADP-ribosylation depending on the DNA substrates and reaction conditions used. Finally, we show an effective PARP3- or PARP2-catalyzed ADP-ribosylation of high-molecular-weight (</w:instrText>
      </w:r>
      <w:r w:rsidR="00FB5E68">
        <w:rPr>
          <w:rFonts w:ascii="Cambria Math" w:eastAsia="MS Mincho" w:hAnsi="Cambria Math" w:cs="Cambria Math"/>
          <w:bCs/>
          <w:iCs/>
          <w:sz w:val="28"/>
          <w:szCs w:val="28"/>
          <w:lang w:val="ru-RU" w:eastAsia="ja-JP"/>
        </w:rPr>
        <w:instrText>∼</w:instrText>
      </w:r>
      <w:r w:rsidR="00FB5E68">
        <w:rPr>
          <w:rFonts w:ascii="Times New Roman" w:eastAsia="MS Mincho" w:hAnsi="Times New Roman"/>
          <w:bCs/>
          <w:iCs/>
          <w:sz w:val="28"/>
          <w:szCs w:val="28"/>
          <w:lang w:val="ru-RU" w:eastAsia="ja-JP"/>
        </w:rPr>
        <w:instrText xml:space="preserve">3-kb) DNA molecules, PARP-mediated DNA PARylation in cell-free extracts and a persisting signal of anti-PAR antibodies in a serially purified genomic DNA from bleomycin-treated poly(ADP-ribose) glycohydrolase-depleted HeLa cells. These results suggest that certain types of complex DNA breaks can be effectively ADP-ribosylated by PARPs in cellular response to DNA damage.","container-title":"Nucleic Acids Research","DOI":"10.1093/nar/gkx1318","ISSN":"1362-4962","issue":"5","journalAbbreviation":"Nucleic Acids Res","language":"eng","note":"PMID: 29361132\nPMCID: PMC5861426","page":"2417-2431","source":"PubMed","title":"Characterization of DNA ADP-ribosyltransferase activities of PARP2 and PARP3: new insights into DNA ADP-ribosylation","title-short":"Characterization of DNA ADP-ribosyltransferase activities of PARP2 and PARP3","volume":"46","author":[{"family":"Zarkovic","given":"Gabriella"},{"family":"Belousova","given":"Ekaterina A."},{"family":"Talhaoui","given":"Ibtissam"},{"family":"Saint-Pierre","given":"Christine"},{"family":"Kutuzov","given":"Mikhail M."},{"family":"Matkarimov","given":"Bakhyt T."},{"family":"Biard","given":"Denis"},{"family":"Gasparutto","given":"Didier"},{"family":"Lavrik","given":"Olga I."},{"family":"Ishchenko","given":"Alexander A."}],"issued":{"date-parts":[["2018",3,16]]}}}],"schema":"https://github.com/citation-style-language/schema/raw/master/csl-citation.json"} </w:instrText>
      </w:r>
      <w:r w:rsidRPr="00107040">
        <w:rPr>
          <w:rFonts w:ascii="Times New Roman" w:eastAsia="MS Mincho" w:hAnsi="Times New Roman"/>
          <w:bCs/>
          <w:iCs/>
          <w:sz w:val="28"/>
          <w:szCs w:val="28"/>
          <w:lang w:eastAsia="ja-JP"/>
        </w:rPr>
        <w:fldChar w:fldCharType="separate"/>
      </w:r>
      <w:r w:rsidR="00FB5E68" w:rsidRPr="00FB5E68">
        <w:rPr>
          <w:rFonts w:ascii="Times New Roman" w:hAnsi="Times New Roman"/>
          <w:sz w:val="28"/>
        </w:rPr>
        <w:t>[442]</w:t>
      </w:r>
      <w:r w:rsidRPr="00107040">
        <w:rPr>
          <w:rFonts w:ascii="Times New Roman" w:eastAsia="MS Mincho" w:hAnsi="Times New Roman"/>
          <w:bCs/>
          <w:iCs/>
          <w:sz w:val="28"/>
          <w:szCs w:val="28"/>
          <w:lang w:eastAsia="ja-JP"/>
        </w:rPr>
        <w:fldChar w:fldCharType="end"/>
      </w:r>
      <w:r w:rsidRPr="00107040">
        <w:rPr>
          <w:rFonts w:ascii="Times New Roman" w:eastAsia="MS Mincho" w:hAnsi="Times New Roman"/>
          <w:bCs/>
          <w:iCs/>
          <w:sz w:val="28"/>
          <w:szCs w:val="28"/>
          <w:lang w:val="ru-RU" w:eastAsia="ja-JP"/>
        </w:rPr>
        <w:t xml:space="preserve">. Чтобы проверить, может ли </w:t>
      </w:r>
      <w:r w:rsidRPr="00107040">
        <w:rPr>
          <w:rFonts w:ascii="Times New Roman" w:eastAsia="MS Mincho" w:hAnsi="Times New Roman"/>
          <w:bCs/>
          <w:iCs/>
          <w:sz w:val="28"/>
          <w:szCs w:val="28"/>
          <w:lang w:val="en-GB" w:eastAsia="ja-JP"/>
        </w:rPr>
        <w:t>AtPARP</w:t>
      </w:r>
      <w:r w:rsidRPr="00107040">
        <w:rPr>
          <w:rFonts w:ascii="Times New Roman" w:eastAsia="MS Mincho" w:hAnsi="Times New Roman"/>
          <w:bCs/>
          <w:iCs/>
          <w:sz w:val="28"/>
          <w:szCs w:val="28"/>
          <w:lang w:val="ru-RU" w:eastAsia="ja-JP"/>
        </w:rPr>
        <w:t>2 АДФ-рибозилировать высокомолекулярные фрагменты ДНК, мы сконструировали линейный фрагмент ДНК на основе плазмиды размером 2934 п.н., содержащий одноцепочечный разрыв на расстоянии 22 нуклеотидов от 5'- [</w:t>
      </w:r>
      <w:r w:rsidRPr="00107040">
        <w:rPr>
          <w:rFonts w:ascii="Times New Roman" w:eastAsia="MS Mincho" w:hAnsi="Times New Roman"/>
          <w:bCs/>
          <w:iCs/>
          <w:sz w:val="28"/>
          <w:szCs w:val="28"/>
          <w:vertAlign w:val="superscript"/>
          <w:lang w:val="ru-RU" w:eastAsia="ja-JP"/>
        </w:rPr>
        <w:t>32</w:t>
      </w:r>
      <w:r w:rsidRPr="00107040">
        <w:rPr>
          <w:rFonts w:ascii="Times New Roman" w:eastAsia="MS Mincho" w:hAnsi="Times New Roman"/>
          <w:bCs/>
          <w:iCs/>
          <w:sz w:val="28"/>
          <w:szCs w:val="28"/>
          <w:lang w:val="en-GB" w:eastAsia="ja-JP"/>
        </w:rPr>
        <w:t>P</w:t>
      </w:r>
      <w:r w:rsidRPr="00107040">
        <w:rPr>
          <w:rFonts w:ascii="Times New Roman" w:eastAsia="MS Mincho" w:hAnsi="Times New Roman"/>
          <w:bCs/>
          <w:iCs/>
          <w:sz w:val="28"/>
          <w:szCs w:val="28"/>
          <w:lang w:val="ru-RU" w:eastAsia="ja-JP"/>
        </w:rPr>
        <w:t xml:space="preserve">]-меченного </w:t>
      </w:r>
      <w:r w:rsidRPr="00107040">
        <w:rPr>
          <w:rFonts w:ascii="Times New Roman" w:eastAsia="MS Mincho" w:hAnsi="Times New Roman"/>
          <w:bCs/>
          <w:iCs/>
          <w:sz w:val="28"/>
          <w:szCs w:val="28"/>
          <w:lang w:val="en-GB" w:eastAsia="ja-JP"/>
        </w:rPr>
        <w:t>DSB</w:t>
      </w:r>
      <w:r w:rsidRPr="00107040">
        <w:rPr>
          <w:rFonts w:ascii="Times New Roman" w:eastAsia="MS Mincho" w:hAnsi="Times New Roman"/>
          <w:bCs/>
          <w:iCs/>
          <w:sz w:val="28"/>
          <w:szCs w:val="28"/>
          <w:lang w:val="ru-RU" w:eastAsia="ja-JP"/>
        </w:rPr>
        <w:t xml:space="preserve"> с тупым концом (рисунок 1</w:t>
      </w:r>
      <w:r w:rsidR="002A568C">
        <w:rPr>
          <w:rFonts w:ascii="Times New Roman" w:eastAsia="MS Mincho" w:hAnsi="Times New Roman"/>
          <w:bCs/>
          <w:iCs/>
          <w:sz w:val="28"/>
          <w:szCs w:val="28"/>
          <w:lang w:val="ru-RU" w:eastAsia="ja-JP"/>
        </w:rPr>
        <w:t>8</w:t>
      </w:r>
      <w:r w:rsidRPr="00107040">
        <w:rPr>
          <w:rFonts w:ascii="Times New Roman" w:eastAsia="MS Mincho" w:hAnsi="Times New Roman"/>
          <w:bCs/>
          <w:iCs/>
          <w:sz w:val="28"/>
          <w:szCs w:val="28"/>
          <w:lang w:val="ru-RU" w:eastAsia="ja-JP"/>
        </w:rPr>
        <w:t xml:space="preserve">). 40 нМ </w:t>
      </w:r>
      <w:r w:rsidRPr="00107040">
        <w:rPr>
          <w:rFonts w:ascii="Times New Roman" w:eastAsia="MS Mincho" w:hAnsi="Times New Roman"/>
          <w:bCs/>
          <w:iCs/>
          <w:sz w:val="28"/>
          <w:szCs w:val="28"/>
          <w:lang w:val="en-GB" w:eastAsia="ja-JP"/>
        </w:rPr>
        <w:t>AtPARP</w:t>
      </w:r>
      <w:r w:rsidRPr="00107040">
        <w:rPr>
          <w:rFonts w:ascii="Times New Roman" w:eastAsia="MS Mincho" w:hAnsi="Times New Roman"/>
          <w:bCs/>
          <w:iCs/>
          <w:sz w:val="28"/>
          <w:szCs w:val="28"/>
          <w:lang w:val="ru-RU" w:eastAsia="ja-JP"/>
        </w:rPr>
        <w:t xml:space="preserve">2 продемонстрировал устойчивое АДФ-рибозилирование 5'-фосфорилированного 22-мерного фрагмента, который расположен между разрывом и концом </w:t>
      </w:r>
      <w:r w:rsidRPr="00107040">
        <w:rPr>
          <w:rFonts w:ascii="Times New Roman" w:eastAsia="MS Mincho" w:hAnsi="Times New Roman"/>
          <w:bCs/>
          <w:iCs/>
          <w:sz w:val="28"/>
          <w:szCs w:val="28"/>
          <w:lang w:val="en-GB" w:eastAsia="ja-JP"/>
        </w:rPr>
        <w:t>DSB</w:t>
      </w:r>
      <w:r w:rsidRPr="00107040">
        <w:rPr>
          <w:rFonts w:ascii="Times New Roman" w:eastAsia="MS Mincho" w:hAnsi="Times New Roman"/>
          <w:bCs/>
          <w:iCs/>
          <w:sz w:val="28"/>
          <w:szCs w:val="28"/>
          <w:lang w:val="ru-RU" w:eastAsia="ja-JP"/>
        </w:rPr>
        <w:t xml:space="preserve"> (дорожка 6), что позволяет предположить, что активность АДФ-рибозилирования ДНК под действием </w:t>
      </w:r>
      <w:r w:rsidRPr="00107040">
        <w:rPr>
          <w:rFonts w:ascii="Times New Roman" w:eastAsia="MS Mincho" w:hAnsi="Times New Roman"/>
          <w:bCs/>
          <w:iCs/>
          <w:sz w:val="28"/>
          <w:szCs w:val="28"/>
          <w:lang w:val="en-GB" w:eastAsia="ja-JP"/>
        </w:rPr>
        <w:t>PARP</w:t>
      </w:r>
      <w:r w:rsidRPr="00107040">
        <w:rPr>
          <w:rFonts w:ascii="Times New Roman" w:eastAsia="MS Mincho" w:hAnsi="Times New Roman"/>
          <w:bCs/>
          <w:iCs/>
          <w:sz w:val="28"/>
          <w:szCs w:val="28"/>
          <w:lang w:val="ru-RU" w:eastAsia="ja-JP"/>
        </w:rPr>
        <w:t xml:space="preserve"> ферментов арабидопсиса не ограничивается короткими олигонуклеотидными дуплексами, но распространяется и на высокомолекулярные структуры ДНК. Следовательно, эти данные указывают на то, что PARP растений обладают широкой специфичностью к ДНК субстрату, подобно таковой у аналогов млекопитающих, хотя AtPARP2 обладает более эффективной активностью AДФ-рибозилирования ДНК по сравнению с AtPARP1. </w:t>
      </w:r>
    </w:p>
    <w:p w14:paraId="13E46A16" w14:textId="34F74B26" w:rsidR="00C90A32" w:rsidRPr="00107040" w:rsidRDefault="00414AF3" w:rsidP="000A479F">
      <w:pPr>
        <w:spacing w:after="0" w:line="240" w:lineRule="auto"/>
        <w:jc w:val="center"/>
        <w:rPr>
          <w:rFonts w:ascii="Times New Roman" w:eastAsia="MS Mincho" w:hAnsi="Times New Roman"/>
          <w:sz w:val="28"/>
          <w:szCs w:val="28"/>
          <w:lang w:val="ru-RU" w:eastAsia="ja-JP"/>
        </w:rPr>
      </w:pPr>
      <w:r w:rsidRPr="00107040">
        <w:rPr>
          <w:rFonts w:ascii="Times New Roman" w:hAnsi="Times New Roman"/>
          <w:noProof/>
          <w:sz w:val="28"/>
          <w:szCs w:val="28"/>
          <w:lang w:val="ru-RU" w:eastAsia="ru-RU"/>
        </w:rPr>
        <w:lastRenderedPageBreak/>
        <w:drawing>
          <wp:inline distT="0" distB="0" distL="0" distR="0" wp14:anchorId="15D7EC91" wp14:editId="3C70472F">
            <wp:extent cx="3098165" cy="5704840"/>
            <wp:effectExtent l="0" t="7937"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5400000">
                      <a:off x="0" y="0"/>
                      <a:ext cx="3098165" cy="5704840"/>
                    </a:xfrm>
                    <a:prstGeom prst="rect">
                      <a:avLst/>
                    </a:prstGeom>
                    <a:noFill/>
                    <a:ln>
                      <a:noFill/>
                    </a:ln>
                  </pic:spPr>
                </pic:pic>
              </a:graphicData>
            </a:graphic>
          </wp:inline>
        </w:drawing>
      </w:r>
    </w:p>
    <w:p w14:paraId="0E0AC3C1" w14:textId="77777777" w:rsidR="00414AF3" w:rsidRPr="00107040" w:rsidRDefault="00414AF3" w:rsidP="000C16BB">
      <w:pPr>
        <w:spacing w:after="0" w:line="240" w:lineRule="auto"/>
        <w:ind w:firstLine="567"/>
        <w:jc w:val="both"/>
        <w:rPr>
          <w:rFonts w:ascii="Times New Roman" w:eastAsia="MS Mincho" w:hAnsi="Times New Roman"/>
          <w:sz w:val="28"/>
          <w:szCs w:val="28"/>
          <w:lang w:val="ru-RU" w:eastAsia="ja-JP"/>
        </w:rPr>
      </w:pPr>
    </w:p>
    <w:p w14:paraId="3CC68DC2" w14:textId="77777777" w:rsidR="00AA69DA" w:rsidRPr="00107040" w:rsidRDefault="00AA69DA" w:rsidP="000C16BB">
      <w:pPr>
        <w:spacing w:after="0" w:line="240" w:lineRule="auto"/>
        <w:jc w:val="center"/>
        <w:rPr>
          <w:rFonts w:ascii="Times New Roman" w:hAnsi="Times New Roman"/>
          <w:sz w:val="28"/>
          <w:szCs w:val="28"/>
          <w:lang w:val="ru-RU"/>
        </w:rPr>
      </w:pPr>
      <w:r w:rsidRPr="00107040">
        <w:rPr>
          <w:rFonts w:ascii="Times New Roman" w:hAnsi="Times New Roman"/>
          <w:sz w:val="28"/>
          <w:szCs w:val="28"/>
          <w:lang w:val="en-US"/>
        </w:rPr>
        <w:t>A</w:t>
      </w:r>
      <w:r w:rsidRPr="00107040">
        <w:rPr>
          <w:rFonts w:ascii="Times New Roman" w:hAnsi="Times New Roman"/>
          <w:sz w:val="28"/>
          <w:szCs w:val="28"/>
          <w:lang w:val="ru-RU"/>
        </w:rPr>
        <w:t xml:space="preserve">) Денатурирующий гель, демонстрирующий влияние концевых фосфатных остатков ДНК на катализируемое </w:t>
      </w:r>
      <w:r w:rsidRPr="00107040">
        <w:rPr>
          <w:rFonts w:ascii="Times New Roman" w:hAnsi="Times New Roman"/>
          <w:sz w:val="28"/>
          <w:szCs w:val="28"/>
          <w:lang w:val="en-US"/>
        </w:rPr>
        <w:t>AtPARP</w:t>
      </w:r>
      <w:r w:rsidRPr="00107040">
        <w:rPr>
          <w:rFonts w:ascii="Times New Roman" w:hAnsi="Times New Roman"/>
          <w:sz w:val="28"/>
          <w:szCs w:val="28"/>
          <w:lang w:val="ru-RU"/>
        </w:rPr>
        <w:t xml:space="preserve">2 </w:t>
      </w:r>
      <w:r w:rsidRPr="00107040">
        <w:rPr>
          <w:rFonts w:ascii="Times New Roman" w:hAnsi="Times New Roman"/>
          <w:sz w:val="28"/>
          <w:szCs w:val="28"/>
          <w:lang w:val="kk-KZ"/>
        </w:rPr>
        <w:t>ПАР</w:t>
      </w:r>
      <w:r w:rsidRPr="00107040">
        <w:rPr>
          <w:rFonts w:ascii="Times New Roman" w:hAnsi="Times New Roman"/>
          <w:sz w:val="28"/>
          <w:szCs w:val="28"/>
          <w:lang w:val="ru-RU"/>
        </w:rPr>
        <w:t xml:space="preserve">илирование ДНК. </w:t>
      </w:r>
      <w:r w:rsidRPr="00107040">
        <w:rPr>
          <w:rFonts w:ascii="Times New Roman" w:hAnsi="Times New Roman"/>
          <w:sz w:val="28"/>
          <w:szCs w:val="28"/>
          <w:lang w:val="en-US"/>
        </w:rPr>
        <w:t>B</w:t>
      </w:r>
      <w:r w:rsidRPr="00107040">
        <w:rPr>
          <w:rFonts w:ascii="Times New Roman" w:hAnsi="Times New Roman"/>
          <w:sz w:val="28"/>
          <w:szCs w:val="28"/>
          <w:lang w:val="ru-RU"/>
        </w:rPr>
        <w:t xml:space="preserve">) Графическое представление эффектов различных структур ДНК на ПАРилирование ДНК, катализируемое </w:t>
      </w:r>
      <w:r w:rsidRPr="00107040">
        <w:rPr>
          <w:rFonts w:ascii="Times New Roman" w:hAnsi="Times New Roman"/>
          <w:sz w:val="28"/>
          <w:szCs w:val="28"/>
          <w:lang w:val="en-US"/>
        </w:rPr>
        <w:t>AtPARP</w:t>
      </w:r>
      <w:r w:rsidRPr="00107040">
        <w:rPr>
          <w:rFonts w:ascii="Times New Roman" w:hAnsi="Times New Roman"/>
          <w:sz w:val="28"/>
          <w:szCs w:val="28"/>
          <w:lang w:val="ru-RU"/>
        </w:rPr>
        <w:t xml:space="preserve">1 и </w:t>
      </w:r>
      <w:r w:rsidRPr="00107040">
        <w:rPr>
          <w:rFonts w:ascii="Times New Roman" w:hAnsi="Times New Roman"/>
          <w:sz w:val="28"/>
          <w:szCs w:val="28"/>
          <w:lang w:val="en-US"/>
        </w:rPr>
        <w:t>AtPARP</w:t>
      </w:r>
      <w:r w:rsidRPr="00107040">
        <w:rPr>
          <w:rFonts w:ascii="Times New Roman" w:hAnsi="Times New Roman"/>
          <w:sz w:val="28"/>
          <w:szCs w:val="28"/>
          <w:lang w:val="ru-RU"/>
        </w:rPr>
        <w:t xml:space="preserve">2. Данные по катализируемому </w:t>
      </w:r>
      <w:r w:rsidRPr="00107040">
        <w:rPr>
          <w:rFonts w:ascii="Times New Roman" w:hAnsi="Times New Roman"/>
          <w:sz w:val="28"/>
          <w:szCs w:val="28"/>
          <w:lang w:val="en-US"/>
        </w:rPr>
        <w:t>PARP</w:t>
      </w:r>
      <w:r w:rsidRPr="00107040">
        <w:rPr>
          <w:rFonts w:ascii="Times New Roman" w:hAnsi="Times New Roman"/>
          <w:sz w:val="28"/>
          <w:szCs w:val="28"/>
          <w:lang w:val="ru-RU"/>
        </w:rPr>
        <w:t xml:space="preserve"> образованию продуктов ПАР-ДНК представлены в виде среднего значения ± стандартное отклонение из трех независимых экспериментов.</w:t>
      </w:r>
    </w:p>
    <w:p w14:paraId="2839150F" w14:textId="77777777" w:rsidR="00AA69DA" w:rsidRPr="00107040" w:rsidRDefault="00AA69DA" w:rsidP="000C16BB">
      <w:pPr>
        <w:spacing w:after="0" w:line="240" w:lineRule="auto"/>
        <w:contextualSpacing/>
        <w:rPr>
          <w:rFonts w:ascii="Times New Roman" w:eastAsia="MS Mincho" w:hAnsi="Times New Roman"/>
          <w:sz w:val="28"/>
          <w:szCs w:val="28"/>
          <w:lang w:val="ru-RU" w:eastAsia="ja-JP"/>
        </w:rPr>
      </w:pPr>
    </w:p>
    <w:p w14:paraId="30E9A22A" w14:textId="78DAB7D4" w:rsidR="00E5781C" w:rsidRPr="00107040" w:rsidRDefault="00AA69DA" w:rsidP="000C16BB">
      <w:pPr>
        <w:spacing w:after="0" w:line="240" w:lineRule="auto"/>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Рисунок 1</w:t>
      </w:r>
      <w:r w:rsidR="002A568C">
        <w:rPr>
          <w:rFonts w:ascii="Times New Roman" w:eastAsia="MS Mincho" w:hAnsi="Times New Roman"/>
          <w:sz w:val="28"/>
          <w:szCs w:val="28"/>
          <w:lang w:val="ru-RU" w:eastAsia="ja-JP"/>
        </w:rPr>
        <w:t>7</w:t>
      </w:r>
      <w:r w:rsidRPr="00107040">
        <w:rPr>
          <w:rFonts w:ascii="Times New Roman" w:eastAsia="MS Mincho" w:hAnsi="Times New Roman"/>
          <w:sz w:val="28"/>
          <w:szCs w:val="28"/>
          <w:lang w:val="ru-RU" w:eastAsia="ja-JP"/>
        </w:rPr>
        <w:t xml:space="preserve"> – Влияние структуры ДНК и природы концов на катализируемое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2 образование аддуктов ПАР-ДНК</w:t>
      </w:r>
    </w:p>
    <w:p w14:paraId="0DFEE433" w14:textId="77777777" w:rsidR="00AA69DA" w:rsidRPr="00107040" w:rsidRDefault="00AA69DA" w:rsidP="000C16BB">
      <w:pPr>
        <w:spacing w:after="0" w:line="240" w:lineRule="auto"/>
        <w:jc w:val="both"/>
        <w:rPr>
          <w:rFonts w:ascii="Times New Roman" w:eastAsia="MS Mincho" w:hAnsi="Times New Roman"/>
          <w:bCs/>
          <w:iCs/>
          <w:sz w:val="28"/>
          <w:szCs w:val="28"/>
          <w:lang w:val="ru-RU" w:eastAsia="ja-JP"/>
        </w:rPr>
      </w:pPr>
    </w:p>
    <w:p w14:paraId="06854230"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Необходимо отметить, что, в отличие от ферментов млекопитающих,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проявлял более высокую активность ПАРилирования ДНК, чем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1, на большинстве протестированных субстратах ДНК. Тем не менее,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1, но не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был способен ПАРилировать ДНК дуплексы с одноцепочечными выступающими концами, содержащий короткий 15-мерный олигонуклеотид, с 5'-концевым фосфатом, что позволяет предположить, что эти растительные ферменты обладают неперекрывающейся специфичностью по отношению к ДНК-субстратам. Следует подчеркнуть, что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 растений были особенно чувствительны к расстоянию, которое разделяет </w:t>
      </w:r>
      <w:r w:rsidRPr="00107040">
        <w:rPr>
          <w:rFonts w:ascii="Times New Roman" w:eastAsia="MS Mincho" w:hAnsi="Times New Roman"/>
          <w:sz w:val="28"/>
          <w:szCs w:val="28"/>
          <w:lang w:eastAsia="ja-JP"/>
        </w:rPr>
        <w:t>DSB</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eastAsia="ja-JP"/>
        </w:rPr>
        <w:t>SSB</w:t>
      </w:r>
      <w:r w:rsidRPr="00107040">
        <w:rPr>
          <w:rFonts w:ascii="Times New Roman" w:eastAsia="MS Mincho" w:hAnsi="Times New Roman"/>
          <w:sz w:val="28"/>
          <w:szCs w:val="28"/>
          <w:lang w:val="ru-RU" w:eastAsia="ja-JP"/>
        </w:rPr>
        <w:t xml:space="preserve"> (представленное в виде разрыва, пробела или выступающим оцДНК) в дуплексе ДНК. Например,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1 проявляет предпочтение к ДНК-субстратам, содержащим два разрыва цепи, разделенных 1,5 витками спирали, тогда как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предпочитает расстояние в 1 или 2 витка спирали. </w:t>
      </w:r>
    </w:p>
    <w:p w14:paraId="4148CDC1" w14:textId="45561739" w:rsidR="00AA69DA" w:rsidRPr="00107040" w:rsidRDefault="00376D68" w:rsidP="000C16BB">
      <w:pPr>
        <w:spacing w:after="0" w:line="240" w:lineRule="auto"/>
        <w:jc w:val="center"/>
        <w:rPr>
          <w:rFonts w:ascii="Times New Roman" w:eastAsia="MS Mincho" w:hAnsi="Times New Roman"/>
          <w:sz w:val="28"/>
          <w:szCs w:val="28"/>
          <w:lang w:val="kk-KZ" w:eastAsia="ja-JP"/>
        </w:rPr>
      </w:pPr>
      <w:r w:rsidRPr="00107040">
        <w:rPr>
          <w:rFonts w:ascii="Times New Roman" w:eastAsia="MS Mincho" w:hAnsi="Times New Roman"/>
          <w:noProof/>
          <w:sz w:val="28"/>
          <w:szCs w:val="28"/>
          <w:lang w:val="ru-RU" w:eastAsia="ru-RU"/>
        </w:rPr>
        <w:lastRenderedPageBreak/>
        <w:drawing>
          <wp:inline distT="0" distB="0" distL="0" distR="0" wp14:anchorId="07A6536D" wp14:editId="513166FA">
            <wp:extent cx="2893060" cy="339852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93060" cy="3398520"/>
                    </a:xfrm>
                    <a:prstGeom prst="rect">
                      <a:avLst/>
                    </a:prstGeom>
                    <a:noFill/>
                    <a:ln>
                      <a:noFill/>
                    </a:ln>
                  </pic:spPr>
                </pic:pic>
              </a:graphicData>
            </a:graphic>
          </wp:inline>
        </w:drawing>
      </w:r>
    </w:p>
    <w:p w14:paraId="12C5C2D9" w14:textId="77777777" w:rsidR="00376D68" w:rsidRPr="00107040" w:rsidRDefault="00376D68" w:rsidP="000C16BB">
      <w:pPr>
        <w:spacing w:after="0" w:line="240" w:lineRule="auto"/>
        <w:jc w:val="center"/>
        <w:rPr>
          <w:rFonts w:ascii="Times New Roman" w:eastAsia="MS Mincho" w:hAnsi="Times New Roman"/>
          <w:sz w:val="28"/>
          <w:szCs w:val="28"/>
          <w:lang w:val="kk-KZ" w:eastAsia="ja-JP"/>
        </w:rPr>
      </w:pPr>
    </w:p>
    <w:p w14:paraId="210A464C" w14:textId="77777777" w:rsidR="00E5781C" w:rsidRPr="00107040" w:rsidRDefault="00E5781C" w:rsidP="000C16BB">
      <w:pPr>
        <w:spacing w:after="0" w:line="240" w:lineRule="auto"/>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Стрелки указывают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продукты ПАР-ДНК и свободные олигонуклеотиды.</w:t>
      </w:r>
    </w:p>
    <w:p w14:paraId="22379BA4" w14:textId="77777777" w:rsidR="00E5781C" w:rsidRPr="00107040" w:rsidRDefault="00E5781C" w:rsidP="000C16BB">
      <w:pPr>
        <w:spacing w:after="0" w:line="240" w:lineRule="auto"/>
        <w:jc w:val="center"/>
        <w:rPr>
          <w:rFonts w:ascii="Times New Roman" w:eastAsia="MS Mincho" w:hAnsi="Times New Roman"/>
          <w:sz w:val="28"/>
          <w:szCs w:val="28"/>
          <w:lang w:val="kk-KZ" w:eastAsia="ja-JP"/>
        </w:rPr>
      </w:pPr>
    </w:p>
    <w:p w14:paraId="4A5AA7BD" w14:textId="04E17C4D" w:rsidR="00E5781C" w:rsidRPr="00107040" w:rsidRDefault="00AA69DA" w:rsidP="000C16BB">
      <w:pPr>
        <w:spacing w:after="0" w:line="240" w:lineRule="auto"/>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Рисунок 1</w:t>
      </w:r>
      <w:r w:rsidR="002A568C">
        <w:rPr>
          <w:rFonts w:ascii="Times New Roman" w:eastAsia="MS Mincho" w:hAnsi="Times New Roman"/>
          <w:sz w:val="28"/>
          <w:szCs w:val="28"/>
          <w:lang w:val="ru-RU" w:eastAsia="ja-JP"/>
        </w:rPr>
        <w:t>8</w:t>
      </w:r>
      <w:r w:rsidRPr="00107040">
        <w:rPr>
          <w:rFonts w:ascii="Times New Roman" w:eastAsia="MS Mincho" w:hAnsi="Times New Roman"/>
          <w:sz w:val="28"/>
          <w:szCs w:val="28"/>
          <w:lang w:val="ru-RU" w:eastAsia="ja-JP"/>
        </w:rPr>
        <w:t xml:space="preserve"> –</w:t>
      </w:r>
      <w:r w:rsidR="00E5781C" w:rsidRPr="00107040">
        <w:rPr>
          <w:rFonts w:ascii="Times New Roman" w:eastAsia="MS Mincho" w:hAnsi="Times New Roman"/>
          <w:sz w:val="28"/>
          <w:szCs w:val="28"/>
          <w:lang w:val="ru-RU" w:eastAsia="ja-JP"/>
        </w:rPr>
        <w:t xml:space="preserve"> П</w:t>
      </w:r>
      <w:r w:rsidRPr="00107040">
        <w:rPr>
          <w:rFonts w:ascii="Times New Roman" w:eastAsia="MS Mincho" w:hAnsi="Times New Roman"/>
          <w:sz w:val="28"/>
          <w:szCs w:val="28"/>
          <w:lang w:val="ru-RU" w:eastAsia="ja-JP"/>
        </w:rPr>
        <w:t>оли-АДФ-рибозилир</w:t>
      </w:r>
      <w:r w:rsidR="00E5781C" w:rsidRPr="00107040">
        <w:rPr>
          <w:rFonts w:ascii="Times New Roman" w:eastAsia="MS Mincho" w:hAnsi="Times New Roman"/>
          <w:sz w:val="28"/>
          <w:szCs w:val="28"/>
          <w:lang w:val="ru-RU" w:eastAsia="ja-JP"/>
        </w:rPr>
        <w:t xml:space="preserve">ование </w:t>
      </w:r>
      <w:r w:rsidRPr="00107040">
        <w:rPr>
          <w:rFonts w:ascii="Times New Roman" w:eastAsia="MS Mincho" w:hAnsi="Times New Roman"/>
          <w:sz w:val="28"/>
          <w:szCs w:val="28"/>
          <w:lang w:val="ru-RU" w:eastAsia="ja-JP"/>
        </w:rPr>
        <w:t>фрагмент</w:t>
      </w:r>
      <w:r w:rsidR="00E5781C" w:rsidRPr="00107040">
        <w:rPr>
          <w:rFonts w:ascii="Times New Roman" w:eastAsia="MS Mincho" w:hAnsi="Times New Roman"/>
          <w:sz w:val="28"/>
          <w:szCs w:val="28"/>
          <w:lang w:val="ru-RU" w:eastAsia="ja-JP"/>
        </w:rPr>
        <w:t>а</w:t>
      </w:r>
      <w:r w:rsidRPr="00107040">
        <w:rPr>
          <w:rFonts w:ascii="Times New Roman" w:eastAsia="MS Mincho" w:hAnsi="Times New Roman"/>
          <w:sz w:val="28"/>
          <w:szCs w:val="28"/>
          <w:lang w:val="ru-RU" w:eastAsia="ja-JP"/>
        </w:rPr>
        <w:t xml:space="preserve"> ДНК линейной плазмиды размером 2,3 т.п.н</w:t>
      </w:r>
      <w:r w:rsidR="00E5781C" w:rsidRPr="00107040">
        <w:rPr>
          <w:rFonts w:ascii="Times New Roman" w:eastAsia="MS Mincho" w:hAnsi="Times New Roman"/>
          <w:sz w:val="28"/>
          <w:szCs w:val="28"/>
          <w:lang w:val="ru-RU" w:eastAsia="ja-JP"/>
        </w:rPr>
        <w:t xml:space="preserve"> под действием </w:t>
      </w:r>
      <w:r w:rsidR="00E5781C" w:rsidRPr="00107040">
        <w:rPr>
          <w:rFonts w:ascii="Times New Roman" w:eastAsia="MS Mincho" w:hAnsi="Times New Roman"/>
          <w:sz w:val="28"/>
          <w:szCs w:val="28"/>
          <w:lang w:val="en-US" w:eastAsia="ja-JP"/>
        </w:rPr>
        <w:t>AtPARP</w:t>
      </w:r>
      <w:r w:rsidR="00E5781C" w:rsidRPr="00107040">
        <w:rPr>
          <w:rFonts w:ascii="Times New Roman" w:eastAsia="MS Mincho" w:hAnsi="Times New Roman"/>
          <w:sz w:val="28"/>
          <w:szCs w:val="28"/>
          <w:lang w:val="ru-RU" w:eastAsia="ja-JP"/>
        </w:rPr>
        <w:t>2</w:t>
      </w:r>
    </w:p>
    <w:p w14:paraId="12E1CA3D" w14:textId="77777777" w:rsidR="00AA69DA" w:rsidRPr="00107040" w:rsidRDefault="00AA69DA" w:rsidP="000C16BB">
      <w:pPr>
        <w:spacing w:after="0" w:line="240" w:lineRule="auto"/>
        <w:jc w:val="both"/>
        <w:rPr>
          <w:rFonts w:ascii="Times New Roman" w:eastAsia="MS Mincho" w:hAnsi="Times New Roman"/>
          <w:sz w:val="28"/>
          <w:szCs w:val="28"/>
          <w:lang w:val="ru-RU" w:eastAsia="ja-JP"/>
        </w:rPr>
      </w:pPr>
    </w:p>
    <w:p w14:paraId="7B18520F" w14:textId="2C17C1A3"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Таким образом, наличие множественных близко расположенных разрывов цепей ДНК, их сравнительное расположение и природа 5' и 3' концов в ДНК-субстрате важны для катализируемого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 ДНК АДФ-рибозилирования. В целом, за исключением более высокой активности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субстратная специфичность растительных белков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w:t>
      </w:r>
      <w:r w:rsidR="00B37BD0"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{"citationID":"qaBSvaGe","properties":{"formattedCitation":"[443]","plainCitation":"[443]","noteIndex":0},"citationItems":[{"id":1382,"uris":["http://zotero.org/users/9078202/items/E7RSE3VU"],"itemData":{"id":1382,"type":"article-journal","abstract":"Proteins from the poly(ADP-ribose) polymerase (PARP) family, such as PARP1 and PARP2, use NAD+ as a substrate to catalyze the synthesis of polymeric chains consisting of ADP-ribose units covalently attached to an acceptor molecule. PARP1 and PARP2 are viewed as DNA damage sensors that, upon binding to strand breaks, poly(ADP-ribosyl)ate themselves and nuclear acceptor proteins. The flowering plant Arabidopsis thaliana contains three genes encoding homologs of mammalian PARPs: atPARP1, atPARP2, and atPARP3. Both atPARP1 and atPARP2 contain poly(ADP-ribosyl)ating activity; however, it is unknown whether they could covalently modify DNA by ADP-ribosylating the strand break termini. Here, we report that similar to their mammalian c</w:instrText>
      </w:r>
      <w:r w:rsidR="00FB5E68">
        <w:rPr>
          <w:rFonts w:ascii="Times New Roman" w:eastAsia="MS Mincho" w:hAnsi="Times New Roman" w:hint="eastAsia"/>
          <w:sz w:val="28"/>
          <w:szCs w:val="28"/>
          <w:lang w:val="ru-RU" w:eastAsia="ja-JP"/>
        </w:rPr>
        <w:instrText>ounterparts, the plant atPARP1 and atPARP2 proteins ADP-ribosylate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-terminal phosphate residues in duplex DNA oligonucleotides and plasmid containing at least two closely spaced DNA strand breaks. AtPARP1 preferentially catalyzes covalent attachment of ADP-ribose units to the ends of recessed DNA duplexes containing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-phosphate, whereas atPARP2 preferentially ADP-ribosylates the nicked and gapped DNA duplexes containing the terminal 5</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-phosphate. Similar to their mammalian counterparts, the plant PARP-</w:instrText>
      </w:r>
      <w:r w:rsidR="00FB5E68">
        <w:rPr>
          <w:rFonts w:ascii="Times New Roman" w:eastAsia="MS Mincho" w:hAnsi="Times New Roman"/>
          <w:sz w:val="28"/>
          <w:szCs w:val="28"/>
          <w:lang w:val="ru-RU" w:eastAsia="ja-JP"/>
        </w:rPr>
        <w:instrText>catalyzed DNA ADP-ribosylation is particularly sensitive to the distance that separates two strand breaks in the same DNA molecule, 1.5 and 1 or 2 turns of helix for atPARP1 and atPARP2, respectively. PAR glycohydrolase (PARG) restored native DNA structure by hydrolyzing the PAR–DNA adducts generated by atPARPs. Biochemical and mass spectrometry analyses of the PAR–DNA adducts showed that atPARPs utilize phosphorylated DNA termini as an alternative to protein acceptor residues to catalyze PAR chain synthe</w:instrText>
      </w:r>
      <w:r w:rsidR="00FB5E68">
        <w:rPr>
          <w:rFonts w:ascii="Times New Roman" w:eastAsia="MS Mincho" w:hAnsi="Times New Roman" w:hint="eastAsia"/>
          <w:sz w:val="28"/>
          <w:szCs w:val="28"/>
          <w:lang w:val="ru-RU" w:eastAsia="ja-JP"/>
        </w:rPr>
        <w:instrText>sis via phosphodiester bond formation between C1</w:instrText>
      </w:r>
      <w:r w:rsidR="00FB5E68">
        <w:rPr>
          <w:rFonts w:ascii="Times New Roman" w:eastAsia="MS Mincho" w:hAnsi="Times New Roman" w:hint="eastAsia"/>
          <w:sz w:val="28"/>
          <w:szCs w:val="28"/>
          <w:lang w:val="ru-RU" w:eastAsia="ja-JP"/>
        </w:rPr>
        <w:instrText>′</w:instrText>
      </w:r>
      <w:r w:rsidR="00FB5E68">
        <w:rPr>
          <w:rFonts w:ascii="Times New Roman" w:eastAsia="MS Mincho" w:hAnsi="Times New Roman" w:hint="eastAsia"/>
          <w:sz w:val="28"/>
          <w:szCs w:val="28"/>
          <w:lang w:val="ru-RU" w:eastAsia="ja-JP"/>
        </w:rPr>
        <w:instrText xml:space="preserve"> of ADP-ribose and a phosphate residue of the terminal nucleotide in DNA fragment. Taken together, these data establish the presence of a new type of DNA-modifying activity in Arabidopsis PARPs, suggesting </w:instrText>
      </w:r>
      <w:r w:rsidR="00FB5E68">
        <w:rPr>
          <w:rFonts w:ascii="Times New Roman" w:eastAsia="MS Mincho" w:hAnsi="Times New Roman"/>
          <w:sz w:val="28"/>
          <w:szCs w:val="28"/>
          <w:lang w:val="ru-RU" w:eastAsia="ja-JP"/>
        </w:rPr>
        <w:instrText xml:space="preserve">a possible role of DNA ADP-ribosylation in DNA damage signaling and repair of terrestrial plants.","container-title":"Frontiers in Cell and Developmental Biology","ISSN":"2296-634X","source":"Frontiers","title":"The Arabidopsis thaliana Poly(ADP-Ribose) Polymerases 1 and 2 Modify DNA by ADP-Ribosylating Terminal Phosphate Residues","URL":"https://www.frontiersin.org/article/10.3389/fcell.2020.606596","volume":"8","author":[{"family":"Taipakova","given":"Sabira"},{"family":"Kuanbay","given":"Aigerim"},{"family":"Saint-Pierre","given":"Christine"},{"family":"Gasparutto","given":"Didier"},{"family":"Baiken","given":"Yeldar"},{"family":"Groisman","given":"Regina"},{"family":"Ishchenko","given":"Alexander A."},{"family":"Saparbaev","given":"Murat"},{"family":"Bissenbaev","given":"Amangeldy K."}],"accessed":{"date-parts":[["2022",5,23]]},"issued":{"date-parts":[["2020"]]}}}],"schema":"https://github.com/citation-style-language/schema/raw/master/csl-citation.json"} </w:instrText>
      </w:r>
      <w:r w:rsidR="00B37BD0"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[443]</w:t>
      </w:r>
      <w:r w:rsidR="00B37BD0" w:rsidRPr="00107040">
        <w:rPr>
          <w:rFonts w:ascii="Times New Roman" w:eastAsia="MS Mincho" w:hAnsi="Times New Roman"/>
          <w:sz w:val="28"/>
          <w:szCs w:val="28"/>
          <w:lang w:val="ru-RU" w:eastAsia="ja-JP"/>
        </w:rPr>
        <w:fldChar w:fldCharType="end"/>
      </w:r>
      <w:r w:rsidR="00B37BD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была очень похожа на таковую у их аналогов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2 у млекопитающих, соответственно </w:t>
      </w:r>
      <w:r w:rsidR="00B37BD0" w:rsidRPr="00107040">
        <w:rPr>
          <w:rFonts w:ascii="Times New Roman" w:eastAsia="MS Mincho" w:hAnsi="Times New Roman"/>
          <w:sz w:val="28"/>
          <w:szCs w:val="28"/>
          <w:lang w:val="ru-RU" w:eastAsia="ja-JP"/>
        </w:rPr>
        <w:fldChar w:fldCharType="begin"/>
      </w:r>
      <w:r w:rsidR="00174ED5" w:rsidRPr="00107040">
        <w:rPr>
          <w:rFonts w:ascii="Times New Roman" w:eastAsia="MS Mincho" w:hAnsi="Times New Roman"/>
          <w:sz w:val="28"/>
          <w:szCs w:val="28"/>
          <w:lang w:val="ru-RU" w:eastAsia="ja-JP"/>
        </w:rPr>
        <w:instrText xml:space="preserve"> ADDIN ZOTERO_ITEM CSL_CITATION {"citationID":"Fr8xbefi","properties":{"formattedCitation":"[31]","plainCitation":"[31]","noteIndex":0},"citationItems":[{"id":1295,"uris":["http://zotero.org/users/9078202/items/V43W7KVW"],"itemData":{"id":1295,"type":"article-journal","abstract":"Poly(ADP-ribose) polymerases (PARPs/ARTDs) use nicotinamide adenine dinucleotide (NAD+) to catalyse the synthesis of a long branched poly(ADP-ribose) polymer (PAR) attached to the acceptor amino acid residues of nuclear proteins. PARPs act on single- and double-stranded DNA breaks by recruiting DNA repair factors. Here, in in vitro biochemical experiments, we found that the mammalian PARP1 and PARP2 proteins can directly ADP-ribosylate the termini of DNA oligonucleotides. PARP1 preferentially catalysed covalent attachment of ADP-ribose units to the ends of recessed DNA duplexes containing 3'-cordycepin, 5'- and 3'-phosphate and also to 5'-phosphate of a single-stranded oligonucleotide. PARP2 preferentially ADP-ribosylated the nicked/gapped DNA duplexes containing 5'-phosphate at the double-stranded termini. PAR glycohydrolase (PARG) restored native DNA structure by hydrolysing PAR-DNA adducts generated by PARP1 and PARP2. Biochemical and mass spectrometry analyses of the adducts suggested that PARPs utilise DNA termini as an alternative to 2'-hydroxyl of ADP-ribose and protein acceptor residues to catalyse PAR chain initiation either via the 2',1″-O-glycosidic ribose-ribose bond or via phosphodiester bond formation between C1' of ADP-ribose and the phosphate of a terminal deoxyribonucleotide. This new type of post-replicative modification of DNA provides novel insights into the molecular mechanisms underlying biological phenomena of ADP-ribosylation mediated by PARPs.","container-title":"Nucleic Acids Research","DOI":"10.1093/nar/gkw675","ISSN":"1362-4962","issue":"19","journalAbbreviation":"Nucleic Acids Res","language":"eng","note":"PMID: 27471034\nPMCID: PMC5100588","page":"9279-9295","source":"PubMed","title":"Poly(ADP-ribose) polymerases covalently modify strand break termini in DNA fragments in vitro","volume":"44","author":[{"family":"Talhaoui","given":"Ibtissam"},{"family":"Lebedeva","given":"Natalia A."},{"family":"Zarkovic","given":"Gabriella"},{"family":"Saint-Pierre","given":"Christine"},{"family":"Kutuzov","given":"Mikhail M."},{"family":"Sukhanova","given":"Maria V."},{"family":"Matkarimov","given":"Bakhyt T."},{"family":"Gasparutto","given":"Didier"},{"family":"Saparbaev","given":"Murat K."},{"family":"Lavrik","given":"Olga I."},{"family":"Ishchenko","given":"Alexander A."}],"issued":{"date-parts":[["2016",11,2]]}}}],"schema":"https://github.com/citation-style-language/schema/raw/master/csl-citation.json"} </w:instrText>
      </w:r>
      <w:r w:rsidR="00B37BD0" w:rsidRPr="00107040">
        <w:rPr>
          <w:rFonts w:ascii="Times New Roman" w:eastAsia="MS Mincho" w:hAnsi="Times New Roman"/>
          <w:sz w:val="28"/>
          <w:szCs w:val="28"/>
          <w:lang w:val="ru-RU" w:eastAsia="ja-JP"/>
        </w:rPr>
        <w:fldChar w:fldCharType="separate"/>
      </w:r>
      <w:r w:rsidR="00174ED5" w:rsidRPr="00107040">
        <w:rPr>
          <w:rFonts w:ascii="Times New Roman" w:hAnsi="Times New Roman"/>
          <w:sz w:val="28"/>
          <w:szCs w:val="28"/>
        </w:rPr>
        <w:t>[31]</w:t>
      </w:r>
      <w:r w:rsidR="00B37BD0"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w:t>
      </w:r>
    </w:p>
    <w:p w14:paraId="6F1109B9" w14:textId="5F737CB9"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Как отмечалось выше, на сегодняшний день в геноме </w:t>
      </w:r>
      <w:r w:rsidRPr="00107040">
        <w:rPr>
          <w:rFonts w:ascii="Times New Roman" w:eastAsia="MS Mincho" w:hAnsi="Times New Roman"/>
          <w:i/>
          <w:iCs/>
          <w:sz w:val="28"/>
          <w:szCs w:val="28"/>
          <w:lang w:val="ru-RU" w:eastAsia="ja-JP"/>
        </w:rPr>
        <w:t>A. thaliana</w:t>
      </w:r>
      <w:r w:rsidRPr="00107040">
        <w:rPr>
          <w:rFonts w:ascii="Times New Roman" w:eastAsia="MS Mincho" w:hAnsi="Times New Roman"/>
          <w:sz w:val="28"/>
          <w:szCs w:val="28"/>
          <w:lang w:val="ru-RU" w:eastAsia="ja-JP"/>
        </w:rPr>
        <w:t xml:space="preserve"> обнаружено три типа PARP с различной молекулярной массой и структурной архитектурой: АtPARP1, АtPARP2 и АtPARP3 </w:t>
      </w:r>
      <w:r w:rsidR="00103C69" w:rsidRPr="00107040">
        <w:rPr>
          <w:rFonts w:ascii="Times New Roman" w:eastAsia="MS Mincho" w:hAnsi="Times New Roman"/>
          <w:sz w:val="28"/>
          <w:szCs w:val="28"/>
          <w:lang w:val="ru-RU" w:eastAsia="ja-JP"/>
        </w:rPr>
        <w:fldChar w:fldCharType="begin"/>
      </w:r>
      <w:r w:rsidR="00085FF3" w:rsidRPr="00107040">
        <w:rPr>
          <w:rFonts w:ascii="Times New Roman" w:eastAsia="MS Mincho" w:hAnsi="Times New Roman"/>
          <w:sz w:val="28"/>
          <w:szCs w:val="28"/>
          <w:lang w:val="ru-RU" w:eastAsia="ja-JP"/>
        </w:rPr>
        <w:instrText xml:space="preserve"> ADDIN ZOTERO_ITEM CSL_CITATION {"citationID":"i8zexuSK","properties":{"formattedCitation":"[9,10]","plainCitation":"[9,10]","noteIndex":0},"citationItems":[{"id":1247,"uris":["http://zotero.org/users/9078202/items/YHNZFVKW"],"itemData":{"id":1247,"type":"article-journal","abstract":"Poly(ADP-ribose) polymerases (PARPs) and poly(ADP-ribose) glycohydrolases (PARGs) are the main enzymes responsible for the post-translational modification known as poly(ADP-ribosyl)ation. These enzymes play important roles in genotoxic stress tolerance and DNA repair, programmed cell death, transcription, and cell cycle control in animals. Similar impacts are being discovered in plants, as well as roles in plant-specific processes. In particular, we review recent work that has revealed significant roles for poly(ADP-ribosyl)ation in plant responses to biotic and abiotic stress, as well as roles for ADP-ribose pyrophosphatases (a subset of the nucleoside diphosphate linked to some moiety-X or NUDX hydrolases). Future challenges include identification of poly(ADP-ribosyl)ation targets and interacting proteins, improved use of inhibitors and plant mutants, and field-based studies with economically valuable plant species.","container-title":"Trends in Plant Science","DOI":"10.1016/j.tplants.2011.03.008","ISSN":"1878-4372","issue":"7","journalAbbreviation":"Trends Plant Sci","language":"eng","note":"PMID: 21482174","page":"372-380","source":"PubMed","title":"Poly(ADP-ribosyl)ation in plants","volume":"16","author":[{"family":"Briggs","given":"Amy G."},{"family":"Bent","given":"Andrew F."}],"issued":{"date-parts":[["2011",7]]}}},{"id":1249,"uris":["http://zotero.org/users/9078202/items/2WUWRXNB"],"itemData":{"id":1249,"type":"article-journal","abstract":"Poly(ADP-ribosyl)ation is the covalent attachment of ADP-ribose subunits from NAD(+) to target proteins and was first described in plants in the 1970s. This post-translational modification is mediated by poly(ADP-ribose) polymerases (PARPs) and removed by poly(ADP-ribose) glycohydrolases (PARGs). PARPs have important functions in many biological processes including DNA repair, epigenetic regulation and transcription. However, these roles are not always associated with enzymatic activity. The PARP superfamily has been well studied in animals, but remains under-investigated in plants. Although plants lack the variety of PARP superfamily members found in mammals, they do encode three different types of PARP superfamily proteins, including a group of PARP-like proteins, the SRO family, that are plant specific. In plants, members of the PARP family and/or poly(ADP-ribosyl)ation have been linked to DNA repair, mitosis, innate immunity and stress responses. In addition, members of the SRO family have been shown to be necessary for normal sporophytic development. In this review, we summarize the current state of plant research into poly(ADP-ribosyl)ation and the PARP superfamily in plants.","container-title":"Cellular and molecular life sciences: CMLS","DOI":"10.1007/s00018-011-0793-4","ISSN":"1420-9071","issue":"2","journalAbbreviation":"Cell Mol Life Sci","language":"eng","note":"PMID: 21861184","page":"175-189","source":"PubMed","title":"Functions of the poly(ADP-ribose) polymerase superfamily in plants","volume":"69","author":[{"family":"Lamb","given":"Rebecca S."},{"family":"Citarelli","given":"Matteo"},{"family":"Teotia","given":"Sachin"}],"issued":{"date-parts":[["2012",1]]}}}],"schema":"https://github.com/citation-style-language/schema/raw/master/csl-citation.json"} </w:instrText>
      </w:r>
      <w:r w:rsidR="00103C69" w:rsidRPr="00107040">
        <w:rPr>
          <w:rFonts w:ascii="Times New Roman" w:eastAsia="MS Mincho" w:hAnsi="Times New Roman"/>
          <w:sz w:val="28"/>
          <w:szCs w:val="28"/>
          <w:lang w:val="ru-RU" w:eastAsia="ja-JP"/>
        </w:rPr>
        <w:fldChar w:fldCharType="separate"/>
      </w:r>
      <w:r w:rsidR="00085FF3" w:rsidRPr="00107040">
        <w:rPr>
          <w:rFonts w:ascii="Times New Roman" w:hAnsi="Times New Roman"/>
          <w:sz w:val="28"/>
          <w:szCs w:val="28"/>
        </w:rPr>
        <w:t>[9,10]</w:t>
      </w:r>
      <w:r w:rsidR="00103C69" w:rsidRPr="00107040">
        <w:rPr>
          <w:rFonts w:ascii="Times New Roman" w:eastAsia="MS Mincho" w:hAnsi="Times New Roman"/>
          <w:sz w:val="28"/>
          <w:szCs w:val="28"/>
          <w:lang w:val="ru-RU" w:eastAsia="ja-JP"/>
        </w:rPr>
        <w:fldChar w:fldCharType="end"/>
      </w:r>
      <w:r w:rsidRPr="00107040">
        <w:rPr>
          <w:rFonts w:ascii="Times New Roman" w:eastAsia="MS Mincho" w:hAnsi="Times New Roman"/>
          <w:b/>
          <w:sz w:val="28"/>
          <w:szCs w:val="28"/>
          <w:lang w:val="ru-RU" w:eastAsia="ja-JP"/>
        </w:rPr>
        <w:t>.</w:t>
      </w:r>
      <w:r w:rsidRPr="00107040">
        <w:rPr>
          <w:rFonts w:ascii="Times New Roman" w:eastAsia="MS Mincho" w:hAnsi="Times New Roman"/>
          <w:sz w:val="28"/>
          <w:szCs w:val="28"/>
          <w:lang w:val="ru-RU" w:eastAsia="ja-JP"/>
        </w:rPr>
        <w:t xml:space="preserve"> Нами показано, что АtPARP1 и АtPARP2 АДФ-рибозилируют 5'-концевые фосфатные остатки в дуплексных олигонуклеотидах ДНК и плазмиде, содержащей по крайней мере два близко расположенных разрыва цепи ДНК. Однако, остается неясным, обладает ли АtPARP3 АДФ-рибозилирующей активностью по отношению ДНК. До недавнего времени предполагалось, что</w:t>
      </w:r>
      <w:r w:rsidR="00103C69" w:rsidRPr="00107040">
        <w:rPr>
          <w:rFonts w:ascii="Times New Roman" w:eastAsia="MS Mincho" w:hAnsi="Times New Roman"/>
          <w:sz w:val="28"/>
          <w:szCs w:val="28"/>
          <w:lang w:val="ru-RU" w:eastAsia="ja-JP"/>
        </w:rPr>
        <w:t xml:space="preserve"> </w:t>
      </w:r>
      <w:r w:rsidR="00103C69"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ARP3 млекопитающих участвует в основном в белок-белковых взаимодействиях, а также моно-АДФ-рибозилирует ДНК (МАР-ДНК) на концевых фосфатных остатках на концах DSB и SSB коротких и длинных молекул ДНК </w:t>
      </w:r>
      <w:r w:rsidR="00103C69"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{"citationID":"Y7b2BHOn","properties":{"formattedCitation":"[442]","plainCitation":"[442]","noteIndex":0},"citationItems":[{"id":1322,"uris":["http://zotero.org/users/9078202/items/IRJADZKH"],"itemData":{"id":1322,"type":"article-journal","abstract":"Poly(ADP-ribose) polymerases (PARPs) act as DNA break sensors and catalyze the synthesis of polymers of ADP-ribose (PAR) covalently attached to acceptor proteins at DNA damage sites. It has been demonstrated that both mammalian PARP1 and PARP2 PARylate double-strand break termini in DNA oligonucleotide duplexes in vitro. Here, we show that mammalian PARP2 and PARP3 can PARylate and mono(ADP-ribosyl)ate (MARylate), respectively, 5'- and 3'-terminal phosphate residues at double- and single-strand break termini of a DNA molecule containing multiple strand breaks. PARP3-catalyzed DNA MARylation can be considered a new type of reversible post-replicative DNA modification. According to DNA substrate specificity of PARP3 and PARP2, we propose a putative mechanistic model of PARP-catalyzed strand break-oriented ADP-ribosylation of DNA termini. Notably, PARP-mediated DNA ADP-ribosylation can be more effective than PARPs' auto-ADP-ribosylation depending on the DNA substrates and reaction conditions used. Finally, we show an effective PARP3- or PARP2-catalyzed ADP-ribosylation of high-molecular-weight (</w:instrText>
      </w:r>
      <w:r w:rsidR="00FB5E68">
        <w:rPr>
          <w:rFonts w:ascii="Cambria Math" w:eastAsia="MS Mincho" w:hAnsi="Cambria Math" w:cs="Cambria Math"/>
          <w:sz w:val="28"/>
          <w:szCs w:val="28"/>
          <w:lang w:val="ru-RU" w:eastAsia="ja-JP"/>
        </w:rPr>
        <w:instrText>∼</w:instrText>
      </w:r>
      <w:r w:rsidR="00FB5E68">
        <w:rPr>
          <w:rFonts w:ascii="Times New Roman" w:eastAsia="MS Mincho" w:hAnsi="Times New Roman"/>
          <w:sz w:val="28"/>
          <w:szCs w:val="28"/>
          <w:lang w:val="ru-RU" w:eastAsia="ja-JP"/>
        </w:rPr>
        <w:instrText xml:space="preserve">3-kb) DNA molecules, PARP-mediated DNA PARylation in cell-free extracts and a persisting signal of anti-PAR antibodies in a serially purified genomic DNA from bleomycin-treated poly(ADP-ribose) glycohydrolase-depleted HeLa cells. These results suggest that certain types of complex DNA breaks can be effectively ADP-ribosylated by PARPs in cellular response to DNA damage.","container-title":"Nucleic Acids Research","DOI":"10.1093/nar/gkx1318","ISSN":"1362-4962","issue":"5","journalAbbreviation":"Nucleic Acids Res","language":"eng","note":"PMID: 29361132\nPMCID: PMC5861426","page":"2417-2431","source":"PubMed","title":"Characterization of DNA ADP-ribosyltransferase activities of PARP2 and PARP3: new insights into DNA ADP-ribosylation","title-short":"Characterization of DNA ADP-ribosyltransferase activities of PARP2 and PARP3","volume":"46","author":[{"family":"Zarkovic","given":"Gabriella"},{"family":"Belousova","given":"Ekaterina A."},{"family":"Talhaoui","given":"Ibtissam"},{"family":"Saint-Pierre","given":"Christine"},{"family":"Kutuzov","given":"Mikhail M."},{"family":"Matkarimov","given":"Bakhyt T."},{"family":"Biard","given":"Denis"},{"family":"Gasparutto","given":"Didier"},{"family":"Lavrik","given":"Olga I."},{"family":"Ishchenko","given":"Alexander A."}],"issued":{"date-parts":[["2018",3,16]]}}}],"schema":"https://github.com/citation-style-language/schema/raw/master/csl-citation.json"} </w:instrText>
      </w:r>
      <w:r w:rsidR="00103C69" w:rsidRPr="00107040">
        <w:rPr>
          <w:rFonts w:ascii="Times New Roman" w:eastAsia="MS Mincho" w:hAnsi="Times New Roman"/>
          <w:sz w:val="28"/>
          <w:szCs w:val="28"/>
          <w:lang w:val="ru-RU" w:eastAsia="ja-JP"/>
        </w:rPr>
        <w:fldChar w:fldCharType="separate"/>
      </w:r>
      <w:r w:rsidR="00FB5E68" w:rsidRPr="00FB5E68">
        <w:rPr>
          <w:rFonts w:ascii="Times New Roman" w:hAnsi="Times New Roman"/>
          <w:sz w:val="28"/>
        </w:rPr>
        <w:t>[442]</w:t>
      </w:r>
      <w:r w:rsidR="00103C69"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Необходимо отметить, что на филогенетическом дереве растительный PARP3 группируется близко к человеческому PARP1, а не к человеческому PARP3, что позволяет предполагать, что для PARP3 характерно </w:t>
      </w:r>
      <w:bookmarkStart w:id="66" w:name="_Hlk103272803"/>
      <w:r w:rsidRPr="00107040">
        <w:rPr>
          <w:rFonts w:ascii="Times New Roman" w:eastAsia="MS Mincho" w:hAnsi="Times New Roman"/>
          <w:sz w:val="28"/>
          <w:szCs w:val="28"/>
          <w:lang w:val="ru-RU" w:eastAsia="ja-JP"/>
        </w:rPr>
        <w:t xml:space="preserve">АДФ-рибозилирующая активность </w:t>
      </w:r>
      <w:bookmarkEnd w:id="66"/>
      <w:r w:rsidRPr="00107040">
        <w:rPr>
          <w:rFonts w:ascii="Times New Roman" w:eastAsia="MS Mincho" w:hAnsi="Times New Roman"/>
          <w:sz w:val="28"/>
          <w:szCs w:val="28"/>
          <w:lang w:val="ru-RU" w:eastAsia="ja-JP"/>
        </w:rPr>
        <w:t>5'-</w:t>
      </w:r>
      <w:r w:rsidRPr="00107040">
        <w:rPr>
          <w:rFonts w:ascii="Times New Roman" w:eastAsia="MS Mincho" w:hAnsi="Times New Roman"/>
          <w:sz w:val="28"/>
          <w:szCs w:val="28"/>
          <w:lang w:val="ru-RU" w:eastAsia="ja-JP"/>
        </w:rPr>
        <w:lastRenderedPageBreak/>
        <w:t xml:space="preserve">концевых фосфатных остатков в дуплексных олигонуклеотидах ДНК. Для выяснения данного вопроса кДНК ген </w:t>
      </w:r>
      <w:r w:rsidRPr="00107040">
        <w:rPr>
          <w:rFonts w:ascii="Times New Roman" w:eastAsia="MS Mincho" w:hAnsi="Times New Roman"/>
          <w:i/>
          <w:sz w:val="28"/>
          <w:szCs w:val="28"/>
          <w:lang w:val="ru-RU" w:eastAsia="ja-JP"/>
        </w:rPr>
        <w:t>АtPARP3</w:t>
      </w:r>
      <w:r w:rsidRPr="00107040">
        <w:rPr>
          <w:rFonts w:ascii="Times New Roman" w:eastAsia="MS Mincho" w:hAnsi="Times New Roman"/>
          <w:sz w:val="28"/>
          <w:szCs w:val="28"/>
          <w:lang w:val="ru-RU" w:eastAsia="ja-JP"/>
        </w:rPr>
        <w:t xml:space="preserve"> клонировали в вектор pET28с с 6xHis•tag последовательностью на С–конце. В результате нами получены рекомбинантные плазмиды pET28с/</w:t>
      </w:r>
      <w:r w:rsidRPr="00107040">
        <w:rPr>
          <w:rFonts w:ascii="Times New Roman" w:eastAsia="MS Mincho" w:hAnsi="Times New Roman"/>
          <w:i/>
          <w:sz w:val="28"/>
          <w:szCs w:val="28"/>
          <w:lang w:val="ru-RU" w:eastAsia="ja-JP"/>
        </w:rPr>
        <w:t>АtPARP3</w:t>
      </w:r>
      <w:r w:rsidRPr="00107040">
        <w:rPr>
          <w:rFonts w:ascii="Times New Roman" w:eastAsia="MS Mincho" w:hAnsi="Times New Roman"/>
          <w:sz w:val="28"/>
          <w:szCs w:val="28"/>
          <w:lang w:val="ru-RU" w:eastAsia="ja-JP"/>
        </w:rPr>
        <w:t xml:space="preserve">. Затем, рекомбинантный белок был очищен с помощью металлоаффинной хроматографии и после элюирования степень очистки полученных белков определяли с помощью гель-электрофореза в 10 % </w:t>
      </w:r>
      <w:r w:rsidRPr="00107040">
        <w:rPr>
          <w:rFonts w:ascii="Times New Roman" w:eastAsia="MS Mincho" w:hAnsi="Times New Roman"/>
          <w:sz w:val="28"/>
          <w:szCs w:val="28"/>
          <w:lang w:val="en-US" w:eastAsia="ja-JP"/>
        </w:rPr>
        <w:t>SDS</w:t>
      </w:r>
      <w:r w:rsidRPr="00107040">
        <w:rPr>
          <w:rFonts w:ascii="Times New Roman" w:eastAsia="MS Mincho" w:hAnsi="Times New Roman"/>
          <w:sz w:val="28"/>
          <w:szCs w:val="28"/>
          <w:lang w:val="ru-RU" w:eastAsia="ja-JP"/>
        </w:rPr>
        <w:t>-ПААГ (Рисунок 1</w:t>
      </w:r>
      <w:r w:rsidR="002A568C">
        <w:rPr>
          <w:rFonts w:ascii="Times New Roman" w:eastAsia="MS Mincho" w:hAnsi="Times New Roman"/>
          <w:sz w:val="28"/>
          <w:szCs w:val="28"/>
          <w:lang w:val="ru-RU" w:eastAsia="ja-JP"/>
        </w:rPr>
        <w:t>9</w:t>
      </w:r>
      <w:r w:rsidRPr="00107040">
        <w:rPr>
          <w:rFonts w:ascii="Times New Roman" w:eastAsia="MS Mincho" w:hAnsi="Times New Roman"/>
          <w:sz w:val="28"/>
          <w:szCs w:val="28"/>
          <w:lang w:val="ru-RU" w:eastAsia="ja-JP"/>
        </w:rPr>
        <w:t xml:space="preserve">). В результате проведенных работ удалось установить, что рекомбинантный штамм продуцирует белок с молекулярной массой приблизительно </w:t>
      </w:r>
      <w:r w:rsidRPr="00107040">
        <w:rPr>
          <w:rFonts w:ascii="Times New Roman" w:eastAsia="MS Mincho" w:hAnsi="Times New Roman"/>
          <w:b/>
          <w:bCs/>
          <w:sz w:val="28"/>
          <w:szCs w:val="28"/>
          <w:lang w:val="ru-RU" w:eastAsia="ja-JP"/>
        </w:rPr>
        <w:t>91 кДа</w:t>
      </w:r>
      <w:r w:rsidRPr="00107040">
        <w:rPr>
          <w:rFonts w:ascii="Times New Roman" w:eastAsia="MS Mincho" w:hAnsi="Times New Roman"/>
          <w:sz w:val="28"/>
          <w:szCs w:val="28"/>
          <w:lang w:val="ru-RU" w:eastAsia="ja-JP"/>
        </w:rPr>
        <w:t xml:space="preserve">, что соответствует расчетной молекулярной массе предсказанной для АtPARP3. </w:t>
      </w:r>
    </w:p>
    <w:p w14:paraId="22753284" w14:textId="77777777" w:rsidR="00376D68" w:rsidRPr="00107040" w:rsidRDefault="00376D68" w:rsidP="000C16BB">
      <w:pPr>
        <w:spacing w:after="0" w:line="240" w:lineRule="auto"/>
        <w:ind w:firstLine="567"/>
        <w:jc w:val="both"/>
        <w:rPr>
          <w:rFonts w:ascii="Times New Roman" w:eastAsia="MS Mincho" w:hAnsi="Times New Roman"/>
          <w:sz w:val="28"/>
          <w:szCs w:val="28"/>
          <w:lang w:val="ru-RU" w:eastAsia="ja-JP"/>
        </w:rPr>
      </w:pPr>
    </w:p>
    <w:p w14:paraId="7BAEFD35" w14:textId="39FDBBEA" w:rsidR="00AA69DA" w:rsidRPr="00107040" w:rsidRDefault="00376D68"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hAnsi="Times New Roman"/>
          <w:noProof/>
          <w:sz w:val="28"/>
          <w:szCs w:val="28"/>
          <w:lang w:val="ru-RU" w:eastAsia="ru-RU"/>
        </w:rPr>
        <w:drawing>
          <wp:inline distT="0" distB="0" distL="0" distR="0" wp14:anchorId="02FC9041" wp14:editId="50112FBE">
            <wp:extent cx="3029585" cy="22929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9585" cy="2292985"/>
                    </a:xfrm>
                    <a:prstGeom prst="rect">
                      <a:avLst/>
                    </a:prstGeom>
                    <a:noFill/>
                    <a:ln>
                      <a:noFill/>
                    </a:ln>
                  </pic:spPr>
                </pic:pic>
              </a:graphicData>
            </a:graphic>
          </wp:inline>
        </w:drawing>
      </w:r>
    </w:p>
    <w:p w14:paraId="561ED221" w14:textId="77777777" w:rsidR="00376D68" w:rsidRPr="00107040" w:rsidRDefault="00376D68" w:rsidP="000C16BB">
      <w:pPr>
        <w:spacing w:after="0" w:line="240" w:lineRule="auto"/>
        <w:ind w:firstLine="567"/>
        <w:jc w:val="center"/>
        <w:rPr>
          <w:rFonts w:ascii="Times New Roman" w:eastAsia="MS Mincho" w:hAnsi="Times New Roman"/>
          <w:sz w:val="28"/>
          <w:szCs w:val="28"/>
          <w:lang w:val="ru-RU" w:eastAsia="ja-JP"/>
        </w:rPr>
      </w:pPr>
    </w:p>
    <w:p w14:paraId="0334D5F7" w14:textId="77777777" w:rsidR="00AA69DA" w:rsidRPr="00107040" w:rsidRDefault="00AA69DA" w:rsidP="000C16BB">
      <w:pPr>
        <w:spacing w:after="0" w:line="240" w:lineRule="auto"/>
        <w:jc w:val="center"/>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Очистка нa Ni-NTA мaтрице рекомбинантного AtPARP</w:t>
      </w:r>
      <w:r w:rsidRPr="00107040">
        <w:rPr>
          <w:rFonts w:ascii="Times New Roman" w:eastAsia="MS Mincho" w:hAnsi="Times New Roman"/>
          <w:bCs/>
          <w:sz w:val="28"/>
          <w:szCs w:val="28"/>
          <w:lang w:val="ru-RU" w:eastAsia="ja-JP"/>
        </w:rPr>
        <w:t>3</w:t>
      </w:r>
      <w:r w:rsidRPr="00107040">
        <w:rPr>
          <w:rFonts w:ascii="Times New Roman" w:eastAsia="MS Mincho" w:hAnsi="Times New Roman"/>
          <w:bCs/>
          <w:sz w:val="28"/>
          <w:szCs w:val="28"/>
          <w:lang w:val="kk-KZ" w:eastAsia="ja-JP"/>
        </w:rPr>
        <w:t>, coдeржaщего гиcтидинoвую мeтку. М - бeлкoвый мaркeр, рaзмeры кoтoрых укaзaны в кДa cлeвa. 1-9 - Oчищeнныe фрaкции белка.</w:t>
      </w:r>
    </w:p>
    <w:p w14:paraId="1D011403" w14:textId="77777777" w:rsidR="00AA69DA" w:rsidRPr="00107040" w:rsidRDefault="00AA69DA" w:rsidP="000C16BB">
      <w:pPr>
        <w:spacing w:after="0" w:line="240" w:lineRule="auto"/>
        <w:jc w:val="center"/>
        <w:rPr>
          <w:rFonts w:ascii="Times New Roman" w:eastAsia="MS Mincho" w:hAnsi="Times New Roman"/>
          <w:bCs/>
          <w:sz w:val="28"/>
          <w:szCs w:val="28"/>
          <w:lang w:val="kk-KZ" w:eastAsia="ja-JP"/>
        </w:rPr>
      </w:pPr>
    </w:p>
    <w:p w14:paraId="4D69822B" w14:textId="368024E9" w:rsidR="00AA69DA" w:rsidRPr="00107040" w:rsidRDefault="00AA69DA" w:rsidP="000C16BB">
      <w:pPr>
        <w:spacing w:after="0" w:line="240" w:lineRule="auto"/>
        <w:jc w:val="center"/>
        <w:rPr>
          <w:rFonts w:ascii="Times New Roman" w:eastAsia="MS Mincho" w:hAnsi="Times New Roman"/>
          <w:bCs/>
          <w:sz w:val="28"/>
          <w:szCs w:val="28"/>
          <w:lang w:val="kk-KZ" w:eastAsia="ja-JP"/>
        </w:rPr>
      </w:pPr>
      <w:r w:rsidRPr="00107040">
        <w:rPr>
          <w:rFonts w:ascii="Times New Roman" w:eastAsia="MS Mincho" w:hAnsi="Times New Roman"/>
          <w:bCs/>
          <w:sz w:val="28"/>
          <w:szCs w:val="28"/>
          <w:lang w:val="kk-KZ" w:eastAsia="ja-JP"/>
        </w:rPr>
        <w:t>Риcунoк 1</w:t>
      </w:r>
      <w:r w:rsidR="002A568C">
        <w:rPr>
          <w:rFonts w:ascii="Times New Roman" w:eastAsia="MS Mincho" w:hAnsi="Times New Roman"/>
          <w:bCs/>
          <w:sz w:val="28"/>
          <w:szCs w:val="28"/>
          <w:lang w:val="kk-KZ" w:eastAsia="ja-JP"/>
        </w:rPr>
        <w:t>9</w:t>
      </w:r>
      <w:r w:rsidRPr="00107040">
        <w:rPr>
          <w:rFonts w:ascii="Times New Roman" w:eastAsia="MS Mincho" w:hAnsi="Times New Roman"/>
          <w:bCs/>
          <w:sz w:val="28"/>
          <w:szCs w:val="28"/>
          <w:lang w:val="kk-KZ" w:eastAsia="ja-JP"/>
        </w:rPr>
        <w:t xml:space="preserve"> – Аффинная хроматография клеточного экстракта клеток </w:t>
      </w:r>
      <w:r w:rsidRPr="00107040">
        <w:rPr>
          <w:rFonts w:ascii="Times New Roman" w:eastAsia="MS Mincho" w:hAnsi="Times New Roman"/>
          <w:bCs/>
          <w:i/>
          <w:iCs/>
          <w:sz w:val="28"/>
          <w:szCs w:val="28"/>
          <w:lang w:val="kk-KZ" w:eastAsia="ja-JP"/>
        </w:rPr>
        <w:t>E.coli</w:t>
      </w:r>
      <w:r w:rsidRPr="00107040">
        <w:rPr>
          <w:rFonts w:ascii="Times New Roman" w:eastAsia="MS Mincho" w:hAnsi="Times New Roman"/>
          <w:bCs/>
          <w:sz w:val="28"/>
          <w:szCs w:val="28"/>
          <w:lang w:val="kk-KZ" w:eastAsia="ja-JP"/>
        </w:rPr>
        <w:t>, экспрессирующих рекомбинантные AtPARP3-6хHis</w:t>
      </w:r>
      <w:r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kk-KZ" w:eastAsia="ja-JP"/>
        </w:rPr>
        <w:t>белка</w:t>
      </w:r>
    </w:p>
    <w:p w14:paraId="63B39C9C" w14:textId="77777777" w:rsidR="00AA69DA" w:rsidRPr="00107040" w:rsidRDefault="00AA69DA" w:rsidP="000C16BB">
      <w:pPr>
        <w:spacing w:after="0" w:line="240" w:lineRule="auto"/>
        <w:ind w:firstLine="567"/>
        <w:jc w:val="both"/>
        <w:rPr>
          <w:rFonts w:ascii="Times New Roman" w:eastAsia="MS Mincho" w:hAnsi="Times New Roman"/>
          <w:iCs/>
          <w:sz w:val="28"/>
          <w:szCs w:val="28"/>
          <w:lang w:val="kk-KZ" w:eastAsia="ja-JP"/>
        </w:rPr>
      </w:pPr>
    </w:p>
    <w:p w14:paraId="7C8C0993" w14:textId="13ED2B49"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Как отмечалось выше наиболее предпочтительным субстратом для АtPARP1 является ДНК-дуплекс</w:t>
      </w:r>
      <w:r w:rsidRPr="00107040">
        <w:rPr>
          <w:rFonts w:ascii="Times New Roman" w:hAnsi="Times New Roman"/>
          <w:sz w:val="28"/>
          <w:szCs w:val="28"/>
          <w:lang w:val="ru-RU"/>
        </w:rPr>
        <w:t xml:space="preserve"> </w:t>
      </w:r>
      <w:r w:rsidRPr="00107040">
        <w:rPr>
          <w:rFonts w:ascii="Times New Roman" w:eastAsia="MS Mincho" w:hAnsi="Times New Roman"/>
          <w:sz w:val="28"/>
          <w:szCs w:val="28"/>
          <w:lang w:val="ru-RU" w:eastAsia="ja-JP"/>
        </w:rPr>
        <w:t>с одноцепочечными выступающими концами, содержащие короткий 15-мерный олигонуклеотид, с 5’-концевым фосфатом. В связи с этим</w:t>
      </w:r>
      <w:r w:rsidR="00495087" w:rsidRPr="00107040">
        <w:rPr>
          <w:rFonts w:ascii="Times New Roman" w:eastAsia="MS Mincho" w:hAnsi="Times New Roman"/>
          <w:sz w:val="28"/>
          <w:szCs w:val="28"/>
          <w:lang w:val="ru-RU" w:eastAsia="ja-JP"/>
        </w:rPr>
        <w:t xml:space="preserve"> было</w:t>
      </w:r>
      <w:r w:rsidRPr="00107040">
        <w:rPr>
          <w:rFonts w:ascii="Times New Roman" w:eastAsia="MS Mincho" w:hAnsi="Times New Roman"/>
          <w:sz w:val="28"/>
          <w:szCs w:val="28"/>
          <w:lang w:val="ru-RU" w:eastAsia="ja-JP"/>
        </w:rPr>
        <w:t xml:space="preserve"> реш</w:t>
      </w:r>
      <w:r w:rsidR="00495087" w:rsidRPr="00107040">
        <w:rPr>
          <w:rFonts w:ascii="Times New Roman" w:eastAsia="MS Mincho" w:hAnsi="Times New Roman"/>
          <w:sz w:val="28"/>
          <w:szCs w:val="28"/>
          <w:lang w:val="ru-RU" w:eastAsia="ja-JP"/>
        </w:rPr>
        <w:t>ено</w:t>
      </w:r>
      <w:r w:rsidRPr="00107040">
        <w:rPr>
          <w:rFonts w:ascii="Times New Roman" w:eastAsia="MS Mincho" w:hAnsi="Times New Roman"/>
          <w:sz w:val="28"/>
          <w:szCs w:val="28"/>
          <w:lang w:val="ru-RU" w:eastAsia="ja-JP"/>
        </w:rPr>
        <w:t xml:space="preserve"> проверить АДФ-рибозилирующую активность фермента с использованием Exo15•Rex12-T ДНК субстрата, который представляет собой дуплекс с 5'- однонитевой выступающей матричной цепью, состоящий из RexT и ExoA. В ДНК дуплексе 5'-конец ExoA были помечены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ru-RU" w:eastAsia="ja-JP"/>
        </w:rPr>
        <w:t>P]-радиоактивным фосфором. Как видно из представленных на рисунке</w:t>
      </w:r>
      <w:r w:rsidR="00F55A85" w:rsidRPr="00107040">
        <w:rPr>
          <w:rFonts w:ascii="Times New Roman" w:eastAsia="MS Mincho" w:hAnsi="Times New Roman"/>
          <w:sz w:val="28"/>
          <w:szCs w:val="28"/>
          <w:lang w:val="ru-RU" w:eastAsia="ja-JP"/>
        </w:rPr>
        <w:t xml:space="preserve"> </w:t>
      </w:r>
      <w:r w:rsidR="00371014">
        <w:rPr>
          <w:rFonts w:ascii="Times New Roman" w:eastAsia="MS Mincho" w:hAnsi="Times New Roman"/>
          <w:sz w:val="28"/>
          <w:szCs w:val="28"/>
          <w:lang w:val="ru-RU" w:eastAsia="ja-JP"/>
        </w:rPr>
        <w:t>20</w:t>
      </w:r>
      <w:r w:rsidRPr="00107040">
        <w:rPr>
          <w:rFonts w:ascii="Times New Roman" w:eastAsia="MS Mincho" w:hAnsi="Times New Roman"/>
          <w:sz w:val="28"/>
          <w:szCs w:val="28"/>
          <w:lang w:val="ru-RU" w:eastAsia="ja-JP"/>
        </w:rPr>
        <w:t xml:space="preserve"> данных, как АtPARP3, так и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3 человека не проявлял каких-либо обнаруживаемых активностей поли-АДФ рибозилирования ДНК, </w:t>
      </w:r>
      <w:r w:rsidRPr="00107040">
        <w:rPr>
          <w:rFonts w:ascii="Times New Roman" w:eastAsia="MS Mincho" w:hAnsi="Times New Roman"/>
          <w:iCs/>
          <w:sz w:val="28"/>
          <w:szCs w:val="28"/>
          <w:lang w:val="kk-KZ" w:eastAsia="ja-JP"/>
        </w:rPr>
        <w:t>даже если они присутствовали в избыточных количествах</w:t>
      </w:r>
      <w:r w:rsidRPr="00107040">
        <w:rPr>
          <w:rFonts w:ascii="Times New Roman" w:eastAsia="MS Mincho" w:hAnsi="Times New Roman"/>
          <w:sz w:val="28"/>
          <w:szCs w:val="28"/>
          <w:lang w:val="ru-RU" w:eastAsia="ja-JP"/>
        </w:rPr>
        <w:t>.</w:t>
      </w:r>
    </w:p>
    <w:p w14:paraId="235844BD" w14:textId="32F923AA" w:rsidR="00AA69DA" w:rsidRPr="00107040" w:rsidRDefault="00376D68"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hAnsi="Times New Roman"/>
          <w:noProof/>
          <w:sz w:val="28"/>
          <w:szCs w:val="28"/>
          <w:lang w:val="ru-RU" w:eastAsia="ru-RU"/>
        </w:rPr>
        <w:lastRenderedPageBreak/>
        <w:drawing>
          <wp:inline distT="0" distB="0" distL="0" distR="0" wp14:anchorId="2554C720" wp14:editId="60FC25DC">
            <wp:extent cx="2729865" cy="4135120"/>
            <wp:effectExtent l="19050" t="19050" r="13335" b="17780"/>
            <wp:docPr id="18" name="Рисунок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29865" cy="4135120"/>
                    </a:xfrm>
                    <a:prstGeom prst="rect">
                      <a:avLst/>
                    </a:prstGeom>
                    <a:noFill/>
                    <a:ln w="9525" cmpd="sng">
                      <a:solidFill>
                        <a:srgbClr val="000000"/>
                      </a:solidFill>
                      <a:miter lim="800000"/>
                      <a:headEnd/>
                      <a:tailEnd/>
                    </a:ln>
                    <a:effectLst/>
                  </pic:spPr>
                </pic:pic>
              </a:graphicData>
            </a:graphic>
          </wp:inline>
        </w:drawing>
      </w:r>
    </w:p>
    <w:p w14:paraId="1AD9FF36" w14:textId="77777777" w:rsidR="00376D68" w:rsidRPr="00107040" w:rsidRDefault="00376D68" w:rsidP="000C16BB">
      <w:pPr>
        <w:spacing w:after="0" w:line="240" w:lineRule="auto"/>
        <w:ind w:firstLine="567"/>
        <w:jc w:val="center"/>
        <w:rPr>
          <w:rFonts w:ascii="Times New Roman" w:eastAsia="MS Mincho" w:hAnsi="Times New Roman"/>
          <w:sz w:val="28"/>
          <w:szCs w:val="28"/>
          <w:lang w:val="ru-RU" w:eastAsia="ja-JP"/>
        </w:rPr>
      </w:pPr>
    </w:p>
    <w:p w14:paraId="0C51D5B7" w14:textId="6321EBA9" w:rsidR="00E5781C" w:rsidRPr="00107040" w:rsidRDefault="00AA69DA" w:rsidP="000C16BB">
      <w:pPr>
        <w:shd w:val="clear" w:color="auto" w:fill="FFFFFF"/>
        <w:spacing w:after="0" w:line="240" w:lineRule="auto"/>
        <w:ind w:firstLine="567"/>
        <w:jc w:val="center"/>
        <w:rPr>
          <w:rFonts w:ascii="Times New Roman" w:eastAsia="MS Mincho" w:hAnsi="Times New Roman"/>
          <w:bCs/>
          <w:sz w:val="28"/>
          <w:szCs w:val="28"/>
          <w:lang w:val="kk-KZ" w:eastAsia="ja-JP"/>
        </w:rPr>
      </w:pPr>
      <w:r w:rsidRPr="00107040">
        <w:rPr>
          <w:rFonts w:ascii="Times New Roman" w:eastAsia="MS Mincho" w:hAnsi="Times New Roman"/>
          <w:sz w:val="28"/>
          <w:szCs w:val="28"/>
          <w:lang w:val="ru-RU" w:eastAsia="ja-JP"/>
        </w:rPr>
        <w:t xml:space="preserve">Рисунок </w:t>
      </w:r>
      <w:r w:rsidR="002A568C">
        <w:rPr>
          <w:rFonts w:ascii="Times New Roman" w:eastAsia="MS Mincho" w:hAnsi="Times New Roman"/>
          <w:sz w:val="28"/>
          <w:szCs w:val="28"/>
          <w:lang w:val="ru-RU" w:eastAsia="ja-JP"/>
        </w:rPr>
        <w:t>20</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bCs/>
          <w:sz w:val="28"/>
          <w:szCs w:val="28"/>
          <w:lang w:val="ru-RU" w:eastAsia="ja-JP"/>
        </w:rPr>
        <w:t xml:space="preserve"> Денатурирующий ПААГ анализ активности </w:t>
      </w:r>
      <w:r w:rsidRPr="00107040">
        <w:rPr>
          <w:rFonts w:ascii="Times New Roman" w:eastAsia="MS Mincho" w:hAnsi="Times New Roman"/>
          <w:iCs/>
          <w:sz w:val="28"/>
          <w:szCs w:val="28"/>
          <w:lang w:val="kk-KZ" w:eastAsia="ja-JP"/>
        </w:rPr>
        <w:t>АtPARP3</w:t>
      </w:r>
    </w:p>
    <w:p w14:paraId="3A8072CC" w14:textId="77777777" w:rsidR="00AA69DA" w:rsidRPr="00107040" w:rsidRDefault="00AA69DA" w:rsidP="000C16BB">
      <w:pPr>
        <w:spacing w:after="0" w:line="240" w:lineRule="auto"/>
        <w:jc w:val="both"/>
        <w:rPr>
          <w:rFonts w:ascii="Times New Roman" w:eastAsia="MS Mincho" w:hAnsi="Times New Roman"/>
          <w:sz w:val="28"/>
          <w:szCs w:val="28"/>
          <w:lang w:val="kk-KZ" w:eastAsia="ja-JP"/>
        </w:rPr>
      </w:pPr>
    </w:p>
    <w:p w14:paraId="6CC0C11E" w14:textId="7CDDC09B"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bookmarkStart w:id="67" w:name="_Hlk106557110"/>
      <w:r w:rsidRPr="00107040">
        <w:rPr>
          <w:rFonts w:ascii="Times New Roman" w:eastAsia="MS Mincho" w:hAnsi="Times New Roman"/>
          <w:sz w:val="28"/>
          <w:szCs w:val="28"/>
          <w:lang w:val="ru-RU" w:eastAsia="ja-JP"/>
        </w:rPr>
        <w:t xml:space="preserve">Ранее было показано, что PARP3 человека эффективно продуцирует аддукты МАР-ДНК на концевых фосфатных остатках на концах DSB и SSB коротких и длинных молекул ДНК, проявляя субстратную специфичность близкую к PARP2 человека </w:t>
      </w:r>
      <w:r w:rsidR="00103C69" w:rsidRPr="00107040">
        <w:rPr>
          <w:rFonts w:ascii="Times New Roman" w:eastAsia="MS Mincho" w:hAnsi="Times New Roman"/>
          <w:sz w:val="28"/>
          <w:szCs w:val="28"/>
          <w:lang w:val="ru-RU" w:eastAsia="ja-JP"/>
        </w:rPr>
        <w:fldChar w:fldCharType="begin"/>
      </w:r>
      <w:r w:rsidR="00174ED5" w:rsidRPr="00107040">
        <w:rPr>
          <w:rFonts w:ascii="Times New Roman" w:eastAsia="MS Mincho" w:hAnsi="Times New Roman"/>
          <w:sz w:val="28"/>
          <w:szCs w:val="28"/>
          <w:lang w:val="ru-RU" w:eastAsia="ja-JP"/>
        </w:rPr>
        <w:instrText xml:space="preserve"> ADDIN ZOTERO_ITEM CSL_CITATION {"citationID":"Iu4vKAKh","properties":{"formattedCitation":"[31]","plainCitation":"[31]","noteIndex":0},"citationItems":[{"id":1295,"uris":["http://zotero.org/users/9078202/items/V43W7KVW"],"itemData":{"id":1295,"type":"article-journal","abstract":"Poly(ADP-ribose) polymerases (PARPs/ARTDs) use nicotinamide adenine dinucleotide (NAD+) to catalyse the synthesis of a long branched poly(ADP-ribose) polymer (PAR) attached to the acceptor amino acid residues of nuclear proteins. PARPs act on single- and double-stranded DNA breaks by recruiting DNA repair factors. Here, in in vitro biochemical experiments, we found that the mammalian PARP1 and PARP2 proteins can directly ADP-ribosylate the termini of DNA oligonucleotides. PARP1 preferentially catalysed covalent attachment of ADP-ribose units to the ends of recessed DNA duplexes containing 3'-cordycepin, 5'- and 3'-phosphate and also to 5'-phosphate of a single-stranded oligonucleotide. PARP2 preferentially ADP-ribosylated the nicked/gapped DNA duplexes containing 5'-phosphate at the double-stranded termini. PAR glycohydrolase (PARG) restored native DNA structure by hydrolysing PAR-DNA adducts generated by PARP1 and PARP2. Biochemical and mass spectrometry analyses of the adducts suggested that PARPs utilise DNA termini as an alternative to 2'-hydroxyl of ADP-ribose and protein acceptor residues to catalyse PAR chain initiation either via the 2',1″-O-glycosidic ribose-ribose bond or via phosphodiester bond formation between C1' of ADP-ribose and the phosphate of a terminal deoxyribonucleotide. This new type of post-replicative modification of DNA provides novel insights into the molecular mechanisms underlying biological phenomena of ADP-ribosylation mediated by PARPs.","container-title":"Nucleic Acids Research","DOI":"10.1093/nar/gkw675","ISSN":"1362-4962","issue":"19","journalAbbreviation":"Nucleic Acids Res","language":"eng","note":"PMID: 27471034\nPMCID: PMC5100588","page":"9279-9295","source":"PubMed","title":"Poly(ADP-ribose) polymerases covalently modify strand break termini in DNA fragments in vitro","volume":"44","author":[{"family":"Talhaoui","given":"Ibtissam"},{"family":"Lebedeva","given":"Natalia A."},{"family":"Zarkovic","given":"Gabriella"},{"family":"Saint-Pierre","given":"Christine"},{"family":"Kutuzov","given":"Mikhail M."},{"family":"Sukhanova","given":"Maria V."},{"family":"Matkarimov","given":"Bakhyt T."},{"family":"Gasparutto","given":"Didier"},{"family":"Saparbaev","given":"Murat K."},{"family":"Lavrik","given":"Olga I."},{"family":"Ishchenko","given":"Alexander A."}],"issued":{"date-parts":[["2016",11,2]]}}}],"schema":"https://github.com/citation-style-language/schema/raw/master/csl-citation.json"} </w:instrText>
      </w:r>
      <w:r w:rsidR="00103C69" w:rsidRPr="00107040">
        <w:rPr>
          <w:rFonts w:ascii="Times New Roman" w:eastAsia="MS Mincho" w:hAnsi="Times New Roman"/>
          <w:sz w:val="28"/>
          <w:szCs w:val="28"/>
          <w:lang w:val="ru-RU" w:eastAsia="ja-JP"/>
        </w:rPr>
        <w:fldChar w:fldCharType="separate"/>
      </w:r>
      <w:r w:rsidR="00174ED5" w:rsidRPr="00107040">
        <w:rPr>
          <w:rFonts w:ascii="Times New Roman" w:hAnsi="Times New Roman"/>
          <w:sz w:val="28"/>
          <w:szCs w:val="28"/>
        </w:rPr>
        <w:t>[31]</w:t>
      </w:r>
      <w:r w:rsidR="00103C69"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При этом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3 человека не был способен ПАРилировать ДНК дуплексы с одноцепочечными выступающими концами. Можно предположить, что АtPARP3, </w:t>
      </w:r>
      <w:r w:rsidRPr="00107040">
        <w:rPr>
          <w:rFonts w:ascii="Times New Roman" w:eastAsia="MS Mincho" w:hAnsi="Times New Roman"/>
          <w:bCs/>
          <w:iCs/>
          <w:sz w:val="28"/>
          <w:szCs w:val="28"/>
          <w:lang w:val="ru-RU" w:eastAsia="ja-JP"/>
        </w:rPr>
        <w:t xml:space="preserve">подобно таковой у аналогов млекопитающих, </w:t>
      </w:r>
      <w:r w:rsidRPr="00107040">
        <w:rPr>
          <w:rFonts w:ascii="Times New Roman" w:eastAsia="MS Mincho" w:hAnsi="Times New Roman"/>
          <w:sz w:val="28"/>
          <w:szCs w:val="28"/>
          <w:lang w:val="ru-RU" w:eastAsia="ja-JP"/>
        </w:rPr>
        <w:t xml:space="preserve">проявляет субстратную специфичность к ДНК дуплексам с разрывом и брешью. Далее, для того чтобы проверить АДФ-рибозилирующую активность фермента </w:t>
      </w:r>
      <w:r w:rsidR="00495087" w:rsidRPr="00107040">
        <w:rPr>
          <w:rFonts w:ascii="Times New Roman" w:eastAsia="MS Mincho" w:hAnsi="Times New Roman"/>
          <w:sz w:val="28"/>
          <w:szCs w:val="28"/>
          <w:lang w:val="ru-RU" w:eastAsia="ja-JP"/>
        </w:rPr>
        <w:t xml:space="preserve">были </w:t>
      </w:r>
      <w:r w:rsidRPr="00107040">
        <w:rPr>
          <w:rFonts w:ascii="Times New Roman" w:eastAsia="MS Mincho" w:hAnsi="Times New Roman"/>
          <w:sz w:val="28"/>
          <w:szCs w:val="28"/>
          <w:lang w:val="ru-RU" w:eastAsia="ja-JP"/>
        </w:rPr>
        <w:t>использова</w:t>
      </w:r>
      <w:r w:rsidR="00495087" w:rsidRPr="00107040">
        <w:rPr>
          <w:rFonts w:ascii="Times New Roman" w:eastAsia="MS Mincho" w:hAnsi="Times New Roman"/>
          <w:sz w:val="28"/>
          <w:szCs w:val="28"/>
          <w:lang w:val="ru-RU" w:eastAsia="ja-JP"/>
        </w:rPr>
        <w:t>ны</w:t>
      </w:r>
      <w:r w:rsidRPr="00107040">
        <w:rPr>
          <w:rFonts w:ascii="Times New Roman" w:eastAsia="MS Mincho" w:hAnsi="Times New Roman"/>
          <w:sz w:val="28"/>
          <w:szCs w:val="28"/>
          <w:lang w:val="ru-RU" w:eastAsia="ja-JP"/>
        </w:rPr>
        <w:t xml:space="preserve"> ДНК-субстраты, содержащие разрыв и брешь длиной в один и два нуклеотида. В качестве положительного контроля использовали PARP3 человека. </w:t>
      </w:r>
    </w:p>
    <w:bookmarkEnd w:id="67"/>
    <w:p w14:paraId="39BD80E7" w14:textId="50AF7EFA" w:rsidR="00366063" w:rsidRPr="00107040" w:rsidRDefault="00366063"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Как видно из рисунк</w:t>
      </w:r>
      <w:r w:rsidR="00371014">
        <w:rPr>
          <w:rFonts w:ascii="Times New Roman" w:eastAsia="MS Mincho" w:hAnsi="Times New Roman"/>
          <w:sz w:val="28"/>
          <w:szCs w:val="28"/>
          <w:lang w:val="ru-RU" w:eastAsia="ja-JP"/>
        </w:rPr>
        <w:t xml:space="preserve">а </w:t>
      </w:r>
      <w:r w:rsidR="002A568C">
        <w:rPr>
          <w:rFonts w:ascii="Times New Roman" w:eastAsia="MS Mincho" w:hAnsi="Times New Roman"/>
          <w:sz w:val="28"/>
          <w:szCs w:val="28"/>
          <w:lang w:val="ru-RU" w:eastAsia="ja-JP"/>
        </w:rPr>
        <w:t>21</w:t>
      </w:r>
      <w:r w:rsidRPr="00107040">
        <w:rPr>
          <w:rFonts w:ascii="Times New Roman" w:eastAsia="MS Mincho" w:hAnsi="Times New Roman"/>
          <w:sz w:val="28"/>
          <w:szCs w:val="28"/>
          <w:lang w:val="ru-RU" w:eastAsia="ja-JP"/>
        </w:rPr>
        <w:t xml:space="preserve">, несмотря на предположение что </w:t>
      </w:r>
      <w:bookmarkStart w:id="68" w:name="_Hlk106557207"/>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3 будет </w:t>
      </w:r>
      <w:r w:rsidRPr="00107040">
        <w:rPr>
          <w:rFonts w:ascii="Times New Roman" w:eastAsia="MS Mincho" w:hAnsi="Times New Roman"/>
          <w:noProof/>
          <w:sz w:val="28"/>
          <w:szCs w:val="28"/>
          <w:lang w:val="ru-RU" w:eastAsia="ja-JP"/>
        </w:rPr>
        <w:t>показывать</w:t>
      </w:r>
      <w:r w:rsidRPr="00107040">
        <w:rPr>
          <w:rFonts w:ascii="Times New Roman" w:eastAsia="MS Mincho" w:hAnsi="Times New Roman"/>
          <w:sz w:val="28"/>
          <w:szCs w:val="28"/>
          <w:lang w:val="ru-RU" w:eastAsia="ja-JP"/>
        </w:rPr>
        <w:t xml:space="preserve"> возможную моно(АДФ-рибозил)ирующую активность, мы не наблюдали </w:t>
      </w:r>
      <w:r w:rsidRPr="00107040">
        <w:rPr>
          <w:rFonts w:ascii="Times New Roman" w:eastAsia="MS Mincho" w:hAnsi="Times New Roman"/>
          <w:sz w:val="28"/>
          <w:szCs w:val="28"/>
          <w:lang w:val="kk-KZ" w:eastAsia="ja-JP"/>
        </w:rPr>
        <w:t>активност</w:t>
      </w:r>
      <w:r w:rsidR="00495087" w:rsidRPr="00107040">
        <w:rPr>
          <w:rFonts w:ascii="Times New Roman" w:eastAsia="MS Mincho" w:hAnsi="Times New Roman"/>
          <w:sz w:val="28"/>
          <w:szCs w:val="28"/>
          <w:lang w:val="kk-KZ" w:eastAsia="ja-JP"/>
        </w:rPr>
        <w:t>и</w:t>
      </w:r>
      <w:r w:rsidRPr="00107040">
        <w:rPr>
          <w:rFonts w:ascii="Times New Roman" w:eastAsia="MS Mincho" w:hAnsi="Times New Roman"/>
          <w:sz w:val="28"/>
          <w:szCs w:val="28"/>
          <w:lang w:val="kk-KZ" w:eastAsia="ja-JP"/>
        </w:rPr>
        <w:t xml:space="preserve"> этого фермента. При этом, человеческий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3 продуцировал МАР-ДНК на всех исследованных ДНК субстратах</w:t>
      </w:r>
      <w:r w:rsidR="00ED7215" w:rsidRPr="00ED7215">
        <w:rPr>
          <w:rFonts w:ascii="Times New Roman" w:eastAsia="MS Mincho" w:hAnsi="Times New Roman"/>
          <w:sz w:val="28"/>
          <w:szCs w:val="28"/>
          <w:lang w:val="ru-RU" w:eastAsia="ja-JP"/>
        </w:rPr>
        <w:t xml:space="preserve"> [467, 470]</w:t>
      </w:r>
      <w:r w:rsidRPr="00107040">
        <w:rPr>
          <w:rFonts w:ascii="Times New Roman" w:eastAsia="MS Mincho" w:hAnsi="Times New Roman"/>
          <w:sz w:val="28"/>
          <w:szCs w:val="28"/>
          <w:lang w:val="ru-RU" w:eastAsia="ja-JP"/>
        </w:rPr>
        <w:t xml:space="preserve">. </w:t>
      </w:r>
    </w:p>
    <w:p w14:paraId="3606F210" w14:textId="5E7F1820" w:rsidR="00AA69DA" w:rsidRPr="00107040" w:rsidRDefault="00366063"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kk-KZ" w:eastAsia="ja-JP"/>
        </w:rPr>
        <w:t xml:space="preserve">Таким образом, AtPARP3 не проявляет (АДФ-рибозил)ирующую активность как по отношению к </w:t>
      </w:r>
      <w:r w:rsidRPr="00107040">
        <w:rPr>
          <w:rFonts w:ascii="Times New Roman" w:eastAsia="MS Mincho" w:hAnsi="Times New Roman"/>
          <w:sz w:val="28"/>
          <w:szCs w:val="28"/>
          <w:lang w:val="ru-RU" w:eastAsia="ja-JP"/>
        </w:rPr>
        <w:t xml:space="preserve">дуплексам с 5'- однонитевой выступающей матричной цепью, так и </w:t>
      </w:r>
      <w:r w:rsidRPr="00107040">
        <w:rPr>
          <w:rFonts w:ascii="Times New Roman" w:eastAsia="MS Mincho" w:hAnsi="Times New Roman"/>
          <w:sz w:val="28"/>
          <w:szCs w:val="28"/>
          <w:lang w:val="kk-KZ" w:eastAsia="ja-JP"/>
        </w:rPr>
        <w:t xml:space="preserve">ДНК дуплексам с разрывом и брешью. </w:t>
      </w:r>
      <w:bookmarkEnd w:id="68"/>
    </w:p>
    <w:p w14:paraId="438128FA" w14:textId="35BACC26" w:rsidR="00AA69DA" w:rsidRPr="00107040" w:rsidRDefault="00376D68" w:rsidP="000C16BB">
      <w:pPr>
        <w:spacing w:after="0" w:line="240" w:lineRule="auto"/>
        <w:jc w:val="center"/>
        <w:rPr>
          <w:rFonts w:ascii="Times New Roman" w:eastAsia="MS Mincho" w:hAnsi="Times New Roman"/>
          <w:sz w:val="28"/>
          <w:szCs w:val="28"/>
          <w:lang w:val="kk-KZ" w:eastAsia="ja-JP"/>
        </w:rPr>
      </w:pPr>
      <w:r w:rsidRPr="00107040">
        <w:rPr>
          <w:rFonts w:ascii="Times New Roman" w:eastAsia="MS Mincho" w:hAnsi="Times New Roman"/>
          <w:noProof/>
          <w:sz w:val="28"/>
          <w:szCs w:val="28"/>
          <w:lang w:val="ru-RU" w:eastAsia="ru-RU"/>
        </w:rPr>
        <w:lastRenderedPageBreak/>
        <w:drawing>
          <wp:inline distT="0" distB="0" distL="0" distR="0" wp14:anchorId="134996A6" wp14:editId="62FC9C64">
            <wp:extent cx="3152775" cy="3780155"/>
            <wp:effectExtent l="19050" t="19050" r="28575" b="10795"/>
            <wp:docPr id="19" name="Рисунок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8"/>
                    <pic:cNvPicPr>
                      <a:picLocks noGrp="1"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52775" cy="3780155"/>
                    </a:xfrm>
                    <a:prstGeom prst="rect">
                      <a:avLst/>
                    </a:prstGeom>
                    <a:noFill/>
                    <a:ln w="9525" cmpd="sng">
                      <a:solidFill>
                        <a:srgbClr val="000000"/>
                      </a:solidFill>
                      <a:miter lim="800000"/>
                      <a:headEnd/>
                      <a:tailEnd/>
                    </a:ln>
                    <a:effectLst/>
                  </pic:spPr>
                </pic:pic>
              </a:graphicData>
            </a:graphic>
          </wp:inline>
        </w:drawing>
      </w:r>
    </w:p>
    <w:p w14:paraId="5A36AE16" w14:textId="77777777" w:rsidR="00376D68" w:rsidRPr="00107040" w:rsidRDefault="00376D68" w:rsidP="000C16BB">
      <w:pPr>
        <w:spacing w:after="0" w:line="240" w:lineRule="auto"/>
        <w:jc w:val="center"/>
        <w:rPr>
          <w:rFonts w:ascii="Times New Roman" w:eastAsia="MS Mincho" w:hAnsi="Times New Roman"/>
          <w:sz w:val="28"/>
          <w:szCs w:val="28"/>
          <w:lang w:val="kk-KZ" w:eastAsia="ja-JP"/>
        </w:rPr>
      </w:pPr>
    </w:p>
    <w:p w14:paraId="4D0DDE81" w14:textId="403A3FE1" w:rsidR="00106684" w:rsidRPr="00107040" w:rsidRDefault="00AA69DA" w:rsidP="000C16BB">
      <w:pPr>
        <w:shd w:val="clear" w:color="auto" w:fill="FFFFFF"/>
        <w:spacing w:after="0" w:line="240" w:lineRule="auto"/>
        <w:ind w:firstLine="567"/>
        <w:jc w:val="center"/>
        <w:rPr>
          <w:rFonts w:ascii="Times New Roman" w:eastAsia="MS Mincho" w:hAnsi="Times New Roman"/>
          <w:bCs/>
          <w:sz w:val="28"/>
          <w:szCs w:val="28"/>
          <w:lang w:val="kk-KZ" w:eastAsia="ja-JP"/>
        </w:rPr>
      </w:pPr>
      <w:r w:rsidRPr="00107040">
        <w:rPr>
          <w:rFonts w:ascii="Times New Roman" w:eastAsia="MS Mincho" w:hAnsi="Times New Roman"/>
          <w:sz w:val="28"/>
          <w:szCs w:val="28"/>
          <w:lang w:val="ru-RU" w:eastAsia="ja-JP"/>
        </w:rPr>
        <w:t xml:space="preserve">Рисунок </w:t>
      </w:r>
      <w:r w:rsidR="002A568C">
        <w:rPr>
          <w:rFonts w:ascii="Times New Roman" w:eastAsia="MS Mincho" w:hAnsi="Times New Roman"/>
          <w:sz w:val="28"/>
          <w:szCs w:val="28"/>
          <w:lang w:val="ru-RU" w:eastAsia="ja-JP"/>
        </w:rPr>
        <w:t>21</w:t>
      </w:r>
      <w:r w:rsidRPr="00107040">
        <w:rPr>
          <w:rFonts w:ascii="Times New Roman" w:eastAsia="MS Mincho" w:hAnsi="Times New Roman"/>
          <w:sz w:val="28"/>
          <w:szCs w:val="28"/>
          <w:lang w:val="ru-RU" w:eastAsia="ja-JP"/>
        </w:rPr>
        <w:t xml:space="preserve"> – </w:t>
      </w:r>
      <w:r w:rsidRPr="00107040">
        <w:rPr>
          <w:rFonts w:ascii="Times New Roman" w:eastAsia="MS Mincho" w:hAnsi="Times New Roman"/>
          <w:bCs/>
          <w:sz w:val="28"/>
          <w:szCs w:val="28"/>
          <w:lang w:val="ru-RU" w:eastAsia="ja-JP"/>
        </w:rPr>
        <w:t xml:space="preserve">Денатурирующий ПААГ анализ </w:t>
      </w:r>
      <w:r w:rsidR="00106684" w:rsidRPr="00107040">
        <w:rPr>
          <w:rFonts w:ascii="Times New Roman" w:eastAsia="MS Mincho" w:hAnsi="Times New Roman"/>
          <w:bCs/>
          <w:sz w:val="28"/>
          <w:szCs w:val="28"/>
          <w:lang w:val="ru-RU" w:eastAsia="ja-JP"/>
        </w:rPr>
        <w:t xml:space="preserve">ПАРилирования ДНК субстрата в зависимости от концентрации </w:t>
      </w:r>
      <w:r w:rsidRPr="00107040">
        <w:rPr>
          <w:rFonts w:ascii="Times New Roman" w:eastAsia="MS Mincho" w:hAnsi="Times New Roman"/>
          <w:iCs/>
          <w:sz w:val="28"/>
          <w:szCs w:val="28"/>
          <w:lang w:val="kk-KZ" w:eastAsia="ja-JP"/>
        </w:rPr>
        <w:t>АtPARP3</w:t>
      </w:r>
      <w:r w:rsidRPr="00107040">
        <w:rPr>
          <w:rFonts w:ascii="Times New Roman" w:hAnsi="Times New Roman"/>
          <w:sz w:val="28"/>
          <w:szCs w:val="28"/>
          <w:lang w:val="kk-KZ"/>
        </w:rPr>
        <w:t xml:space="preserve"> </w:t>
      </w:r>
    </w:p>
    <w:p w14:paraId="281DD2FB" w14:textId="77777777" w:rsidR="00106684" w:rsidRPr="00107040" w:rsidRDefault="00106684" w:rsidP="000C16BB">
      <w:pPr>
        <w:shd w:val="clear" w:color="auto" w:fill="FFFFFF"/>
        <w:spacing w:after="0" w:line="240" w:lineRule="auto"/>
        <w:rPr>
          <w:rFonts w:ascii="Times New Roman" w:eastAsia="MS Mincho" w:hAnsi="Times New Roman"/>
          <w:bCs/>
          <w:sz w:val="28"/>
          <w:szCs w:val="28"/>
          <w:lang w:val="kk-KZ" w:eastAsia="ja-JP"/>
        </w:rPr>
      </w:pPr>
    </w:p>
    <w:p w14:paraId="1B33B20A" w14:textId="0A2E64E4" w:rsidR="00AA69DA" w:rsidRPr="00107040" w:rsidRDefault="00AA69DA" w:rsidP="000C16BB">
      <w:pPr>
        <w:spacing w:after="0" w:line="240" w:lineRule="auto"/>
        <w:ind w:firstLine="567"/>
        <w:jc w:val="both"/>
        <w:rPr>
          <w:rFonts w:ascii="Times New Roman" w:hAnsi="Times New Roman"/>
          <w:sz w:val="28"/>
          <w:szCs w:val="28"/>
          <w:lang w:val="ru-RU"/>
        </w:rPr>
      </w:pPr>
      <w:bookmarkStart w:id="69" w:name="_Hlk106557310"/>
      <w:r w:rsidRPr="00107040">
        <w:rPr>
          <w:rFonts w:ascii="Times New Roman" w:hAnsi="Times New Roman"/>
          <w:sz w:val="28"/>
          <w:szCs w:val="28"/>
          <w:lang w:val="ru-RU"/>
        </w:rPr>
        <w:t xml:space="preserve">Как отмечалось выше, </w:t>
      </w:r>
      <w:r w:rsidRPr="00107040">
        <w:rPr>
          <w:rFonts w:ascii="Times New Roman" w:hAnsi="Times New Roman"/>
          <w:sz w:val="28"/>
          <w:szCs w:val="28"/>
          <w:lang w:val="en-US"/>
        </w:rPr>
        <w:t>Hs</w:t>
      </w:r>
      <w:r w:rsidRPr="00107040">
        <w:rPr>
          <w:rFonts w:ascii="Times New Roman" w:hAnsi="Times New Roman"/>
          <w:sz w:val="28"/>
          <w:szCs w:val="28"/>
          <w:lang w:val="ru-RU"/>
        </w:rPr>
        <w:t xml:space="preserve">PARP3 человека состоит из нескольких доменов, включая WGR, </w:t>
      </w:r>
      <w:r w:rsidRPr="00107040">
        <w:rPr>
          <w:rFonts w:ascii="Times New Roman" w:hAnsi="Times New Roman"/>
          <w:sz w:val="28"/>
          <w:szCs w:val="28"/>
          <w:lang w:val="en-US"/>
        </w:rPr>
        <w:t>PRD</w:t>
      </w:r>
      <w:r w:rsidRPr="00107040">
        <w:rPr>
          <w:rFonts w:ascii="Times New Roman" w:hAnsi="Times New Roman"/>
          <w:sz w:val="28"/>
          <w:szCs w:val="28"/>
          <w:lang w:val="ru-RU"/>
        </w:rPr>
        <w:t>(</w:t>
      </w:r>
      <w:r w:rsidRPr="00107040">
        <w:rPr>
          <w:rFonts w:ascii="Times New Roman" w:hAnsi="Times New Roman"/>
          <w:sz w:val="28"/>
          <w:szCs w:val="28"/>
          <w:lang w:val="en-US"/>
        </w:rPr>
        <w:t>HD</w:t>
      </w:r>
      <w:r w:rsidRPr="00107040">
        <w:rPr>
          <w:rFonts w:ascii="Times New Roman" w:hAnsi="Times New Roman"/>
          <w:sz w:val="28"/>
          <w:szCs w:val="28"/>
          <w:lang w:val="ru-RU"/>
        </w:rPr>
        <w:t xml:space="preserve">) и каталитического доменов (Рисунок </w:t>
      </w:r>
      <w:r w:rsidR="002A568C">
        <w:rPr>
          <w:rFonts w:ascii="Times New Roman" w:hAnsi="Times New Roman"/>
          <w:sz w:val="28"/>
          <w:szCs w:val="28"/>
          <w:lang w:val="ru-RU"/>
        </w:rPr>
        <w:t>22</w:t>
      </w:r>
      <w:r w:rsidRPr="00107040">
        <w:rPr>
          <w:rFonts w:ascii="Times New Roman" w:hAnsi="Times New Roman"/>
          <w:sz w:val="28"/>
          <w:szCs w:val="28"/>
          <w:lang w:val="ru-RU"/>
        </w:rPr>
        <w:t xml:space="preserve">).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3 значительно длиннее HsPARP</w:t>
      </w:r>
      <w:r w:rsidRPr="00107040">
        <w:rPr>
          <w:rFonts w:ascii="Times New Roman" w:hAnsi="Times New Roman"/>
          <w:sz w:val="28"/>
          <w:szCs w:val="28"/>
          <w:lang w:val="ru-RU"/>
        </w:rPr>
        <w:t xml:space="preserve">3, дополнительно к вышеуказанным доменам содержит BRCT-домен (от breast cancer type 1), который требуется для взаимодействия PARP фермента с различными белками-партнерами. </w:t>
      </w:r>
    </w:p>
    <w:p w14:paraId="2941EEB8" w14:textId="370BB029" w:rsidR="00AA69DA" w:rsidRPr="00107040" w:rsidRDefault="00AA69DA" w:rsidP="000C16BB">
      <w:pPr>
        <w:spacing w:after="0" w:line="240" w:lineRule="auto"/>
        <w:ind w:firstLine="567"/>
        <w:jc w:val="both"/>
        <w:rPr>
          <w:rFonts w:ascii="Times New Roman" w:hAnsi="Times New Roman"/>
          <w:sz w:val="28"/>
          <w:szCs w:val="28"/>
          <w:lang w:val="ru-RU"/>
        </w:rPr>
      </w:pP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ферменты </w:t>
      </w:r>
      <w:r w:rsidRPr="00107040">
        <w:rPr>
          <w:rFonts w:ascii="Times New Roman" w:hAnsi="Times New Roman"/>
          <w:sz w:val="28"/>
          <w:szCs w:val="28"/>
          <w:lang w:val="ru-RU"/>
        </w:rPr>
        <w:t>катализируют синтез полимеров АДФ-рибозы, ковалентно связанных с акцепторными белками, используя в качестве субстрата НАД</w:t>
      </w:r>
      <w:r w:rsidRPr="00107040">
        <w:rPr>
          <w:rFonts w:ascii="Times New Roman" w:hAnsi="Times New Roman"/>
          <w:sz w:val="28"/>
          <w:szCs w:val="28"/>
          <w:vertAlign w:val="superscript"/>
          <w:lang w:val="ru-RU"/>
        </w:rPr>
        <w:t>+</w:t>
      </w:r>
      <w:r w:rsidRPr="00107040">
        <w:rPr>
          <w:rFonts w:ascii="Times New Roman" w:hAnsi="Times New Roman"/>
          <w:sz w:val="28"/>
          <w:szCs w:val="28"/>
          <w:lang w:val="ru-RU"/>
        </w:rPr>
        <w:t xml:space="preserve">. Показано, HD домен ингибирует каталитическую активность PARP ферментов, при этом делеция HD приводить к конститутивной гиперактивации PARP </w:t>
      </w:r>
      <w:r w:rsidR="000E75FB" w:rsidRPr="00107040">
        <w:rPr>
          <w:rFonts w:ascii="Times New Roman" w:hAnsi="Times New Roman"/>
          <w:sz w:val="28"/>
          <w:szCs w:val="28"/>
          <w:lang w:val="ru-RU"/>
        </w:rPr>
        <w:fldChar w:fldCharType="begin"/>
      </w:r>
      <w:r w:rsidR="00FB5E68">
        <w:rPr>
          <w:rFonts w:ascii="Times New Roman" w:hAnsi="Times New Roman"/>
          <w:sz w:val="28"/>
          <w:szCs w:val="28"/>
          <w:lang w:val="ru-RU"/>
        </w:rPr>
        <w:instrText xml:space="preserve"> ADDIN ZOTERO_ITEM CSL_CITATION {"citationID":"7cRpRxI6","properties":{"formattedCitation":"[457]","plainCitation":"[457]","noteIndex":0},"citationItems":[{"id":1347,"uris":["http://zotero.org/users/9078202/items/MYEVIHHG"],"itemData":{"id":1347,"type":"article-journal","abstract":"Poly(ADP-ribose) polymerase-1 (PARP-1) creates the posttranslational modification PAR from substrate NAD(+) to regulate multiple cellular processes. DNA breaks sharply elevate PARP-1 catalytic activity to mount a cell survival repair response, whereas persistent PARP-1 hyperactivation during severe genotoxic stress is associated with cell death. The mechanism for tight control of the robust catalytic potential of PARP-1 remains unclear. By monitoring PARP-1 dynamics using hydrogen/deuterium exchange-mass spectrometry (HXMS), we unexpectedly find that a specific portion of the helical subdomain (HD) of the catalytic domain rapidly unfolds when PARP-1 encounters a DNA break. Together with biochemical and crystallographic analysis of HD deletion mutants, we show that the HD is an autoinhibitory domain that blocks productive NAD(+) binding. Our molecular model explains how PARP-1 DNA damage detection leads to local unfolding of the HD that relieves autoinhibition, and has important implications for the design of PARP inhibitors.","container-title":"Molecular Cell","DOI":"10.1016/j.molcel.2015.10.013","ISSN":"1097-4164","issue":"5","journalAbbreviation":"Mol Cell","language":"eng","note":"PMID: 26626480\nPMCID: PMC4712911","page":"755-768","source":"PubMed","title":"PARP-1 Activation Requires Local Unfolding of an Autoinhibitory Domain","volume":"60","author":[{"family":"Dawicki-McKenna","given":"Jennine M."},{"family":"Langelier","given":"Marie-France"},{"family":"DeNizio","given":"Jamie E."},{"family":"Riccio","given":"Amanda A."},{"family":"Cao","given":"Connie D."},{"family":"Karch","given":"Kelly R."},{"family":"McCauley","given":"Michael"},{"family":"Steffen","given":"Jamin D."},{"family":"Black","given":"Ben E."},{"family":"Pascal","given":"John M."}],"issued":{"date-parts":[["2015",12,3]]}}}],"schema":"https://github.com/citation-style-language/schema/raw/master/csl-citation.json"} </w:instrText>
      </w:r>
      <w:r w:rsidR="000E75FB" w:rsidRPr="00107040">
        <w:rPr>
          <w:rFonts w:ascii="Times New Roman" w:hAnsi="Times New Roman"/>
          <w:sz w:val="28"/>
          <w:szCs w:val="28"/>
          <w:lang w:val="ru-RU"/>
        </w:rPr>
        <w:fldChar w:fldCharType="separate"/>
      </w:r>
      <w:r w:rsidR="00FB5E68" w:rsidRPr="00FB5E68">
        <w:rPr>
          <w:rFonts w:ascii="Times New Roman" w:hAnsi="Times New Roman"/>
          <w:sz w:val="28"/>
        </w:rPr>
        <w:t>[457]</w:t>
      </w:r>
      <w:r w:rsidR="000E75FB" w:rsidRPr="00107040">
        <w:rPr>
          <w:rFonts w:ascii="Times New Roman" w:hAnsi="Times New Roman"/>
          <w:sz w:val="28"/>
          <w:szCs w:val="28"/>
          <w:lang w:val="ru-RU"/>
        </w:rPr>
        <w:fldChar w:fldCharType="end"/>
      </w:r>
      <w:r w:rsidRPr="00107040">
        <w:rPr>
          <w:rFonts w:ascii="Times New Roman" w:hAnsi="Times New Roman"/>
          <w:sz w:val="28"/>
          <w:szCs w:val="28"/>
          <w:lang w:val="ru-RU"/>
        </w:rPr>
        <w:t xml:space="preserve">. Кроме того, аутоингибирующая роль HD сохраняется в PARP2 и PARP3 млекопитающих, активность которых зависит от повреждения ДНК </w:t>
      </w:r>
      <w:r w:rsidR="000E75FB" w:rsidRPr="00107040">
        <w:rPr>
          <w:rFonts w:ascii="Times New Roman" w:hAnsi="Times New Roman"/>
          <w:sz w:val="28"/>
          <w:szCs w:val="28"/>
          <w:lang w:val="ru-RU"/>
        </w:rPr>
        <w:fldChar w:fldCharType="begin"/>
      </w:r>
      <w:r w:rsidR="008611DC">
        <w:rPr>
          <w:rFonts w:ascii="Times New Roman" w:hAnsi="Times New Roman"/>
          <w:sz w:val="28"/>
          <w:szCs w:val="28"/>
          <w:lang w:val="ru-RU"/>
        </w:rPr>
        <w:instrText xml:space="preserve"> ADDIN ZOTERO_ITEM CSL_CITATION {"citationID":"xeP7Vimp","properties":{"formattedCitation":"[204]","plainCitation":"[204]","noteIndex":0},"citationItems":[{"id":194,"uris":["http://zotero.org/users/9078202/items/JFM3DRCZ"],"itemData":{"id":194,"type":"article-journal","abstract":"PARP-1, PARP-2 and PARP-3 are DNA-dependent PARPs that localize to DNA damage, synthesize poly(ADP-ribose) (PAR) covalently attached to target proteins including themselves, and thereby recruit repair factors to DNA breaks to increase repair efficiency. PARP-1, PARP-2 and PARP-3 have in common two C-terminal domains-Trp-Gly-Arg (WGR) and catalytic (CAT). In contrast, the N-terminal region (NTR) of PARP-1 is over 500 residues and includes four regulatory domains, whereas PARP-2 and PARP-3 have smaller NTRs (70 and 40 residues, respectively) of unknown structural composition and function. Here, we show that PARP-2 and PARP-3 are preferentially activated by DNA breaks harboring a 5' phosphate (5'P), suggesting selective activation in response to specific DNA repair intermediates, in particular structures that are competent for DNA ligation. In contrast to PARP-1, the NTRs of PARP-2 and PARP-3 are not strictly required for DNA binding or for DNA-dependent activation. Rather, the WGR domain is the central regulatory domain of PARP-2 and PARP-3. Finally, PARP-1, PARP-2 and PARP-3 share an allosteric regulatory mechanism of DNA-dependent catalytic activation through a local destabilization of the CAT. Collectively, our study provides new insights into the specialization of the DNA-dependent PARPs and their specific roles in DNA repair pathways.","container-title":"Nucleic Acids Research","DOI":"10.1093/nar/gku474","ISSN":"1362-4962","issue":"12","journalAbbreviation":"Nucleic Acids Res","language":"eng","note":"PMID: 24928857\nPMCID: PMC4081085","page":"7762-7775","source":"PubMed","title":"PARP-2 and PARP-3 are selectively activated by 5' phosphorylated DNA breaks through an allosteric regulatory mechanism shared with PARP-1","volume":"42","author":[{"family":"Langelier","given":"Marie-France"},{"family":"Riccio","given":"Amanda A."},{"family":"Pascal","given":"John M."}],"issued":{"date-parts":[["2014",7]]}}}],"schema":"https://github.com/citation-style-language/schema/raw/master/csl-citation.json"} </w:instrText>
      </w:r>
      <w:r w:rsidR="000E75FB" w:rsidRPr="00107040">
        <w:rPr>
          <w:rFonts w:ascii="Times New Roman" w:hAnsi="Times New Roman"/>
          <w:sz w:val="28"/>
          <w:szCs w:val="28"/>
          <w:lang w:val="ru-RU"/>
        </w:rPr>
        <w:fldChar w:fldCharType="separate"/>
      </w:r>
      <w:r w:rsidR="008611DC" w:rsidRPr="008611DC">
        <w:rPr>
          <w:rFonts w:ascii="Times New Roman" w:hAnsi="Times New Roman"/>
          <w:sz w:val="28"/>
        </w:rPr>
        <w:t>[204]</w:t>
      </w:r>
      <w:r w:rsidR="000E75FB" w:rsidRPr="00107040">
        <w:rPr>
          <w:rFonts w:ascii="Times New Roman" w:hAnsi="Times New Roman"/>
          <w:sz w:val="28"/>
          <w:szCs w:val="28"/>
          <w:lang w:val="ru-RU"/>
        </w:rPr>
        <w:fldChar w:fldCharType="end"/>
      </w:r>
      <w:r w:rsidRPr="00107040">
        <w:rPr>
          <w:rFonts w:ascii="Times New Roman" w:hAnsi="Times New Roman"/>
          <w:sz w:val="28"/>
          <w:szCs w:val="28"/>
          <w:lang w:val="ru-RU"/>
        </w:rPr>
        <w:t xml:space="preserve">. </w:t>
      </w:r>
    </w:p>
    <w:p w14:paraId="616FCE73" w14:textId="4A8769AE" w:rsidR="00AA69DA" w:rsidRPr="00107040" w:rsidRDefault="00AA69DA" w:rsidP="000C16BB">
      <w:pPr>
        <w:spacing w:after="0" w:line="240" w:lineRule="auto"/>
        <w:ind w:firstLine="567"/>
        <w:jc w:val="both"/>
        <w:rPr>
          <w:rFonts w:ascii="Times New Roman" w:hAnsi="Times New Roman"/>
          <w:sz w:val="28"/>
          <w:szCs w:val="28"/>
          <w:lang w:val="ru-RU"/>
        </w:rPr>
      </w:pPr>
      <w:r w:rsidRPr="00107040">
        <w:rPr>
          <w:rFonts w:ascii="Times New Roman" w:hAnsi="Times New Roman"/>
          <w:sz w:val="28"/>
          <w:szCs w:val="28"/>
          <w:lang w:val="ru-RU"/>
        </w:rPr>
        <w:t>Можно предположить, что делеция HD домена, как и в случае с PARP-3 млекопитающих, может приводить к гиперактивации АДФ-рибозил трансферазной активности AtPARP3. Для выяснения этого вопроса нами были сконструирован ген АtPARP3 без HD домена (ΔHD АtPARP3) на основе исходной плазмиды pET28c/</w:t>
      </w:r>
      <w:r w:rsidRPr="00107040">
        <w:rPr>
          <w:rFonts w:ascii="Times New Roman" w:hAnsi="Times New Roman"/>
          <w:i/>
          <w:sz w:val="28"/>
          <w:szCs w:val="28"/>
          <w:lang w:val="ru-RU"/>
        </w:rPr>
        <w:t>AtPARP3</w:t>
      </w:r>
      <w:r w:rsidRPr="00107040">
        <w:rPr>
          <w:rFonts w:ascii="Times New Roman" w:hAnsi="Times New Roman"/>
          <w:sz w:val="28"/>
          <w:szCs w:val="28"/>
          <w:lang w:val="ru-RU"/>
        </w:rPr>
        <w:t xml:space="preserve"> с помощью сайт направленного мутагенеза с помощью специфических праймеров</w:t>
      </w:r>
      <w:bookmarkEnd w:id="69"/>
      <w:r w:rsidRPr="00107040">
        <w:rPr>
          <w:rFonts w:ascii="Times New Roman" w:hAnsi="Times New Roman"/>
          <w:sz w:val="28"/>
          <w:szCs w:val="28"/>
          <w:lang w:val="ru-RU"/>
        </w:rPr>
        <w:t xml:space="preserve"> (таблица </w:t>
      </w:r>
      <w:r w:rsidR="002A568C">
        <w:rPr>
          <w:rFonts w:ascii="Times New Roman" w:hAnsi="Times New Roman"/>
          <w:sz w:val="28"/>
          <w:szCs w:val="28"/>
          <w:lang w:val="ru-RU"/>
        </w:rPr>
        <w:t>5</w:t>
      </w:r>
      <w:r w:rsidRPr="00107040">
        <w:rPr>
          <w:rFonts w:ascii="Times New Roman" w:hAnsi="Times New Roman"/>
          <w:sz w:val="28"/>
          <w:szCs w:val="28"/>
          <w:lang w:val="ru-RU"/>
        </w:rPr>
        <w:t>).</w:t>
      </w:r>
    </w:p>
    <w:p w14:paraId="1950082B" w14:textId="3814A765" w:rsidR="00AA69DA" w:rsidRPr="00107040" w:rsidRDefault="00376D68" w:rsidP="000C16BB">
      <w:pPr>
        <w:spacing w:after="0" w:line="240" w:lineRule="auto"/>
        <w:jc w:val="center"/>
        <w:rPr>
          <w:rFonts w:ascii="Times New Roman" w:hAnsi="Times New Roman"/>
          <w:sz w:val="28"/>
          <w:szCs w:val="28"/>
          <w:lang w:val="ru-RU"/>
        </w:rPr>
      </w:pPr>
      <w:r w:rsidRPr="00107040">
        <w:rPr>
          <w:rFonts w:ascii="Times New Roman" w:hAnsi="Times New Roman"/>
          <w:noProof/>
          <w:sz w:val="28"/>
          <w:szCs w:val="28"/>
          <w:lang w:val="ru-RU" w:eastAsia="ru-RU"/>
        </w:rPr>
        <w:lastRenderedPageBreak/>
        <w:drawing>
          <wp:inline distT="0" distB="0" distL="0" distR="0" wp14:anchorId="5EEADB72" wp14:editId="4930B0F7">
            <wp:extent cx="5981155" cy="1692323"/>
            <wp:effectExtent l="0" t="0" r="63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6245" cy="1693763"/>
                    </a:xfrm>
                    <a:prstGeom prst="rect">
                      <a:avLst/>
                    </a:prstGeom>
                    <a:noFill/>
                    <a:ln>
                      <a:noFill/>
                    </a:ln>
                  </pic:spPr>
                </pic:pic>
              </a:graphicData>
            </a:graphic>
          </wp:inline>
        </w:drawing>
      </w:r>
    </w:p>
    <w:p w14:paraId="0B6699BF" w14:textId="77777777" w:rsidR="00376D68" w:rsidRPr="00107040" w:rsidRDefault="00376D68" w:rsidP="000C16BB">
      <w:pPr>
        <w:spacing w:after="0" w:line="240" w:lineRule="auto"/>
        <w:jc w:val="both"/>
        <w:rPr>
          <w:rFonts w:ascii="Times New Roman" w:hAnsi="Times New Roman"/>
          <w:sz w:val="28"/>
          <w:szCs w:val="28"/>
          <w:lang w:val="ru-RU"/>
        </w:rPr>
      </w:pPr>
    </w:p>
    <w:p w14:paraId="2E560CCC" w14:textId="77777777" w:rsidR="00AA69DA" w:rsidRPr="00107040" w:rsidRDefault="00AA69DA" w:rsidP="000C16BB">
      <w:pPr>
        <w:spacing w:after="0" w:line="240" w:lineRule="auto"/>
        <w:jc w:val="center"/>
        <w:rPr>
          <w:rFonts w:ascii="Times New Roman" w:hAnsi="Times New Roman"/>
          <w:sz w:val="28"/>
          <w:szCs w:val="28"/>
          <w:lang w:val="ru-RU"/>
        </w:rPr>
      </w:pPr>
      <w:r w:rsidRPr="00107040">
        <w:rPr>
          <w:rFonts w:ascii="Times New Roman" w:hAnsi="Times New Roman"/>
          <w:sz w:val="28"/>
          <w:szCs w:val="28"/>
          <w:lang w:val="ru-RU"/>
        </w:rPr>
        <w:t xml:space="preserve">A) </w:t>
      </w:r>
      <w:r w:rsidR="00256D57" w:rsidRPr="00107040">
        <w:rPr>
          <w:rFonts w:ascii="Times New Roman" w:hAnsi="Times New Roman"/>
          <w:sz w:val="28"/>
          <w:szCs w:val="28"/>
          <w:lang w:val="kk-KZ"/>
        </w:rPr>
        <w:t xml:space="preserve">Доменная структура </w:t>
      </w:r>
      <w:r w:rsidR="00256D57" w:rsidRPr="00107040">
        <w:rPr>
          <w:rFonts w:ascii="Times New Roman" w:hAnsi="Times New Roman"/>
          <w:sz w:val="28"/>
          <w:szCs w:val="28"/>
          <w:lang w:val="en-US"/>
        </w:rPr>
        <w:t>PARP</w:t>
      </w:r>
      <w:r w:rsidR="00256D57" w:rsidRPr="00107040">
        <w:rPr>
          <w:rFonts w:ascii="Times New Roman" w:hAnsi="Times New Roman"/>
          <w:sz w:val="28"/>
          <w:szCs w:val="28"/>
          <w:lang w:val="ru-RU"/>
        </w:rPr>
        <w:t xml:space="preserve">3 человека. В) </w:t>
      </w:r>
      <w:r w:rsidRPr="00107040">
        <w:rPr>
          <w:rFonts w:ascii="Times New Roman" w:hAnsi="Times New Roman"/>
          <w:sz w:val="28"/>
          <w:szCs w:val="28"/>
          <w:lang w:val="ru-RU"/>
        </w:rPr>
        <w:t xml:space="preserve">Полноразмерный белок AtPARP3. </w:t>
      </w:r>
      <w:r w:rsidR="00256D57" w:rsidRPr="00107040">
        <w:rPr>
          <w:rFonts w:ascii="Times New Roman" w:hAnsi="Times New Roman"/>
          <w:sz w:val="28"/>
          <w:szCs w:val="28"/>
          <w:lang w:val="ru-RU"/>
        </w:rPr>
        <w:t>С</w:t>
      </w:r>
      <w:r w:rsidRPr="00107040">
        <w:rPr>
          <w:rFonts w:ascii="Times New Roman" w:hAnsi="Times New Roman"/>
          <w:sz w:val="28"/>
          <w:szCs w:val="28"/>
          <w:lang w:val="ru-RU"/>
        </w:rPr>
        <w:t>) Делетированная форма с делецией HD субдомен</w:t>
      </w:r>
      <w:r w:rsidR="00106684" w:rsidRPr="00107040">
        <w:rPr>
          <w:rFonts w:ascii="Times New Roman" w:hAnsi="Times New Roman"/>
          <w:sz w:val="28"/>
          <w:szCs w:val="28"/>
          <w:lang w:val="ru-RU"/>
        </w:rPr>
        <w:t>а</w:t>
      </w:r>
      <w:r w:rsidRPr="00107040">
        <w:rPr>
          <w:rFonts w:ascii="Times New Roman" w:hAnsi="Times New Roman"/>
          <w:sz w:val="28"/>
          <w:szCs w:val="28"/>
          <w:lang w:val="ru-RU"/>
        </w:rPr>
        <w:t xml:space="preserve">. </w:t>
      </w:r>
      <w:r w:rsidR="00256D57" w:rsidRPr="00107040">
        <w:rPr>
          <w:rFonts w:ascii="Times New Roman" w:hAnsi="Times New Roman"/>
          <w:sz w:val="28"/>
          <w:szCs w:val="28"/>
          <w:lang w:val="en-US"/>
        </w:rPr>
        <w:t>D</w:t>
      </w:r>
      <w:r w:rsidRPr="00107040">
        <w:rPr>
          <w:rFonts w:ascii="Times New Roman" w:hAnsi="Times New Roman"/>
          <w:sz w:val="28"/>
          <w:szCs w:val="28"/>
          <w:lang w:val="ru-RU"/>
        </w:rPr>
        <w:t>) Укороченная форма включающая в себя ДНК-связывающий WGR домен и каталитический CAT-домен</w:t>
      </w:r>
      <w:r w:rsidR="00106684" w:rsidRPr="00107040">
        <w:rPr>
          <w:rFonts w:ascii="Times New Roman" w:hAnsi="Times New Roman"/>
          <w:sz w:val="28"/>
          <w:szCs w:val="28"/>
          <w:lang w:val="ru-RU"/>
        </w:rPr>
        <w:t>.</w:t>
      </w:r>
      <w:r w:rsidRPr="00107040">
        <w:rPr>
          <w:rFonts w:ascii="Times New Roman" w:hAnsi="Times New Roman"/>
          <w:sz w:val="28"/>
          <w:szCs w:val="28"/>
          <w:lang w:val="ru-RU"/>
        </w:rPr>
        <w:t xml:space="preserve"> </w:t>
      </w:r>
    </w:p>
    <w:p w14:paraId="3635CA46" w14:textId="77777777" w:rsidR="00AA69DA" w:rsidRPr="00107040" w:rsidRDefault="00AA69DA" w:rsidP="000C16BB">
      <w:pPr>
        <w:spacing w:after="0" w:line="240" w:lineRule="auto"/>
        <w:jc w:val="center"/>
        <w:rPr>
          <w:rFonts w:ascii="Times New Roman" w:hAnsi="Times New Roman"/>
          <w:sz w:val="28"/>
          <w:szCs w:val="28"/>
          <w:lang w:val="ru-RU"/>
        </w:rPr>
      </w:pPr>
    </w:p>
    <w:p w14:paraId="489DA2F1" w14:textId="24C0C558" w:rsidR="00AA69DA" w:rsidRPr="00107040" w:rsidRDefault="00AA69DA" w:rsidP="000C16BB">
      <w:pPr>
        <w:spacing w:after="0" w:line="240" w:lineRule="auto"/>
        <w:jc w:val="center"/>
        <w:rPr>
          <w:rFonts w:ascii="Times New Roman" w:hAnsi="Times New Roman"/>
          <w:sz w:val="28"/>
          <w:szCs w:val="28"/>
          <w:lang w:val="ru-RU"/>
        </w:rPr>
      </w:pPr>
      <w:r w:rsidRPr="00107040">
        <w:rPr>
          <w:rFonts w:ascii="Times New Roman" w:hAnsi="Times New Roman"/>
          <w:sz w:val="28"/>
          <w:szCs w:val="28"/>
          <w:lang w:val="ru-RU"/>
        </w:rPr>
        <w:t>Рисуно</w:t>
      </w:r>
      <w:r w:rsidR="000A479F" w:rsidRPr="00107040">
        <w:rPr>
          <w:rFonts w:ascii="Times New Roman" w:hAnsi="Times New Roman"/>
          <w:sz w:val="28"/>
          <w:szCs w:val="28"/>
          <w:lang w:val="ru-RU"/>
        </w:rPr>
        <w:t>к 2</w:t>
      </w:r>
      <w:r w:rsidR="002A568C">
        <w:rPr>
          <w:rFonts w:ascii="Times New Roman" w:hAnsi="Times New Roman"/>
          <w:sz w:val="28"/>
          <w:szCs w:val="28"/>
          <w:lang w:val="ru-RU"/>
        </w:rPr>
        <w:t>2</w:t>
      </w:r>
      <w:r w:rsidR="000A479F" w:rsidRPr="00107040">
        <w:rPr>
          <w:rFonts w:ascii="Times New Roman" w:hAnsi="Times New Roman"/>
          <w:sz w:val="28"/>
          <w:szCs w:val="28"/>
          <w:lang w:val="ru-RU"/>
        </w:rPr>
        <w:t xml:space="preserve"> –</w:t>
      </w:r>
      <w:r w:rsidRPr="00107040">
        <w:rPr>
          <w:rFonts w:ascii="Times New Roman" w:hAnsi="Times New Roman"/>
          <w:sz w:val="28"/>
          <w:szCs w:val="28"/>
          <w:lang w:val="ru-RU"/>
        </w:rPr>
        <w:t xml:space="preserve"> </w:t>
      </w:r>
      <w:r w:rsidR="00106684" w:rsidRPr="00107040">
        <w:rPr>
          <w:rFonts w:ascii="Times New Roman" w:hAnsi="Times New Roman"/>
          <w:sz w:val="28"/>
          <w:szCs w:val="28"/>
          <w:lang w:val="ru-RU"/>
        </w:rPr>
        <w:t>Констр</w:t>
      </w:r>
      <w:r w:rsidR="000A479F" w:rsidRPr="00107040">
        <w:rPr>
          <w:rFonts w:ascii="Times New Roman" w:hAnsi="Times New Roman"/>
          <w:sz w:val="28"/>
          <w:szCs w:val="28"/>
          <w:lang w:val="ru-RU"/>
        </w:rPr>
        <w:t>у</w:t>
      </w:r>
      <w:r w:rsidR="00106684" w:rsidRPr="00107040">
        <w:rPr>
          <w:rFonts w:ascii="Times New Roman" w:hAnsi="Times New Roman"/>
          <w:sz w:val="28"/>
          <w:szCs w:val="28"/>
          <w:lang w:val="ru-RU"/>
        </w:rPr>
        <w:t>ированные варианты</w:t>
      </w:r>
      <w:r w:rsidRPr="00107040">
        <w:rPr>
          <w:rFonts w:ascii="Times New Roman" w:hAnsi="Times New Roman"/>
          <w:sz w:val="28"/>
          <w:szCs w:val="28"/>
          <w:lang w:val="ru-RU"/>
        </w:rPr>
        <w:t xml:space="preserve"> </w:t>
      </w:r>
      <w:r w:rsidRPr="00107040">
        <w:rPr>
          <w:rFonts w:ascii="Times New Roman" w:hAnsi="Times New Roman"/>
          <w:sz w:val="28"/>
          <w:szCs w:val="28"/>
          <w:lang w:val="en-US"/>
        </w:rPr>
        <w:t>AtPARP</w:t>
      </w:r>
      <w:r w:rsidRPr="00107040">
        <w:rPr>
          <w:rFonts w:ascii="Times New Roman" w:hAnsi="Times New Roman"/>
          <w:sz w:val="28"/>
          <w:szCs w:val="28"/>
          <w:lang w:val="ru-RU"/>
        </w:rPr>
        <w:t>3</w:t>
      </w:r>
    </w:p>
    <w:p w14:paraId="6280C447" w14:textId="77777777" w:rsidR="00AA69DA" w:rsidRPr="00107040" w:rsidRDefault="00AA69DA" w:rsidP="000C16BB">
      <w:pPr>
        <w:shd w:val="clear" w:color="auto" w:fill="FFFFFF"/>
        <w:spacing w:after="0" w:line="240" w:lineRule="auto"/>
        <w:contextualSpacing/>
        <w:rPr>
          <w:rFonts w:ascii="Times New Roman" w:eastAsia="MS Mincho" w:hAnsi="Times New Roman"/>
          <w:iCs/>
          <w:sz w:val="28"/>
          <w:szCs w:val="28"/>
          <w:lang w:val="ru-RU" w:eastAsia="ja-JP"/>
        </w:rPr>
      </w:pPr>
    </w:p>
    <w:p w14:paraId="00F6B1A3" w14:textId="590A4DBF" w:rsidR="00AA69DA" w:rsidRPr="00107040" w:rsidRDefault="00160D00" w:rsidP="000C16BB">
      <w:pPr>
        <w:shd w:val="clear" w:color="auto" w:fill="FFFFFF"/>
        <w:spacing w:after="0" w:line="240" w:lineRule="auto"/>
        <w:contextualSpacing/>
        <w:rPr>
          <w:rFonts w:ascii="Times New Roman" w:hAnsi="Times New Roman"/>
          <w:sz w:val="28"/>
          <w:szCs w:val="28"/>
          <w:lang w:val="ru-RU"/>
        </w:rPr>
      </w:pPr>
      <w:r w:rsidRPr="00107040">
        <w:rPr>
          <w:rFonts w:ascii="Times New Roman" w:eastAsia="Arial Unicode MS" w:hAnsi="Times New Roman"/>
          <w:bCs/>
          <w:sz w:val="28"/>
          <w:szCs w:val="28"/>
          <w:lang w:val="ru-RU" w:bidi="en-US"/>
        </w:rPr>
        <w:t xml:space="preserve">Примечание – Составлено автором на основе источника </w:t>
      </w:r>
      <w:r w:rsidRPr="00107040">
        <w:rPr>
          <w:rFonts w:ascii="Times New Roman" w:hAnsi="Times New Roman"/>
          <w:sz w:val="28"/>
          <w:szCs w:val="28"/>
          <w:lang w:val="ru-RU"/>
        </w:rPr>
        <w:fldChar w:fldCharType="begin"/>
      </w:r>
      <w:r w:rsidR="00FB5E68">
        <w:rPr>
          <w:rFonts w:ascii="Times New Roman" w:hAnsi="Times New Roman"/>
          <w:sz w:val="28"/>
          <w:szCs w:val="28"/>
          <w:lang w:val="ru-RU"/>
        </w:rPr>
        <w:instrText xml:space="preserve"> ADDIN ZOTERO_ITEM CSL_CITATION {"citationID":"PKlMsEVJ","properties":{"formattedCitation":"[458]","plainCitation":"[458]","noteIndex":0},"citationItems":[{"id":1353,"uris":["http://zotero.org/users/9078202/items/ABZTMVCI"],"itemData":{"id":1353,"type":"article-journal","abstract":"Background\nPoly (ADP-ribosyl) ation (PARylation) is an important posttranslational modification that regulates DNA repair, gene transcription, stress responses and developmental processes in multicellular organisms. Poly (ADP-ribose) polymerase (PARP) catalyzes PARylation by consecutively adding ADP-ribose moieties from NAD+ to the amino acid receptor residues on target proteins. Arabidopsis has three canonical PARP members, and two of these members, AtPARP1 and AtPARP2, have been demonstrated to be bona fide poly (ADP-ribose) polymerases and to regulate DNA repair and stress response processes. However, it remains unknown whether AtPARP3, a member that is highly expressed in seeds, has similar biochemical activity to that of AtPARP1 and AtPARP2. Additionally, although both the phylogenetic relationships and structural similarities indicate that AtPARP1 and AtPARP2 correspond to animal PARP1 and PARP2, respectively, two previous studies have indicated that AtPARP2, and not AtPARP1, accounts for most of the PARP activity in Arabidopsis, which is contrary to the knowledge that PARP1 is the predominant PARP in animals.\n\nResults\nIn this study, we obtained both in vitro and in vivo evidence demonstrating that AtPARP3 does not act as a typical PARP in Arabidopsis. Domain swapping and point mutation assays indicated that AtPARP3 has lost NAD+-binding capability and is inactive. In addition, our results showed that AtPARP1 was responsible for most of the PARP enzymatic activity in response to the DNA damage-inducing agents zeocin and methyl methanesulfonate (MMS) and was more rapidly activated than AtPARP2, which supports that AtPARP1 remains the predominant PARP member in Arabidopsis. AtPARP1 might first become activated by binding to damaged sites, and AtPARP2 is then poly (ADP-ribosyl) ated by AtPARP1 in vivo.\n\nConclusions\nCollectively, our biochemical and genetic analysis results strongly support the notion that AtPARP3 has lost poly (ADP-ribose) polymerase activity in plants and performs different functions from those of AtPARP1 and AtPARP2. AtPARP1, instead of AtPARP2, plays the predominant role in PAR synthesis in both seeds and seedlings. These data bring new insights into our understanding of the physiological functions of plant PARP family members.\n\nElectronic supplementary material\nThe online version of this article (10.1186/s12870-019-1958-9) contains supplementary material, which is available to authorized users.","container-title":"BMC Plant Biology","DOI":"10.1186/s12870-019-1958-9","ISSN":"1471-2229","journalAbbreviation":"BMC Plant Biol","note":"PMID: 31426748\nPMCID: PMC6701155","page":"364","source":"PubMed Central","title":"New perspectives on the plant PARP family: Arabidopsis PARP3 is inactive, and PARP1 exhibits predominant poly (ADP-ribose) polymerase activity in response to DNA damage","title-short":"New perspectives on the plant PARP family","URL":"https://www.ncbi.nlm.nih.gov/pmc/articles/PMC6701155/","volume":"19","author":[{"family":"Gu","given":"Zongying"},{"family":"Pan","given":"Weiyang"},{"family":"Chen","given":"Wei"},{"family":"Lian","given":"Qichao"},{"family":"Wu","given":"Qiao"},{"family":"Lv","given":"Zeyu"},{"family":"Cheng","given":"Xuan"},{"family":"Ge","given":"Xiaochun"}],"accessed":{"date-parts":[["2022",5,5]]},"issued":{"date-parts":[["2019",8,19]]}}}],"schema":"https://github.com/citation-style-language/schema/raw/master/csl-citation.json"} </w:instrText>
      </w:r>
      <w:r w:rsidRPr="00107040">
        <w:rPr>
          <w:rFonts w:ascii="Times New Roman" w:hAnsi="Times New Roman"/>
          <w:sz w:val="28"/>
          <w:szCs w:val="28"/>
          <w:lang w:val="ru-RU"/>
        </w:rPr>
        <w:fldChar w:fldCharType="separate"/>
      </w:r>
      <w:r w:rsidR="00FB5E68" w:rsidRPr="00FB5E68">
        <w:rPr>
          <w:rFonts w:ascii="Times New Roman" w:hAnsi="Times New Roman"/>
          <w:sz w:val="28"/>
        </w:rPr>
        <w:t>[458]</w:t>
      </w:r>
      <w:r w:rsidRPr="00107040">
        <w:rPr>
          <w:rFonts w:ascii="Times New Roman" w:hAnsi="Times New Roman"/>
          <w:sz w:val="28"/>
          <w:szCs w:val="28"/>
          <w:lang w:val="ru-RU"/>
        </w:rPr>
        <w:fldChar w:fldCharType="end"/>
      </w:r>
      <w:r w:rsidRPr="00107040">
        <w:rPr>
          <w:rFonts w:ascii="Times New Roman" w:hAnsi="Times New Roman"/>
          <w:sz w:val="28"/>
          <w:szCs w:val="28"/>
          <w:lang w:val="ru-RU"/>
        </w:rPr>
        <w:t>.</w:t>
      </w:r>
    </w:p>
    <w:p w14:paraId="125C38DB" w14:textId="77777777" w:rsidR="00376D68" w:rsidRPr="00107040" w:rsidRDefault="00376D68" w:rsidP="000C16BB">
      <w:pPr>
        <w:shd w:val="clear" w:color="auto" w:fill="FFFFFF"/>
        <w:spacing w:after="0" w:line="240" w:lineRule="auto"/>
        <w:contextualSpacing/>
        <w:rPr>
          <w:rFonts w:ascii="Times New Roman" w:eastAsia="MS Mincho" w:hAnsi="Times New Roman"/>
          <w:iCs/>
          <w:sz w:val="28"/>
          <w:szCs w:val="28"/>
          <w:lang w:val="ru-RU" w:eastAsia="ja-JP"/>
        </w:rPr>
      </w:pPr>
    </w:p>
    <w:p w14:paraId="13096587" w14:textId="76FDE9B2" w:rsidR="00AA69DA" w:rsidRPr="00107040" w:rsidRDefault="00376D68" w:rsidP="000C16BB">
      <w:pPr>
        <w:shd w:val="clear" w:color="auto" w:fill="FFFFFF"/>
        <w:spacing w:after="0" w:line="240" w:lineRule="auto"/>
        <w:jc w:val="center"/>
        <w:rPr>
          <w:rFonts w:ascii="Times New Roman" w:hAnsi="Times New Roman"/>
          <w:sz w:val="28"/>
          <w:szCs w:val="28"/>
          <w:lang w:val="kk-KZ"/>
        </w:rPr>
      </w:pPr>
      <w:r w:rsidRPr="00107040">
        <w:rPr>
          <w:rFonts w:ascii="Times New Roman" w:hAnsi="Times New Roman"/>
          <w:noProof/>
          <w:sz w:val="28"/>
          <w:szCs w:val="28"/>
          <w:lang w:val="ru-RU" w:eastAsia="ru-RU"/>
        </w:rPr>
        <w:drawing>
          <wp:inline distT="0" distB="0" distL="0" distR="0" wp14:anchorId="4C64EB6E" wp14:editId="15D9A7F9">
            <wp:extent cx="3166110" cy="2156460"/>
            <wp:effectExtent l="0" t="0" r="0" b="0"/>
            <wp:docPr id="21" name="Рисунок 2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зображение выглядит как стол&#10;&#10;Автоматически созданное описани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66110" cy="2156460"/>
                    </a:xfrm>
                    <a:prstGeom prst="rect">
                      <a:avLst/>
                    </a:prstGeom>
                    <a:noFill/>
                    <a:ln>
                      <a:noFill/>
                    </a:ln>
                  </pic:spPr>
                </pic:pic>
              </a:graphicData>
            </a:graphic>
          </wp:inline>
        </w:drawing>
      </w:r>
    </w:p>
    <w:p w14:paraId="05FB3E17" w14:textId="77777777" w:rsidR="00376D68" w:rsidRPr="00107040" w:rsidRDefault="00376D68" w:rsidP="000C16BB">
      <w:pPr>
        <w:shd w:val="clear" w:color="auto" w:fill="FFFFFF"/>
        <w:spacing w:after="0" w:line="240" w:lineRule="auto"/>
        <w:jc w:val="center"/>
        <w:rPr>
          <w:rFonts w:ascii="Times New Roman" w:hAnsi="Times New Roman"/>
          <w:sz w:val="28"/>
          <w:szCs w:val="28"/>
          <w:lang w:val="kk-KZ"/>
        </w:rPr>
      </w:pPr>
    </w:p>
    <w:p w14:paraId="5AFABEB8" w14:textId="77777777" w:rsidR="00AA10F1" w:rsidRDefault="00AA69DA" w:rsidP="000C16BB">
      <w:pPr>
        <w:shd w:val="clear" w:color="auto" w:fill="FFFFFF"/>
        <w:spacing w:after="0" w:line="240" w:lineRule="auto"/>
        <w:jc w:val="center"/>
        <w:rPr>
          <w:rFonts w:ascii="Times New Roman" w:eastAsia="MS Mincho" w:hAnsi="Times New Roman"/>
          <w:sz w:val="28"/>
          <w:szCs w:val="28"/>
          <w:lang w:val="kk-KZ" w:eastAsia="ja-JP"/>
        </w:rPr>
      </w:pPr>
      <w:r w:rsidRPr="00107040">
        <w:rPr>
          <w:rFonts w:ascii="Times New Roman" w:eastAsia="MS Mincho" w:hAnsi="Times New Roman"/>
          <w:sz w:val="28"/>
          <w:szCs w:val="28"/>
          <w:lang w:val="kk-KZ" w:eastAsia="ja-JP"/>
        </w:rPr>
        <w:t xml:space="preserve">Очистка нa Ni-NTA мaтрице ΔHD </w:t>
      </w:r>
      <w:r w:rsidRPr="00107040">
        <w:rPr>
          <w:rFonts w:ascii="Times New Roman" w:eastAsia="MS Mincho" w:hAnsi="Times New Roman"/>
          <w:sz w:val="28"/>
          <w:szCs w:val="28"/>
          <w:shd w:val="clear" w:color="auto" w:fill="FFFFFF"/>
          <w:lang w:val="kk-KZ" w:eastAsia="ja-JP"/>
        </w:rPr>
        <w:t>АtPARP3</w:t>
      </w:r>
      <w:r w:rsidRPr="00107040">
        <w:rPr>
          <w:rFonts w:ascii="Times New Roman" w:eastAsia="MS Mincho" w:hAnsi="Times New Roman"/>
          <w:sz w:val="28"/>
          <w:szCs w:val="28"/>
          <w:lang w:val="kk-KZ" w:eastAsia="ja-JP"/>
        </w:rPr>
        <w:t xml:space="preserve">, М - бeлкoвый мaркeр, рaзмeры кoтoрых укaзaны в кДa cлeвa. «-» Нeиндуцирoвaнный клeтoчный лизaт. «+» - Индуцирoвaнный клeтoчный лизaт. Ft - Прocкoк чeрeз кoлoнку HiTrap; </w:t>
      </w:r>
    </w:p>
    <w:p w14:paraId="6A889F11" w14:textId="39610B49" w:rsidR="00AA69DA" w:rsidRPr="00107040" w:rsidRDefault="00AA69DA" w:rsidP="000C16BB">
      <w:pPr>
        <w:shd w:val="clear" w:color="auto" w:fill="FFFFFF"/>
        <w:spacing w:after="0" w:line="240" w:lineRule="auto"/>
        <w:jc w:val="center"/>
        <w:rPr>
          <w:rFonts w:ascii="Times New Roman" w:eastAsia="MS Mincho" w:hAnsi="Times New Roman"/>
          <w:sz w:val="28"/>
          <w:szCs w:val="28"/>
          <w:lang w:val="kk-KZ" w:eastAsia="ja-JP"/>
        </w:rPr>
      </w:pPr>
      <w:r w:rsidRPr="00107040">
        <w:rPr>
          <w:rFonts w:ascii="Times New Roman" w:eastAsia="MS Mincho" w:hAnsi="Times New Roman"/>
          <w:sz w:val="28"/>
          <w:szCs w:val="28"/>
          <w:lang w:val="kk-KZ" w:eastAsia="ja-JP"/>
        </w:rPr>
        <w:t xml:space="preserve">F6- F15 - Oчищeнныe фрaкции белков. </w:t>
      </w:r>
    </w:p>
    <w:p w14:paraId="164B4F45" w14:textId="77777777" w:rsidR="00AA69DA" w:rsidRPr="00107040" w:rsidRDefault="00AA69DA" w:rsidP="000C16BB">
      <w:pPr>
        <w:spacing w:after="0" w:line="240" w:lineRule="auto"/>
        <w:jc w:val="both"/>
        <w:rPr>
          <w:rFonts w:ascii="Times New Roman" w:eastAsia="MS Mincho" w:hAnsi="Times New Roman"/>
          <w:sz w:val="28"/>
          <w:szCs w:val="28"/>
          <w:lang w:val="kk-KZ" w:eastAsia="ja-JP"/>
        </w:rPr>
      </w:pPr>
      <w:r w:rsidRPr="00107040">
        <w:rPr>
          <w:rFonts w:ascii="Times New Roman" w:eastAsia="MS Mincho" w:hAnsi="Times New Roman"/>
          <w:sz w:val="28"/>
          <w:szCs w:val="28"/>
          <w:lang w:val="kk-KZ" w:eastAsia="ja-JP"/>
        </w:rPr>
        <w:t xml:space="preserve"> </w:t>
      </w:r>
    </w:p>
    <w:p w14:paraId="622CBE11" w14:textId="7402DF93" w:rsidR="00AA69DA" w:rsidRPr="00107040" w:rsidRDefault="00AA69DA" w:rsidP="000C16BB">
      <w:pPr>
        <w:spacing w:after="0" w:line="240" w:lineRule="auto"/>
        <w:jc w:val="center"/>
        <w:rPr>
          <w:rFonts w:ascii="Times New Roman" w:eastAsia="MS Mincho" w:hAnsi="Times New Roman"/>
          <w:sz w:val="28"/>
          <w:szCs w:val="28"/>
          <w:lang w:val="kk-KZ" w:eastAsia="ja-JP"/>
        </w:rPr>
      </w:pPr>
      <w:r w:rsidRPr="00107040">
        <w:rPr>
          <w:rFonts w:ascii="Times New Roman" w:eastAsia="MS Mincho" w:hAnsi="Times New Roman"/>
          <w:sz w:val="28"/>
          <w:szCs w:val="28"/>
          <w:lang w:val="kk-KZ" w:eastAsia="ja-JP"/>
        </w:rPr>
        <w:t>Риcунoк 2</w:t>
      </w:r>
      <w:r w:rsidR="002A568C">
        <w:rPr>
          <w:rFonts w:ascii="Times New Roman" w:eastAsia="MS Mincho" w:hAnsi="Times New Roman"/>
          <w:sz w:val="28"/>
          <w:szCs w:val="28"/>
          <w:lang w:val="ru-RU" w:eastAsia="ja-JP"/>
        </w:rPr>
        <w:t>3</w:t>
      </w:r>
      <w:r w:rsidRPr="00107040">
        <w:rPr>
          <w:rFonts w:ascii="Times New Roman" w:eastAsia="MS Mincho" w:hAnsi="Times New Roman"/>
          <w:sz w:val="28"/>
          <w:szCs w:val="28"/>
          <w:lang w:val="kk-KZ" w:eastAsia="ja-JP"/>
        </w:rPr>
        <w:t xml:space="preserve"> – Аффинная хроматография экстрактов клеток </w:t>
      </w:r>
      <w:r w:rsidRPr="00107040">
        <w:rPr>
          <w:rFonts w:ascii="Times New Roman" w:eastAsia="MS Mincho" w:hAnsi="Times New Roman"/>
          <w:i/>
          <w:iCs/>
          <w:sz w:val="28"/>
          <w:szCs w:val="28"/>
          <w:lang w:val="kk-KZ" w:eastAsia="ja-JP"/>
        </w:rPr>
        <w:t>E.coli</w:t>
      </w:r>
      <w:r w:rsidRPr="00107040">
        <w:rPr>
          <w:rFonts w:ascii="Times New Roman" w:eastAsia="MS Mincho" w:hAnsi="Times New Roman"/>
          <w:sz w:val="28"/>
          <w:szCs w:val="28"/>
          <w:lang w:val="kk-KZ" w:eastAsia="ja-JP"/>
        </w:rPr>
        <w:t xml:space="preserve">, экспрессирующий </w:t>
      </w:r>
      <w:r w:rsidRPr="00107040">
        <w:rPr>
          <w:rFonts w:ascii="Times New Roman" w:hAnsi="Times New Roman"/>
          <w:sz w:val="28"/>
          <w:szCs w:val="28"/>
        </w:rPr>
        <w:t>ΔHD</w:t>
      </w:r>
      <w:r w:rsidRPr="00107040">
        <w:rPr>
          <w:rFonts w:ascii="Times New Roman" w:eastAsia="MS Mincho" w:hAnsi="Times New Roman"/>
          <w:sz w:val="28"/>
          <w:szCs w:val="28"/>
          <w:shd w:val="clear" w:color="auto" w:fill="FFFFFF"/>
          <w:lang w:val="kk-KZ" w:eastAsia="ja-JP"/>
        </w:rPr>
        <w:t xml:space="preserve"> АtPARP3</w:t>
      </w:r>
      <w:r w:rsidRPr="00107040">
        <w:rPr>
          <w:rFonts w:ascii="Times New Roman" w:eastAsia="MS Mincho" w:hAnsi="Times New Roman"/>
          <w:i/>
          <w:sz w:val="28"/>
          <w:szCs w:val="28"/>
          <w:shd w:val="clear" w:color="auto" w:fill="FFFFFF"/>
          <w:lang w:val="kk-KZ" w:eastAsia="ja-JP"/>
        </w:rPr>
        <w:t xml:space="preserve"> </w:t>
      </w:r>
      <w:r w:rsidRPr="00107040">
        <w:rPr>
          <w:rFonts w:ascii="Times New Roman" w:eastAsia="MS Mincho" w:hAnsi="Times New Roman"/>
          <w:sz w:val="28"/>
          <w:szCs w:val="28"/>
          <w:lang w:val="kk-KZ" w:eastAsia="ja-JP"/>
        </w:rPr>
        <w:t xml:space="preserve">белок </w:t>
      </w:r>
    </w:p>
    <w:p w14:paraId="69846E43" w14:textId="77777777" w:rsidR="00AA69DA" w:rsidRPr="00107040" w:rsidRDefault="00AA69DA" w:rsidP="000C16BB">
      <w:pPr>
        <w:spacing w:after="0" w:line="240" w:lineRule="auto"/>
        <w:ind w:firstLine="567"/>
        <w:jc w:val="center"/>
        <w:rPr>
          <w:rFonts w:ascii="Times New Roman" w:eastAsia="MS Mincho" w:hAnsi="Times New Roman"/>
          <w:sz w:val="28"/>
          <w:szCs w:val="28"/>
          <w:lang w:val="kk-KZ" w:eastAsia="ja-JP"/>
        </w:rPr>
      </w:pPr>
    </w:p>
    <w:p w14:paraId="1886E33F" w14:textId="3C817406" w:rsidR="007D1CB7" w:rsidRPr="00107040" w:rsidRDefault="007D1CB7" w:rsidP="000C16BB">
      <w:pPr>
        <w:autoSpaceDE w:val="0"/>
        <w:autoSpaceDN w:val="0"/>
        <w:adjustRightInd w:val="0"/>
        <w:spacing w:after="0" w:line="240" w:lineRule="auto"/>
        <w:ind w:firstLine="567"/>
        <w:jc w:val="both"/>
        <w:rPr>
          <w:rFonts w:ascii="Times New Roman" w:eastAsia="MS Mincho" w:hAnsi="Times New Roman"/>
          <w:iCs/>
          <w:sz w:val="28"/>
          <w:szCs w:val="28"/>
          <w:lang w:val="ru-RU" w:eastAsia="ja-JP"/>
        </w:rPr>
      </w:pPr>
      <w:r w:rsidRPr="00107040">
        <w:rPr>
          <w:rFonts w:ascii="Times New Roman" w:eastAsia="MS Mincho" w:hAnsi="Times New Roman"/>
          <w:sz w:val="28"/>
          <w:szCs w:val="28"/>
          <w:lang w:val="ru-RU" w:eastAsia="ja-JP"/>
        </w:rPr>
        <w:t xml:space="preserve">Для экспрессии гена мутантной </w:t>
      </w:r>
      <w:r w:rsidRPr="00107040">
        <w:rPr>
          <w:rFonts w:ascii="Times New Roman" w:hAnsi="Times New Roman"/>
          <w:sz w:val="28"/>
          <w:szCs w:val="28"/>
        </w:rPr>
        <w:t>ΔHD</w:t>
      </w:r>
      <w:r w:rsidRPr="00107040">
        <w:rPr>
          <w:rFonts w:ascii="Times New Roman" w:eastAsia="MS Mincho" w:hAnsi="Times New Roman"/>
          <w:sz w:val="28"/>
          <w:szCs w:val="28"/>
          <w:shd w:val="clear" w:color="auto" w:fill="FFFFFF"/>
          <w:lang w:val="kk-KZ" w:eastAsia="ja-JP"/>
        </w:rPr>
        <w:t xml:space="preserve"> АtPARP3</w:t>
      </w:r>
      <w:r w:rsidRPr="00107040">
        <w:rPr>
          <w:rFonts w:ascii="Times New Roman" w:hAnsi="Times New Roman"/>
          <w:sz w:val="28"/>
          <w:szCs w:val="28"/>
          <w:lang w:val="ru-RU"/>
        </w:rPr>
        <w:t xml:space="preserve"> </w:t>
      </w:r>
      <w:r w:rsidRPr="00107040">
        <w:rPr>
          <w:rFonts w:ascii="Times New Roman" w:eastAsia="MS Mincho" w:hAnsi="Times New Roman"/>
          <w:sz w:val="28"/>
          <w:szCs w:val="28"/>
          <w:lang w:val="ru-RU" w:eastAsia="ja-JP"/>
        </w:rPr>
        <w:t xml:space="preserve">в </w:t>
      </w:r>
      <w:r w:rsidRPr="00107040">
        <w:rPr>
          <w:rFonts w:ascii="Times New Roman" w:eastAsia="MS Mincho" w:hAnsi="Times New Roman"/>
          <w:i/>
          <w:sz w:val="28"/>
          <w:szCs w:val="28"/>
          <w:lang w:eastAsia="ja-JP"/>
        </w:rPr>
        <w:t>E</w:t>
      </w:r>
      <w:r w:rsidRPr="00107040">
        <w:rPr>
          <w:rFonts w:ascii="Times New Roman" w:eastAsia="MS Mincho" w:hAnsi="Times New Roman"/>
          <w:i/>
          <w:sz w:val="28"/>
          <w:szCs w:val="28"/>
          <w:lang w:val="ru-RU" w:eastAsia="ja-JP"/>
        </w:rPr>
        <w:t>.</w:t>
      </w:r>
      <w:r w:rsidRPr="00107040">
        <w:rPr>
          <w:rFonts w:ascii="Times New Roman" w:eastAsia="MS Mincho" w:hAnsi="Times New Roman"/>
          <w:i/>
          <w:sz w:val="28"/>
          <w:szCs w:val="28"/>
          <w:lang w:eastAsia="ja-JP"/>
        </w:rPr>
        <w:t>coli</w:t>
      </w:r>
      <w:r w:rsidRPr="00107040">
        <w:rPr>
          <w:rFonts w:ascii="Times New Roman" w:eastAsia="MS Mincho" w:hAnsi="Times New Roman"/>
          <w:sz w:val="28"/>
          <w:szCs w:val="28"/>
          <w:lang w:val="ru-RU" w:eastAsia="ja-JP"/>
        </w:rPr>
        <w:t xml:space="preserve"> был выбран вектор </w:t>
      </w:r>
      <w:r w:rsidRPr="00107040">
        <w:rPr>
          <w:rFonts w:ascii="Times New Roman" w:eastAsia="MS Mincho" w:hAnsi="Times New Roman"/>
          <w:sz w:val="28"/>
          <w:szCs w:val="28"/>
          <w:lang w:eastAsia="ja-JP"/>
        </w:rPr>
        <w:t>pET</w:t>
      </w:r>
      <w:r w:rsidRPr="00107040">
        <w:rPr>
          <w:rFonts w:ascii="Times New Roman" w:eastAsia="MS Mincho" w:hAnsi="Times New Roman"/>
          <w:sz w:val="28"/>
          <w:szCs w:val="28"/>
          <w:lang w:val="ru-RU" w:eastAsia="ja-JP"/>
        </w:rPr>
        <w:t>28с с 6</w:t>
      </w:r>
      <w:r w:rsidRPr="00107040">
        <w:rPr>
          <w:rFonts w:ascii="Times New Roman" w:eastAsia="MS Mincho" w:hAnsi="Times New Roman"/>
          <w:sz w:val="28"/>
          <w:szCs w:val="28"/>
          <w:lang w:eastAsia="ja-JP"/>
        </w:rPr>
        <w:t>xHis</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tag</w:t>
      </w:r>
      <w:r w:rsidRPr="00107040">
        <w:rPr>
          <w:rFonts w:ascii="Times New Roman" w:eastAsia="MS Mincho" w:hAnsi="Times New Roman"/>
          <w:sz w:val="28"/>
          <w:szCs w:val="28"/>
          <w:lang w:val="ru-RU" w:eastAsia="ja-JP"/>
        </w:rPr>
        <w:t xml:space="preserve"> последовательностью на С– конце. Рекомбинантный белок с </w:t>
      </w:r>
      <w:r w:rsidRPr="00107040">
        <w:rPr>
          <w:rFonts w:ascii="Times New Roman" w:eastAsia="MS Mincho" w:hAnsi="Times New Roman"/>
          <w:sz w:val="28"/>
          <w:szCs w:val="28"/>
          <w:lang w:eastAsia="ja-JP"/>
        </w:rPr>
        <w:t>His</w:t>
      </w:r>
      <w:r w:rsidRPr="00107040">
        <w:rPr>
          <w:rFonts w:ascii="Times New Roman" w:eastAsia="MS Mincho" w:hAnsi="Times New Roman"/>
          <w:sz w:val="28"/>
          <w:szCs w:val="28"/>
          <w:lang w:val="ru-RU" w:eastAsia="ja-JP"/>
        </w:rPr>
        <w:t>-концом был очищен металлоаффинной хроматографией на ионах никеля (</w:t>
      </w:r>
      <w:r w:rsidRPr="00107040">
        <w:rPr>
          <w:rFonts w:ascii="Times New Roman" w:eastAsia="MS Mincho" w:hAnsi="Times New Roman"/>
          <w:sz w:val="28"/>
          <w:szCs w:val="28"/>
          <w:lang w:eastAsia="ja-JP"/>
        </w:rPr>
        <w:t>Ni</w:t>
      </w:r>
      <w:r w:rsidRPr="00107040">
        <w:rPr>
          <w:rFonts w:ascii="Times New Roman" w:eastAsia="MS Mincho" w:hAnsi="Times New Roman"/>
          <w:sz w:val="28"/>
          <w:szCs w:val="28"/>
          <w:vertAlign w:val="superscript"/>
          <w:lang w:val="ru-RU" w:eastAsia="ja-JP"/>
        </w:rPr>
        <w:t>2+</w:t>
      </w:r>
      <w:r w:rsidRPr="00107040">
        <w:rPr>
          <w:rFonts w:ascii="Times New Roman" w:eastAsia="MS Mincho" w:hAnsi="Times New Roman"/>
          <w:sz w:val="28"/>
          <w:szCs w:val="28"/>
          <w:lang w:val="ru-RU" w:eastAsia="ja-JP"/>
        </w:rPr>
        <w:t xml:space="preserve">) с использованием </w:t>
      </w:r>
      <w:r w:rsidRPr="00107040">
        <w:rPr>
          <w:rFonts w:ascii="Times New Roman" w:eastAsia="MS Mincho" w:hAnsi="Times New Roman"/>
          <w:sz w:val="28"/>
          <w:szCs w:val="28"/>
          <w:lang w:eastAsia="ja-JP"/>
        </w:rPr>
        <w:t>HiTrap</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t>Chelating</w:t>
      </w:r>
      <w:r w:rsidRPr="00107040">
        <w:rPr>
          <w:rFonts w:ascii="Times New Roman" w:eastAsia="MS Mincho" w:hAnsi="Times New Roman"/>
          <w:sz w:val="28"/>
          <w:szCs w:val="28"/>
          <w:lang w:val="ru-RU" w:eastAsia="ja-JP"/>
        </w:rPr>
        <w:t xml:space="preserve"> колонки и после элюирования степень очистки полученных мутантных белков определяли с помощью гель-электрофореза в </w:t>
      </w:r>
      <w:r w:rsidRPr="00107040">
        <w:rPr>
          <w:rFonts w:ascii="Times New Roman" w:eastAsia="MS Mincho" w:hAnsi="Times New Roman"/>
          <w:snapToGrid w:val="0"/>
          <w:sz w:val="28"/>
          <w:szCs w:val="28"/>
          <w:lang w:val="ru-RU" w:eastAsia="ja-JP"/>
        </w:rPr>
        <w:t xml:space="preserve">10 % </w:t>
      </w:r>
      <w:r w:rsidRPr="00107040">
        <w:rPr>
          <w:rFonts w:ascii="Times New Roman" w:eastAsia="MS Mincho" w:hAnsi="Times New Roman"/>
          <w:snapToGrid w:val="0"/>
          <w:sz w:val="28"/>
          <w:szCs w:val="28"/>
          <w:lang w:val="en-US" w:eastAsia="ja-JP"/>
        </w:rPr>
        <w:t>SDS</w:t>
      </w:r>
      <w:r w:rsidRPr="00107040">
        <w:rPr>
          <w:rFonts w:ascii="Times New Roman" w:eastAsia="MS Mincho" w:hAnsi="Times New Roman"/>
          <w:snapToGrid w:val="0"/>
          <w:sz w:val="28"/>
          <w:szCs w:val="28"/>
          <w:lang w:val="kk-KZ" w:eastAsia="ja-JP"/>
        </w:rPr>
        <w:t>-</w:t>
      </w:r>
      <w:r w:rsidRPr="00107040">
        <w:rPr>
          <w:rFonts w:ascii="Times New Roman" w:eastAsia="MS Mincho" w:hAnsi="Times New Roman"/>
          <w:snapToGrid w:val="0"/>
          <w:sz w:val="28"/>
          <w:szCs w:val="28"/>
          <w:lang w:val="ru-RU" w:eastAsia="ja-JP"/>
        </w:rPr>
        <w:t xml:space="preserve">ПААГ </w:t>
      </w:r>
      <w:r w:rsidRPr="00107040">
        <w:rPr>
          <w:rFonts w:ascii="Times New Roman" w:eastAsia="MS Mincho" w:hAnsi="Times New Roman"/>
          <w:sz w:val="28"/>
          <w:szCs w:val="28"/>
          <w:lang w:val="ru-RU" w:eastAsia="ja-JP"/>
        </w:rPr>
        <w:t>(Рисунок 2</w:t>
      </w:r>
      <w:r w:rsidR="002A568C">
        <w:rPr>
          <w:rFonts w:ascii="Times New Roman" w:eastAsia="MS Mincho" w:hAnsi="Times New Roman"/>
          <w:sz w:val="28"/>
          <w:szCs w:val="28"/>
          <w:lang w:val="ru-RU" w:eastAsia="ja-JP"/>
        </w:rPr>
        <w:t>3</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iCs/>
          <w:sz w:val="28"/>
          <w:szCs w:val="28"/>
          <w:lang w:val="kk-KZ" w:eastAsia="ja-JP"/>
        </w:rPr>
        <w:t xml:space="preserve">В результате установили, что рекомбинантный штамм продуцирует белок с молекулярной массой </w:t>
      </w:r>
      <w:r w:rsidRPr="00107040">
        <w:rPr>
          <w:rFonts w:ascii="Times New Roman" w:eastAsia="MS Mincho" w:hAnsi="Times New Roman"/>
          <w:iCs/>
          <w:sz w:val="28"/>
          <w:szCs w:val="28"/>
          <w:lang w:val="kk-KZ" w:eastAsia="ja-JP"/>
        </w:rPr>
        <w:lastRenderedPageBreak/>
        <w:t xml:space="preserve">приблизительно </w:t>
      </w:r>
      <w:r w:rsidRPr="00107040">
        <w:rPr>
          <w:rFonts w:ascii="Times New Roman" w:eastAsia="MS Mincho" w:hAnsi="Times New Roman"/>
          <w:iCs/>
          <w:sz w:val="28"/>
          <w:szCs w:val="28"/>
          <w:lang w:val="ru-RU" w:eastAsia="ja-JP"/>
        </w:rPr>
        <w:t>76</w:t>
      </w:r>
      <w:r w:rsidRPr="00107040">
        <w:rPr>
          <w:rFonts w:ascii="Times New Roman" w:eastAsia="MS Mincho" w:hAnsi="Times New Roman"/>
          <w:iCs/>
          <w:sz w:val="28"/>
          <w:szCs w:val="28"/>
          <w:lang w:val="kk-KZ" w:eastAsia="ja-JP"/>
        </w:rPr>
        <w:t xml:space="preserve"> кДа, что соответствует расчетной молекулярной массе предсказанной </w:t>
      </w:r>
      <w:r w:rsidRPr="00107040">
        <w:rPr>
          <w:rFonts w:ascii="Times New Roman" w:hAnsi="Times New Roman"/>
          <w:sz w:val="28"/>
          <w:szCs w:val="28"/>
        </w:rPr>
        <w:t>ΔHD</w:t>
      </w:r>
      <w:r w:rsidRPr="00107040">
        <w:rPr>
          <w:rFonts w:ascii="Times New Roman" w:eastAsia="MS Mincho" w:hAnsi="Times New Roman"/>
          <w:sz w:val="28"/>
          <w:szCs w:val="28"/>
          <w:shd w:val="clear" w:color="auto" w:fill="FFFFFF"/>
          <w:lang w:val="kk-KZ" w:eastAsia="ja-JP"/>
        </w:rPr>
        <w:t xml:space="preserve"> АtPARP3</w:t>
      </w:r>
      <w:r w:rsidRPr="00107040">
        <w:rPr>
          <w:rFonts w:ascii="Times New Roman" w:eastAsia="MS Mincho" w:hAnsi="Times New Roman"/>
          <w:iCs/>
          <w:sz w:val="28"/>
          <w:szCs w:val="28"/>
          <w:lang w:val="kk-KZ" w:eastAsia="ja-JP"/>
        </w:rPr>
        <w:t xml:space="preserve">. </w:t>
      </w:r>
    </w:p>
    <w:p w14:paraId="09C8B8BD" w14:textId="73680F79" w:rsidR="00AA69DA" w:rsidRPr="00107040" w:rsidRDefault="007D1CB7" w:rsidP="000C16BB">
      <w:pPr>
        <w:spacing w:after="0" w:line="240" w:lineRule="auto"/>
        <w:ind w:firstLine="567"/>
        <w:jc w:val="both"/>
        <w:rPr>
          <w:rFonts w:ascii="Times New Roman" w:eastAsia="MS Mincho" w:hAnsi="Times New Roman"/>
          <w:iCs/>
          <w:sz w:val="28"/>
          <w:szCs w:val="28"/>
          <w:lang w:val="kk-KZ" w:eastAsia="ja-JP"/>
        </w:rPr>
      </w:pPr>
      <w:bookmarkStart w:id="70" w:name="_Hlk106557450"/>
      <w:r w:rsidRPr="00107040">
        <w:rPr>
          <w:rFonts w:ascii="Times New Roman" w:eastAsia="MS Mincho" w:hAnsi="Times New Roman"/>
          <w:iCs/>
          <w:sz w:val="28"/>
          <w:szCs w:val="28"/>
          <w:lang w:val="kk-KZ" w:eastAsia="ja-JP"/>
        </w:rPr>
        <w:t xml:space="preserve">Для выявления </w:t>
      </w:r>
      <w:r w:rsidRPr="00107040">
        <w:rPr>
          <w:rFonts w:ascii="Times New Roman" w:hAnsi="Times New Roman"/>
          <w:sz w:val="28"/>
          <w:szCs w:val="28"/>
          <w:lang w:val="ru-RU"/>
        </w:rPr>
        <w:t xml:space="preserve">АДФ-рибозил трансферазной активности </w:t>
      </w:r>
      <w:r w:rsidRPr="00107040">
        <w:rPr>
          <w:rFonts w:ascii="Times New Roman" w:hAnsi="Times New Roman"/>
          <w:sz w:val="28"/>
          <w:szCs w:val="28"/>
        </w:rPr>
        <w:t>Δ</w:t>
      </w:r>
      <w:r w:rsidRPr="00107040">
        <w:rPr>
          <w:rFonts w:ascii="Times New Roman" w:hAnsi="Times New Roman"/>
          <w:sz w:val="28"/>
          <w:szCs w:val="28"/>
          <w:lang w:val="kk-KZ"/>
        </w:rPr>
        <w:t>HD</w:t>
      </w:r>
      <w:r w:rsidRPr="00107040">
        <w:rPr>
          <w:rFonts w:ascii="Times New Roman" w:eastAsia="MS Mincho" w:hAnsi="Times New Roman"/>
          <w:sz w:val="28"/>
          <w:szCs w:val="28"/>
          <w:shd w:val="clear" w:color="auto" w:fill="FFFFFF"/>
          <w:lang w:val="kk-KZ" w:eastAsia="ja-JP"/>
        </w:rPr>
        <w:t xml:space="preserve"> АtPARP3 </w:t>
      </w:r>
      <w:r w:rsidRPr="00107040">
        <w:rPr>
          <w:rFonts w:ascii="Times New Roman" w:eastAsia="MS Mincho" w:hAnsi="Times New Roman"/>
          <w:iCs/>
          <w:sz w:val="28"/>
          <w:szCs w:val="28"/>
          <w:lang w:val="kk-KZ" w:eastAsia="ja-JP"/>
        </w:rPr>
        <w:t xml:space="preserve">мы определяли ферментативную активность очищенного мутантного белка </w:t>
      </w:r>
      <w:r w:rsidRPr="00107040">
        <w:rPr>
          <w:rFonts w:ascii="Times New Roman" w:eastAsia="MS Mincho" w:hAnsi="Times New Roman"/>
          <w:sz w:val="28"/>
          <w:szCs w:val="28"/>
          <w:lang w:val="kk-KZ" w:eastAsia="ja-JP"/>
        </w:rPr>
        <w:t>с использованием 5'- [</w:t>
      </w:r>
      <w:r w:rsidRPr="00107040">
        <w:rPr>
          <w:rFonts w:ascii="Times New Roman" w:eastAsia="MS Mincho" w:hAnsi="Times New Roman"/>
          <w:sz w:val="28"/>
          <w:szCs w:val="28"/>
          <w:vertAlign w:val="superscript"/>
          <w:lang w:val="kk-KZ" w:eastAsia="ja-JP"/>
        </w:rPr>
        <w:t>32</w:t>
      </w:r>
      <w:r w:rsidRPr="00107040">
        <w:rPr>
          <w:rFonts w:ascii="Times New Roman" w:eastAsia="MS Mincho" w:hAnsi="Times New Roman"/>
          <w:sz w:val="28"/>
          <w:szCs w:val="28"/>
          <w:lang w:val="kk-KZ" w:eastAsia="ja-JP"/>
        </w:rPr>
        <w:t>P]-</w:t>
      </w:r>
      <w:r w:rsidRPr="00107040">
        <w:rPr>
          <w:rFonts w:ascii="Times New Roman" w:eastAsia="MS Mincho" w:hAnsi="Times New Roman"/>
          <w:iCs/>
          <w:sz w:val="28"/>
          <w:szCs w:val="28"/>
          <w:lang w:val="kk-KZ" w:eastAsia="ja-JP"/>
        </w:rPr>
        <w:t>Exo15•Rex12T</w:t>
      </w:r>
      <w:r w:rsidRPr="00107040">
        <w:rPr>
          <w:rFonts w:ascii="Times New Roman" w:eastAsia="MS Mincho" w:hAnsi="Times New Roman"/>
          <w:iCs/>
          <w:sz w:val="28"/>
          <w:szCs w:val="28"/>
          <w:vertAlign w:val="superscript"/>
          <w:lang w:val="kk-KZ" w:eastAsia="ja-JP"/>
        </w:rPr>
        <w:t xml:space="preserve">rec </w:t>
      </w:r>
      <w:r w:rsidRPr="00107040">
        <w:rPr>
          <w:rFonts w:ascii="Times New Roman" w:eastAsia="MS Mincho" w:hAnsi="Times New Roman"/>
          <w:iCs/>
          <w:sz w:val="28"/>
          <w:szCs w:val="28"/>
          <w:lang w:val="kk-KZ" w:eastAsia="ja-JP"/>
        </w:rPr>
        <w:t xml:space="preserve">, </w:t>
      </w:r>
      <w:r w:rsidRPr="00107040">
        <w:rPr>
          <w:rFonts w:ascii="Times New Roman" w:eastAsia="MS Mincho" w:hAnsi="Times New Roman"/>
          <w:sz w:val="28"/>
          <w:szCs w:val="28"/>
          <w:lang w:val="kk-KZ" w:eastAsia="ja-JP"/>
        </w:rPr>
        <w:t>5'- [</w:t>
      </w:r>
      <w:r w:rsidRPr="00107040">
        <w:rPr>
          <w:rFonts w:ascii="Times New Roman" w:eastAsia="MS Mincho" w:hAnsi="Times New Roman"/>
          <w:sz w:val="28"/>
          <w:szCs w:val="28"/>
          <w:vertAlign w:val="superscript"/>
          <w:lang w:val="kk-KZ" w:eastAsia="ja-JP"/>
        </w:rPr>
        <w:t>32</w:t>
      </w:r>
      <w:r w:rsidRPr="00107040">
        <w:rPr>
          <w:rFonts w:ascii="Times New Roman" w:eastAsia="MS Mincho" w:hAnsi="Times New Roman"/>
          <w:sz w:val="28"/>
          <w:szCs w:val="28"/>
          <w:lang w:val="kk-KZ" w:eastAsia="ja-JP"/>
        </w:rPr>
        <w:t>P] -</w:t>
      </w:r>
      <w:r w:rsidRPr="00107040">
        <w:rPr>
          <w:rFonts w:ascii="Times New Roman" w:eastAsia="MS Mincho" w:hAnsi="Times New Roman"/>
          <w:iCs/>
          <w:sz w:val="28"/>
          <w:szCs w:val="28"/>
          <w:lang w:val="kk-KZ" w:eastAsia="ja-JP"/>
        </w:rPr>
        <w:t>ExoA/</w:t>
      </w:r>
      <w:r w:rsidRPr="00107040">
        <w:rPr>
          <w:rFonts w:ascii="Times New Roman" w:eastAsia="MS Mincho" w:hAnsi="Times New Roman"/>
          <w:iCs/>
          <w:sz w:val="28"/>
          <w:szCs w:val="28"/>
          <w:lang w:val="en-US" w:eastAsia="ja-JP"/>
        </w:rPr>
        <w:t>p</w:t>
      </w:r>
      <w:r w:rsidRPr="00107040">
        <w:rPr>
          <w:rFonts w:ascii="Times New Roman" w:eastAsia="MS Mincho" w:hAnsi="Times New Roman"/>
          <w:iCs/>
          <w:sz w:val="28"/>
          <w:szCs w:val="28"/>
          <w:lang w:val="kk-KZ" w:eastAsia="ja-JP"/>
        </w:rPr>
        <w:t>Exo19•RexT</w:t>
      </w:r>
      <w:r w:rsidRPr="00107040">
        <w:rPr>
          <w:rFonts w:ascii="Times New Roman" w:eastAsia="MS Mincho" w:hAnsi="Times New Roman"/>
          <w:iCs/>
          <w:sz w:val="28"/>
          <w:szCs w:val="28"/>
          <w:vertAlign w:val="superscript"/>
          <w:lang w:val="kk-KZ" w:eastAsia="ja-JP"/>
        </w:rPr>
        <w:t>nick</w:t>
      </w:r>
      <w:r w:rsidRPr="00107040">
        <w:rPr>
          <w:rFonts w:ascii="Times New Roman" w:eastAsia="MS Mincho" w:hAnsi="Times New Roman"/>
          <w:iCs/>
          <w:sz w:val="28"/>
          <w:szCs w:val="28"/>
          <w:lang w:val="kk-KZ" w:eastAsia="ja-JP"/>
        </w:rPr>
        <w:t xml:space="preserve"> и </w:t>
      </w:r>
      <w:r w:rsidRPr="00107040">
        <w:rPr>
          <w:rFonts w:ascii="Times New Roman" w:eastAsia="MS Mincho" w:hAnsi="Times New Roman"/>
          <w:sz w:val="28"/>
          <w:szCs w:val="28"/>
          <w:lang w:val="kk-KZ" w:eastAsia="ja-JP"/>
        </w:rPr>
        <w:t>5'- [</w:t>
      </w:r>
      <w:r w:rsidRPr="00107040">
        <w:rPr>
          <w:rFonts w:ascii="Times New Roman" w:eastAsia="MS Mincho" w:hAnsi="Times New Roman"/>
          <w:sz w:val="28"/>
          <w:szCs w:val="28"/>
          <w:vertAlign w:val="superscript"/>
          <w:lang w:val="kk-KZ" w:eastAsia="ja-JP"/>
        </w:rPr>
        <w:t>32</w:t>
      </w:r>
      <w:r w:rsidRPr="00107040">
        <w:rPr>
          <w:rFonts w:ascii="Times New Roman" w:eastAsia="MS Mincho" w:hAnsi="Times New Roman"/>
          <w:sz w:val="28"/>
          <w:szCs w:val="28"/>
          <w:lang w:val="kk-KZ" w:eastAsia="ja-JP"/>
        </w:rPr>
        <w:t>P] -</w:t>
      </w:r>
      <w:r w:rsidRPr="00107040">
        <w:rPr>
          <w:rFonts w:ascii="Times New Roman" w:eastAsia="MS Mincho" w:hAnsi="Times New Roman"/>
          <w:iCs/>
          <w:sz w:val="28"/>
          <w:szCs w:val="28"/>
          <w:lang w:val="kk-KZ" w:eastAsia="ja-JP"/>
        </w:rPr>
        <w:t>ExoA/</w:t>
      </w:r>
      <w:r w:rsidRPr="00107040">
        <w:rPr>
          <w:rFonts w:ascii="Times New Roman" w:eastAsia="MS Mincho" w:hAnsi="Times New Roman"/>
          <w:iCs/>
          <w:sz w:val="28"/>
          <w:szCs w:val="28"/>
          <w:lang w:val="en-US" w:eastAsia="ja-JP"/>
        </w:rPr>
        <w:t>p</w:t>
      </w:r>
      <w:r w:rsidRPr="00107040">
        <w:rPr>
          <w:rFonts w:ascii="Times New Roman" w:eastAsia="MS Mincho" w:hAnsi="Times New Roman"/>
          <w:iCs/>
          <w:sz w:val="28"/>
          <w:szCs w:val="28"/>
          <w:lang w:val="kk-KZ" w:eastAsia="ja-JP"/>
        </w:rPr>
        <w:t>Exo18•RexT</w:t>
      </w:r>
      <w:r w:rsidRPr="00107040">
        <w:rPr>
          <w:rFonts w:ascii="Times New Roman" w:eastAsia="MS Mincho" w:hAnsi="Times New Roman"/>
          <w:iCs/>
          <w:sz w:val="28"/>
          <w:szCs w:val="28"/>
          <w:vertAlign w:val="superscript"/>
          <w:lang w:val="kk-KZ" w:eastAsia="ja-JP"/>
        </w:rPr>
        <w:t>gap</w:t>
      </w:r>
      <w:r w:rsidRPr="00107040">
        <w:rPr>
          <w:rFonts w:ascii="Times New Roman" w:eastAsia="MS Mincho" w:hAnsi="Times New Roman"/>
          <w:iCs/>
          <w:sz w:val="28"/>
          <w:szCs w:val="28"/>
          <w:lang w:val="kk-KZ" w:eastAsia="ja-JP"/>
        </w:rPr>
        <w:t xml:space="preserve"> дуплексных ДНК. Как видно из представленных данных на рисунке, </w:t>
      </w:r>
      <w:r w:rsidRPr="00107040">
        <w:rPr>
          <w:rFonts w:ascii="Times New Roman" w:hAnsi="Times New Roman"/>
          <w:sz w:val="28"/>
          <w:szCs w:val="28"/>
        </w:rPr>
        <w:t>Δ</w:t>
      </w:r>
      <w:r w:rsidRPr="00107040">
        <w:rPr>
          <w:rFonts w:ascii="Times New Roman" w:hAnsi="Times New Roman"/>
          <w:sz w:val="28"/>
          <w:szCs w:val="28"/>
          <w:lang w:val="kk-KZ"/>
        </w:rPr>
        <w:t>HD</w:t>
      </w:r>
      <w:r w:rsidRPr="00107040">
        <w:rPr>
          <w:rFonts w:ascii="Times New Roman" w:eastAsia="MS Mincho" w:hAnsi="Times New Roman"/>
          <w:sz w:val="28"/>
          <w:szCs w:val="28"/>
          <w:shd w:val="clear" w:color="auto" w:fill="FFFFFF"/>
          <w:lang w:val="kk-KZ" w:eastAsia="ja-JP"/>
        </w:rPr>
        <w:t xml:space="preserve"> АtPARP3 </w:t>
      </w:r>
      <w:r w:rsidRPr="00107040">
        <w:rPr>
          <w:rFonts w:ascii="Times New Roman" w:eastAsia="MS Mincho" w:hAnsi="Times New Roman"/>
          <w:iCs/>
          <w:sz w:val="28"/>
          <w:szCs w:val="28"/>
          <w:lang w:val="kk-KZ" w:eastAsia="ja-JP"/>
        </w:rPr>
        <w:t>не проявил (рисунок 2</w:t>
      </w:r>
      <w:r w:rsidR="002A568C">
        <w:rPr>
          <w:rFonts w:ascii="Times New Roman" w:eastAsia="MS Mincho" w:hAnsi="Times New Roman"/>
          <w:iCs/>
          <w:sz w:val="28"/>
          <w:szCs w:val="28"/>
          <w:lang w:val="kk-KZ" w:eastAsia="ja-JP"/>
        </w:rPr>
        <w:t>4</w:t>
      </w:r>
      <w:r w:rsidRPr="00107040">
        <w:rPr>
          <w:rFonts w:ascii="Times New Roman" w:eastAsia="MS Mincho" w:hAnsi="Times New Roman"/>
          <w:iCs/>
          <w:sz w:val="28"/>
          <w:szCs w:val="28"/>
          <w:lang w:val="kk-KZ" w:eastAsia="ja-JP"/>
        </w:rPr>
        <w:t xml:space="preserve">) каких-либо обнаруживаемых активностей поли-АДФ рибозилирования ДНК как и исходный </w:t>
      </w:r>
      <w:r w:rsidRPr="00107040">
        <w:rPr>
          <w:rFonts w:ascii="Times New Roman" w:eastAsia="MS Mincho" w:hAnsi="Times New Roman"/>
          <w:iCs/>
          <w:sz w:val="28"/>
          <w:szCs w:val="28"/>
          <w:lang w:val="ru-RU" w:eastAsia="ja-JP"/>
        </w:rPr>
        <w:t xml:space="preserve">интактный </w:t>
      </w:r>
      <w:r w:rsidRPr="00107040">
        <w:rPr>
          <w:rFonts w:ascii="Times New Roman" w:eastAsia="MS Mincho" w:hAnsi="Times New Roman"/>
          <w:iCs/>
          <w:sz w:val="28"/>
          <w:szCs w:val="28"/>
          <w:lang w:val="kk-KZ" w:eastAsia="ja-JP"/>
        </w:rPr>
        <w:t xml:space="preserve">АtPARP3 дикого типа </w:t>
      </w:r>
      <w:bookmarkEnd w:id="70"/>
      <w:r w:rsidRPr="00107040">
        <w:rPr>
          <w:rFonts w:ascii="Times New Roman" w:eastAsia="MS Mincho" w:hAnsi="Times New Roman"/>
          <w:iCs/>
          <w:sz w:val="28"/>
          <w:szCs w:val="28"/>
          <w:lang w:val="kk-KZ" w:eastAsia="ja-JP"/>
        </w:rPr>
        <w:t xml:space="preserve">(рисунок </w:t>
      </w:r>
      <w:r w:rsidR="002A568C">
        <w:rPr>
          <w:rFonts w:ascii="Times New Roman" w:eastAsia="MS Mincho" w:hAnsi="Times New Roman"/>
          <w:iCs/>
          <w:sz w:val="28"/>
          <w:szCs w:val="28"/>
          <w:lang w:val="kk-KZ" w:eastAsia="ja-JP"/>
        </w:rPr>
        <w:t>20</w:t>
      </w:r>
      <w:r w:rsidRPr="00107040">
        <w:rPr>
          <w:rFonts w:ascii="Times New Roman" w:eastAsia="MS Mincho" w:hAnsi="Times New Roman"/>
          <w:iCs/>
          <w:sz w:val="28"/>
          <w:szCs w:val="28"/>
          <w:lang w:val="ru-RU" w:eastAsia="ja-JP"/>
        </w:rPr>
        <w:t xml:space="preserve"> </w:t>
      </w:r>
      <w:r w:rsidRPr="00107040">
        <w:rPr>
          <w:rFonts w:ascii="Times New Roman" w:eastAsia="MS Mincho" w:hAnsi="Times New Roman"/>
          <w:iCs/>
          <w:sz w:val="28"/>
          <w:szCs w:val="28"/>
          <w:lang w:val="kk-KZ" w:eastAsia="ja-JP"/>
        </w:rPr>
        <w:t xml:space="preserve">и рисунок </w:t>
      </w:r>
      <w:r w:rsidR="002A568C">
        <w:rPr>
          <w:rFonts w:ascii="Times New Roman" w:eastAsia="MS Mincho" w:hAnsi="Times New Roman"/>
          <w:iCs/>
          <w:sz w:val="28"/>
          <w:szCs w:val="28"/>
          <w:lang w:val="kk-KZ" w:eastAsia="ja-JP"/>
        </w:rPr>
        <w:t>21</w:t>
      </w:r>
      <w:r w:rsidRPr="00107040">
        <w:rPr>
          <w:rFonts w:ascii="Times New Roman" w:eastAsia="MS Mincho" w:hAnsi="Times New Roman"/>
          <w:iCs/>
          <w:sz w:val="28"/>
          <w:szCs w:val="28"/>
          <w:lang w:val="kk-KZ" w:eastAsia="ja-JP"/>
        </w:rPr>
        <w:t>).</w:t>
      </w:r>
    </w:p>
    <w:p w14:paraId="7463DDC2" w14:textId="25090F6A" w:rsidR="00903387" w:rsidRPr="00107040" w:rsidRDefault="00903387" w:rsidP="000C16BB">
      <w:pPr>
        <w:shd w:val="clear" w:color="auto" w:fill="FFFFFF"/>
        <w:spacing w:after="0" w:line="240" w:lineRule="auto"/>
        <w:jc w:val="both"/>
        <w:rPr>
          <w:rFonts w:ascii="Times New Roman" w:hAnsi="Times New Roman"/>
          <w:sz w:val="28"/>
          <w:szCs w:val="28"/>
          <w:lang w:val="kk-KZ"/>
        </w:rPr>
      </w:pPr>
    </w:p>
    <w:p w14:paraId="67A12DEC" w14:textId="30B9963A" w:rsidR="005E4AAD" w:rsidRPr="00107040" w:rsidRDefault="005E4AAD" w:rsidP="000C16BB">
      <w:pPr>
        <w:shd w:val="clear" w:color="auto" w:fill="FFFFFF"/>
        <w:spacing w:after="0" w:line="240" w:lineRule="auto"/>
        <w:jc w:val="center"/>
        <w:rPr>
          <w:rFonts w:ascii="Times New Roman" w:hAnsi="Times New Roman"/>
          <w:sz w:val="28"/>
          <w:szCs w:val="28"/>
          <w:lang w:val="kk-KZ"/>
        </w:rPr>
      </w:pPr>
      <w:r w:rsidRPr="00107040">
        <w:rPr>
          <w:rFonts w:ascii="Times New Roman" w:hAnsi="Times New Roman"/>
          <w:noProof/>
          <w:sz w:val="28"/>
          <w:szCs w:val="28"/>
          <w:lang w:val="ru-RU" w:eastAsia="ru-RU"/>
        </w:rPr>
        <w:drawing>
          <wp:inline distT="0" distB="0" distL="0" distR="0" wp14:anchorId="2D6B9D76" wp14:editId="0868953E">
            <wp:extent cx="2907030" cy="4353560"/>
            <wp:effectExtent l="19050" t="19050" r="26670" b="27940"/>
            <wp:docPr id="22" name="Рисунок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12"/>
                    <pic:cNvPicPr>
                      <a:picLocks noGrp="1"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07030" cy="4353560"/>
                    </a:xfrm>
                    <a:prstGeom prst="rect">
                      <a:avLst/>
                    </a:prstGeom>
                    <a:noFill/>
                    <a:ln w="9525" cmpd="sng">
                      <a:solidFill>
                        <a:srgbClr val="000000"/>
                      </a:solidFill>
                      <a:miter lim="800000"/>
                      <a:headEnd/>
                      <a:tailEnd/>
                    </a:ln>
                    <a:effectLst/>
                  </pic:spPr>
                </pic:pic>
              </a:graphicData>
            </a:graphic>
          </wp:inline>
        </w:drawing>
      </w:r>
    </w:p>
    <w:p w14:paraId="5AC4ED2F" w14:textId="77777777" w:rsidR="005E4AAD" w:rsidRPr="00107040" w:rsidRDefault="005E4AAD" w:rsidP="000C16BB">
      <w:pPr>
        <w:shd w:val="clear" w:color="auto" w:fill="FFFFFF"/>
        <w:spacing w:after="0" w:line="240" w:lineRule="auto"/>
        <w:jc w:val="center"/>
        <w:rPr>
          <w:rFonts w:ascii="Times New Roman" w:hAnsi="Times New Roman"/>
          <w:sz w:val="28"/>
          <w:szCs w:val="28"/>
          <w:lang w:val="kk-KZ"/>
        </w:rPr>
      </w:pPr>
    </w:p>
    <w:p w14:paraId="363F5709" w14:textId="32AE54D1" w:rsidR="00903387" w:rsidRPr="00107040" w:rsidRDefault="00AA69DA" w:rsidP="000C16BB">
      <w:pPr>
        <w:shd w:val="clear" w:color="auto" w:fill="FFFFFF"/>
        <w:spacing w:after="0" w:line="240" w:lineRule="auto"/>
        <w:ind w:firstLine="567"/>
        <w:jc w:val="center"/>
        <w:rPr>
          <w:rFonts w:ascii="Times New Roman" w:eastAsia="MS Mincho" w:hAnsi="Times New Roman"/>
          <w:bCs/>
          <w:sz w:val="28"/>
          <w:szCs w:val="28"/>
          <w:lang w:val="kk-KZ" w:eastAsia="ja-JP"/>
        </w:rPr>
      </w:pPr>
      <w:bookmarkStart w:id="71" w:name="_Hlk103941204"/>
      <w:r w:rsidRPr="00107040">
        <w:rPr>
          <w:rFonts w:ascii="Times New Roman" w:hAnsi="Times New Roman"/>
          <w:sz w:val="28"/>
          <w:szCs w:val="28"/>
          <w:lang w:val="ru-RU"/>
        </w:rPr>
        <w:t>Рисунок 2</w:t>
      </w:r>
      <w:r w:rsidR="002A568C">
        <w:rPr>
          <w:rFonts w:ascii="Times New Roman" w:hAnsi="Times New Roman"/>
          <w:sz w:val="28"/>
          <w:szCs w:val="28"/>
          <w:lang w:val="ru-RU"/>
        </w:rPr>
        <w:t>4</w:t>
      </w:r>
      <w:r w:rsidRPr="00107040">
        <w:rPr>
          <w:rFonts w:ascii="Times New Roman" w:hAnsi="Times New Roman"/>
          <w:sz w:val="28"/>
          <w:szCs w:val="28"/>
          <w:lang w:val="ru-RU"/>
        </w:rPr>
        <w:t xml:space="preserve"> –</w:t>
      </w:r>
      <w:r w:rsidRPr="00107040">
        <w:rPr>
          <w:rFonts w:ascii="Times New Roman" w:eastAsia="MS Mincho" w:hAnsi="Times New Roman"/>
          <w:bCs/>
          <w:sz w:val="28"/>
          <w:szCs w:val="28"/>
          <w:lang w:val="ru-RU" w:eastAsia="ja-JP"/>
        </w:rPr>
        <w:t xml:space="preserve"> Денатурирующий ПААГ анализ активности </w:t>
      </w:r>
      <w:r w:rsidRPr="00107040">
        <w:rPr>
          <w:rFonts w:ascii="Times New Roman" w:hAnsi="Times New Roman"/>
          <w:sz w:val="28"/>
          <w:szCs w:val="28"/>
        </w:rPr>
        <w:t>Δ</w:t>
      </w:r>
      <w:r w:rsidRPr="00107040">
        <w:rPr>
          <w:rFonts w:ascii="Times New Roman" w:hAnsi="Times New Roman"/>
          <w:sz w:val="28"/>
          <w:szCs w:val="28"/>
          <w:lang w:val="kk-KZ"/>
        </w:rPr>
        <w:t>HD</w:t>
      </w:r>
      <w:r w:rsidRPr="00107040">
        <w:rPr>
          <w:rFonts w:ascii="Times New Roman" w:eastAsia="MS Mincho" w:hAnsi="Times New Roman"/>
          <w:iCs/>
          <w:sz w:val="28"/>
          <w:szCs w:val="28"/>
          <w:lang w:val="kk-KZ" w:eastAsia="ja-JP"/>
        </w:rPr>
        <w:t xml:space="preserve"> АtPARP3</w:t>
      </w:r>
    </w:p>
    <w:bookmarkEnd w:id="71"/>
    <w:p w14:paraId="36FABBFA" w14:textId="77777777" w:rsidR="00366063" w:rsidRPr="00107040" w:rsidRDefault="00366063" w:rsidP="000C16BB">
      <w:pPr>
        <w:shd w:val="clear" w:color="auto" w:fill="FFFFFF"/>
        <w:spacing w:after="0" w:line="240" w:lineRule="auto"/>
        <w:jc w:val="both"/>
        <w:rPr>
          <w:rFonts w:ascii="Times New Roman" w:eastAsia="MS Mincho" w:hAnsi="Times New Roman"/>
          <w:iCs/>
          <w:sz w:val="28"/>
          <w:szCs w:val="28"/>
          <w:lang w:val="kk-KZ" w:eastAsia="ja-JP"/>
        </w:rPr>
      </w:pPr>
    </w:p>
    <w:p w14:paraId="4C0A3924" w14:textId="01C8DF59" w:rsidR="00AA69DA" w:rsidRPr="00107040" w:rsidRDefault="00AA69DA" w:rsidP="000C16BB">
      <w:pPr>
        <w:shd w:val="clear" w:color="auto" w:fill="FFFFFF"/>
        <w:spacing w:after="0" w:line="240" w:lineRule="auto"/>
        <w:ind w:firstLine="567"/>
        <w:jc w:val="both"/>
        <w:rPr>
          <w:rFonts w:ascii="Times New Roman" w:eastAsia="MS Mincho" w:hAnsi="Times New Roman"/>
          <w:iCs/>
          <w:sz w:val="28"/>
          <w:szCs w:val="28"/>
          <w:lang w:val="ru-RU" w:eastAsia="ja-JP"/>
        </w:rPr>
      </w:pPr>
      <w:bookmarkStart w:id="72" w:name="_Hlk106557726"/>
      <w:r w:rsidRPr="00107040">
        <w:rPr>
          <w:rFonts w:ascii="Times New Roman" w:eastAsia="MS Mincho" w:hAnsi="Times New Roman"/>
          <w:iCs/>
          <w:sz w:val="28"/>
          <w:szCs w:val="28"/>
          <w:lang w:val="ru-RU" w:eastAsia="ja-JP"/>
        </w:rPr>
        <w:t xml:space="preserve">Как отмечалось выше, </w:t>
      </w:r>
      <w:r w:rsidRPr="00107040">
        <w:rPr>
          <w:rFonts w:ascii="Times New Roman" w:eastAsia="MS Mincho" w:hAnsi="Times New Roman"/>
          <w:iCs/>
          <w:sz w:val="28"/>
          <w:szCs w:val="28"/>
          <w:lang w:eastAsia="ja-JP"/>
        </w:rPr>
        <w:t>N</w:t>
      </w:r>
      <w:r w:rsidRPr="00107040">
        <w:rPr>
          <w:rFonts w:ascii="Times New Roman" w:eastAsia="MS Mincho" w:hAnsi="Times New Roman"/>
          <w:iCs/>
          <w:sz w:val="28"/>
          <w:szCs w:val="28"/>
          <w:lang w:val="ru-RU" w:eastAsia="ja-JP"/>
        </w:rPr>
        <w:t xml:space="preserve">-концевая область </w:t>
      </w:r>
      <w:r w:rsidRPr="00107040">
        <w:rPr>
          <w:rFonts w:ascii="Times New Roman" w:eastAsia="MS Mincho" w:hAnsi="Times New Roman"/>
          <w:iCs/>
          <w:sz w:val="28"/>
          <w:szCs w:val="28"/>
          <w:lang w:eastAsia="ja-JP"/>
        </w:rPr>
        <w:t>AtPARP</w:t>
      </w:r>
      <w:r w:rsidRPr="00107040">
        <w:rPr>
          <w:rFonts w:ascii="Times New Roman" w:eastAsia="MS Mincho" w:hAnsi="Times New Roman"/>
          <w:iCs/>
          <w:sz w:val="28"/>
          <w:szCs w:val="28"/>
          <w:lang w:val="ru-RU" w:eastAsia="ja-JP"/>
        </w:rPr>
        <w:t xml:space="preserve">3 на 220 аминокислот длиннее по сравнению с HsPARP3. Кроме этого, </w:t>
      </w:r>
      <w:r w:rsidRPr="00107040">
        <w:rPr>
          <w:rFonts w:ascii="Times New Roman" w:eastAsia="MS Mincho" w:hAnsi="Times New Roman"/>
          <w:iCs/>
          <w:sz w:val="28"/>
          <w:szCs w:val="28"/>
          <w:lang w:eastAsia="ja-JP"/>
        </w:rPr>
        <w:t>AtPARP</w:t>
      </w:r>
      <w:r w:rsidRPr="00107040">
        <w:rPr>
          <w:rFonts w:ascii="Times New Roman" w:eastAsia="MS Mincho" w:hAnsi="Times New Roman"/>
          <w:iCs/>
          <w:sz w:val="28"/>
          <w:szCs w:val="28"/>
          <w:lang w:val="ru-RU" w:eastAsia="ja-JP"/>
        </w:rPr>
        <w:t xml:space="preserve">3 на </w:t>
      </w:r>
      <w:bookmarkStart w:id="73" w:name="_Hlk103272963"/>
      <w:r w:rsidRPr="00107040">
        <w:rPr>
          <w:rFonts w:ascii="Times New Roman" w:eastAsia="MS Mincho" w:hAnsi="Times New Roman"/>
          <w:iCs/>
          <w:sz w:val="28"/>
          <w:szCs w:val="28"/>
          <w:lang w:eastAsia="ja-JP"/>
        </w:rPr>
        <w:t>N</w:t>
      </w:r>
      <w:r w:rsidRPr="00107040">
        <w:rPr>
          <w:rFonts w:ascii="Times New Roman" w:eastAsia="MS Mincho" w:hAnsi="Times New Roman"/>
          <w:iCs/>
          <w:sz w:val="28"/>
          <w:szCs w:val="28"/>
          <w:lang w:val="ru-RU" w:eastAsia="ja-JP"/>
        </w:rPr>
        <w:t xml:space="preserve"> -конце содержит BRCT-домен, </w:t>
      </w:r>
      <w:bookmarkEnd w:id="73"/>
      <w:r w:rsidRPr="00107040">
        <w:rPr>
          <w:rFonts w:ascii="Times New Roman" w:eastAsia="MS Mincho" w:hAnsi="Times New Roman"/>
          <w:iCs/>
          <w:sz w:val="28"/>
          <w:szCs w:val="28"/>
          <w:lang w:val="ru-RU" w:eastAsia="ja-JP"/>
        </w:rPr>
        <w:t xml:space="preserve">который требуется для взаимодействия PARP фермента с различными белками-партнерами </w:t>
      </w:r>
      <w:r w:rsidR="000E75FB" w:rsidRPr="00107040">
        <w:rPr>
          <w:rFonts w:ascii="Times New Roman" w:eastAsia="MS Mincho" w:hAnsi="Times New Roman"/>
          <w:iCs/>
          <w:sz w:val="28"/>
          <w:szCs w:val="28"/>
          <w:lang w:val="ru-RU" w:eastAsia="ja-JP"/>
        </w:rPr>
        <w:fldChar w:fldCharType="begin"/>
      </w:r>
      <w:r w:rsidR="00FB5E68">
        <w:rPr>
          <w:rFonts w:ascii="Times New Roman" w:eastAsia="MS Mincho" w:hAnsi="Times New Roman"/>
          <w:iCs/>
          <w:sz w:val="28"/>
          <w:szCs w:val="28"/>
          <w:lang w:val="ru-RU" w:eastAsia="ja-JP"/>
        </w:rPr>
        <w:instrText xml:space="preserve"> ADDIN ZOTERO_ITEM CSL_CITATION {"citationID":"CBi7LbYk","properties":{"formattedCitation":"[458]","plainCitation":"[458]","noteIndex":0},"citationItems":[{"id":1353,"uris":["http://zotero.org/users/9078202/items/ABZTMVCI"],"itemData":{"id":1353,"type":"article-journal","abstract":"Background\nPoly (ADP-ribosyl) ation (PARylation) is an important posttranslational modification that regulates DNA repair, gene transcription, stress responses and developmental processes in multicellular organisms. Poly (ADP-ribose) polymerase (PARP) catalyzes PARylation by consecutively adding ADP-ribose moieties from NAD+ to the amino acid receptor residues on target proteins. Arabidopsis has three canonical PARP members, and two of these members, AtPARP1 and AtPARP2, have been demonstrated to be bona fide poly (ADP-ribose) polymerases and to regulate DNA repair and stress response processes. However, it remains unknown whether AtPARP3, a member that is highly expressed in seeds, has similar biochemical activity to that of AtPARP1 and AtPARP2. Additionally, although both the phylogenetic relationships and structural similarities indicate that AtPARP1 and AtPARP2 correspond to animal PARP1 and PARP2, respectively, two previous studies have indicated that AtPARP2, and not AtPARP1, accounts for most of the PARP activity in Arabidopsis, which is contrary to the knowledge that PARP1 is the predominant PARP in animals.\n\nResults\nIn this study, we obtained both in vitro and in vivo evidence demonstrating that AtPARP3 does not act as a typical PARP in Arabidopsis. Domain swapping and point mutation assays indicated that AtPARP3 has lost NAD+-binding capability and is inactive. In addition, our results showed that AtPARP1 was responsible for most of the PARP enzymatic activity in response to the DNA damage-inducing agents zeocin and methyl methanesulfonate (MMS) and was more rapidly activated than AtPARP2, which supports that AtPARP1 remains the predominant PARP member in Arabidopsis. AtPARP1 might first become activated by binding to damaged sites, and AtPARP2 is then poly (ADP-ribosyl) ated by AtPARP1 in vivo.\n\nConclusions\nCollectively, our biochemical and genetic analysis results strongly support the notion that AtPARP3 has lost poly (ADP-ribose) polymerase activity in plants and performs different functions from those of AtPARP1 and AtPARP2. AtPARP1, instead of AtPARP2, plays the predominant role in PAR synthesis in both seeds and seedlings. These data bring new insights into our understanding of the physiological functions of plant PARP family members.\n\nElectronic supplementary material\nThe online version of this article (10.1186/s12870-019-1958-9) contains supplementary material, which is available to authorized users.","container-title":"BMC Plant Biology","DOI":"10.1186/s12870-019-1958-9","ISSN":"1471-2229","journalAbbreviation":"BMC Plant Biol","note":"PMID: 31426748\nPMCID: PMC6701155","page":"364","source":"PubMed Central","title":"New perspectives on the plant PARP family: Arabidopsis PARP3 is inactive, and PARP1 exhibits predominant poly (ADP-ribose) polymerase activity in response to DNA damage","title-short":"New perspectives on the plant PARP family","URL":"https://www.ncbi.nlm.nih.gov/pmc/articles/PMC6701155/","volume":"19","author":[{"family":"Gu","given":"Zongying"},{"family":"Pan","given":"Weiyang"},{"family":"Chen","given":"Wei"},{"family":"Lian","given":"Qichao"},{"family":"Wu","given":"Qiao"},{"family":"Lv","given":"Zeyu"},{"family":"Cheng","given":"Xuan"},{"family":"Ge","given":"Xiaochun"}],"accessed":{"date-parts":[["2022",5,5]]},"issued":{"date-parts":[["2019",8,19]]}}}],"schema":"https://github.com/citation-style-language/schema/raw/master/csl-citation.json"} </w:instrText>
      </w:r>
      <w:r w:rsidR="000E75FB" w:rsidRPr="00107040">
        <w:rPr>
          <w:rFonts w:ascii="Times New Roman" w:eastAsia="MS Mincho" w:hAnsi="Times New Roman"/>
          <w:iCs/>
          <w:sz w:val="28"/>
          <w:szCs w:val="28"/>
          <w:lang w:val="ru-RU" w:eastAsia="ja-JP"/>
        </w:rPr>
        <w:fldChar w:fldCharType="separate"/>
      </w:r>
      <w:r w:rsidR="00FB5E68" w:rsidRPr="00FB5E68">
        <w:rPr>
          <w:rFonts w:ascii="Times New Roman" w:hAnsi="Times New Roman"/>
          <w:sz w:val="28"/>
        </w:rPr>
        <w:t>[458]</w:t>
      </w:r>
      <w:r w:rsidR="000E75FB" w:rsidRPr="00107040">
        <w:rPr>
          <w:rFonts w:ascii="Times New Roman" w:eastAsia="MS Mincho" w:hAnsi="Times New Roman"/>
          <w:iCs/>
          <w:sz w:val="28"/>
          <w:szCs w:val="28"/>
          <w:lang w:val="ru-RU" w:eastAsia="ja-JP"/>
        </w:rPr>
        <w:fldChar w:fldCharType="end"/>
      </w:r>
      <w:r w:rsidR="000E75FB" w:rsidRPr="00107040">
        <w:rPr>
          <w:rFonts w:ascii="Times New Roman" w:eastAsia="MS Mincho" w:hAnsi="Times New Roman"/>
          <w:iCs/>
          <w:sz w:val="28"/>
          <w:szCs w:val="28"/>
          <w:lang w:val="ru-RU" w:eastAsia="ja-JP"/>
        </w:rPr>
        <w:t>.</w:t>
      </w:r>
      <w:r w:rsidRPr="00107040">
        <w:rPr>
          <w:rFonts w:ascii="Times New Roman" w:eastAsia="MS Mincho" w:hAnsi="Times New Roman"/>
          <w:iCs/>
          <w:sz w:val="28"/>
          <w:szCs w:val="28"/>
          <w:lang w:val="ru-RU" w:eastAsia="ja-JP"/>
        </w:rPr>
        <w:t xml:space="preserve"> Можно предположить, что </w:t>
      </w:r>
      <w:r w:rsidRPr="00107040">
        <w:rPr>
          <w:rFonts w:ascii="Times New Roman" w:eastAsia="MS Mincho" w:hAnsi="Times New Roman"/>
          <w:iCs/>
          <w:sz w:val="28"/>
          <w:szCs w:val="28"/>
          <w:lang w:eastAsia="ja-JP"/>
        </w:rPr>
        <w:t>AtPARP</w:t>
      </w:r>
      <w:r w:rsidRPr="00107040">
        <w:rPr>
          <w:rFonts w:ascii="Times New Roman" w:eastAsia="MS Mincho" w:hAnsi="Times New Roman"/>
          <w:iCs/>
          <w:sz w:val="28"/>
          <w:szCs w:val="28"/>
          <w:lang w:val="ru-RU" w:eastAsia="ja-JP"/>
        </w:rPr>
        <w:t xml:space="preserve">3 может взаимодействовать с другим гипотетическим белком через свой домен BRCT, необходимый для активации фермента. В связи с этим, в последующих экспериментах мы решили удалить </w:t>
      </w:r>
      <w:r w:rsidRPr="00107040">
        <w:rPr>
          <w:rFonts w:ascii="Times New Roman" w:eastAsia="MS Mincho" w:hAnsi="Times New Roman"/>
          <w:iCs/>
          <w:sz w:val="28"/>
          <w:szCs w:val="28"/>
          <w:lang w:eastAsia="ja-JP"/>
        </w:rPr>
        <w:t>N</w:t>
      </w:r>
      <w:r w:rsidRPr="00107040">
        <w:rPr>
          <w:rFonts w:ascii="Times New Roman" w:eastAsia="MS Mincho" w:hAnsi="Times New Roman"/>
          <w:iCs/>
          <w:sz w:val="28"/>
          <w:szCs w:val="28"/>
          <w:lang w:val="ru-RU" w:eastAsia="ja-JP"/>
        </w:rPr>
        <w:t xml:space="preserve">-концевую область AtPARP3, т.е конструировать ген кодирующий укороченный вариант </w:t>
      </w:r>
      <w:r w:rsidRPr="00107040">
        <w:rPr>
          <w:rFonts w:ascii="Times New Roman" w:eastAsia="MS Mincho" w:hAnsi="Times New Roman"/>
          <w:iCs/>
          <w:sz w:val="28"/>
          <w:szCs w:val="28"/>
          <w:lang w:eastAsia="ja-JP"/>
        </w:rPr>
        <w:t>AtPARP</w:t>
      </w:r>
      <w:r w:rsidRPr="00107040">
        <w:rPr>
          <w:rFonts w:ascii="Times New Roman" w:eastAsia="MS Mincho" w:hAnsi="Times New Roman"/>
          <w:iCs/>
          <w:sz w:val="28"/>
          <w:szCs w:val="28"/>
          <w:lang w:val="ru-RU" w:eastAsia="ja-JP"/>
        </w:rPr>
        <w:t xml:space="preserve">3 белка. </w:t>
      </w:r>
    </w:p>
    <w:p w14:paraId="3F3EF351" w14:textId="326AD84A" w:rsidR="00AA69DA" w:rsidRPr="00107040" w:rsidRDefault="00AA69DA" w:rsidP="000C16BB">
      <w:pPr>
        <w:shd w:val="clear" w:color="auto" w:fill="FFFFFF"/>
        <w:spacing w:after="0" w:line="240" w:lineRule="auto"/>
        <w:ind w:firstLine="567"/>
        <w:jc w:val="both"/>
        <w:rPr>
          <w:rFonts w:ascii="Times New Roman" w:eastAsia="MS Mincho" w:hAnsi="Times New Roman"/>
          <w:iCs/>
          <w:sz w:val="28"/>
          <w:szCs w:val="28"/>
          <w:lang w:val="ru-RU" w:eastAsia="ja-JP"/>
        </w:rPr>
      </w:pPr>
      <w:r w:rsidRPr="00107040">
        <w:rPr>
          <w:rFonts w:ascii="Times New Roman" w:eastAsia="MS Mincho" w:hAnsi="Times New Roman"/>
          <w:iCs/>
          <w:sz w:val="28"/>
          <w:szCs w:val="28"/>
          <w:lang w:val="ru-RU" w:eastAsia="ja-JP"/>
        </w:rPr>
        <w:t>Для этого на основе исходной плазмиды pET28c/</w:t>
      </w:r>
      <w:r w:rsidRPr="00107040">
        <w:rPr>
          <w:rFonts w:ascii="Times New Roman" w:eastAsia="MS Mincho" w:hAnsi="Times New Roman"/>
          <w:i/>
          <w:iCs/>
          <w:sz w:val="28"/>
          <w:szCs w:val="28"/>
          <w:lang w:val="ru-RU" w:eastAsia="ja-JP"/>
        </w:rPr>
        <w:t>AtPARP3</w:t>
      </w:r>
      <w:r w:rsidRPr="00107040">
        <w:rPr>
          <w:rFonts w:ascii="Times New Roman" w:eastAsia="MS Mincho" w:hAnsi="Times New Roman"/>
          <w:iCs/>
          <w:sz w:val="28"/>
          <w:szCs w:val="28"/>
          <w:lang w:val="ru-RU" w:eastAsia="ja-JP"/>
        </w:rPr>
        <w:t xml:space="preserve"> с помощью с помощью специфических праймеров (таблица </w:t>
      </w:r>
      <w:r w:rsidR="002A568C">
        <w:rPr>
          <w:rFonts w:ascii="Times New Roman" w:eastAsia="MS Mincho" w:hAnsi="Times New Roman"/>
          <w:iCs/>
          <w:sz w:val="28"/>
          <w:szCs w:val="28"/>
          <w:lang w:val="ru-RU" w:eastAsia="ja-JP"/>
        </w:rPr>
        <w:t>5</w:t>
      </w:r>
      <w:r w:rsidRPr="00107040">
        <w:rPr>
          <w:rFonts w:ascii="Times New Roman" w:eastAsia="MS Mincho" w:hAnsi="Times New Roman"/>
          <w:iCs/>
          <w:sz w:val="28"/>
          <w:szCs w:val="28"/>
          <w:lang w:val="ru-RU" w:eastAsia="ja-JP"/>
        </w:rPr>
        <w:t xml:space="preserve">) мы амплифицировали участок </w:t>
      </w:r>
      <w:r w:rsidRPr="00107040">
        <w:rPr>
          <w:rFonts w:ascii="Times New Roman" w:eastAsia="MS Mincho" w:hAnsi="Times New Roman"/>
          <w:iCs/>
          <w:sz w:val="28"/>
          <w:szCs w:val="28"/>
          <w:lang w:val="ru-RU" w:eastAsia="ja-JP"/>
        </w:rPr>
        <w:lastRenderedPageBreak/>
        <w:t xml:space="preserve">гена </w:t>
      </w:r>
      <w:r w:rsidRPr="00107040">
        <w:rPr>
          <w:rFonts w:ascii="Times New Roman" w:eastAsia="MS Mincho" w:hAnsi="Times New Roman"/>
          <w:i/>
          <w:iCs/>
          <w:sz w:val="28"/>
          <w:szCs w:val="28"/>
          <w:lang w:val="ru-RU" w:eastAsia="ja-JP"/>
        </w:rPr>
        <w:t>AtPARP3</w:t>
      </w:r>
      <w:r w:rsidRPr="00107040">
        <w:rPr>
          <w:rFonts w:ascii="Times New Roman" w:eastAsia="MS Mincho" w:hAnsi="Times New Roman"/>
          <w:iCs/>
          <w:sz w:val="28"/>
          <w:szCs w:val="28"/>
          <w:lang w:val="ru-RU" w:eastAsia="ja-JP"/>
        </w:rPr>
        <w:t>, который короче на 273 аминокислотных остатков (</w:t>
      </w:r>
      <w:r w:rsidRPr="00107040">
        <w:rPr>
          <w:rFonts w:ascii="Times New Roman" w:hAnsi="Times New Roman"/>
          <w:sz w:val="28"/>
          <w:szCs w:val="28"/>
        </w:rPr>
        <w:t>ΔN</w:t>
      </w:r>
      <w:r w:rsidRPr="00107040">
        <w:rPr>
          <w:rFonts w:ascii="Times New Roman" w:hAnsi="Times New Roman"/>
          <w:sz w:val="28"/>
          <w:szCs w:val="28"/>
          <w:lang w:val="ru-RU"/>
        </w:rPr>
        <w:t xml:space="preserve">273 </w:t>
      </w:r>
      <w:r w:rsidRPr="00107040">
        <w:rPr>
          <w:rFonts w:ascii="Times New Roman" w:eastAsia="MS Mincho" w:hAnsi="Times New Roman"/>
          <w:iCs/>
          <w:sz w:val="28"/>
          <w:szCs w:val="28"/>
          <w:lang w:val="ru-RU" w:eastAsia="ja-JP"/>
        </w:rPr>
        <w:t xml:space="preserve">AtPARP3) чем интактный AtPARP3. </w:t>
      </w:r>
      <w:bookmarkEnd w:id="72"/>
      <w:r w:rsidRPr="00107040">
        <w:rPr>
          <w:rFonts w:ascii="Times New Roman" w:eastAsia="MS Mincho" w:hAnsi="Times New Roman"/>
          <w:iCs/>
          <w:sz w:val="28"/>
          <w:szCs w:val="28"/>
          <w:lang w:val="ru-RU" w:eastAsia="ja-JP"/>
        </w:rPr>
        <w:t xml:space="preserve">Затем </w:t>
      </w:r>
      <w:r w:rsidRPr="00107040">
        <w:rPr>
          <w:rFonts w:ascii="Times New Roman" w:hAnsi="Times New Roman"/>
          <w:sz w:val="28"/>
          <w:szCs w:val="28"/>
        </w:rPr>
        <w:t>ΔN</w:t>
      </w:r>
      <w:r w:rsidRPr="00107040">
        <w:rPr>
          <w:rFonts w:ascii="Times New Roman" w:hAnsi="Times New Roman"/>
          <w:sz w:val="28"/>
          <w:szCs w:val="28"/>
          <w:lang w:val="ru-RU"/>
        </w:rPr>
        <w:t xml:space="preserve">273 </w:t>
      </w:r>
      <w:r w:rsidRPr="00107040">
        <w:rPr>
          <w:rFonts w:ascii="Times New Roman" w:eastAsia="MS Mincho" w:hAnsi="Times New Roman"/>
          <w:iCs/>
          <w:sz w:val="28"/>
          <w:szCs w:val="28"/>
          <w:lang w:val="ru-RU" w:eastAsia="ja-JP"/>
        </w:rPr>
        <w:t>AtPARP3 клонировали в экcпрeccиoнный вeктoр pET28c с 6xHis•tag последовательностью на С– конце. Пoлучeнный вeктoр pET28c-</w:t>
      </w:r>
      <w:r w:rsidRPr="00107040">
        <w:rPr>
          <w:rFonts w:ascii="Times New Roman" w:hAnsi="Times New Roman"/>
          <w:sz w:val="28"/>
          <w:szCs w:val="28"/>
        </w:rPr>
        <w:t>ΔN</w:t>
      </w:r>
      <w:r w:rsidRPr="00107040">
        <w:rPr>
          <w:rFonts w:ascii="Times New Roman" w:hAnsi="Times New Roman"/>
          <w:sz w:val="28"/>
          <w:szCs w:val="28"/>
          <w:lang w:val="ru-RU"/>
        </w:rPr>
        <w:t xml:space="preserve">273 </w:t>
      </w:r>
      <w:r w:rsidRPr="00107040">
        <w:rPr>
          <w:rFonts w:ascii="Times New Roman" w:eastAsia="MS Mincho" w:hAnsi="Times New Roman"/>
          <w:iCs/>
          <w:sz w:val="28"/>
          <w:szCs w:val="28"/>
          <w:lang w:val="ru-RU" w:eastAsia="ja-JP"/>
        </w:rPr>
        <w:t xml:space="preserve">AtPARP3•6хhis•tag трансформировали в компетентные клетки </w:t>
      </w:r>
      <w:r w:rsidRPr="00107040">
        <w:rPr>
          <w:rFonts w:ascii="Times New Roman" w:eastAsia="MS Mincho" w:hAnsi="Times New Roman"/>
          <w:i/>
          <w:sz w:val="28"/>
          <w:szCs w:val="28"/>
          <w:lang w:val="ru-RU" w:eastAsia="ja-JP"/>
        </w:rPr>
        <w:t>E.coli</w:t>
      </w:r>
      <w:r w:rsidRPr="00107040">
        <w:rPr>
          <w:rFonts w:ascii="Times New Roman" w:eastAsia="MS Mincho" w:hAnsi="Times New Roman"/>
          <w:iCs/>
          <w:sz w:val="28"/>
          <w:szCs w:val="28"/>
          <w:lang w:val="ru-RU" w:eastAsia="ja-JP"/>
        </w:rPr>
        <w:t xml:space="preserve"> Rosetta (DE3). Очистку белка </w:t>
      </w:r>
      <w:r w:rsidRPr="00107040">
        <w:rPr>
          <w:rFonts w:ascii="Times New Roman" w:hAnsi="Times New Roman"/>
          <w:sz w:val="28"/>
          <w:szCs w:val="28"/>
        </w:rPr>
        <w:t>ΔN</w:t>
      </w:r>
      <w:r w:rsidRPr="00107040">
        <w:rPr>
          <w:rFonts w:ascii="Times New Roman" w:hAnsi="Times New Roman"/>
          <w:sz w:val="28"/>
          <w:szCs w:val="28"/>
          <w:lang w:val="ru-RU"/>
        </w:rPr>
        <w:t xml:space="preserve">273 </w:t>
      </w:r>
      <w:r w:rsidRPr="00107040">
        <w:rPr>
          <w:rFonts w:ascii="Times New Roman" w:eastAsia="MS Mincho" w:hAnsi="Times New Roman"/>
          <w:iCs/>
          <w:sz w:val="28"/>
          <w:szCs w:val="28"/>
          <w:lang w:val="ru-RU" w:eastAsia="ja-JP"/>
        </w:rPr>
        <w:t>AtPARP3 проводили металлоаффинной хроматографией на ионах никеля (Ni</w:t>
      </w:r>
      <w:r w:rsidRPr="00107040">
        <w:rPr>
          <w:rFonts w:ascii="Times New Roman" w:eastAsia="MS Mincho" w:hAnsi="Times New Roman"/>
          <w:iCs/>
          <w:sz w:val="28"/>
          <w:szCs w:val="28"/>
          <w:vertAlign w:val="superscript"/>
          <w:lang w:val="ru-RU" w:eastAsia="ja-JP"/>
        </w:rPr>
        <w:t>2+</w:t>
      </w:r>
      <w:r w:rsidRPr="00107040">
        <w:rPr>
          <w:rFonts w:ascii="Times New Roman" w:eastAsia="MS Mincho" w:hAnsi="Times New Roman"/>
          <w:iCs/>
          <w:sz w:val="28"/>
          <w:szCs w:val="28"/>
          <w:lang w:val="ru-RU" w:eastAsia="ja-JP"/>
        </w:rPr>
        <w:t xml:space="preserve">) с использованием колонки HiTrap Chelating объемом 1 мл. Элюаты анализировали электрофорезом в присутствии </w:t>
      </w:r>
      <w:r w:rsidRPr="00107040">
        <w:rPr>
          <w:rFonts w:ascii="Times New Roman" w:eastAsia="MS Mincho" w:hAnsi="Times New Roman"/>
          <w:iCs/>
          <w:sz w:val="28"/>
          <w:szCs w:val="28"/>
          <w:lang w:val="en-US" w:eastAsia="ja-JP"/>
        </w:rPr>
        <w:t>SDS</w:t>
      </w:r>
      <w:r w:rsidRPr="00107040">
        <w:rPr>
          <w:rFonts w:ascii="Times New Roman" w:eastAsia="MS Mincho" w:hAnsi="Times New Roman"/>
          <w:iCs/>
          <w:sz w:val="28"/>
          <w:szCs w:val="28"/>
          <w:lang w:val="ru-RU" w:eastAsia="ja-JP"/>
        </w:rPr>
        <w:t xml:space="preserve"> (Рисунок 2</w:t>
      </w:r>
      <w:r w:rsidR="002A568C">
        <w:rPr>
          <w:rFonts w:ascii="Times New Roman" w:eastAsia="MS Mincho" w:hAnsi="Times New Roman"/>
          <w:iCs/>
          <w:sz w:val="28"/>
          <w:szCs w:val="28"/>
          <w:lang w:val="ru-RU" w:eastAsia="ja-JP"/>
        </w:rPr>
        <w:t>5</w:t>
      </w:r>
      <w:r w:rsidRPr="00107040">
        <w:rPr>
          <w:rFonts w:ascii="Times New Roman" w:eastAsia="MS Mincho" w:hAnsi="Times New Roman"/>
          <w:iCs/>
          <w:sz w:val="28"/>
          <w:szCs w:val="28"/>
          <w:lang w:val="ru-RU" w:eastAsia="ja-JP"/>
        </w:rPr>
        <w:t xml:space="preserve">). В результате проведенных работ установили, что рекомбинантный штамм продуцирует белок с молекулярной массой приблизительно 62 кДа, что соответствует расчетной молекулярной массе предсказанной ΔN273 АtPARP3.  </w:t>
      </w:r>
    </w:p>
    <w:p w14:paraId="49981CE0" w14:textId="77777777" w:rsidR="005E4AAD" w:rsidRPr="00107040" w:rsidRDefault="005E4AAD" w:rsidP="000C16BB">
      <w:pPr>
        <w:shd w:val="clear" w:color="auto" w:fill="FFFFFF"/>
        <w:spacing w:after="0" w:line="240" w:lineRule="auto"/>
        <w:ind w:firstLine="567"/>
        <w:jc w:val="both"/>
        <w:rPr>
          <w:rFonts w:ascii="Times New Roman" w:eastAsia="MS Mincho" w:hAnsi="Times New Roman"/>
          <w:iCs/>
          <w:sz w:val="28"/>
          <w:szCs w:val="28"/>
          <w:lang w:val="ru-RU" w:eastAsia="ja-JP"/>
        </w:rPr>
      </w:pPr>
    </w:p>
    <w:p w14:paraId="6D095113" w14:textId="6B98ABE4" w:rsidR="00AA69DA" w:rsidRPr="00107040" w:rsidRDefault="005E4AAD" w:rsidP="000C16BB">
      <w:pPr>
        <w:shd w:val="clear" w:color="auto" w:fill="FFFFFF"/>
        <w:spacing w:after="0" w:line="240" w:lineRule="auto"/>
        <w:ind w:firstLine="567"/>
        <w:jc w:val="center"/>
        <w:rPr>
          <w:rFonts w:ascii="Times New Roman" w:hAnsi="Times New Roman"/>
          <w:sz w:val="28"/>
          <w:szCs w:val="28"/>
        </w:rPr>
      </w:pPr>
      <w:r w:rsidRPr="00107040">
        <w:rPr>
          <w:rFonts w:ascii="Times New Roman" w:hAnsi="Times New Roman"/>
          <w:noProof/>
          <w:sz w:val="28"/>
          <w:szCs w:val="28"/>
          <w:lang w:val="ru-RU" w:eastAsia="ru-RU"/>
        </w:rPr>
        <w:drawing>
          <wp:inline distT="0" distB="0" distL="0" distR="0" wp14:anchorId="55715118" wp14:editId="7637414F">
            <wp:extent cx="3037258" cy="230647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53983" cy="2319173"/>
                    </a:xfrm>
                    <a:prstGeom prst="rect">
                      <a:avLst/>
                    </a:prstGeom>
                    <a:noFill/>
                    <a:ln>
                      <a:noFill/>
                    </a:ln>
                  </pic:spPr>
                </pic:pic>
              </a:graphicData>
            </a:graphic>
          </wp:inline>
        </w:drawing>
      </w:r>
    </w:p>
    <w:p w14:paraId="5B0746F5" w14:textId="77777777" w:rsidR="005E4AAD" w:rsidRPr="00107040" w:rsidRDefault="005E4AAD" w:rsidP="000C16BB">
      <w:pPr>
        <w:shd w:val="clear" w:color="auto" w:fill="FFFFFF"/>
        <w:spacing w:after="0" w:line="240" w:lineRule="auto"/>
        <w:ind w:firstLine="567"/>
        <w:jc w:val="center"/>
        <w:rPr>
          <w:rFonts w:ascii="Times New Roman" w:hAnsi="Times New Roman"/>
          <w:sz w:val="28"/>
          <w:szCs w:val="28"/>
        </w:rPr>
      </w:pPr>
    </w:p>
    <w:p w14:paraId="19784043" w14:textId="77777777" w:rsidR="00AA69DA" w:rsidRPr="00107040" w:rsidRDefault="00AA69DA" w:rsidP="000C16BB">
      <w:pPr>
        <w:spacing w:after="0" w:line="240" w:lineRule="auto"/>
        <w:ind w:firstLine="567"/>
        <w:jc w:val="center"/>
        <w:rPr>
          <w:rFonts w:ascii="Times New Roman" w:eastAsia="MS Mincho" w:hAnsi="Times New Roman"/>
          <w:sz w:val="28"/>
          <w:szCs w:val="28"/>
          <w:lang w:val="kk-KZ" w:eastAsia="ja-JP"/>
        </w:rPr>
      </w:pPr>
      <w:r w:rsidRPr="00107040">
        <w:rPr>
          <w:rFonts w:ascii="Times New Roman" w:eastAsia="MS Mincho" w:hAnsi="Times New Roman"/>
          <w:sz w:val="28"/>
          <w:szCs w:val="28"/>
          <w:lang w:val="kk-KZ" w:eastAsia="ja-JP"/>
        </w:rPr>
        <w:t xml:space="preserve">Очистка нa Ni-NTA мaтрице </w:t>
      </w:r>
      <w:r w:rsidRPr="00107040">
        <w:rPr>
          <w:rFonts w:ascii="Times New Roman" w:hAnsi="Times New Roman"/>
          <w:sz w:val="28"/>
          <w:szCs w:val="28"/>
        </w:rPr>
        <w:t xml:space="preserve">ΔN273 </w:t>
      </w:r>
      <w:r w:rsidRPr="00107040">
        <w:rPr>
          <w:rFonts w:ascii="Times New Roman" w:eastAsia="MS Mincho" w:hAnsi="Times New Roman"/>
          <w:sz w:val="28"/>
          <w:szCs w:val="28"/>
          <w:shd w:val="clear" w:color="auto" w:fill="FFFFFF"/>
          <w:lang w:val="kk-KZ" w:eastAsia="ja-JP"/>
        </w:rPr>
        <w:t>АtPARP3</w:t>
      </w:r>
      <w:r w:rsidRPr="00107040">
        <w:rPr>
          <w:rFonts w:ascii="Times New Roman" w:eastAsia="MS Mincho" w:hAnsi="Times New Roman"/>
          <w:sz w:val="28"/>
          <w:szCs w:val="28"/>
          <w:lang w:val="kk-KZ" w:eastAsia="ja-JP"/>
        </w:rPr>
        <w:t>, М - бeлкoвый мaркeр, рaзмeры кoтoрых укaзaны в кДa cлeвa. «-» Нeиндуцирoвaнный клeтoчный лизaт. «+» - Индуцирoвaнный клeтoчный лизaт. Ft - Прocкoк чeрeз кoлoнку HiTrap; F6-F13 - Oчищeнныe фрaкции белков.</w:t>
      </w:r>
    </w:p>
    <w:p w14:paraId="354615A5" w14:textId="77777777" w:rsidR="00AA69DA" w:rsidRPr="00107040" w:rsidRDefault="00AA69DA" w:rsidP="000C16BB">
      <w:pPr>
        <w:spacing w:after="0" w:line="240" w:lineRule="auto"/>
        <w:ind w:firstLine="567"/>
        <w:jc w:val="both"/>
        <w:rPr>
          <w:rFonts w:ascii="Times New Roman" w:eastAsia="MS Mincho" w:hAnsi="Times New Roman"/>
          <w:sz w:val="28"/>
          <w:szCs w:val="28"/>
          <w:lang w:val="kk-KZ" w:eastAsia="ja-JP"/>
        </w:rPr>
      </w:pPr>
    </w:p>
    <w:p w14:paraId="5CB92378" w14:textId="30BE636F" w:rsidR="00AA69DA" w:rsidRPr="00107040" w:rsidRDefault="00AA69DA" w:rsidP="000C16BB">
      <w:pPr>
        <w:shd w:val="clear" w:color="auto" w:fill="FFFFFF"/>
        <w:spacing w:after="0" w:line="240" w:lineRule="auto"/>
        <w:ind w:firstLine="567"/>
        <w:jc w:val="center"/>
        <w:rPr>
          <w:rFonts w:ascii="Times New Roman" w:eastAsia="MS Mincho" w:hAnsi="Times New Roman"/>
          <w:sz w:val="28"/>
          <w:szCs w:val="28"/>
          <w:lang w:val="kk-KZ" w:eastAsia="ja-JP"/>
        </w:rPr>
      </w:pPr>
      <w:r w:rsidRPr="00107040">
        <w:rPr>
          <w:rFonts w:ascii="Times New Roman" w:eastAsia="MS Mincho" w:hAnsi="Times New Roman"/>
          <w:sz w:val="28"/>
          <w:szCs w:val="28"/>
          <w:lang w:val="kk-KZ" w:eastAsia="ja-JP"/>
        </w:rPr>
        <w:t xml:space="preserve">Риcунoк </w:t>
      </w:r>
      <w:r w:rsidRPr="00107040">
        <w:rPr>
          <w:rFonts w:ascii="Times New Roman" w:eastAsia="MS Mincho" w:hAnsi="Times New Roman"/>
          <w:sz w:val="28"/>
          <w:szCs w:val="28"/>
          <w:lang w:val="ru-RU" w:eastAsia="ja-JP"/>
        </w:rPr>
        <w:t>2</w:t>
      </w:r>
      <w:r w:rsidR="002A568C">
        <w:rPr>
          <w:rFonts w:ascii="Times New Roman" w:eastAsia="MS Mincho" w:hAnsi="Times New Roman"/>
          <w:sz w:val="28"/>
          <w:szCs w:val="28"/>
          <w:lang w:val="ru-RU" w:eastAsia="ja-JP"/>
        </w:rPr>
        <w:t>5</w:t>
      </w:r>
      <w:r w:rsidRPr="00107040">
        <w:rPr>
          <w:rFonts w:ascii="Times New Roman" w:eastAsia="MS Mincho" w:hAnsi="Times New Roman"/>
          <w:sz w:val="28"/>
          <w:szCs w:val="28"/>
          <w:lang w:val="kk-KZ" w:eastAsia="ja-JP"/>
        </w:rPr>
        <w:t xml:space="preserve"> – Аффинная хроматография экстрактов клеток </w:t>
      </w:r>
      <w:r w:rsidRPr="00107040">
        <w:rPr>
          <w:rFonts w:ascii="Times New Roman" w:eastAsia="MS Mincho" w:hAnsi="Times New Roman"/>
          <w:i/>
          <w:iCs/>
          <w:sz w:val="28"/>
          <w:szCs w:val="28"/>
          <w:lang w:val="kk-KZ" w:eastAsia="ja-JP"/>
        </w:rPr>
        <w:t>E.coli</w:t>
      </w:r>
      <w:r w:rsidRPr="00107040">
        <w:rPr>
          <w:rFonts w:ascii="Times New Roman" w:eastAsia="MS Mincho" w:hAnsi="Times New Roman"/>
          <w:sz w:val="28"/>
          <w:szCs w:val="28"/>
          <w:lang w:val="kk-KZ" w:eastAsia="ja-JP"/>
        </w:rPr>
        <w:t xml:space="preserve">, экспрессирующий </w:t>
      </w:r>
      <w:r w:rsidRPr="00107040">
        <w:rPr>
          <w:rFonts w:ascii="Times New Roman" w:hAnsi="Times New Roman"/>
          <w:sz w:val="28"/>
          <w:szCs w:val="28"/>
        </w:rPr>
        <w:t>ΔN</w:t>
      </w:r>
      <w:r w:rsidRPr="00107040">
        <w:rPr>
          <w:rFonts w:ascii="Times New Roman" w:hAnsi="Times New Roman"/>
          <w:sz w:val="28"/>
          <w:szCs w:val="28"/>
          <w:lang w:val="ru-RU"/>
        </w:rPr>
        <w:t xml:space="preserve">273 </w:t>
      </w:r>
      <w:r w:rsidRPr="00107040">
        <w:rPr>
          <w:rFonts w:ascii="Times New Roman" w:eastAsia="MS Mincho" w:hAnsi="Times New Roman"/>
          <w:sz w:val="28"/>
          <w:szCs w:val="28"/>
          <w:shd w:val="clear" w:color="auto" w:fill="FFFFFF"/>
          <w:lang w:val="kk-KZ" w:eastAsia="ja-JP"/>
        </w:rPr>
        <w:t>АtPARP3</w:t>
      </w:r>
      <w:r w:rsidRPr="00107040">
        <w:rPr>
          <w:rFonts w:ascii="Times New Roman" w:eastAsia="MS Mincho" w:hAnsi="Times New Roman"/>
          <w:i/>
          <w:sz w:val="28"/>
          <w:szCs w:val="28"/>
          <w:shd w:val="clear" w:color="auto" w:fill="FFFFFF"/>
          <w:lang w:val="kk-KZ" w:eastAsia="ja-JP"/>
        </w:rPr>
        <w:t xml:space="preserve"> </w:t>
      </w:r>
      <w:r w:rsidRPr="00107040">
        <w:rPr>
          <w:rFonts w:ascii="Times New Roman" w:eastAsia="MS Mincho" w:hAnsi="Times New Roman"/>
          <w:sz w:val="28"/>
          <w:szCs w:val="28"/>
          <w:lang w:val="kk-KZ" w:eastAsia="ja-JP"/>
        </w:rPr>
        <w:t>белок</w:t>
      </w:r>
    </w:p>
    <w:p w14:paraId="4592AC34" w14:textId="77777777" w:rsidR="00AA69DA" w:rsidRPr="00107040" w:rsidRDefault="00AA69DA" w:rsidP="000C16BB">
      <w:pPr>
        <w:shd w:val="clear" w:color="auto" w:fill="FFFFFF"/>
        <w:spacing w:after="0" w:line="240" w:lineRule="auto"/>
        <w:ind w:firstLine="567"/>
        <w:jc w:val="center"/>
        <w:rPr>
          <w:rFonts w:ascii="Times New Roman" w:hAnsi="Times New Roman"/>
          <w:sz w:val="28"/>
          <w:szCs w:val="28"/>
          <w:lang w:val="ru-RU"/>
        </w:rPr>
      </w:pPr>
    </w:p>
    <w:p w14:paraId="26E5192A" w14:textId="1F155F92" w:rsidR="00AA69DA" w:rsidRPr="00107040" w:rsidRDefault="00AA69DA" w:rsidP="000C16BB">
      <w:pPr>
        <w:spacing w:after="0" w:line="240" w:lineRule="auto"/>
        <w:ind w:firstLine="567"/>
        <w:jc w:val="both"/>
        <w:rPr>
          <w:rFonts w:ascii="Times New Roman" w:eastAsia="MS Mincho" w:hAnsi="Times New Roman"/>
          <w:iCs/>
          <w:sz w:val="28"/>
          <w:szCs w:val="28"/>
          <w:lang w:val="kk-KZ" w:eastAsia="ja-JP"/>
        </w:rPr>
      </w:pPr>
      <w:bookmarkStart w:id="74" w:name="_Hlk106557761"/>
      <w:r w:rsidRPr="00107040">
        <w:rPr>
          <w:rFonts w:ascii="Times New Roman" w:eastAsia="MS Mincho" w:hAnsi="Times New Roman"/>
          <w:iCs/>
          <w:sz w:val="28"/>
          <w:szCs w:val="28"/>
          <w:lang w:val="kk-KZ" w:eastAsia="ja-JP"/>
        </w:rPr>
        <w:t xml:space="preserve">Для определения ферментативной активности очищенного мутантного белка </w:t>
      </w:r>
      <w:r w:rsidRPr="00107040">
        <w:rPr>
          <w:rFonts w:ascii="Times New Roman" w:hAnsi="Times New Roman"/>
          <w:sz w:val="28"/>
          <w:szCs w:val="28"/>
        </w:rPr>
        <w:t>ΔN</w:t>
      </w:r>
      <w:r w:rsidRPr="00107040">
        <w:rPr>
          <w:rFonts w:ascii="Times New Roman" w:hAnsi="Times New Roman"/>
          <w:sz w:val="28"/>
          <w:szCs w:val="28"/>
          <w:lang w:val="ru-RU"/>
        </w:rPr>
        <w:t xml:space="preserve">273 </w:t>
      </w:r>
      <w:r w:rsidRPr="00107040">
        <w:rPr>
          <w:rFonts w:ascii="Times New Roman" w:eastAsia="MS Mincho" w:hAnsi="Times New Roman"/>
          <w:sz w:val="28"/>
          <w:szCs w:val="28"/>
          <w:shd w:val="clear" w:color="auto" w:fill="FFFFFF"/>
          <w:lang w:val="kk-KZ" w:eastAsia="ja-JP"/>
        </w:rPr>
        <w:t>АtPARP3</w:t>
      </w:r>
      <w:r w:rsidRPr="00107040">
        <w:rPr>
          <w:rFonts w:ascii="Times New Roman" w:eastAsia="MS Mincho" w:hAnsi="Times New Roman"/>
          <w:i/>
          <w:sz w:val="28"/>
          <w:szCs w:val="28"/>
          <w:shd w:val="clear" w:color="auto" w:fill="FFFFFF"/>
          <w:lang w:val="kk-KZ" w:eastAsia="ja-JP"/>
        </w:rPr>
        <w:t xml:space="preserve">  </w:t>
      </w:r>
      <w:r w:rsidRPr="00107040">
        <w:rPr>
          <w:rFonts w:ascii="Times New Roman" w:eastAsia="MS Mincho" w:hAnsi="Times New Roman"/>
          <w:sz w:val="28"/>
          <w:szCs w:val="28"/>
          <w:shd w:val="clear" w:color="auto" w:fill="FFFFFF"/>
          <w:lang w:val="kk-KZ" w:eastAsia="ja-JP"/>
        </w:rPr>
        <w:t xml:space="preserve">мы использовали </w:t>
      </w:r>
      <w:r w:rsidRPr="00107040">
        <w:rPr>
          <w:rFonts w:ascii="Times New Roman" w:eastAsia="MS Mincho" w:hAnsi="Times New Roman"/>
          <w:sz w:val="28"/>
          <w:szCs w:val="28"/>
          <w:lang w:val="kk-KZ" w:eastAsia="ja-JP"/>
        </w:rPr>
        <w:t>5'- [</w:t>
      </w:r>
      <w:r w:rsidRPr="00107040">
        <w:rPr>
          <w:rFonts w:ascii="Times New Roman" w:eastAsia="MS Mincho" w:hAnsi="Times New Roman"/>
          <w:sz w:val="28"/>
          <w:szCs w:val="28"/>
          <w:vertAlign w:val="superscript"/>
          <w:lang w:val="kk-KZ" w:eastAsia="ja-JP"/>
        </w:rPr>
        <w:t>32</w:t>
      </w:r>
      <w:r w:rsidRPr="00107040">
        <w:rPr>
          <w:rFonts w:ascii="Times New Roman" w:eastAsia="MS Mincho" w:hAnsi="Times New Roman"/>
          <w:sz w:val="28"/>
          <w:szCs w:val="28"/>
          <w:lang w:val="kk-KZ" w:eastAsia="ja-JP"/>
        </w:rPr>
        <w:t>P]-</w:t>
      </w:r>
      <w:r w:rsidRPr="00107040">
        <w:rPr>
          <w:rFonts w:ascii="Times New Roman" w:eastAsia="MS Mincho" w:hAnsi="Times New Roman"/>
          <w:iCs/>
          <w:sz w:val="28"/>
          <w:szCs w:val="28"/>
          <w:lang w:val="kk-KZ" w:eastAsia="ja-JP"/>
        </w:rPr>
        <w:t>Exo15•Rex12T</w:t>
      </w:r>
      <w:r w:rsidRPr="00107040">
        <w:rPr>
          <w:rFonts w:ascii="Times New Roman" w:eastAsia="MS Mincho" w:hAnsi="Times New Roman"/>
          <w:iCs/>
          <w:sz w:val="28"/>
          <w:szCs w:val="28"/>
          <w:vertAlign w:val="superscript"/>
          <w:lang w:val="kk-KZ" w:eastAsia="ja-JP"/>
        </w:rPr>
        <w:t xml:space="preserve">rec </w:t>
      </w:r>
      <w:r w:rsidRPr="00107040">
        <w:rPr>
          <w:rFonts w:ascii="Times New Roman" w:eastAsia="MS Mincho" w:hAnsi="Times New Roman"/>
          <w:iCs/>
          <w:sz w:val="28"/>
          <w:szCs w:val="28"/>
          <w:lang w:val="kk-KZ" w:eastAsia="ja-JP"/>
        </w:rPr>
        <w:t xml:space="preserve">, </w:t>
      </w:r>
      <w:r w:rsidRPr="00107040">
        <w:rPr>
          <w:rFonts w:ascii="Times New Roman" w:eastAsia="MS Mincho" w:hAnsi="Times New Roman"/>
          <w:sz w:val="28"/>
          <w:szCs w:val="28"/>
          <w:lang w:val="kk-KZ" w:eastAsia="ja-JP"/>
        </w:rPr>
        <w:t>5'- [</w:t>
      </w:r>
      <w:r w:rsidRPr="00107040">
        <w:rPr>
          <w:rFonts w:ascii="Times New Roman" w:eastAsia="MS Mincho" w:hAnsi="Times New Roman"/>
          <w:sz w:val="28"/>
          <w:szCs w:val="28"/>
          <w:vertAlign w:val="superscript"/>
          <w:lang w:val="kk-KZ" w:eastAsia="ja-JP"/>
        </w:rPr>
        <w:t>32</w:t>
      </w:r>
      <w:r w:rsidRPr="00107040">
        <w:rPr>
          <w:rFonts w:ascii="Times New Roman" w:eastAsia="MS Mincho" w:hAnsi="Times New Roman"/>
          <w:sz w:val="28"/>
          <w:szCs w:val="28"/>
          <w:lang w:val="kk-KZ" w:eastAsia="ja-JP"/>
        </w:rPr>
        <w:t xml:space="preserve">P] </w:t>
      </w:r>
      <w:r w:rsidR="00495087" w:rsidRPr="00107040">
        <w:rPr>
          <w:rStyle w:val="jlqj4b"/>
          <w:rFonts w:ascii="Times New Roman" w:hAnsi="Times New Roman"/>
          <w:sz w:val="28"/>
          <w:szCs w:val="28"/>
          <w:shd w:val="clear" w:color="auto" w:fill="FFFFFF"/>
          <w:lang w:val="ru-RU"/>
        </w:rPr>
        <w:sym w:font="Symbol" w:char="F02D"/>
      </w:r>
      <w:r w:rsidR="00495087" w:rsidRPr="00107040">
        <w:rPr>
          <w:rStyle w:val="jlqj4b"/>
          <w:rFonts w:ascii="Times New Roman" w:hAnsi="Times New Roman"/>
          <w:sz w:val="28"/>
          <w:szCs w:val="28"/>
          <w:shd w:val="clear" w:color="auto" w:fill="FFFFFF"/>
          <w:lang w:val="ru-RU"/>
        </w:rPr>
        <w:t xml:space="preserve"> </w:t>
      </w:r>
      <w:r w:rsidRPr="00107040">
        <w:rPr>
          <w:rFonts w:ascii="Times New Roman" w:eastAsia="MS Mincho" w:hAnsi="Times New Roman"/>
          <w:iCs/>
          <w:sz w:val="28"/>
          <w:szCs w:val="28"/>
          <w:lang w:val="kk-KZ" w:eastAsia="ja-JP"/>
        </w:rPr>
        <w:t>ExoA/</w:t>
      </w:r>
      <w:r w:rsidRPr="00107040">
        <w:rPr>
          <w:rFonts w:ascii="Times New Roman" w:eastAsia="MS Mincho" w:hAnsi="Times New Roman"/>
          <w:iCs/>
          <w:sz w:val="28"/>
          <w:szCs w:val="28"/>
          <w:lang w:val="en-US" w:eastAsia="ja-JP"/>
        </w:rPr>
        <w:t>p</w:t>
      </w:r>
      <w:r w:rsidRPr="00107040">
        <w:rPr>
          <w:rFonts w:ascii="Times New Roman" w:eastAsia="MS Mincho" w:hAnsi="Times New Roman"/>
          <w:iCs/>
          <w:sz w:val="28"/>
          <w:szCs w:val="28"/>
          <w:lang w:val="kk-KZ" w:eastAsia="ja-JP"/>
        </w:rPr>
        <w:t>Exo19•RexT</w:t>
      </w:r>
      <w:r w:rsidRPr="00107040">
        <w:rPr>
          <w:rFonts w:ascii="Times New Roman" w:eastAsia="MS Mincho" w:hAnsi="Times New Roman"/>
          <w:iCs/>
          <w:sz w:val="28"/>
          <w:szCs w:val="28"/>
          <w:vertAlign w:val="superscript"/>
          <w:lang w:val="kk-KZ" w:eastAsia="ja-JP"/>
        </w:rPr>
        <w:t>nick</w:t>
      </w:r>
      <w:r w:rsidRPr="00107040">
        <w:rPr>
          <w:rFonts w:ascii="Times New Roman" w:eastAsia="MS Mincho" w:hAnsi="Times New Roman"/>
          <w:iCs/>
          <w:sz w:val="28"/>
          <w:szCs w:val="28"/>
          <w:lang w:val="kk-KZ" w:eastAsia="ja-JP"/>
        </w:rPr>
        <w:t xml:space="preserve"> и </w:t>
      </w:r>
      <w:r w:rsidRPr="00107040">
        <w:rPr>
          <w:rFonts w:ascii="Times New Roman" w:eastAsia="MS Mincho" w:hAnsi="Times New Roman"/>
          <w:sz w:val="28"/>
          <w:szCs w:val="28"/>
          <w:lang w:val="kk-KZ" w:eastAsia="ja-JP"/>
        </w:rPr>
        <w:t>5'- [</w:t>
      </w:r>
      <w:r w:rsidRPr="00107040">
        <w:rPr>
          <w:rFonts w:ascii="Times New Roman" w:eastAsia="MS Mincho" w:hAnsi="Times New Roman"/>
          <w:sz w:val="28"/>
          <w:szCs w:val="28"/>
          <w:vertAlign w:val="superscript"/>
          <w:lang w:val="kk-KZ" w:eastAsia="ja-JP"/>
        </w:rPr>
        <w:t>32</w:t>
      </w:r>
      <w:r w:rsidRPr="00107040">
        <w:rPr>
          <w:rFonts w:ascii="Times New Roman" w:eastAsia="MS Mincho" w:hAnsi="Times New Roman"/>
          <w:sz w:val="28"/>
          <w:szCs w:val="28"/>
          <w:lang w:val="kk-KZ" w:eastAsia="ja-JP"/>
        </w:rPr>
        <w:t>P] -</w:t>
      </w:r>
      <w:r w:rsidRPr="00107040">
        <w:rPr>
          <w:rFonts w:ascii="Times New Roman" w:eastAsia="MS Mincho" w:hAnsi="Times New Roman"/>
          <w:iCs/>
          <w:sz w:val="28"/>
          <w:szCs w:val="28"/>
          <w:lang w:val="kk-KZ" w:eastAsia="ja-JP"/>
        </w:rPr>
        <w:t>ExoA/</w:t>
      </w:r>
      <w:r w:rsidRPr="00107040">
        <w:rPr>
          <w:rFonts w:ascii="Times New Roman" w:eastAsia="MS Mincho" w:hAnsi="Times New Roman"/>
          <w:iCs/>
          <w:sz w:val="28"/>
          <w:szCs w:val="28"/>
          <w:lang w:val="en-US" w:eastAsia="ja-JP"/>
        </w:rPr>
        <w:t>p</w:t>
      </w:r>
      <w:r w:rsidRPr="00107040">
        <w:rPr>
          <w:rFonts w:ascii="Times New Roman" w:eastAsia="MS Mincho" w:hAnsi="Times New Roman"/>
          <w:iCs/>
          <w:sz w:val="28"/>
          <w:szCs w:val="28"/>
          <w:lang w:val="kk-KZ" w:eastAsia="ja-JP"/>
        </w:rPr>
        <w:t>Exo18•RexT</w:t>
      </w:r>
      <w:r w:rsidRPr="00107040">
        <w:rPr>
          <w:rFonts w:ascii="Times New Roman" w:eastAsia="MS Mincho" w:hAnsi="Times New Roman"/>
          <w:iCs/>
          <w:sz w:val="28"/>
          <w:szCs w:val="28"/>
          <w:vertAlign w:val="superscript"/>
          <w:lang w:val="kk-KZ" w:eastAsia="ja-JP"/>
        </w:rPr>
        <w:t>gap</w:t>
      </w:r>
      <w:r w:rsidRPr="00107040">
        <w:rPr>
          <w:rFonts w:ascii="Times New Roman" w:eastAsia="MS Mincho" w:hAnsi="Times New Roman"/>
          <w:iCs/>
          <w:sz w:val="28"/>
          <w:szCs w:val="28"/>
          <w:lang w:val="kk-KZ" w:eastAsia="ja-JP"/>
        </w:rPr>
        <w:t xml:space="preserve"> дуплексные ДНК. </w:t>
      </w:r>
      <w:r w:rsidRPr="00107040">
        <w:rPr>
          <w:rFonts w:ascii="Times New Roman" w:eastAsia="MS Mincho" w:hAnsi="Times New Roman"/>
          <w:iCs/>
          <w:sz w:val="28"/>
          <w:szCs w:val="28"/>
          <w:lang w:val="ru-RU" w:eastAsia="ja-JP"/>
        </w:rPr>
        <w:t xml:space="preserve">Как и полноразмерный </w:t>
      </w:r>
      <w:r w:rsidRPr="00107040">
        <w:rPr>
          <w:rFonts w:ascii="Times New Roman" w:eastAsia="MS Mincho" w:hAnsi="Times New Roman"/>
          <w:iCs/>
          <w:sz w:val="28"/>
          <w:szCs w:val="28"/>
          <w:lang w:val="kk-KZ" w:eastAsia="ja-JP"/>
        </w:rPr>
        <w:t>АtPARP3 дикого типа, мутантны</w:t>
      </w:r>
      <w:r w:rsidRPr="00107040">
        <w:rPr>
          <w:rFonts w:ascii="Times New Roman" w:eastAsia="MS Mincho" w:hAnsi="Times New Roman"/>
          <w:iCs/>
          <w:sz w:val="28"/>
          <w:szCs w:val="28"/>
          <w:lang w:val="ru-RU" w:eastAsia="ja-JP"/>
        </w:rPr>
        <w:t xml:space="preserve">й укороченная форма </w:t>
      </w:r>
      <w:r w:rsidRPr="00107040">
        <w:rPr>
          <w:rFonts w:ascii="Times New Roman" w:hAnsi="Times New Roman"/>
          <w:sz w:val="28"/>
          <w:szCs w:val="28"/>
        </w:rPr>
        <w:t>Δ</w:t>
      </w:r>
      <w:r w:rsidRPr="00107040">
        <w:rPr>
          <w:rFonts w:ascii="Times New Roman" w:hAnsi="Times New Roman"/>
          <w:sz w:val="28"/>
          <w:szCs w:val="28"/>
          <w:lang w:val="en-US"/>
        </w:rPr>
        <w:t>N</w:t>
      </w:r>
      <w:r w:rsidRPr="00107040">
        <w:rPr>
          <w:rFonts w:ascii="Times New Roman" w:hAnsi="Times New Roman"/>
          <w:sz w:val="28"/>
          <w:szCs w:val="28"/>
          <w:lang w:val="ru-RU"/>
        </w:rPr>
        <w:t xml:space="preserve">273 </w:t>
      </w:r>
      <w:r w:rsidRPr="00107040">
        <w:rPr>
          <w:rFonts w:ascii="Times New Roman" w:eastAsia="MS Mincho" w:hAnsi="Times New Roman"/>
          <w:iCs/>
          <w:sz w:val="28"/>
          <w:szCs w:val="28"/>
          <w:lang w:val="kk-KZ" w:eastAsia="ja-JP"/>
        </w:rPr>
        <w:t>АtPARP3</w:t>
      </w:r>
      <w:r w:rsidRPr="00107040">
        <w:rPr>
          <w:rFonts w:ascii="Times New Roman" w:hAnsi="Times New Roman"/>
          <w:sz w:val="28"/>
          <w:szCs w:val="28"/>
          <w:lang w:val="ru-RU"/>
        </w:rPr>
        <w:t xml:space="preserve"> </w:t>
      </w:r>
      <w:r w:rsidRPr="00107040">
        <w:rPr>
          <w:rFonts w:ascii="Times New Roman" w:eastAsia="MS Mincho" w:hAnsi="Times New Roman"/>
          <w:iCs/>
          <w:sz w:val="28"/>
          <w:szCs w:val="28"/>
          <w:lang w:val="kk-KZ" w:eastAsia="ja-JP"/>
        </w:rPr>
        <w:t>не проявил каких-либо обнаруживаемых активностей АДФ рибозилирования ДНК</w:t>
      </w:r>
      <w:bookmarkEnd w:id="74"/>
      <w:r w:rsidRPr="00107040">
        <w:rPr>
          <w:rFonts w:ascii="Times New Roman" w:eastAsia="MS Mincho" w:hAnsi="Times New Roman"/>
          <w:iCs/>
          <w:sz w:val="28"/>
          <w:szCs w:val="28"/>
          <w:lang w:val="kk-KZ" w:eastAsia="ja-JP"/>
        </w:rPr>
        <w:t xml:space="preserve"> (рисунок 2</w:t>
      </w:r>
      <w:r w:rsidR="002A568C">
        <w:rPr>
          <w:rFonts w:ascii="Times New Roman" w:eastAsia="MS Mincho" w:hAnsi="Times New Roman"/>
          <w:iCs/>
          <w:sz w:val="28"/>
          <w:szCs w:val="28"/>
          <w:lang w:val="kk-KZ" w:eastAsia="ja-JP"/>
        </w:rPr>
        <w:t>6</w:t>
      </w:r>
      <w:r w:rsidRPr="00107040">
        <w:rPr>
          <w:rFonts w:ascii="Times New Roman" w:eastAsia="MS Mincho" w:hAnsi="Times New Roman"/>
          <w:iCs/>
          <w:sz w:val="28"/>
          <w:szCs w:val="28"/>
          <w:lang w:val="kk-KZ" w:eastAsia="ja-JP"/>
        </w:rPr>
        <w:t>).</w:t>
      </w:r>
    </w:p>
    <w:p w14:paraId="3E0324AB" w14:textId="16F6ED20" w:rsidR="00903387" w:rsidRPr="00107040" w:rsidRDefault="00903387" w:rsidP="000C16BB">
      <w:pPr>
        <w:shd w:val="clear" w:color="auto" w:fill="FFFFFF"/>
        <w:spacing w:after="0" w:line="240" w:lineRule="auto"/>
        <w:rPr>
          <w:rFonts w:ascii="Times New Roman" w:hAnsi="Times New Roman"/>
          <w:sz w:val="28"/>
          <w:szCs w:val="28"/>
          <w:lang w:val="kk-KZ"/>
        </w:rPr>
      </w:pPr>
    </w:p>
    <w:p w14:paraId="19F39315" w14:textId="5DED102A" w:rsidR="005E4AAD" w:rsidRPr="00107040" w:rsidRDefault="005E4AAD" w:rsidP="000C16BB">
      <w:pPr>
        <w:shd w:val="clear" w:color="auto" w:fill="FFFFFF"/>
        <w:spacing w:after="0" w:line="240" w:lineRule="auto"/>
        <w:jc w:val="center"/>
        <w:rPr>
          <w:rFonts w:ascii="Times New Roman" w:hAnsi="Times New Roman"/>
          <w:sz w:val="28"/>
          <w:szCs w:val="28"/>
          <w:lang w:val="kk-KZ"/>
        </w:rPr>
      </w:pPr>
      <w:r w:rsidRPr="00107040">
        <w:rPr>
          <w:rFonts w:ascii="Times New Roman" w:hAnsi="Times New Roman"/>
          <w:noProof/>
          <w:sz w:val="28"/>
          <w:szCs w:val="28"/>
          <w:lang w:val="ru-RU" w:eastAsia="ru-RU"/>
        </w:rPr>
        <w:lastRenderedPageBreak/>
        <w:drawing>
          <wp:inline distT="0" distB="0" distL="0" distR="0" wp14:anchorId="305E57C9" wp14:editId="6F4D3852">
            <wp:extent cx="2606675" cy="4353560"/>
            <wp:effectExtent l="19050" t="19050" r="22225" b="27940"/>
            <wp:docPr id="24" name="Рисунок 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16"/>
                    <pic:cNvPicPr>
                      <a:picLocks noGrp="1"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06675" cy="4353560"/>
                    </a:xfrm>
                    <a:prstGeom prst="rect">
                      <a:avLst/>
                    </a:prstGeom>
                    <a:noFill/>
                    <a:ln w="9525" cmpd="sng">
                      <a:solidFill>
                        <a:srgbClr val="000000"/>
                      </a:solidFill>
                      <a:miter lim="800000"/>
                      <a:headEnd/>
                      <a:tailEnd/>
                    </a:ln>
                    <a:effectLst/>
                  </pic:spPr>
                </pic:pic>
              </a:graphicData>
            </a:graphic>
          </wp:inline>
        </w:drawing>
      </w:r>
    </w:p>
    <w:p w14:paraId="6A91F4B9" w14:textId="77777777" w:rsidR="005E4AAD" w:rsidRPr="00107040" w:rsidRDefault="005E4AAD" w:rsidP="000C16BB">
      <w:pPr>
        <w:shd w:val="clear" w:color="auto" w:fill="FFFFFF"/>
        <w:spacing w:after="0" w:line="240" w:lineRule="auto"/>
        <w:jc w:val="center"/>
        <w:rPr>
          <w:rFonts w:ascii="Times New Roman" w:hAnsi="Times New Roman"/>
          <w:sz w:val="28"/>
          <w:szCs w:val="28"/>
          <w:lang w:val="en-US"/>
        </w:rPr>
      </w:pPr>
    </w:p>
    <w:p w14:paraId="19A287BE" w14:textId="2CB7A4E8" w:rsidR="00AA69DA" w:rsidRPr="00107040" w:rsidRDefault="00AA69DA" w:rsidP="000C16BB">
      <w:pPr>
        <w:shd w:val="clear" w:color="auto" w:fill="FFFFFF"/>
        <w:spacing w:after="0" w:line="240" w:lineRule="auto"/>
        <w:ind w:firstLine="567"/>
        <w:jc w:val="center"/>
        <w:rPr>
          <w:rFonts w:ascii="Times New Roman" w:eastAsia="MS Mincho" w:hAnsi="Times New Roman"/>
          <w:bCs/>
          <w:sz w:val="28"/>
          <w:szCs w:val="28"/>
          <w:lang w:val="kk-KZ" w:eastAsia="ja-JP"/>
        </w:rPr>
      </w:pPr>
      <w:r w:rsidRPr="00107040">
        <w:rPr>
          <w:rFonts w:ascii="Times New Roman" w:hAnsi="Times New Roman"/>
          <w:sz w:val="28"/>
          <w:szCs w:val="28"/>
          <w:lang w:val="kk-KZ"/>
        </w:rPr>
        <w:t>Рисунок 2</w:t>
      </w:r>
      <w:r w:rsidR="002A568C">
        <w:rPr>
          <w:rFonts w:ascii="Times New Roman" w:hAnsi="Times New Roman"/>
          <w:sz w:val="28"/>
          <w:szCs w:val="28"/>
          <w:lang w:val="ru-RU"/>
        </w:rPr>
        <w:t>6</w:t>
      </w:r>
      <w:r w:rsidRPr="00107040">
        <w:rPr>
          <w:rFonts w:ascii="Times New Roman" w:hAnsi="Times New Roman"/>
          <w:sz w:val="28"/>
          <w:szCs w:val="28"/>
          <w:lang w:val="ru-RU"/>
        </w:rPr>
        <w:t xml:space="preserve"> –</w:t>
      </w:r>
      <w:r w:rsidRPr="00107040">
        <w:rPr>
          <w:rFonts w:ascii="Times New Roman" w:eastAsia="MS Mincho" w:hAnsi="Times New Roman"/>
          <w:bCs/>
          <w:sz w:val="28"/>
          <w:szCs w:val="28"/>
          <w:lang w:val="kk-KZ" w:eastAsia="ja-JP"/>
        </w:rPr>
        <w:t xml:space="preserve"> Денатурирующий ПААГ анализ активности </w:t>
      </w:r>
      <w:r w:rsidRPr="00107040">
        <w:rPr>
          <w:rFonts w:ascii="Times New Roman" w:hAnsi="Times New Roman"/>
          <w:sz w:val="28"/>
          <w:szCs w:val="28"/>
        </w:rPr>
        <w:t>Δ</w:t>
      </w:r>
      <w:r w:rsidRPr="00107040">
        <w:rPr>
          <w:rFonts w:ascii="Times New Roman" w:hAnsi="Times New Roman"/>
          <w:sz w:val="28"/>
          <w:szCs w:val="28"/>
          <w:lang w:val="en-US"/>
        </w:rPr>
        <w:t>N</w:t>
      </w:r>
      <w:r w:rsidRPr="00107040">
        <w:rPr>
          <w:rFonts w:ascii="Times New Roman" w:hAnsi="Times New Roman"/>
          <w:sz w:val="28"/>
          <w:szCs w:val="28"/>
          <w:lang w:val="ru-RU"/>
        </w:rPr>
        <w:t>273</w:t>
      </w:r>
      <w:r w:rsidR="005E4AAD" w:rsidRPr="00107040">
        <w:rPr>
          <w:rFonts w:ascii="Times New Roman" w:hAnsi="Times New Roman"/>
          <w:sz w:val="28"/>
          <w:szCs w:val="28"/>
          <w:lang w:val="ru-RU"/>
        </w:rPr>
        <w:t xml:space="preserve"> </w:t>
      </w:r>
      <w:r w:rsidRPr="00107040">
        <w:rPr>
          <w:rFonts w:ascii="Times New Roman" w:eastAsia="MS Mincho" w:hAnsi="Times New Roman"/>
          <w:iCs/>
          <w:sz w:val="28"/>
          <w:szCs w:val="28"/>
          <w:lang w:val="kk-KZ" w:eastAsia="ja-JP"/>
        </w:rPr>
        <w:t>АtPARP3</w:t>
      </w:r>
      <w:r w:rsidRPr="00107040">
        <w:rPr>
          <w:rFonts w:ascii="Times New Roman" w:eastAsia="MS Mincho" w:hAnsi="Times New Roman"/>
          <w:bCs/>
          <w:sz w:val="28"/>
          <w:szCs w:val="28"/>
          <w:lang w:val="kk-KZ" w:eastAsia="ja-JP"/>
        </w:rPr>
        <w:t xml:space="preserve"> </w:t>
      </w:r>
    </w:p>
    <w:p w14:paraId="0B3E52C7" w14:textId="77777777" w:rsidR="00AA69DA" w:rsidRPr="00107040" w:rsidRDefault="00AA69DA" w:rsidP="000C16BB">
      <w:pPr>
        <w:shd w:val="clear" w:color="auto" w:fill="FFFFFF"/>
        <w:spacing w:after="0" w:line="240" w:lineRule="auto"/>
        <w:ind w:firstLine="567"/>
        <w:jc w:val="both"/>
        <w:rPr>
          <w:rFonts w:ascii="Times New Roman" w:eastAsia="MS Mincho" w:hAnsi="Times New Roman"/>
          <w:sz w:val="28"/>
          <w:szCs w:val="28"/>
          <w:lang w:val="kk-KZ" w:eastAsia="ja-JP"/>
        </w:rPr>
      </w:pPr>
    </w:p>
    <w:p w14:paraId="70FA4C18" w14:textId="11EA449F" w:rsidR="00AA69DA" w:rsidRPr="00107040" w:rsidRDefault="00AA69DA" w:rsidP="000C16BB">
      <w:pPr>
        <w:shd w:val="clear" w:color="auto" w:fill="FFFFFF"/>
        <w:spacing w:after="0" w:line="240" w:lineRule="auto"/>
        <w:ind w:firstLine="567"/>
        <w:jc w:val="both"/>
        <w:rPr>
          <w:rFonts w:ascii="Times New Roman" w:eastAsia="MS Mincho" w:hAnsi="Times New Roman"/>
          <w:bCs/>
          <w:sz w:val="28"/>
          <w:szCs w:val="28"/>
          <w:lang w:val="kk-KZ" w:eastAsia="ja-JP"/>
        </w:rPr>
      </w:pPr>
      <w:r w:rsidRPr="00107040">
        <w:rPr>
          <w:rFonts w:ascii="Times New Roman" w:eastAsia="MS Mincho" w:hAnsi="Times New Roman"/>
          <w:sz w:val="28"/>
          <w:szCs w:val="28"/>
          <w:lang w:val="ru-RU" w:eastAsia="ja-JP"/>
        </w:rPr>
        <w:t xml:space="preserve">Ранее было показано, что AtPARP3 высоко экспрессируется в семенах, тогда как AtPARP1 и AtPARP2 почти не обнаруживаются в семенах </w:t>
      </w:r>
      <w:r w:rsidR="0066331F"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e7PNfvzU","properties":{"formattedCitation":"[341,407]","plainCitation":"[341,407]","dontUpdate":true,"noteIndex":0},"citationItems":[{"id":"MPjqK5ng/9HXO2hDs","uris":["http://zotero.org/users/9078202/items/NYAP7I89"],"itemData":{"id":258,"type":"article-journal","abstract":"The deterioration of seeds during prolonged storage results in a reduction of viability and germination rate. DNA damage is one of the major cellular defects associated with seed deterioration. It is provoked by the formation of reactive oxygen species (ROS) even in the quiescent state of the desiccated seed. In contrast to other stages of seed life, DNA repair during storage is hindered through the low seed water content; thereby DNA lesions can accumulate. To allow subsequent seedling development, DNA repair has thus to be initiated immediately upon imbibition. Poly(ADP-ribose) polymerases (PARPs) are important components in the DNA damage response in humans. Arabidopsis thaliana contains three homologues to the human HsPARP1 protein. Of these three, only AtPARP3 was very highly expressed in seeds. Histochemical GUS staining of embryos and endosperm layers revealed strong promoter activity of AtPARP3 during all steps of germination. This coincided with high ROS activity and indicated a role of the nuclear-localised AtPARP3 in DNA repair during germination. Accordingly, stored parp3-1 mutant seeds lacking AtPARP3 expression displayed a delay in germination as compared to Col-0 wild-type seeds. A controlled deterioration test showed that the mutant seeds were hypersensitive to unfavourable storage conditions. The results demonstrate that AtPARP3 is an important component of seed storability and viability.","container-title":"Plant Biology (Stuttgart, Germany)","DOI":"10.1111/plb.12167","ISSN":"1438-8677","issue":"6","journalAbbreviation":"Plant Biol (Stuttg)","language":"eng","note":"PMID: 24533577","page":"1058-1064","source":"PubMed","title":"The nuclear protein Poly(ADP-ribose) polymerase 3 (AtPARP3) is required for seed storability in Arabidopsis thaliana","volume":"16","author":[{"family":"Rissel","given":"D."},{"family":"Losch","given":"J."},{"family":"Peiter","given":"E."}],"issued":{"date-parts":[["2014",11]]}}},{"id":1353,"uris":["http://zotero.org/users/9078202/items/ABZTMVCI"],"itemData":{"id":1353,"type":"article-journal","abstract":"Background\nPoly (ADP-ribosyl) ation (PARylation) is an important posttranslational modification that regulates DNA repair, gene transcription, stress responses and developmental processes in multicellular organisms. Poly (ADP-ribose) polymerase (PARP) catalyzes PARylation by consecutively adding ADP-ribose moieties from NAD+ to the amino acid receptor residues on target proteins. Arabidopsis has three canonical PARP members, and two of these members, AtPARP1 and AtPARP2, have been demonstrated to be bona fide poly (ADP-ribose) polymerases and to regulate DNA repair and stress response processes. However, it remains unknown whether AtPARP3, a member that is highly expressed in seeds, has similar biochemical activity to that of AtPARP1 and AtPARP2. Additionally, although both the phylogenetic relationships and structural similarities indicate that AtPARP1 and AtPARP2 correspond to animal PARP1 and PARP2, respectively, two previous studies have indicated that AtPARP2, and not AtPARP1, accounts for most of the PARP activity in Arabidopsis, which is contrary to the knowledge that PARP1 is the predominant PARP in animals.\n\nResults\nIn this study, we obtained both in vitro and in vivo evidence demonstrating that AtPARP3 does not act as a typical PARP in Arabidopsis. Domain swapping and point mutation assays indicated that AtPARP3 has lost NAD+-binding capability and is inactive. In addition, our results showed that AtPARP1 was responsible for most of the PARP enzymatic activity in response to the DNA damage-inducing agents zeocin and methyl methanesulfonate (MMS) and was more rapidly activated than AtPARP2, which supports that AtPARP1 remains the predominant PARP member in Arabidopsis. AtPARP1 might first become activated by binding to damaged sites, and AtPARP2 is then poly (ADP-ribosyl) ated by AtPARP1 in vivo.\n\nConclusions\nCollectively, our biochemical and genetic analysis results strongly support the notion that AtPARP3 has lost poly (ADP-ribose) polymerase activity in plants and performs different functions from those of AtPARP1 and AtPARP2. AtPARP1, instead of AtPARP2, plays the predominant role in PAR synthesis in both seeds and seedlings. These data bring new insights into our understanding of the physiological functions of plant PARP family members.\n\nElectronic supplementary material\nThe online version of this article (10.1186/s12870-019-1958-9) contains supplementary material, which is available to authorized users.","container-title":"BMC Plant Biology","DOI":"10.1186/s12870-019-1958-9","ISSN":"1471-2229","journalAbbreviation":"BMC Plant Biol","note":"PMID: 31426748\nPMCID: PMC6701155","page":"364","source":"PubMed Central","title":"New perspectives on the plant PARP family: Arabidopsis PARP3 is inactive, and PARP1 exhibits predominant poly (ADP-ribose) polymerase activity in response to DNA damage","title-short":"New perspectives on the plant PARP family","URL":"https://www.ncbi.nlm.nih.gov/pmc/articles/PMC6701155/","volume":"19","author":[{"family":"Gu","given":"Zongying"},{"family":"Pan","given":"Weiyang"},{"family":"Chen","given":"Wei"},{"family":"Lian","given":"Qichao"},{"family":"Wu","given":"Qiao"},{"family":"Lv","given":"Zeyu"},{"family":"Cheng","given":"Xuan"},{"family":"Ge","given":"Xiaochun"}],"accessed":{"date-parts":[["2022",5,5]]},"issued":{"date-parts":[["2019",8,19]]}}}],"schema":"https://github.com/citation-style-language/schema/raw/master/csl-citation.json"} </w:instrText>
      </w:r>
      <w:r w:rsidR="0066331F" w:rsidRPr="00107040">
        <w:rPr>
          <w:rFonts w:ascii="Times New Roman" w:eastAsia="MS Mincho" w:hAnsi="Times New Roman"/>
          <w:sz w:val="28"/>
          <w:szCs w:val="28"/>
          <w:lang w:val="ru-RU" w:eastAsia="ja-JP"/>
        </w:rPr>
        <w:fldChar w:fldCharType="separate"/>
      </w:r>
      <w:r w:rsidR="00BB5A29" w:rsidRPr="00107040">
        <w:rPr>
          <w:rFonts w:ascii="Times New Roman" w:hAnsi="Times New Roman"/>
          <w:sz w:val="28"/>
          <w:szCs w:val="28"/>
        </w:rPr>
        <w:t>[341</w:t>
      </w:r>
      <w:r w:rsidR="00495087" w:rsidRPr="00107040">
        <w:rPr>
          <w:rFonts w:ascii="Times New Roman" w:hAnsi="Times New Roman"/>
          <w:sz w:val="28"/>
          <w:szCs w:val="28"/>
          <w:lang w:val="ru-RU"/>
        </w:rPr>
        <w:t xml:space="preserve">; </w:t>
      </w:r>
      <w:r w:rsidR="00BB5A29" w:rsidRPr="00107040">
        <w:rPr>
          <w:rFonts w:ascii="Times New Roman" w:hAnsi="Times New Roman"/>
          <w:sz w:val="28"/>
          <w:szCs w:val="28"/>
        </w:rPr>
        <w:t>407]</w:t>
      </w:r>
      <w:r w:rsidR="0066331F"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Предпологается, что AtPARP3 участвует в поддержании жизнеспособности семян при их хранении </w:t>
      </w:r>
      <w:r w:rsidR="0066331F"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{"citationID":"I5Hl0rVD","properties":{"formattedCitation":"[324]","plainCitation":"[324]","noteIndex":0},"citationItems":[{"id":"MPjqK5ng/9HXO2hDs","uris":["http://zotero.org/users/9078202/items/NYAP7I89"],"itemData":{"id":258,"type":"article-journal","abstract":"The deterioration of seeds during prolonged storage results in a reduction of viability and germination rate. DNA damage is one of the major cellular defects associated with seed deterioration. It is provoked by the formation of reactive oxygen species (ROS) even in the quiescent state of the desiccated seed. In contrast to other stages of seed life, DNA repair during storage is hindered through the low seed water content; thereby DNA lesions can accumulate. To allow subsequent seedling development, DNA repair has thus to be initiated immediately upon imbibition. Poly(ADP-ribose) polymerases (PARPs) are important components in the DNA damage response in humans. Arabidopsis thaliana contains three homologues to the human HsPARP1 protein. Of these three, only AtPARP3 was very highly expressed in seeds. Histochemical GUS staining of embryos and endosperm layers revealed strong promoter activity of AtPARP3 during all steps of germination. This coincided with high ROS activity and indicated a role of the nuclear-localised AtPARP3 in DNA repair during germination. Accordingly, stored parp3-1 mutant seeds lacking AtPARP3 expression displayed a delay in germination as compared to Col-0 wild-type seeds. A controlled deterioration test showed that the mutant seeds were hypersensitive to unfavourable storage conditions. The results demonstrate that AtPARP3 is an important component of seed storability and viability.","container-title":"Plant Biology (Stuttgart, Germany)","DOI":"10.1111/plb.12167","ISSN":"1438-8677","issue":"6","journalAbbreviation":"Plant Biol (Stuttg)","language":"eng","note":"PMID: 24533577","page":"1058-1064","source":"PubMed","title":"The nuclear protein Poly(ADP-ribose) polymerase 3 (AtPARP3) is required for seed storability in Arabidopsis thaliana","volume":"16","author":[{"family":"Rissel","given":"D."},{"family":"Losch","given":"J."},{"family":"Peiter","given":"E."}],"issued":{"date-parts":[["2014",11]]}}}],"schema":"https://github.com/citation-style-language/schema/raw/master/csl-citation.json"} </w:instrText>
      </w:r>
      <w:r w:rsidR="0066331F" w:rsidRPr="00107040">
        <w:rPr>
          <w:rFonts w:ascii="Times New Roman" w:eastAsia="MS Mincho" w:hAnsi="Times New Roman"/>
          <w:sz w:val="28"/>
          <w:szCs w:val="28"/>
          <w:lang w:val="ru-RU" w:eastAsia="ja-JP"/>
        </w:rPr>
        <w:fldChar w:fldCharType="separate"/>
      </w:r>
      <w:r w:rsidR="008611DC" w:rsidRPr="008611DC">
        <w:rPr>
          <w:rFonts w:ascii="Times New Roman" w:hAnsi="Times New Roman"/>
          <w:sz w:val="28"/>
        </w:rPr>
        <w:t>[324]</w:t>
      </w:r>
      <w:r w:rsidR="0066331F"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поэтому было высказано предположение, что AtPARP3 вместо AtPARP1 и AtPARP2 является основным ферментом, катализирующим ПАРилирование и ответственным за репарацию ДНК во время прорастания семян</w:t>
      </w:r>
      <w:r w:rsidR="0066331F" w:rsidRPr="00107040">
        <w:rPr>
          <w:rFonts w:ascii="Times New Roman" w:eastAsia="MS Mincho" w:hAnsi="Times New Roman"/>
          <w:sz w:val="28"/>
          <w:szCs w:val="28"/>
          <w:lang w:val="ru-RU" w:eastAsia="ja-JP"/>
        </w:rPr>
        <w:t xml:space="preserve"> </w:t>
      </w:r>
      <w:r w:rsidR="000E75FB" w:rsidRPr="00107040">
        <w:rPr>
          <w:rFonts w:ascii="Times New Roman" w:eastAsia="MS Mincho" w:hAnsi="Times New Roman"/>
          <w:sz w:val="28"/>
          <w:szCs w:val="28"/>
          <w:lang w:val="ru-RU" w:eastAsia="ja-JP"/>
        </w:rPr>
        <w:fldChar w:fldCharType="begin"/>
      </w:r>
      <w:r w:rsidR="00FB5E68">
        <w:rPr>
          <w:rFonts w:ascii="Times New Roman" w:eastAsia="MS Mincho" w:hAnsi="Times New Roman"/>
          <w:sz w:val="28"/>
          <w:szCs w:val="28"/>
          <w:lang w:val="ru-RU" w:eastAsia="ja-JP"/>
        </w:rPr>
        <w:instrText xml:space="preserve"> ADDIN ZOTERO_ITEM CSL_CITATION {"citationID":"BQ5oLQdd","properties":{"formattedCitation":"[341,407]","plainCitation":"[341,407]","dontUpdate":true,"noteIndex":0},"citationItems":[{"id":"MPjqK5ng/9HXO2hDs","uris":["http://zotero.org/users/9078202/items/NYAP7I89"],"itemData":{"id":258,"type":"article-journal","abstract":"The deterioration of seeds during prolonged storage results in a reduction of viability and germination rate. DNA damage is one of the major cellular defects associated with seed deterioration. It is provoked by the formation of reactive oxygen species (ROS) even in the quiescent state of the desiccated seed. In contrast to other stages of seed life, DNA repair during storage is hindered through the low seed water content; thereby DNA lesions can accumulate. To allow subsequent seedling development, DNA repair has thus to be initiated immediately upon imbibition. Poly(ADP-ribose) polymerases (PARPs) are important components in the DNA damage response in humans. Arabidopsis thaliana contains three homologues to the human HsPARP1 protein. Of these three, only AtPARP3 was very highly expressed in seeds. Histochemical GUS staining of embryos and endosperm layers revealed strong promoter activity of AtPARP3 during all steps of germination. This coincided with high ROS activity and indicated a role of the nuclear-localised AtPARP3 in DNA repair during germination. Accordingly, stored parp3-1 mutant seeds lacking AtPARP3 expression displayed a delay in germination as compared to Col-0 wild-type seeds. A controlled deterioration test showed that the mutant seeds were hypersensitive to unfavourable storage conditions. The results demonstrate that AtPARP3 is an important component of seed storability and viability.","container-title":"Plant Biology (Stuttgart, Germany)","DOI":"10.1111/plb.12167","ISSN":"1438-8677","issue":"6","journalAbbreviation":"Plant Biol (Stuttg)","language":"eng","note":"PMID: 24533577","page":"1058-1064","source":"PubMed","title":"The nuclear protein Poly(ADP-ribose) polymerase 3 (AtPARP3) is required for seed storability in Arabidopsis thaliana","volume":"16","author":[{"family":"Rissel","given":"D."},{"family":"Losch","given":"J."},{"family":"Peiter","given":"E."}],"issued":{"date-parts":[["2014",11]]}}},{"id":1353,"uris":["http://zotero.org/users/9078202/items/ABZTMVCI"],"itemData":{"id":1353,"type":"article-journal","abstract":"Background\nPoly (ADP-ribosyl) ation (PARylation) is an important posttranslational modification that regulates DNA repair, gene transcription, stress responses and developmental processes in multicellular organisms. Poly (ADP-ribose) polymerase (PARP) catalyzes PARylation by consecutively adding ADP-ribose moieties from NAD+ to the amino acid receptor residues on target proteins. Arabidopsis has three canonical PARP members, and two of these members, AtPARP1 and AtPARP2, have been demonstrated to be bona fide poly (ADP-ribose) polymerases and to regulate DNA repair and stress response processes. However, it remains unknown whether AtPARP3, a member that is highly expressed in seeds, has similar biochemical activity to that of AtPARP1 and AtPARP2. Additionally, although both the phylogenetic relationships and structural similarities indicate that AtPARP1 and AtPARP2 correspond to animal PARP1 and PARP2, respectively, two previous studies have indicated that AtPARP2, and not AtPARP1, accounts for most of the PARP activity in Arabidopsis, which is contrary to the knowledge that PARP1 is the predominant PARP in animals.\n\nResults\nIn this study, we obtained both in vitro and in vivo evidence demonstrating that AtPARP3 does not act as a typical PARP in Arabidopsis. Domain swapping and point mutation assays indicated that AtPARP3 has lost NAD+-binding capability and is inactive. In addition, our results showed that AtPARP1 was responsible for most of the PARP enzymatic activity in response to the DNA damage-inducing agents zeocin and methyl methanesulfonate (MMS) and was more rapidly activated than AtPARP2, which supports that AtPARP1 remains the predominant PARP member in Arabidopsis. AtPARP1 might first become activated by binding to damaged sites, and AtPARP2 is then poly (ADP-ribosyl) ated by AtPARP1 in vivo.\n\nConclusions\nCollectively, our biochemical and genetic analysis results strongly support the notion that AtPARP3 has lost poly (ADP-ribose) polymerase activity in plants and performs different functions from those of AtPARP1 and AtPARP2. AtPARP1, instead of AtPARP2, plays the predominant role in PAR synthesis in both seeds and seedlings. These data bring new insights into our understanding of the physiological functions of plant PARP family members.\n\nElectronic supplementary material\nThe online version of this article (10.1186/s12870-019-1958-9) contains supplementary material, which is available to authorized users.","container-title":"BMC Plant Biology","DOI":"10.1186/s12870-019-1958-9","ISSN":"1471-2229","journalAbbreviation":"BMC Plant Biol","note":"PMID: 31426748\nPMCID: PMC6701155","page":"364","source":"PubMed Central","title":"New perspectives on the plant PARP family: Arabidopsis PARP3 is inactive, and PARP1 exhibits predominant poly (ADP-ribose) polymerase activity in response to DNA damage","title-short":"New perspectives on the plant PARP family","URL":"https://www.ncbi.nlm.nih.gov/pmc/articles/PMC6701155/","volume":"19","author":[{"family":"Gu","given":"Zongying"},{"family":"Pan","given":"Weiyang"},{"family":"Chen","given":"Wei"},{"family":"Lian","given":"Qichao"},{"family":"Wu","given":"Qiao"},{"family":"Lv","given":"Zeyu"},{"family":"Cheng","given":"Xuan"},{"family":"Ge","given":"Xiaochun"}],"accessed":{"date-parts":[["2022",5,5]]},"issued":{"date-parts":[["2019",8,19]]}}}],"schema":"https://github.com/citation-style-language/schema/raw/master/csl-citation.json"} </w:instrText>
      </w:r>
      <w:r w:rsidR="000E75FB" w:rsidRPr="00107040">
        <w:rPr>
          <w:rFonts w:ascii="Times New Roman" w:eastAsia="MS Mincho" w:hAnsi="Times New Roman"/>
          <w:sz w:val="28"/>
          <w:szCs w:val="28"/>
          <w:lang w:val="ru-RU" w:eastAsia="ja-JP"/>
        </w:rPr>
        <w:fldChar w:fldCharType="separate"/>
      </w:r>
      <w:r w:rsidR="00BB5A29" w:rsidRPr="00107040">
        <w:rPr>
          <w:rFonts w:ascii="Times New Roman" w:hAnsi="Times New Roman"/>
          <w:sz w:val="28"/>
          <w:szCs w:val="28"/>
        </w:rPr>
        <w:t>[341</w:t>
      </w:r>
      <w:r w:rsidR="00495087" w:rsidRPr="00107040">
        <w:rPr>
          <w:rFonts w:ascii="Times New Roman" w:hAnsi="Times New Roman"/>
          <w:sz w:val="28"/>
          <w:szCs w:val="28"/>
          <w:lang w:val="ru-RU"/>
        </w:rPr>
        <w:t xml:space="preserve">; </w:t>
      </w:r>
      <w:r w:rsidR="00BB5A29" w:rsidRPr="00107040">
        <w:rPr>
          <w:rFonts w:ascii="Times New Roman" w:hAnsi="Times New Roman"/>
          <w:sz w:val="28"/>
          <w:szCs w:val="28"/>
        </w:rPr>
        <w:t>407]</w:t>
      </w:r>
      <w:r w:rsidR="000E75FB" w:rsidRPr="00107040">
        <w:rPr>
          <w:rFonts w:ascii="Times New Roman" w:eastAsia="MS Mincho" w:hAnsi="Times New Roman"/>
          <w:sz w:val="28"/>
          <w:szCs w:val="28"/>
          <w:lang w:val="ru-RU" w:eastAsia="ja-JP"/>
        </w:rPr>
        <w:fldChar w:fldCharType="end"/>
      </w:r>
      <w:r w:rsidRPr="00107040">
        <w:rPr>
          <w:rFonts w:ascii="Times New Roman" w:eastAsia="MS Mincho" w:hAnsi="Times New Roman"/>
          <w:sz w:val="28"/>
          <w:szCs w:val="28"/>
          <w:lang w:val="ru-RU" w:eastAsia="ja-JP"/>
        </w:rPr>
        <w:t xml:space="preserve">. </w:t>
      </w:r>
      <w:bookmarkStart w:id="75" w:name="_Hlk106557831"/>
      <w:r w:rsidRPr="00107040">
        <w:rPr>
          <w:rFonts w:ascii="Times New Roman" w:eastAsia="MS Mincho" w:hAnsi="Times New Roman"/>
          <w:sz w:val="28"/>
          <w:szCs w:val="28"/>
          <w:lang w:val="ru-RU" w:eastAsia="ja-JP"/>
        </w:rPr>
        <w:t>Хотя как филогенетическим отношении, так и структурное сходство указывают на то, что AtPARP3 соответствуют PARP3 животных, наши исследования показали, что AtPARP3 не проявляет типичный для PARP ферментов АДФ-рибозилирующая активность. Анализ фермента с делециями аутоингибиторного и N -концевого BRCT-доменов дополнительно показали, что AtPARP3 утратил АДФ-рибозилирующую активность. Как отмечалось выше, на филогенетическом дереве AtPARP3 группируется близко к HsPARP1, а не к HsPARP3, а также отсутствует АДФ-рибозилирующая активность, что предполагает, что AtPARP3 мог эволюционировать для выполнения других функций у растений, что требует проведение дальнейших исследований.</w:t>
      </w:r>
      <w:bookmarkEnd w:id="75"/>
    </w:p>
    <w:p w14:paraId="4D463093" w14:textId="77777777" w:rsidR="00AA69DA" w:rsidRPr="00107040" w:rsidRDefault="00AA69DA" w:rsidP="000C16BB">
      <w:pPr>
        <w:autoSpaceDE w:val="0"/>
        <w:autoSpaceDN w:val="0"/>
        <w:adjustRightInd w:val="0"/>
        <w:spacing w:after="0" w:line="240" w:lineRule="auto"/>
        <w:ind w:firstLine="567"/>
        <w:jc w:val="both"/>
        <w:rPr>
          <w:rFonts w:ascii="Times New Roman" w:eastAsia="MS Mincho" w:hAnsi="Times New Roman"/>
          <w:bCs/>
          <w:sz w:val="28"/>
          <w:szCs w:val="28"/>
          <w:lang w:val="ru-RU" w:eastAsia="ja-JP"/>
        </w:rPr>
      </w:pPr>
    </w:p>
    <w:p w14:paraId="18C25AFC" w14:textId="77777777" w:rsidR="00AA69DA" w:rsidRPr="00107040" w:rsidRDefault="00AA69DA" w:rsidP="000C16BB">
      <w:pPr>
        <w:autoSpaceDE w:val="0"/>
        <w:autoSpaceDN w:val="0"/>
        <w:adjustRightInd w:val="0"/>
        <w:spacing w:after="0" w:line="240" w:lineRule="auto"/>
        <w:ind w:firstLine="567"/>
        <w:jc w:val="both"/>
        <w:rPr>
          <w:rFonts w:ascii="Times New Roman" w:eastAsia="MS Mincho" w:hAnsi="Times New Roman"/>
          <w:b/>
          <w:sz w:val="28"/>
          <w:szCs w:val="28"/>
          <w:lang w:val="ru-RU" w:eastAsia="ja-JP"/>
        </w:rPr>
      </w:pPr>
      <w:r w:rsidRPr="00107040">
        <w:rPr>
          <w:rFonts w:ascii="Times New Roman" w:eastAsia="MS Mincho" w:hAnsi="Times New Roman"/>
          <w:b/>
          <w:bCs/>
          <w:sz w:val="28"/>
          <w:szCs w:val="28"/>
          <w:lang w:val="ru-RU" w:eastAsia="ja-JP"/>
        </w:rPr>
        <w:lastRenderedPageBreak/>
        <w:t>3.3 Конструирование каталитически инактивных А</w:t>
      </w:r>
      <w:r w:rsidRPr="00107040">
        <w:rPr>
          <w:rFonts w:ascii="Times New Roman" w:eastAsia="MS Mincho" w:hAnsi="Times New Roman"/>
          <w:b/>
          <w:bCs/>
          <w:sz w:val="28"/>
          <w:szCs w:val="28"/>
          <w:lang w:eastAsia="ja-JP"/>
        </w:rPr>
        <w:t>t</w:t>
      </w:r>
      <w:r w:rsidRPr="00107040">
        <w:rPr>
          <w:rFonts w:ascii="Times New Roman" w:eastAsia="MS Mincho" w:hAnsi="Times New Roman"/>
          <w:b/>
          <w:bCs/>
          <w:sz w:val="28"/>
          <w:szCs w:val="28"/>
          <w:lang w:val="en-GB" w:eastAsia="ja-JP"/>
        </w:rPr>
        <w:t>PARP</w:t>
      </w:r>
      <w:r w:rsidRPr="00107040">
        <w:rPr>
          <w:rFonts w:ascii="Times New Roman" w:eastAsia="MS Mincho" w:hAnsi="Times New Roman"/>
          <w:b/>
          <w:bCs/>
          <w:sz w:val="28"/>
          <w:szCs w:val="28"/>
          <w:lang w:val="ru-RU" w:eastAsia="ja-JP"/>
        </w:rPr>
        <w:t>1</w:t>
      </w:r>
      <w:r w:rsidRPr="00107040">
        <w:rPr>
          <w:rFonts w:ascii="Times New Roman" w:eastAsia="MS Mincho" w:hAnsi="Times New Roman"/>
          <w:b/>
          <w:bCs/>
          <w:sz w:val="28"/>
          <w:szCs w:val="28"/>
          <w:vertAlign w:val="superscript"/>
          <w:lang w:val="en-GB" w:eastAsia="ja-JP"/>
        </w:rPr>
        <w:t>E</w:t>
      </w:r>
      <w:r w:rsidRPr="00107040">
        <w:rPr>
          <w:rFonts w:ascii="Times New Roman" w:eastAsia="MS Mincho" w:hAnsi="Times New Roman"/>
          <w:b/>
          <w:bCs/>
          <w:sz w:val="28"/>
          <w:szCs w:val="28"/>
          <w:vertAlign w:val="superscript"/>
          <w:lang w:val="ru-RU" w:eastAsia="ja-JP"/>
        </w:rPr>
        <w:t>960</w:t>
      </w:r>
      <w:r w:rsidRPr="00107040">
        <w:rPr>
          <w:rFonts w:ascii="Times New Roman" w:eastAsia="MS Mincho" w:hAnsi="Times New Roman"/>
          <w:b/>
          <w:bCs/>
          <w:sz w:val="28"/>
          <w:szCs w:val="28"/>
          <w:vertAlign w:val="superscript"/>
          <w:lang w:val="en-GB" w:eastAsia="ja-JP"/>
        </w:rPr>
        <w:t>K</w:t>
      </w:r>
      <w:r w:rsidRPr="00107040">
        <w:rPr>
          <w:rFonts w:ascii="Times New Roman" w:eastAsia="MS Mincho" w:hAnsi="Times New Roman"/>
          <w:b/>
          <w:bCs/>
          <w:sz w:val="28"/>
          <w:szCs w:val="28"/>
          <w:vertAlign w:val="superscript"/>
          <w:lang w:val="ru-RU" w:eastAsia="ja-JP"/>
        </w:rPr>
        <w:t xml:space="preserve">, </w:t>
      </w:r>
      <w:r w:rsidRPr="00107040">
        <w:rPr>
          <w:rFonts w:ascii="Times New Roman" w:eastAsia="MS Mincho" w:hAnsi="Times New Roman"/>
          <w:b/>
          <w:bCs/>
          <w:sz w:val="28"/>
          <w:szCs w:val="28"/>
          <w:vertAlign w:val="superscript"/>
          <w:lang w:val="en-GB" w:eastAsia="ja-JP"/>
        </w:rPr>
        <w:t>E</w:t>
      </w:r>
      <w:r w:rsidRPr="00107040">
        <w:rPr>
          <w:rFonts w:ascii="Times New Roman" w:eastAsia="MS Mincho" w:hAnsi="Times New Roman"/>
          <w:b/>
          <w:bCs/>
          <w:sz w:val="28"/>
          <w:szCs w:val="28"/>
          <w:vertAlign w:val="superscript"/>
          <w:lang w:val="ru-RU" w:eastAsia="ja-JP"/>
        </w:rPr>
        <w:t>960</w:t>
      </w:r>
      <w:r w:rsidRPr="00107040">
        <w:rPr>
          <w:rFonts w:ascii="Times New Roman" w:eastAsia="MS Mincho" w:hAnsi="Times New Roman"/>
          <w:b/>
          <w:bCs/>
          <w:sz w:val="28"/>
          <w:szCs w:val="28"/>
          <w:vertAlign w:val="superscript"/>
          <w:lang w:val="en-GB" w:eastAsia="ja-JP"/>
        </w:rPr>
        <w:t>Q</w:t>
      </w:r>
      <w:r w:rsidRPr="00107040">
        <w:rPr>
          <w:rFonts w:ascii="Times New Roman" w:eastAsia="MS Mincho" w:hAnsi="Times New Roman"/>
          <w:b/>
          <w:bCs/>
          <w:sz w:val="28"/>
          <w:szCs w:val="28"/>
          <w:vertAlign w:val="superscript"/>
          <w:lang w:val="ru-RU" w:eastAsia="ja-JP"/>
        </w:rPr>
        <w:t xml:space="preserve"> </w:t>
      </w:r>
      <w:r w:rsidRPr="00107040">
        <w:rPr>
          <w:rFonts w:ascii="Times New Roman" w:eastAsia="MS Mincho" w:hAnsi="Times New Roman"/>
          <w:b/>
          <w:bCs/>
          <w:sz w:val="28"/>
          <w:szCs w:val="28"/>
          <w:lang w:val="ru-RU" w:eastAsia="ja-JP"/>
        </w:rPr>
        <w:t>и А</w:t>
      </w:r>
      <w:r w:rsidRPr="00107040">
        <w:rPr>
          <w:rFonts w:ascii="Times New Roman" w:eastAsia="MS Mincho" w:hAnsi="Times New Roman"/>
          <w:b/>
          <w:bCs/>
          <w:sz w:val="28"/>
          <w:szCs w:val="28"/>
          <w:lang w:val="en-GB" w:eastAsia="ja-JP"/>
        </w:rPr>
        <w:t>tPARP</w:t>
      </w:r>
      <w:r w:rsidRPr="00107040">
        <w:rPr>
          <w:rFonts w:ascii="Times New Roman" w:eastAsia="MS Mincho" w:hAnsi="Times New Roman"/>
          <w:b/>
          <w:bCs/>
          <w:sz w:val="28"/>
          <w:szCs w:val="28"/>
          <w:lang w:val="ru-RU" w:eastAsia="ja-JP"/>
        </w:rPr>
        <w:t>2</w:t>
      </w:r>
      <w:r w:rsidRPr="00107040">
        <w:rPr>
          <w:rFonts w:ascii="Times New Roman" w:eastAsia="MS Mincho" w:hAnsi="Times New Roman"/>
          <w:b/>
          <w:bCs/>
          <w:sz w:val="28"/>
          <w:szCs w:val="28"/>
          <w:vertAlign w:val="superscript"/>
          <w:lang w:val="en-GB" w:eastAsia="ja-JP"/>
        </w:rPr>
        <w:t>E</w:t>
      </w:r>
      <w:r w:rsidRPr="00107040">
        <w:rPr>
          <w:rFonts w:ascii="Times New Roman" w:eastAsia="MS Mincho" w:hAnsi="Times New Roman"/>
          <w:b/>
          <w:bCs/>
          <w:sz w:val="28"/>
          <w:szCs w:val="28"/>
          <w:vertAlign w:val="superscript"/>
          <w:lang w:val="ru-RU" w:eastAsia="ja-JP"/>
        </w:rPr>
        <w:t>614</w:t>
      </w:r>
      <w:r w:rsidRPr="00107040">
        <w:rPr>
          <w:rFonts w:ascii="Times New Roman" w:eastAsia="MS Mincho" w:hAnsi="Times New Roman"/>
          <w:b/>
          <w:bCs/>
          <w:sz w:val="28"/>
          <w:szCs w:val="28"/>
          <w:vertAlign w:val="superscript"/>
          <w:lang w:val="en-GB" w:eastAsia="ja-JP"/>
        </w:rPr>
        <w:t>K</w:t>
      </w:r>
      <w:r w:rsidR="004E4B1F" w:rsidRPr="00107040">
        <w:rPr>
          <w:rFonts w:ascii="Times New Roman" w:eastAsia="MS Mincho" w:hAnsi="Times New Roman"/>
          <w:b/>
          <w:bCs/>
          <w:sz w:val="28"/>
          <w:szCs w:val="28"/>
          <w:vertAlign w:val="superscript"/>
          <w:lang w:val="ru-RU" w:eastAsia="ja-JP"/>
        </w:rPr>
        <w:t xml:space="preserve"> </w:t>
      </w:r>
      <w:r w:rsidRPr="00107040">
        <w:rPr>
          <w:rFonts w:ascii="Times New Roman" w:eastAsia="MS Mincho" w:hAnsi="Times New Roman"/>
          <w:b/>
          <w:sz w:val="28"/>
          <w:szCs w:val="28"/>
          <w:lang w:val="ru-RU" w:eastAsia="ja-JP"/>
        </w:rPr>
        <w:t>форм белков и определение их ДНК ПАРилирующей активности</w:t>
      </w:r>
    </w:p>
    <w:p w14:paraId="73293861" w14:textId="15586C01"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Первичная структура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млекопитающих состоит из 1014 остатков, организованные в 3 функциональных домена: ДНК-связывающий </w:t>
      </w:r>
      <w:r w:rsidRPr="00107040">
        <w:rPr>
          <w:rFonts w:ascii="Times New Roman" w:eastAsia="MS Mincho" w:hAnsi="Times New Roman"/>
          <w:sz w:val="28"/>
          <w:szCs w:val="28"/>
          <w:lang w:val="en-US" w:eastAsia="ja-JP"/>
        </w:rPr>
        <w:t>N</w:t>
      </w:r>
      <w:r w:rsidRPr="00107040">
        <w:rPr>
          <w:rFonts w:ascii="Times New Roman" w:eastAsia="MS Mincho" w:hAnsi="Times New Roman"/>
          <w:sz w:val="28"/>
          <w:szCs w:val="28"/>
          <w:lang w:val="ru-RU" w:eastAsia="ja-JP"/>
        </w:rPr>
        <w:t xml:space="preserve">-концевой домен, </w:t>
      </w:r>
      <w:r w:rsidRPr="00107040">
        <w:rPr>
          <w:rFonts w:ascii="Times New Roman" w:eastAsia="MS Mincho" w:hAnsi="Times New Roman"/>
          <w:sz w:val="28"/>
          <w:szCs w:val="28"/>
          <w:lang w:val="en-US" w:eastAsia="ja-JP"/>
        </w:rPr>
        <w:t>ii</w:t>
      </w:r>
      <w:r w:rsidRPr="00107040">
        <w:rPr>
          <w:rFonts w:ascii="Times New Roman" w:eastAsia="MS Mincho" w:hAnsi="Times New Roman"/>
          <w:sz w:val="28"/>
          <w:szCs w:val="28"/>
          <w:lang w:val="ru-RU" w:eastAsia="ja-JP"/>
        </w:rPr>
        <w:t xml:space="preserve">) домен автомодификации для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ДФ-рибозилирования и </w:t>
      </w:r>
      <w:r w:rsidRPr="00107040">
        <w:rPr>
          <w:rFonts w:ascii="Times New Roman" w:eastAsia="MS Mincho" w:hAnsi="Times New Roman"/>
          <w:sz w:val="28"/>
          <w:szCs w:val="28"/>
          <w:lang w:val="en-US" w:eastAsia="ja-JP"/>
        </w:rPr>
        <w:t>iii</w:t>
      </w:r>
      <w:r w:rsidRPr="00107040">
        <w:rPr>
          <w:rFonts w:ascii="Times New Roman" w:eastAsia="MS Mincho" w:hAnsi="Times New Roman"/>
          <w:sz w:val="28"/>
          <w:szCs w:val="28"/>
          <w:lang w:val="ru-RU" w:eastAsia="ja-JP"/>
        </w:rPr>
        <w:t xml:space="preserve">) каталитический домен на </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-конце. Каталитический домен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также называемый доменом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ДФ-рибозил-трансферазы (</w:t>
      </w:r>
      <w:r w:rsidRPr="00107040">
        <w:rPr>
          <w:rFonts w:ascii="Times New Roman" w:eastAsia="MS Mincho" w:hAnsi="Times New Roman"/>
          <w:sz w:val="28"/>
          <w:szCs w:val="28"/>
          <w:lang w:val="en-US" w:eastAsia="ja-JP"/>
        </w:rPr>
        <w:t>ART</w:t>
      </w:r>
      <w:r w:rsidRPr="00107040">
        <w:rPr>
          <w:rFonts w:ascii="Times New Roman" w:eastAsia="MS Mincho" w:hAnsi="Times New Roman"/>
          <w:sz w:val="28"/>
          <w:szCs w:val="28"/>
          <w:lang w:val="ru-RU" w:eastAsia="ja-JP"/>
        </w:rPr>
        <w:t xml:space="preserve">), является высококонсервативным у всех членов семейства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и имеет структурное сходство с ферментами </w:t>
      </w:r>
      <w:bookmarkStart w:id="76" w:name="_Hlk106275956"/>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ДФ-рибозилирования растений. Активные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млекопитающих разделяют консервативную триаду гистидин-тирозин-глутаминовая кислота (</w:t>
      </w:r>
      <w:r w:rsidRPr="00107040">
        <w:rPr>
          <w:rFonts w:ascii="Times New Roman" w:eastAsia="MS Mincho" w:hAnsi="Times New Roman"/>
          <w:sz w:val="28"/>
          <w:szCs w:val="28"/>
          <w:lang w:val="en-US" w:eastAsia="ja-JP"/>
        </w:rPr>
        <w:t>H</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Y</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E</w:t>
      </w:r>
      <w:r w:rsidRPr="00107040">
        <w:rPr>
          <w:rFonts w:ascii="Times New Roman" w:eastAsia="MS Mincho" w:hAnsi="Times New Roman"/>
          <w:sz w:val="28"/>
          <w:szCs w:val="28"/>
          <w:lang w:val="ru-RU" w:eastAsia="ja-JP"/>
        </w:rPr>
        <w:t xml:space="preserve">) (сигнатура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в своих каталитических доменах </w:t>
      </w:r>
      <w:r w:rsidRPr="00107040">
        <w:rPr>
          <w:rFonts w:ascii="Times New Roman" w:eastAsia="MS Mincho" w:hAnsi="Times New Roman"/>
          <w:sz w:val="28"/>
          <w:szCs w:val="28"/>
          <w:lang w:eastAsia="ja-JP"/>
        </w:rPr>
        <w:fldChar w:fldCharType="begin"/>
      </w:r>
      <w:r w:rsidR="00FB5E68">
        <w:rPr>
          <w:rFonts w:ascii="Times New Roman" w:eastAsia="MS Mincho" w:hAnsi="Times New Roman"/>
          <w:sz w:val="28"/>
          <w:szCs w:val="28"/>
          <w:lang w:val="ru-RU" w:eastAsia="ja-JP"/>
        </w:rPr>
        <w:instrText xml:space="preserve"> ADDIN ZOTERO_ITEM CSL_CITATION {"citationID":"4mgKdxiI","properties":{"formattedCitation":"[459]","plainCitation":"[459]","noteIndex":0},"citationItems":[{"id":1325,"uris":["http://zotero.org/users/9078202/items/VIFZAUMR"],"itemData":{"id":1325,"type":"article-journal","abstract":"Poly-ADP-ribose metabolism plays a mayor role in a wide range of biological processes, such as maintenance of genomic stability, transcriptional regulation, energy metabolism and cell death. Poly-ADP-ribose polymerases (PARPs) are an ancient family of enzymes, as evidenced by the poly-ADP-ribosylating activities reported in dinoflagellates and archaebacteria and by the identification of Parp-like genes in eubacterial and archaeabacterial genomes. Six genes encoding \"bona fide\" PARP enzymes have been identified in mammalians: PARP1, PARP2, PARP3, PARP4/vPARP, PARP5/Tankyrases-1 and PARP6/Tankyrases-2. The best studied of these enzymes PARP1 plays a primary role in the process of poly-ADP-ribosylation. PARP1-mediated poly-ADP-ribosylation has been implicated in the pathogenesis of cancer, inflammatory and neurodegenerative disorders. This review will summarize the novel findings and concepts for PARP enzymes and their poly-ADP-ribosylation activity in the regulation of physiological and pathophysiological processes. A special focus is placed on the proposed molecular mechanisms involved in these processes, such as signaling, regulation of telomere dynamics, remodeling of chromatin structure and transcriptional regulation. A potential functional cross talk between PARP family members and other NAD+-consuming enzymes is discussed.","container-title":"Frontiers in Bioscience: A Journal and Virtual Library","DOI":"10.2741/2909","ISSN":"1093-9946","journalAbbreviation":"Front Biosci","language":"eng","note":"PMID: 17981777","page":"3046-3082","source":"PubMed","title":"The diverse biological roles of mammalian PARPS, a small but powerful family of poly-ADP-ribose polymerases","volume":"13","author":[{"family":"Hassa","given":"Paul O."},{"family":"Hottiger","given":"Michael O."}],"issued":{"date-parts":[["2008",1,1]]}}}],"schema":"https://github.com/citation-style-language/schema/raw/master/csl-citation.json"} </w:instrText>
      </w:r>
      <w:r w:rsidRPr="00107040">
        <w:rPr>
          <w:rFonts w:ascii="Times New Roman" w:eastAsia="MS Mincho" w:hAnsi="Times New Roman"/>
          <w:sz w:val="28"/>
          <w:szCs w:val="28"/>
          <w:lang w:eastAsia="ja-JP"/>
        </w:rPr>
        <w:fldChar w:fldCharType="separate"/>
      </w:r>
      <w:r w:rsidR="00FB5E68" w:rsidRPr="00FB5E68">
        <w:rPr>
          <w:rFonts w:ascii="Times New Roman" w:hAnsi="Times New Roman"/>
          <w:sz w:val="28"/>
        </w:rPr>
        <w:t>[459]</w:t>
      </w:r>
      <w:r w:rsidRPr="00107040">
        <w:rPr>
          <w:rFonts w:ascii="Times New Roman" w:eastAsia="MS Mincho" w:hAnsi="Times New Roman"/>
          <w:sz w:val="28"/>
          <w:szCs w:val="28"/>
          <w:lang w:eastAsia="ja-JP"/>
        </w:rPr>
        <w:fldChar w:fldCharType="end"/>
      </w:r>
      <w:r w:rsidRPr="00107040">
        <w:rPr>
          <w:rFonts w:ascii="Times New Roman" w:eastAsia="MS Mincho" w:hAnsi="Times New Roman"/>
          <w:sz w:val="28"/>
          <w:szCs w:val="28"/>
          <w:lang w:val="ru-RU" w:eastAsia="ja-JP"/>
        </w:rPr>
        <w:t>. Эта эволюционно консервативная триада «</w:t>
      </w:r>
      <w:r w:rsidRPr="00107040">
        <w:rPr>
          <w:rFonts w:ascii="Times New Roman" w:eastAsia="MS Mincho" w:hAnsi="Times New Roman"/>
          <w:sz w:val="28"/>
          <w:szCs w:val="28"/>
          <w:lang w:val="en-US" w:eastAsia="ja-JP"/>
        </w:rPr>
        <w:t>H</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Y</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E</w:t>
      </w:r>
      <w:r w:rsidRPr="00107040">
        <w:rPr>
          <w:rFonts w:ascii="Times New Roman" w:eastAsia="MS Mincho" w:hAnsi="Times New Roman"/>
          <w:sz w:val="28"/>
          <w:szCs w:val="28"/>
          <w:lang w:val="ru-RU" w:eastAsia="ja-JP"/>
        </w:rPr>
        <w:t>» важна для позиционирования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во время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ДФ-рибозилирования: в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w:t>
      </w:r>
      <w:r w:rsidRPr="00107040">
        <w:rPr>
          <w:rFonts w:ascii="Times New Roman" w:eastAsia="MS Mincho" w:hAnsi="Times New Roman"/>
          <w:sz w:val="28"/>
          <w:szCs w:val="28"/>
          <w:lang w:val="en-US" w:eastAsia="ja-JP"/>
        </w:rPr>
        <w:t>H</w:t>
      </w:r>
      <w:r w:rsidRPr="00107040">
        <w:rPr>
          <w:rFonts w:ascii="Times New Roman" w:eastAsia="MS Mincho" w:hAnsi="Times New Roman"/>
          <w:sz w:val="28"/>
          <w:szCs w:val="28"/>
          <w:lang w:val="ru-RU" w:eastAsia="ja-JP"/>
        </w:rPr>
        <w:t xml:space="preserve">862 и </w:t>
      </w:r>
      <w:r w:rsidRPr="00107040">
        <w:rPr>
          <w:rFonts w:ascii="Times New Roman" w:eastAsia="MS Mincho" w:hAnsi="Times New Roman"/>
          <w:sz w:val="28"/>
          <w:szCs w:val="28"/>
          <w:lang w:val="en-US" w:eastAsia="ja-JP"/>
        </w:rPr>
        <w:t>Y</w:t>
      </w:r>
      <w:r w:rsidRPr="00107040">
        <w:rPr>
          <w:rFonts w:ascii="Times New Roman" w:eastAsia="MS Mincho" w:hAnsi="Times New Roman"/>
          <w:sz w:val="28"/>
          <w:szCs w:val="28"/>
          <w:lang w:val="ru-RU" w:eastAsia="ja-JP"/>
        </w:rPr>
        <w:t>896 участвуют в связывании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в то время как </w:t>
      </w:r>
      <w:r w:rsidRPr="00107040">
        <w:rPr>
          <w:rFonts w:ascii="Times New Roman" w:eastAsia="MS Mincho" w:hAnsi="Times New Roman"/>
          <w:sz w:val="28"/>
          <w:szCs w:val="28"/>
          <w:lang w:val="en-US" w:eastAsia="ja-JP"/>
        </w:rPr>
        <w:t>E</w:t>
      </w:r>
      <w:r w:rsidRPr="00107040">
        <w:rPr>
          <w:rFonts w:ascii="Times New Roman" w:eastAsia="MS Mincho" w:hAnsi="Times New Roman"/>
          <w:sz w:val="28"/>
          <w:szCs w:val="28"/>
          <w:lang w:val="ru-RU" w:eastAsia="ja-JP"/>
        </w:rPr>
        <w:t>988 имеет решающее значение для катализа и позиционирования субстрата</w:t>
      </w:r>
      <w:bookmarkEnd w:id="76"/>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t>Y</w:t>
      </w:r>
      <w:r w:rsidRPr="00107040">
        <w:rPr>
          <w:rFonts w:ascii="Times New Roman" w:eastAsia="MS Mincho" w:hAnsi="Times New Roman"/>
          <w:sz w:val="28"/>
          <w:szCs w:val="28"/>
          <w:lang w:val="ru-RU" w:eastAsia="ja-JP"/>
        </w:rPr>
        <w:t xml:space="preserve">896 связывается с никотинамидным кольцом </w:t>
      </w:r>
      <w:r w:rsidRPr="00107040">
        <w:rPr>
          <w:rFonts w:ascii="Times New Roman" w:eastAsia="MS Mincho" w:hAnsi="Times New Roman"/>
          <w:sz w:val="28"/>
          <w:szCs w:val="28"/>
          <w:lang w:eastAsia="ja-JP"/>
        </w:rPr>
        <w:fldChar w:fldCharType="begin"/>
      </w:r>
      <w:r w:rsidR="008611DC">
        <w:rPr>
          <w:rFonts w:ascii="Times New Roman" w:eastAsia="MS Mincho" w:hAnsi="Times New Roman"/>
          <w:sz w:val="28"/>
          <w:szCs w:val="28"/>
          <w:lang w:val="ru-RU" w:eastAsia="ja-JP"/>
        </w:rPr>
        <w:instrText xml:space="preserve"> ADDIN ZOTERO_ITEM CSL_CITATION {"citationID":"FuTeiTM9","properties":{"formattedCitation":"[189]","plainCitation":"[189]","noteIndex":0},"citationItems":[{"id":214,"uris":["http://zotero.org/users/9078202/items/B2T9GBNP"],"itemData":{"id":214,"type":"article-journal","abstract":"Poly(ADP-ribose) polymerases (PARPs) are a family of enzymes that use NAD(+) as a substrate to synthesize polymers of ADP-ribose (PAR) as post-translational modifications of proteins. PARPs have important cellular roles that include preserving genomic integrity, telomere maintenance, transcriptional regulation, and cell fate determination. The diverse biological roles of PARPs have made them attractive therapeutic targets, which have fueled the pursuit of small molecule PARP inhibitors. The design of PARP inhibitors has matured over the past several years resulting in several lead candidates in clinical trials. PARP inhibitors are mainly used in clinical trials to treat cancer, particularly as sensitizing agents in combination with traditional chemotherapy to reduce side effects. An exciting aspect of PARP inhibitors is that they are also used to selectivity kill tumors with deficiencies in DNA repair proteins (e.g., BRCA1/2) through an approach termed \"synthetic lethality.\" In the midst of the tremendous efforts that have brought PARP inhibitors to the forefront of modern chemotherapy, most clinically used PARP inhibitors bind to conserved regions that permits cross-selectivity with other PARPs containing homologous catalytic domains. Thus, the differences between therapeutic effects and adverse effects stemming from pan-PARP inhibition compared to selective inhibition are not well understood. In this review, we discuss current literature that has found ways to gain selectivity for one PARP over another. We furthermore provide insights into targeting other domains that make up PARPs, and how new classes of drugs that target these domains could provide a high degree of selectivity by affecting specific cellular functions. A clear understanding of the inhibition profiles of PARP inhibitors will not only enhance our understanding of the biology of individual PARPs, but may provide improved therapeutic options for patients.","container-title":"Frontiers in Oncology","DOI":"10.3389/fonc.2013.00301","ISSN":"2234-943X","journalAbbreviation":"Front Oncol","language":"eng","note":"PMID: 24392349\nPMCID: PMC3868897","page":"301","source":"PubMed","title":"Structural Implications for Selective Targeting of PARPs","volume":"3","author":[{"family":"Steffen","given":"Jamin D."},{"family":"Brody","given":"Jonathan R."},{"family":"Armen","given":"Roger S."},{"family":"Pascal","given":"John M."}],"issued":{"date-parts":[["2013",12,20]]}}}],"schema":"https://github.com/citation-style-language/schema/raw/master/csl-citation.json"} </w:instrText>
      </w:r>
      <w:r w:rsidRPr="00107040">
        <w:rPr>
          <w:rFonts w:ascii="Times New Roman" w:eastAsia="MS Mincho" w:hAnsi="Times New Roman"/>
          <w:sz w:val="28"/>
          <w:szCs w:val="28"/>
          <w:lang w:eastAsia="ja-JP"/>
        </w:rPr>
        <w:fldChar w:fldCharType="separate"/>
      </w:r>
      <w:r w:rsidR="008611DC" w:rsidRPr="008611DC">
        <w:rPr>
          <w:rFonts w:ascii="Times New Roman" w:hAnsi="Times New Roman"/>
          <w:sz w:val="28"/>
        </w:rPr>
        <w:t>[189]</w:t>
      </w:r>
      <w:r w:rsidRPr="00107040">
        <w:rPr>
          <w:rFonts w:ascii="Times New Roman" w:eastAsia="MS Mincho" w:hAnsi="Times New Roman"/>
          <w:sz w:val="28"/>
          <w:szCs w:val="28"/>
          <w:lang w:eastAsia="ja-JP"/>
        </w:rPr>
        <w:fldChar w:fldCharType="end"/>
      </w:r>
      <w:r w:rsidRPr="00107040">
        <w:rPr>
          <w:rFonts w:ascii="Times New Roman" w:eastAsia="MS Mincho" w:hAnsi="Times New Roman"/>
          <w:sz w:val="28"/>
          <w:szCs w:val="28"/>
          <w:lang w:val="ru-RU" w:eastAsia="ja-JP"/>
        </w:rPr>
        <w:t xml:space="preserve">, а </w:t>
      </w:r>
      <w:r w:rsidRPr="00107040">
        <w:rPr>
          <w:rFonts w:ascii="Times New Roman" w:eastAsia="MS Mincho" w:hAnsi="Times New Roman"/>
          <w:sz w:val="28"/>
          <w:szCs w:val="28"/>
          <w:lang w:eastAsia="ja-JP"/>
        </w:rPr>
        <w:t>H</w:t>
      </w:r>
      <w:r w:rsidRPr="00107040">
        <w:rPr>
          <w:rFonts w:ascii="Times New Roman" w:eastAsia="MS Mincho" w:hAnsi="Times New Roman"/>
          <w:sz w:val="28"/>
          <w:szCs w:val="28"/>
          <w:lang w:val="ru-RU" w:eastAsia="ja-JP"/>
        </w:rPr>
        <w:t>862 с 2'-</w:t>
      </w:r>
      <w:r w:rsidRPr="00107040">
        <w:rPr>
          <w:rFonts w:ascii="Times New Roman" w:eastAsia="MS Mincho" w:hAnsi="Times New Roman"/>
          <w:sz w:val="28"/>
          <w:szCs w:val="28"/>
          <w:lang w:eastAsia="ja-JP"/>
        </w:rPr>
        <w:t>OH</w:t>
      </w:r>
      <w:r w:rsidRPr="00107040">
        <w:rPr>
          <w:rFonts w:ascii="Times New Roman" w:eastAsia="MS Mincho" w:hAnsi="Times New Roman"/>
          <w:sz w:val="28"/>
          <w:szCs w:val="28"/>
          <w:lang w:val="ru-RU" w:eastAsia="ja-JP"/>
        </w:rPr>
        <w:t xml:space="preserve">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аденин-рибозы, в то время как </w:t>
      </w:r>
      <w:r w:rsidRPr="00107040">
        <w:rPr>
          <w:rFonts w:ascii="Times New Roman" w:eastAsia="MS Mincho" w:hAnsi="Times New Roman"/>
          <w:sz w:val="28"/>
          <w:szCs w:val="28"/>
          <w:lang w:eastAsia="ja-JP"/>
        </w:rPr>
        <w:t>E</w:t>
      </w:r>
      <w:r w:rsidRPr="00107040">
        <w:rPr>
          <w:rFonts w:ascii="Times New Roman" w:eastAsia="MS Mincho" w:hAnsi="Times New Roman"/>
          <w:sz w:val="28"/>
          <w:szCs w:val="28"/>
          <w:lang w:val="ru-RU" w:eastAsia="ja-JP"/>
        </w:rPr>
        <w:t>988 образует водородную связь с 2'-</w:t>
      </w:r>
      <w:r w:rsidRPr="00107040">
        <w:rPr>
          <w:rFonts w:ascii="Times New Roman" w:eastAsia="MS Mincho" w:hAnsi="Times New Roman"/>
          <w:sz w:val="28"/>
          <w:szCs w:val="28"/>
          <w:lang w:eastAsia="ja-JP"/>
        </w:rPr>
        <w:t>OH</w:t>
      </w:r>
      <w:r w:rsidRPr="00107040">
        <w:rPr>
          <w:rFonts w:ascii="Times New Roman" w:eastAsia="MS Mincho" w:hAnsi="Times New Roman"/>
          <w:sz w:val="28"/>
          <w:szCs w:val="28"/>
          <w:lang w:val="ru-RU" w:eastAsia="ja-JP"/>
        </w:rPr>
        <w:t xml:space="preserve"> никотинамид-рибозы и поляризует молекулу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для нуклеофильной атаки </w:t>
      </w:r>
      <w:r w:rsidRPr="00107040">
        <w:rPr>
          <w:rFonts w:ascii="Times New Roman" w:eastAsia="MS Mincho" w:hAnsi="Times New Roman"/>
          <w:sz w:val="28"/>
          <w:szCs w:val="28"/>
          <w:lang w:eastAsia="ja-JP"/>
        </w:rPr>
        <w:fldChar w:fldCharType="begin"/>
      </w:r>
      <w:r w:rsidR="008611DC">
        <w:rPr>
          <w:rFonts w:ascii="Times New Roman" w:eastAsia="MS Mincho" w:hAnsi="Times New Roman"/>
          <w:sz w:val="28"/>
          <w:szCs w:val="28"/>
          <w:lang w:val="ru-RU" w:eastAsia="ja-JP"/>
        </w:rPr>
        <w:instrText xml:space="preserve"> ADDIN ZOTERO_ITEM CSL_CITATION {"citationID":"eZuFJl55","properties":{"formattedCitation":"[191]","plainCitation":"[191]","noteIndex":0},"citationItems":[{"id":213,"uris":["http://zotero.org/users/9078202/items/KMGZBK4X"],"itemData":{"id":213,"type":"article-journal","abstract":"The binding site for the acceptor substrate poly(ADP-ribose) in the elongation reaction of the ADP-ribosyl transferase poly(ADP-ribose) polymerase (PARP) was detected by cocrystallizing the enzyme with an NAD+ analogue. The site was confirmed by mutagenesis studies. In conjunction with the binding site of the donor NAD+, the bound acceptor reveals the geometry of the elongation reaction. It shows in particular that the strictly conserved glutamate residue of all ADP-ribosylating enzymes (Glu988 of PARP) facilitates the reaction by polarizing both, donor and acceptor. Moreover, the binding properties of the acceptor site suggest a mechanism for the branching reaction, that also explains the dual specificity of this transferase for elongation and branching, which is unique among polymer-forming enzymes.","container-title":"Journal of Molecular Biology","DOI":"10.1006/jmbi.1998.1673","ISSN":"0022-2836","issue":"1","journalAbbreviation":"J Mol Biol","language":"eng","note":"PMID: 9571033","page":"57-65","source":"PubMed","title":"The mechanism of the elongation and branching reaction of poly(ADP-ribose) polymerase as derived from crystal structures and mutagenesis","volume":"278","author":[{"family":"Ruf","given":"A."},{"family":"Rolli","given":"V."},{"family":"Murcia","given":"G.","non-dropping-particle":"de"},{"family":"Schulz","given":"G. E."}],"issued":{"date-parts":[["1998",4,24]]}}}],"schema":"https://github.com/citation-style-language/schema/raw/master/csl-citation.json"} </w:instrText>
      </w:r>
      <w:r w:rsidRPr="00107040">
        <w:rPr>
          <w:rFonts w:ascii="Times New Roman" w:eastAsia="MS Mincho" w:hAnsi="Times New Roman"/>
          <w:sz w:val="28"/>
          <w:szCs w:val="28"/>
          <w:lang w:eastAsia="ja-JP"/>
        </w:rPr>
        <w:fldChar w:fldCharType="separate"/>
      </w:r>
      <w:r w:rsidR="008611DC" w:rsidRPr="008611DC">
        <w:rPr>
          <w:rFonts w:ascii="Times New Roman" w:hAnsi="Times New Roman"/>
          <w:sz w:val="28"/>
        </w:rPr>
        <w:t>[191]</w:t>
      </w:r>
      <w:r w:rsidRPr="00107040">
        <w:rPr>
          <w:rFonts w:ascii="Times New Roman" w:eastAsia="MS Mincho" w:hAnsi="Times New Roman"/>
          <w:sz w:val="28"/>
          <w:szCs w:val="28"/>
          <w:lang w:eastAsia="ja-JP"/>
        </w:rPr>
        <w:fldChar w:fldCharType="end"/>
      </w:r>
      <w:r w:rsidRPr="00107040">
        <w:rPr>
          <w:rFonts w:ascii="Times New Roman" w:eastAsia="MS Mincho" w:hAnsi="Times New Roman"/>
          <w:sz w:val="28"/>
          <w:szCs w:val="28"/>
          <w:lang w:val="ru-RU" w:eastAsia="ja-JP"/>
        </w:rPr>
        <w:t xml:space="preserve">. Выравнивание аминокислотных последовательностей </w:t>
      </w:r>
      <w:r w:rsidRPr="00107040">
        <w:rPr>
          <w:rFonts w:ascii="Times New Roman" w:eastAsia="MS Mincho" w:hAnsi="Times New Roman"/>
          <w:sz w:val="28"/>
          <w:szCs w:val="28"/>
          <w:lang w:eastAsia="ja-JP"/>
        </w:rPr>
        <w:t>ART</w:t>
      </w:r>
      <w:r w:rsidRPr="00107040">
        <w:rPr>
          <w:rFonts w:ascii="Times New Roman" w:eastAsia="MS Mincho" w:hAnsi="Times New Roman"/>
          <w:sz w:val="28"/>
          <w:szCs w:val="28"/>
          <w:lang w:val="ru-RU" w:eastAsia="ja-JP"/>
        </w:rPr>
        <w:t xml:space="preserve">-доменов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 выявило значительную гомологию между человеческими и растительными ферментами: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1 имел 49,6 % и 45,6 % гомологии с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соответственно. Примечательно, что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 человека и растения имеют общую консервативную каталитическую триаду </w:t>
      </w:r>
      <w:r w:rsidRPr="00107040">
        <w:rPr>
          <w:rFonts w:ascii="Times New Roman" w:eastAsia="MS Mincho" w:hAnsi="Times New Roman"/>
          <w:sz w:val="28"/>
          <w:szCs w:val="28"/>
          <w:lang w:eastAsia="ja-JP"/>
        </w:rPr>
        <w:t>H</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Y</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E</w:t>
      </w:r>
      <w:r w:rsidRPr="00107040">
        <w:rPr>
          <w:rFonts w:ascii="Times New Roman" w:eastAsia="MS Mincho" w:hAnsi="Times New Roman"/>
          <w:sz w:val="28"/>
          <w:szCs w:val="28"/>
          <w:lang w:val="ru-RU" w:eastAsia="ja-JP"/>
        </w:rPr>
        <w:t xml:space="preserve">: каталитическая триада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1 человека </w:t>
      </w:r>
      <w:r w:rsidRPr="00107040">
        <w:rPr>
          <w:rFonts w:ascii="Times New Roman" w:eastAsia="MS Mincho" w:hAnsi="Times New Roman"/>
          <w:sz w:val="28"/>
          <w:szCs w:val="28"/>
          <w:lang w:eastAsia="ja-JP"/>
        </w:rPr>
        <w:t>H</w:t>
      </w:r>
      <w:r w:rsidRPr="00107040">
        <w:rPr>
          <w:rFonts w:ascii="Times New Roman" w:eastAsia="MS Mincho" w:hAnsi="Times New Roman"/>
          <w:sz w:val="28"/>
          <w:szCs w:val="28"/>
          <w:lang w:val="ru-RU" w:eastAsia="ja-JP"/>
        </w:rPr>
        <w:t>862-</w:t>
      </w:r>
      <w:r w:rsidRPr="00107040">
        <w:rPr>
          <w:rFonts w:ascii="Times New Roman" w:eastAsia="MS Mincho" w:hAnsi="Times New Roman"/>
          <w:sz w:val="28"/>
          <w:szCs w:val="28"/>
          <w:lang w:eastAsia="ja-JP"/>
        </w:rPr>
        <w:t>Y</w:t>
      </w:r>
      <w:r w:rsidRPr="00107040">
        <w:rPr>
          <w:rFonts w:ascii="Times New Roman" w:eastAsia="MS Mincho" w:hAnsi="Times New Roman"/>
          <w:sz w:val="28"/>
          <w:szCs w:val="28"/>
          <w:lang w:val="ru-RU" w:eastAsia="ja-JP"/>
        </w:rPr>
        <w:t>896-</w:t>
      </w:r>
      <w:r w:rsidRPr="00107040">
        <w:rPr>
          <w:rFonts w:ascii="Times New Roman" w:eastAsia="MS Mincho" w:hAnsi="Times New Roman"/>
          <w:sz w:val="28"/>
          <w:szCs w:val="28"/>
          <w:lang w:eastAsia="ja-JP"/>
        </w:rPr>
        <w:t>E</w:t>
      </w:r>
      <w:r w:rsidRPr="00107040">
        <w:rPr>
          <w:rFonts w:ascii="Times New Roman" w:eastAsia="MS Mincho" w:hAnsi="Times New Roman"/>
          <w:sz w:val="28"/>
          <w:szCs w:val="28"/>
          <w:lang w:val="ru-RU" w:eastAsia="ja-JP"/>
        </w:rPr>
        <w:t xml:space="preserve">988 соответствует таковой для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1, состоящего из </w:t>
      </w:r>
      <w:r w:rsidRPr="00107040">
        <w:rPr>
          <w:rFonts w:ascii="Times New Roman" w:eastAsia="MS Mincho" w:hAnsi="Times New Roman"/>
          <w:sz w:val="28"/>
          <w:szCs w:val="28"/>
          <w:lang w:eastAsia="ja-JP"/>
        </w:rPr>
        <w:t>H</w:t>
      </w:r>
      <w:r w:rsidRPr="00107040">
        <w:rPr>
          <w:rFonts w:ascii="Times New Roman" w:eastAsia="MS Mincho" w:hAnsi="Times New Roman"/>
          <w:sz w:val="28"/>
          <w:szCs w:val="28"/>
          <w:lang w:val="ru-RU" w:eastAsia="ja-JP"/>
        </w:rPr>
        <w:t>833-</w:t>
      </w:r>
      <w:r w:rsidRPr="00107040">
        <w:rPr>
          <w:rFonts w:ascii="Times New Roman" w:eastAsia="MS Mincho" w:hAnsi="Times New Roman"/>
          <w:sz w:val="28"/>
          <w:szCs w:val="28"/>
          <w:lang w:eastAsia="ja-JP"/>
        </w:rPr>
        <w:t>Y</w:t>
      </w:r>
      <w:r w:rsidRPr="00107040">
        <w:rPr>
          <w:rFonts w:ascii="Times New Roman" w:eastAsia="MS Mincho" w:hAnsi="Times New Roman"/>
          <w:sz w:val="28"/>
          <w:szCs w:val="28"/>
          <w:lang w:val="ru-RU" w:eastAsia="ja-JP"/>
        </w:rPr>
        <w:t>867-</w:t>
      </w:r>
      <w:r w:rsidRPr="00107040">
        <w:rPr>
          <w:rFonts w:ascii="Times New Roman" w:eastAsia="MS Mincho" w:hAnsi="Times New Roman"/>
          <w:sz w:val="28"/>
          <w:szCs w:val="28"/>
          <w:lang w:eastAsia="ja-JP"/>
        </w:rPr>
        <w:t>E</w:t>
      </w:r>
      <w:r w:rsidRPr="00107040">
        <w:rPr>
          <w:rFonts w:ascii="Times New Roman" w:eastAsia="MS Mincho" w:hAnsi="Times New Roman"/>
          <w:sz w:val="28"/>
          <w:szCs w:val="28"/>
          <w:lang w:val="ru-RU" w:eastAsia="ja-JP"/>
        </w:rPr>
        <w:t xml:space="preserve">960 и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состоящего из остатков </w:t>
      </w:r>
      <w:r w:rsidRPr="00107040">
        <w:rPr>
          <w:rFonts w:ascii="Times New Roman" w:eastAsia="MS Mincho" w:hAnsi="Times New Roman"/>
          <w:sz w:val="28"/>
          <w:szCs w:val="28"/>
          <w:lang w:eastAsia="ja-JP"/>
        </w:rPr>
        <w:t>H</w:t>
      </w:r>
      <w:r w:rsidRPr="00107040">
        <w:rPr>
          <w:rFonts w:ascii="Times New Roman" w:eastAsia="MS Mincho" w:hAnsi="Times New Roman"/>
          <w:sz w:val="28"/>
          <w:szCs w:val="28"/>
          <w:lang w:val="ru-RU" w:eastAsia="ja-JP"/>
        </w:rPr>
        <w:t>486-</w:t>
      </w:r>
      <w:r w:rsidRPr="00107040">
        <w:rPr>
          <w:rFonts w:ascii="Times New Roman" w:eastAsia="MS Mincho" w:hAnsi="Times New Roman"/>
          <w:sz w:val="28"/>
          <w:szCs w:val="28"/>
          <w:lang w:eastAsia="ja-JP"/>
        </w:rPr>
        <w:t>Y</w:t>
      </w:r>
      <w:r w:rsidRPr="00107040">
        <w:rPr>
          <w:rFonts w:ascii="Times New Roman" w:eastAsia="MS Mincho" w:hAnsi="Times New Roman"/>
          <w:sz w:val="28"/>
          <w:szCs w:val="28"/>
          <w:lang w:val="ru-RU" w:eastAsia="ja-JP"/>
        </w:rPr>
        <w:t>520-</w:t>
      </w:r>
      <w:r w:rsidRPr="00107040">
        <w:rPr>
          <w:rFonts w:ascii="Times New Roman" w:eastAsia="MS Mincho" w:hAnsi="Times New Roman"/>
          <w:sz w:val="28"/>
          <w:szCs w:val="28"/>
          <w:lang w:eastAsia="ja-JP"/>
        </w:rPr>
        <w:t>E</w:t>
      </w:r>
      <w:r w:rsidRPr="00107040">
        <w:rPr>
          <w:rFonts w:ascii="Times New Roman" w:eastAsia="MS Mincho" w:hAnsi="Times New Roman"/>
          <w:sz w:val="28"/>
          <w:szCs w:val="28"/>
          <w:lang w:val="ru-RU" w:eastAsia="ja-JP"/>
        </w:rPr>
        <w:t>614 (рисунок 2</w:t>
      </w:r>
      <w:r w:rsidR="002A568C">
        <w:rPr>
          <w:rFonts w:ascii="Times New Roman" w:eastAsia="MS Mincho" w:hAnsi="Times New Roman"/>
          <w:sz w:val="28"/>
          <w:szCs w:val="28"/>
          <w:lang w:val="ru-RU" w:eastAsia="ja-JP"/>
        </w:rPr>
        <w:t>7</w:t>
      </w:r>
      <w:r w:rsidRPr="00107040">
        <w:rPr>
          <w:rFonts w:ascii="Times New Roman" w:eastAsia="MS Mincho" w:hAnsi="Times New Roman"/>
          <w:sz w:val="28"/>
          <w:szCs w:val="28"/>
          <w:lang w:val="ru-RU" w:eastAsia="ja-JP"/>
        </w:rPr>
        <w:t xml:space="preserve">). </w:t>
      </w:r>
    </w:p>
    <w:p w14:paraId="0F64E258" w14:textId="42AEF6BC" w:rsidR="00366063" w:rsidRPr="00107040" w:rsidRDefault="00366063" w:rsidP="000C16BB">
      <w:pPr>
        <w:tabs>
          <w:tab w:val="left" w:pos="142"/>
          <w:tab w:val="left" w:pos="567"/>
          <w:tab w:val="left" w:pos="851"/>
        </w:tabs>
        <w:spacing w:after="0" w:line="240" w:lineRule="auto"/>
        <w:ind w:firstLine="567"/>
        <w:contextualSpacing/>
        <w:jc w:val="both"/>
        <w:rPr>
          <w:rFonts w:ascii="Times New Roman" w:eastAsia="Arial Unicode MS" w:hAnsi="Times New Roman"/>
          <w:iCs/>
          <w:sz w:val="28"/>
          <w:szCs w:val="28"/>
          <w:lang w:val="ru-RU" w:bidi="en-US"/>
        </w:rPr>
      </w:pPr>
      <w:r w:rsidRPr="00107040">
        <w:rPr>
          <w:rFonts w:ascii="Times New Roman" w:eastAsia="MS Mincho" w:hAnsi="Times New Roman"/>
          <w:sz w:val="28"/>
          <w:szCs w:val="28"/>
          <w:shd w:val="clear" w:color="auto" w:fill="FFFFFF"/>
          <w:lang w:val="kk-KZ" w:eastAsia="ja-JP"/>
        </w:rPr>
        <w:t>Для исследования роли предполагаемого сайта связывания НАД</w:t>
      </w:r>
      <w:r w:rsidRPr="00107040">
        <w:rPr>
          <w:rFonts w:ascii="Times New Roman" w:eastAsia="MS Mincho" w:hAnsi="Times New Roman"/>
          <w:sz w:val="28"/>
          <w:szCs w:val="28"/>
          <w:shd w:val="clear" w:color="auto" w:fill="FFFFFF"/>
          <w:vertAlign w:val="superscript"/>
          <w:lang w:val="kk-KZ" w:eastAsia="ja-JP"/>
        </w:rPr>
        <w:t>+</w:t>
      </w:r>
      <w:r w:rsidRPr="00107040">
        <w:rPr>
          <w:rFonts w:ascii="Times New Roman" w:eastAsia="MS Mincho" w:hAnsi="Times New Roman"/>
          <w:sz w:val="28"/>
          <w:szCs w:val="28"/>
          <w:shd w:val="clear" w:color="auto" w:fill="FFFFFF"/>
          <w:lang w:val="kk-KZ" w:eastAsia="ja-JP"/>
        </w:rPr>
        <w:t xml:space="preserve">, высококонсервативного каталитического E960 в AtPARP1 и E614 в AtPARP2, </w:t>
      </w:r>
      <w:r w:rsidRPr="00107040">
        <w:rPr>
          <w:rFonts w:ascii="Times New Roman" w:eastAsia="MS Mincho" w:hAnsi="Times New Roman"/>
          <w:sz w:val="28"/>
          <w:szCs w:val="28"/>
          <w:shd w:val="clear" w:color="auto" w:fill="FFFFFF"/>
          <w:lang w:val="ru-RU" w:eastAsia="ja-JP"/>
        </w:rPr>
        <w:t>мы получили сайт-направленные мутантные гены,</w:t>
      </w:r>
      <w:r w:rsidRPr="00107040">
        <w:rPr>
          <w:rFonts w:ascii="Times New Roman" w:hAnsi="Times New Roman"/>
          <w:sz w:val="28"/>
          <w:szCs w:val="28"/>
          <w:lang w:val="ru-RU"/>
        </w:rPr>
        <w:t xml:space="preserve"> </w:t>
      </w:r>
      <w:r w:rsidRPr="00107040">
        <w:rPr>
          <w:rFonts w:ascii="Times New Roman" w:eastAsia="MS Mincho" w:hAnsi="Times New Roman"/>
          <w:sz w:val="28"/>
          <w:szCs w:val="28"/>
          <w:shd w:val="clear" w:color="auto" w:fill="FFFFFF"/>
          <w:lang w:val="ru-RU" w:eastAsia="ja-JP"/>
        </w:rPr>
        <w:t>в которых высококонсервативный остаток глутаминовой кислоты в каталитической триаде был заменен на лизин или глутамин (</w:t>
      </w:r>
      <w:r w:rsidRPr="00107040">
        <w:rPr>
          <w:rFonts w:ascii="Times New Roman" w:eastAsia="MS Mincho" w:hAnsi="Times New Roman"/>
          <w:sz w:val="28"/>
          <w:szCs w:val="28"/>
          <w:shd w:val="clear" w:color="auto" w:fill="FFFFFF"/>
          <w:lang w:eastAsia="ja-JP"/>
        </w:rPr>
        <w:t>AtPARP</w:t>
      </w:r>
      <w:r w:rsidRPr="00107040">
        <w:rPr>
          <w:rFonts w:ascii="Times New Roman" w:eastAsia="MS Mincho" w:hAnsi="Times New Roman"/>
          <w:sz w:val="28"/>
          <w:szCs w:val="28"/>
          <w:shd w:val="clear" w:color="auto" w:fill="FFFFFF"/>
          <w:lang w:val="ru-RU" w:eastAsia="ja-JP"/>
        </w:rPr>
        <w:t>1</w:t>
      </w:r>
      <w:r w:rsidRPr="00107040">
        <w:rPr>
          <w:rFonts w:ascii="Times New Roman" w:eastAsia="MS Mincho" w:hAnsi="Times New Roman"/>
          <w:sz w:val="28"/>
          <w:szCs w:val="28"/>
          <w:shd w:val="clear" w:color="auto" w:fill="FFFFFF"/>
          <w:vertAlign w:val="superscript"/>
          <w:lang w:eastAsia="ja-JP"/>
        </w:rPr>
        <w:t>E</w:t>
      </w:r>
      <w:r w:rsidRPr="00107040">
        <w:rPr>
          <w:rFonts w:ascii="Times New Roman" w:eastAsia="MS Mincho" w:hAnsi="Times New Roman"/>
          <w:sz w:val="28"/>
          <w:szCs w:val="28"/>
          <w:shd w:val="clear" w:color="auto" w:fill="FFFFFF"/>
          <w:vertAlign w:val="superscript"/>
          <w:lang w:val="ru-RU" w:eastAsia="ja-JP"/>
        </w:rPr>
        <w:t>960</w:t>
      </w:r>
      <w:r w:rsidRPr="00107040">
        <w:rPr>
          <w:rFonts w:ascii="Times New Roman" w:eastAsia="MS Mincho" w:hAnsi="Times New Roman"/>
          <w:sz w:val="28"/>
          <w:szCs w:val="28"/>
          <w:shd w:val="clear" w:color="auto" w:fill="FFFFFF"/>
          <w:vertAlign w:val="superscript"/>
          <w:lang w:eastAsia="ja-JP"/>
        </w:rPr>
        <w:t>K</w:t>
      </w:r>
      <w:r w:rsidRPr="00107040">
        <w:rPr>
          <w:rFonts w:ascii="Times New Roman" w:eastAsia="MS Mincho" w:hAnsi="Times New Roman"/>
          <w:sz w:val="28"/>
          <w:szCs w:val="28"/>
          <w:shd w:val="clear" w:color="auto" w:fill="FFFFFF"/>
          <w:lang w:val="ru-RU" w:eastAsia="ja-JP"/>
        </w:rPr>
        <w:t xml:space="preserve">, </w:t>
      </w:r>
      <w:r w:rsidRPr="00107040">
        <w:rPr>
          <w:rFonts w:ascii="Times New Roman" w:eastAsia="MS Mincho" w:hAnsi="Times New Roman"/>
          <w:sz w:val="28"/>
          <w:szCs w:val="28"/>
          <w:shd w:val="clear" w:color="auto" w:fill="FFFFFF"/>
          <w:lang w:eastAsia="ja-JP"/>
        </w:rPr>
        <w:t>AtPARP</w:t>
      </w:r>
      <w:r w:rsidRPr="00107040">
        <w:rPr>
          <w:rFonts w:ascii="Times New Roman" w:eastAsia="MS Mincho" w:hAnsi="Times New Roman"/>
          <w:sz w:val="28"/>
          <w:szCs w:val="28"/>
          <w:shd w:val="clear" w:color="auto" w:fill="FFFFFF"/>
          <w:lang w:val="ru-RU" w:eastAsia="ja-JP"/>
        </w:rPr>
        <w:t>1</w:t>
      </w:r>
      <w:r w:rsidRPr="00107040">
        <w:rPr>
          <w:rFonts w:ascii="Times New Roman" w:eastAsia="MS Mincho" w:hAnsi="Times New Roman"/>
          <w:sz w:val="28"/>
          <w:szCs w:val="28"/>
          <w:shd w:val="clear" w:color="auto" w:fill="FFFFFF"/>
          <w:vertAlign w:val="superscript"/>
          <w:lang w:eastAsia="ja-JP"/>
        </w:rPr>
        <w:t>E</w:t>
      </w:r>
      <w:r w:rsidRPr="00107040">
        <w:rPr>
          <w:rFonts w:ascii="Times New Roman" w:eastAsia="MS Mincho" w:hAnsi="Times New Roman"/>
          <w:sz w:val="28"/>
          <w:szCs w:val="28"/>
          <w:shd w:val="clear" w:color="auto" w:fill="FFFFFF"/>
          <w:vertAlign w:val="superscript"/>
          <w:lang w:val="ru-RU" w:eastAsia="ja-JP"/>
        </w:rPr>
        <w:t>960</w:t>
      </w:r>
      <w:r w:rsidRPr="00107040">
        <w:rPr>
          <w:rFonts w:ascii="Times New Roman" w:eastAsia="MS Mincho" w:hAnsi="Times New Roman"/>
          <w:sz w:val="28"/>
          <w:szCs w:val="28"/>
          <w:shd w:val="clear" w:color="auto" w:fill="FFFFFF"/>
          <w:vertAlign w:val="superscript"/>
          <w:lang w:eastAsia="ja-JP"/>
        </w:rPr>
        <w:t>Q</w:t>
      </w:r>
      <w:r w:rsidRPr="00107040">
        <w:rPr>
          <w:rFonts w:ascii="Times New Roman" w:eastAsia="MS Mincho" w:hAnsi="Times New Roman"/>
          <w:sz w:val="28"/>
          <w:szCs w:val="28"/>
          <w:shd w:val="clear" w:color="auto" w:fill="FFFFFF"/>
          <w:lang w:val="ru-RU" w:eastAsia="ja-JP"/>
        </w:rPr>
        <w:t xml:space="preserve"> и </w:t>
      </w:r>
      <w:r w:rsidRPr="00107040">
        <w:rPr>
          <w:rFonts w:ascii="Times New Roman" w:eastAsia="MS Mincho" w:hAnsi="Times New Roman"/>
          <w:sz w:val="28"/>
          <w:szCs w:val="28"/>
          <w:shd w:val="clear" w:color="auto" w:fill="FFFFFF"/>
          <w:lang w:eastAsia="ja-JP"/>
        </w:rPr>
        <w:t>AtPARP</w:t>
      </w:r>
      <w:r w:rsidRPr="00107040">
        <w:rPr>
          <w:rFonts w:ascii="Times New Roman" w:eastAsia="MS Mincho" w:hAnsi="Times New Roman"/>
          <w:sz w:val="28"/>
          <w:szCs w:val="28"/>
          <w:shd w:val="clear" w:color="auto" w:fill="FFFFFF"/>
          <w:lang w:val="ru-RU" w:eastAsia="ja-JP"/>
        </w:rPr>
        <w:t>2</w:t>
      </w:r>
      <w:r w:rsidRPr="00107040">
        <w:rPr>
          <w:rFonts w:ascii="Times New Roman" w:eastAsia="MS Mincho" w:hAnsi="Times New Roman"/>
          <w:sz w:val="28"/>
          <w:szCs w:val="28"/>
          <w:shd w:val="clear" w:color="auto" w:fill="FFFFFF"/>
          <w:vertAlign w:val="superscript"/>
          <w:lang w:eastAsia="ja-JP"/>
        </w:rPr>
        <w:t>E</w:t>
      </w:r>
      <w:r w:rsidRPr="00107040">
        <w:rPr>
          <w:rFonts w:ascii="Times New Roman" w:eastAsia="MS Mincho" w:hAnsi="Times New Roman"/>
          <w:sz w:val="28"/>
          <w:szCs w:val="28"/>
          <w:shd w:val="clear" w:color="auto" w:fill="FFFFFF"/>
          <w:vertAlign w:val="superscript"/>
          <w:lang w:val="ru-RU" w:eastAsia="ja-JP"/>
        </w:rPr>
        <w:t>614</w:t>
      </w:r>
      <w:r w:rsidRPr="00107040">
        <w:rPr>
          <w:rFonts w:ascii="Times New Roman" w:eastAsia="MS Mincho" w:hAnsi="Times New Roman"/>
          <w:sz w:val="28"/>
          <w:szCs w:val="28"/>
          <w:shd w:val="clear" w:color="auto" w:fill="FFFFFF"/>
          <w:vertAlign w:val="superscript"/>
          <w:lang w:eastAsia="ja-JP"/>
        </w:rPr>
        <w:t>K</w:t>
      </w:r>
      <w:r w:rsidRPr="00107040">
        <w:rPr>
          <w:rFonts w:ascii="Times New Roman" w:eastAsia="MS Mincho" w:hAnsi="Times New Roman"/>
          <w:sz w:val="28"/>
          <w:szCs w:val="28"/>
          <w:shd w:val="clear" w:color="auto" w:fill="FFFFFF"/>
          <w:lang w:val="kk-KZ" w:eastAsia="ja-JP"/>
        </w:rPr>
        <w:t xml:space="preserve">). Мутантные варианты ферментов получили с помощью QuikChange ПЦР. Продукты QuikChange ПЦР после обработки ферментом рестрикции </w:t>
      </w:r>
      <w:r w:rsidRPr="00107040">
        <w:rPr>
          <w:rFonts w:ascii="Times New Roman" w:eastAsia="MS Mincho" w:hAnsi="Times New Roman"/>
          <w:i/>
          <w:sz w:val="28"/>
          <w:szCs w:val="28"/>
          <w:shd w:val="clear" w:color="auto" w:fill="FFFFFF"/>
          <w:lang w:val="kk-KZ" w:eastAsia="ja-JP"/>
        </w:rPr>
        <w:t>DpnI</w:t>
      </w:r>
      <w:r w:rsidRPr="00107040">
        <w:rPr>
          <w:rFonts w:ascii="Times New Roman" w:eastAsia="MS Mincho" w:hAnsi="Times New Roman"/>
          <w:sz w:val="28"/>
          <w:szCs w:val="28"/>
          <w:shd w:val="clear" w:color="auto" w:fill="FFFFFF"/>
          <w:lang w:val="kk-KZ" w:eastAsia="ja-JP"/>
        </w:rPr>
        <w:t xml:space="preserve"> трансформировали в штамм </w:t>
      </w:r>
      <w:r w:rsidRPr="00107040">
        <w:rPr>
          <w:rFonts w:ascii="Times New Roman" w:eastAsia="MS Mincho" w:hAnsi="Times New Roman"/>
          <w:i/>
          <w:iCs/>
          <w:sz w:val="28"/>
          <w:szCs w:val="28"/>
          <w:shd w:val="clear" w:color="auto" w:fill="FFFFFF"/>
          <w:lang w:val="kk-KZ" w:eastAsia="ja-JP"/>
        </w:rPr>
        <w:t>E.coli</w:t>
      </w:r>
      <w:r w:rsidRPr="00107040">
        <w:rPr>
          <w:rFonts w:ascii="Times New Roman" w:eastAsia="MS Mincho" w:hAnsi="Times New Roman"/>
          <w:sz w:val="28"/>
          <w:szCs w:val="28"/>
          <w:shd w:val="clear" w:color="auto" w:fill="FFFFFF"/>
          <w:lang w:val="kk-KZ" w:eastAsia="ja-JP"/>
        </w:rPr>
        <w:t xml:space="preserve"> NovaXG Zappers для наработки рекомбинантной плазмиды. </w:t>
      </w:r>
      <w:r w:rsidRPr="00107040">
        <w:rPr>
          <w:rFonts w:ascii="Times New Roman" w:eastAsia="MS Mincho" w:hAnsi="Times New Roman"/>
          <w:sz w:val="28"/>
          <w:szCs w:val="28"/>
          <w:shd w:val="clear" w:color="auto" w:fill="FFFFFF"/>
          <w:lang w:val="ru-RU" w:eastAsia="ja-JP"/>
        </w:rPr>
        <w:t>Далее п</w:t>
      </w:r>
      <w:r w:rsidRPr="00107040">
        <w:rPr>
          <w:rFonts w:ascii="Times New Roman" w:eastAsia="Times New Roman" w:hAnsi="Times New Roman"/>
          <w:sz w:val="28"/>
          <w:szCs w:val="28"/>
          <w:shd w:val="clear" w:color="auto" w:fill="FFFFFF"/>
          <w:lang w:val="ru-RU" w:eastAsia="ja-JP"/>
        </w:rPr>
        <w:t xml:space="preserve">лазмидная ДНК, выделенная в соответствии с протоколом </w:t>
      </w:r>
      <w:r w:rsidRPr="00107040">
        <w:rPr>
          <w:rFonts w:ascii="Times New Roman" w:eastAsia="Times New Roman" w:hAnsi="Times New Roman"/>
          <w:sz w:val="28"/>
          <w:szCs w:val="28"/>
          <w:lang w:val="kk-KZ" w:eastAsia="ja-JP"/>
        </w:rPr>
        <w:t xml:space="preserve">набора </w:t>
      </w:r>
      <w:r w:rsidRPr="00107040">
        <w:rPr>
          <w:rFonts w:ascii="Times New Roman" w:eastAsia="MS Mincho" w:hAnsi="Times New Roman"/>
          <w:sz w:val="28"/>
          <w:szCs w:val="28"/>
          <w:lang w:val="kk-KZ" w:eastAsia="ja-JP"/>
        </w:rPr>
        <w:t>GeneJET Plasmid Miniprep Kit (Thermo Scientific</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kk-KZ" w:eastAsia="ja-JP"/>
        </w:rPr>
        <w:t>#K0503)</w:t>
      </w:r>
      <w:r w:rsidRPr="00107040">
        <w:rPr>
          <w:rFonts w:ascii="Times New Roman" w:eastAsia="MS Mincho" w:hAnsi="Times New Roman"/>
          <w:snapToGrid w:val="0"/>
          <w:sz w:val="28"/>
          <w:szCs w:val="28"/>
          <w:lang w:val="ru-RU" w:eastAsia="ja-JP"/>
        </w:rPr>
        <w:t xml:space="preserve"> была использована для</w:t>
      </w:r>
      <w:r w:rsidRPr="00107040">
        <w:rPr>
          <w:rFonts w:ascii="Times New Roman" w:eastAsia="MS Mincho" w:hAnsi="Times New Roman"/>
          <w:snapToGrid w:val="0"/>
          <w:sz w:val="28"/>
          <w:szCs w:val="28"/>
          <w:lang w:val="kk-KZ" w:eastAsia="ja-JP"/>
        </w:rPr>
        <w:t xml:space="preserve"> анализа конструкции на наличие мутаций.</w:t>
      </w:r>
      <w:r w:rsidRPr="00107040">
        <w:rPr>
          <w:rFonts w:ascii="Times New Roman" w:eastAsia="Consolas" w:hAnsi="Times New Roman"/>
          <w:sz w:val="28"/>
          <w:szCs w:val="28"/>
          <w:lang w:val="kk-KZ" w:eastAsia="ar-SA"/>
        </w:rPr>
        <w:t xml:space="preserve"> </w:t>
      </w:r>
      <w:r w:rsidRPr="00107040">
        <w:rPr>
          <w:rFonts w:ascii="Times New Roman" w:eastAsia="MS Mincho" w:hAnsi="Times New Roman"/>
          <w:sz w:val="28"/>
          <w:szCs w:val="28"/>
          <w:lang w:val="kk-KZ" w:eastAsia="ja-JP"/>
        </w:rPr>
        <w:t xml:space="preserve">Наличие вводимой </w:t>
      </w:r>
      <w:r w:rsidRPr="00107040">
        <w:rPr>
          <w:rFonts w:ascii="Times New Roman" w:eastAsia="MS Mincho" w:hAnsi="Times New Roman"/>
          <w:sz w:val="28"/>
          <w:szCs w:val="28"/>
          <w:lang w:val="ru-RU" w:eastAsia="ja-JP"/>
        </w:rPr>
        <w:t>мутации</w:t>
      </w:r>
      <w:r w:rsidRPr="00107040">
        <w:rPr>
          <w:rFonts w:ascii="Times New Roman" w:eastAsia="MS Mincho" w:hAnsi="Times New Roman"/>
          <w:sz w:val="28"/>
          <w:szCs w:val="28"/>
          <w:lang w:val="kk-KZ" w:eastAsia="ja-JP"/>
        </w:rPr>
        <w:t xml:space="preserve"> </w:t>
      </w:r>
      <w:r w:rsidRPr="00107040">
        <w:rPr>
          <w:rFonts w:ascii="Times New Roman" w:eastAsia="MS Mincho" w:hAnsi="Times New Roman"/>
          <w:sz w:val="28"/>
          <w:szCs w:val="28"/>
          <w:lang w:val="ru-RU" w:eastAsia="ja-JP"/>
        </w:rPr>
        <w:t xml:space="preserve">и отсутствие возможных ошибок на протяжении всего гена </w:t>
      </w:r>
      <w:r w:rsidRPr="00107040">
        <w:rPr>
          <w:rFonts w:ascii="Times New Roman" w:eastAsia="MS Mincho" w:hAnsi="Times New Roman"/>
          <w:sz w:val="28"/>
          <w:szCs w:val="28"/>
          <w:lang w:val="kk-KZ" w:eastAsia="ja-JP"/>
        </w:rPr>
        <w:t xml:space="preserve">проверяли </w:t>
      </w:r>
      <w:r w:rsidRPr="00107040">
        <w:rPr>
          <w:rFonts w:ascii="Times New Roman" w:eastAsia="MS Mincho" w:hAnsi="Times New Roman"/>
          <w:sz w:val="28"/>
          <w:szCs w:val="28"/>
          <w:lang w:val="ru-RU" w:eastAsia="ja-JP"/>
        </w:rPr>
        <w:t>с помощью секвенирования</w:t>
      </w:r>
      <w:r w:rsidRPr="00107040">
        <w:rPr>
          <w:rFonts w:ascii="Times New Roman" w:eastAsia="MS Mincho" w:hAnsi="Times New Roman"/>
          <w:sz w:val="28"/>
          <w:szCs w:val="28"/>
          <w:lang w:val="kk-KZ" w:eastAsia="ja-JP"/>
        </w:rPr>
        <w:t xml:space="preserve">. </w:t>
      </w:r>
      <w:r w:rsidRPr="00107040">
        <w:rPr>
          <w:rFonts w:ascii="Times New Roman" w:eastAsia="MS Mincho" w:hAnsi="Times New Roman"/>
          <w:sz w:val="28"/>
          <w:szCs w:val="28"/>
          <w:lang w:val="ru-RU" w:eastAsia="ja-JP"/>
        </w:rPr>
        <w:t>При проведении полного секвенирования с трех плазмид выбранных случайным образом</w:t>
      </w:r>
      <w:r w:rsidRPr="00107040">
        <w:rPr>
          <w:rFonts w:ascii="Times New Roman" w:eastAsia="MS Mincho" w:hAnsi="Times New Roman"/>
          <w:sz w:val="28"/>
          <w:szCs w:val="28"/>
          <w:lang w:val="kk-KZ" w:eastAsia="ja-JP"/>
        </w:rPr>
        <w:t>,</w:t>
      </w:r>
      <w:r w:rsidRPr="00107040">
        <w:rPr>
          <w:rFonts w:ascii="Times New Roman" w:eastAsia="MS Mincho" w:hAnsi="Times New Roman"/>
          <w:sz w:val="28"/>
          <w:szCs w:val="28"/>
          <w:lang w:val="ru-RU" w:eastAsia="ja-JP"/>
        </w:rPr>
        <w:t xml:space="preserve"> полученных по методике </w:t>
      </w:r>
      <w:r w:rsidRPr="00107040">
        <w:rPr>
          <w:rFonts w:ascii="Times New Roman" w:eastAsia="MS Mincho" w:hAnsi="Times New Roman"/>
          <w:sz w:val="28"/>
          <w:szCs w:val="28"/>
          <w:lang w:val="en-US" w:eastAsia="ja-JP"/>
        </w:rPr>
        <w:t>QuikChange</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kk-KZ" w:eastAsia="ja-JP"/>
        </w:rPr>
        <w:t xml:space="preserve">в двух плазмидах для каждого гена </w:t>
      </w:r>
      <w:r w:rsidRPr="00107040">
        <w:rPr>
          <w:rFonts w:ascii="Times New Roman" w:eastAsia="MS Mincho" w:hAnsi="Times New Roman"/>
          <w:sz w:val="28"/>
          <w:szCs w:val="28"/>
          <w:lang w:val="ru-RU" w:eastAsia="ja-JP"/>
        </w:rPr>
        <w:t xml:space="preserve">нами были обнаружены </w:t>
      </w:r>
      <w:r w:rsidRPr="00107040">
        <w:rPr>
          <w:rFonts w:ascii="Times New Roman" w:eastAsia="MS Mincho" w:hAnsi="Times New Roman"/>
          <w:sz w:val="28"/>
          <w:szCs w:val="28"/>
          <w:lang w:val="kk-KZ" w:eastAsia="ja-JP"/>
        </w:rPr>
        <w:t xml:space="preserve">необходимые </w:t>
      </w:r>
      <w:r w:rsidRPr="00107040">
        <w:rPr>
          <w:rFonts w:ascii="Times New Roman" w:eastAsia="MS Mincho" w:hAnsi="Times New Roman"/>
          <w:sz w:val="28"/>
          <w:szCs w:val="28"/>
          <w:lang w:val="ru-RU" w:eastAsia="ja-JP"/>
        </w:rPr>
        <w:t xml:space="preserve">замены </w:t>
      </w:r>
      <w:r w:rsidRPr="00107040">
        <w:rPr>
          <w:rFonts w:ascii="Times New Roman" w:eastAsia="MS Mincho" w:hAnsi="Times New Roman"/>
          <w:sz w:val="28"/>
          <w:szCs w:val="28"/>
          <w:lang w:val="en-US" w:eastAsia="ja-JP"/>
        </w:rPr>
        <w:t>Glu</w:t>
      </w:r>
      <w:r w:rsidRPr="00107040">
        <w:rPr>
          <w:rFonts w:ascii="Times New Roman" w:eastAsia="MS Mincho" w:hAnsi="Times New Roman"/>
          <w:sz w:val="28"/>
          <w:szCs w:val="28"/>
          <w:lang w:val="ru-RU" w:eastAsia="ja-JP"/>
        </w:rPr>
        <w:t>-&gt;</w:t>
      </w:r>
      <w:r w:rsidRPr="00107040">
        <w:rPr>
          <w:rFonts w:ascii="Times New Roman" w:eastAsia="MS Mincho" w:hAnsi="Times New Roman"/>
          <w:sz w:val="28"/>
          <w:szCs w:val="28"/>
          <w:shd w:val="clear" w:color="auto" w:fill="FFFFFF"/>
          <w:lang w:val="en-US" w:eastAsia="ja-JP"/>
        </w:rPr>
        <w:t>Lys</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kk-KZ" w:eastAsia="ja-JP"/>
        </w:rPr>
        <w:t xml:space="preserve">и </w:t>
      </w:r>
      <w:r w:rsidRPr="00107040">
        <w:rPr>
          <w:rFonts w:ascii="Times New Roman" w:eastAsia="MS Mincho" w:hAnsi="Times New Roman"/>
          <w:sz w:val="28"/>
          <w:szCs w:val="28"/>
          <w:lang w:val="ru-RU" w:eastAsia="ja-JP"/>
        </w:rPr>
        <w:t xml:space="preserve">отсутствие возможных ошибок.  В результате проведенных нами работ были получены рекомбинантные плазмиды </w:t>
      </w:r>
      <w:r w:rsidRPr="00107040">
        <w:rPr>
          <w:rFonts w:ascii="Times New Roman" w:eastAsia="Consolas" w:hAnsi="Times New Roman"/>
          <w:sz w:val="28"/>
          <w:szCs w:val="28"/>
          <w:lang w:val="kk-KZ" w:eastAsia="ar-SA"/>
        </w:rPr>
        <w:t>pET28с/</w:t>
      </w:r>
      <w:r w:rsidRPr="00107040">
        <w:rPr>
          <w:rFonts w:ascii="Times New Roman" w:eastAsia="Arial Unicode MS" w:hAnsi="Times New Roman"/>
          <w:i/>
          <w:sz w:val="28"/>
          <w:szCs w:val="28"/>
          <w:shd w:val="clear" w:color="auto" w:fill="FFFFFF"/>
          <w:lang w:val="ru-RU" w:eastAsia="ja-JP" w:bidi="en-US"/>
        </w:rPr>
        <w:t>А</w:t>
      </w:r>
      <w:r w:rsidRPr="00107040">
        <w:rPr>
          <w:rFonts w:ascii="Times New Roman" w:eastAsia="Arial Unicode MS" w:hAnsi="Times New Roman"/>
          <w:i/>
          <w:sz w:val="28"/>
          <w:szCs w:val="28"/>
          <w:shd w:val="clear" w:color="auto" w:fill="FFFFFF"/>
          <w:lang w:val="en-US" w:eastAsia="ja-JP" w:bidi="en-US"/>
        </w:rPr>
        <w:t>tPARP</w:t>
      </w:r>
      <w:r w:rsidRPr="00107040">
        <w:rPr>
          <w:rFonts w:ascii="Times New Roman" w:eastAsia="Arial Unicode MS" w:hAnsi="Times New Roman"/>
          <w:i/>
          <w:sz w:val="28"/>
          <w:szCs w:val="28"/>
          <w:shd w:val="clear" w:color="auto" w:fill="FFFFFF"/>
          <w:lang w:val="ru-RU" w:eastAsia="ja-JP" w:bidi="en-US"/>
        </w:rPr>
        <w:t>1</w:t>
      </w:r>
      <w:r w:rsidRPr="00107040">
        <w:rPr>
          <w:rFonts w:ascii="Times New Roman" w:eastAsia="Arial Unicode MS" w:hAnsi="Times New Roman"/>
          <w:sz w:val="28"/>
          <w:szCs w:val="28"/>
          <w:vertAlign w:val="superscript"/>
          <w:lang w:val="en-US" w:eastAsia="ja-JP" w:bidi="en-US"/>
        </w:rPr>
        <w:t>E</w:t>
      </w:r>
      <w:r w:rsidRPr="00107040">
        <w:rPr>
          <w:rFonts w:ascii="Times New Roman" w:eastAsia="Arial Unicode MS" w:hAnsi="Times New Roman"/>
          <w:sz w:val="28"/>
          <w:szCs w:val="28"/>
          <w:vertAlign w:val="superscript"/>
          <w:lang w:val="ru-RU" w:eastAsia="ja-JP" w:bidi="en-US"/>
        </w:rPr>
        <w:t>960</w:t>
      </w:r>
      <w:r w:rsidRPr="00107040">
        <w:rPr>
          <w:rFonts w:ascii="Times New Roman" w:eastAsia="Arial Unicode MS" w:hAnsi="Times New Roman"/>
          <w:sz w:val="28"/>
          <w:szCs w:val="28"/>
          <w:vertAlign w:val="superscript"/>
          <w:lang w:val="en-US" w:eastAsia="ja-JP" w:bidi="en-US"/>
        </w:rPr>
        <w:t>K</w:t>
      </w:r>
      <w:r w:rsidRPr="00107040">
        <w:rPr>
          <w:rFonts w:ascii="Times New Roman" w:eastAsia="Consolas" w:hAnsi="Times New Roman"/>
          <w:sz w:val="28"/>
          <w:szCs w:val="28"/>
          <w:lang w:val="kk-KZ" w:eastAsia="ar-SA"/>
        </w:rPr>
        <w:t xml:space="preserve"> и pET28с/</w:t>
      </w:r>
      <w:r w:rsidRPr="00107040">
        <w:rPr>
          <w:rFonts w:ascii="Times New Roman" w:eastAsia="Consolas" w:hAnsi="Times New Roman"/>
          <w:i/>
          <w:sz w:val="28"/>
          <w:szCs w:val="28"/>
          <w:lang w:val="kk-KZ" w:eastAsia="ar-SA"/>
        </w:rPr>
        <w:t>AtPARP2</w:t>
      </w:r>
      <w:r w:rsidRPr="00107040">
        <w:rPr>
          <w:rFonts w:ascii="Times New Roman" w:eastAsia="Arial Unicode MS" w:hAnsi="Times New Roman"/>
          <w:sz w:val="28"/>
          <w:szCs w:val="28"/>
          <w:vertAlign w:val="superscript"/>
          <w:lang w:val="en-US" w:eastAsia="ja-JP" w:bidi="en-US"/>
        </w:rPr>
        <w:t>E</w:t>
      </w:r>
      <w:r w:rsidRPr="00107040">
        <w:rPr>
          <w:rFonts w:ascii="Times New Roman" w:eastAsia="Arial Unicode MS" w:hAnsi="Times New Roman"/>
          <w:sz w:val="28"/>
          <w:szCs w:val="28"/>
          <w:vertAlign w:val="superscript"/>
          <w:lang w:val="ru-RU" w:eastAsia="ja-JP" w:bidi="en-US"/>
        </w:rPr>
        <w:t>614</w:t>
      </w:r>
      <w:r w:rsidRPr="00107040">
        <w:rPr>
          <w:rFonts w:ascii="Times New Roman" w:eastAsia="Arial Unicode MS" w:hAnsi="Times New Roman"/>
          <w:sz w:val="28"/>
          <w:szCs w:val="28"/>
          <w:vertAlign w:val="superscript"/>
          <w:lang w:val="en-US" w:eastAsia="ja-JP" w:bidi="en-US"/>
        </w:rPr>
        <w:t>K</w:t>
      </w:r>
      <w:r w:rsidRPr="00107040">
        <w:rPr>
          <w:rFonts w:ascii="Times New Roman" w:eastAsia="Arial Unicode MS" w:hAnsi="Times New Roman"/>
          <w:sz w:val="28"/>
          <w:szCs w:val="28"/>
          <w:vertAlign w:val="superscript"/>
          <w:lang w:val="kk-KZ" w:eastAsia="ja-JP" w:bidi="en-US"/>
        </w:rPr>
        <w:t>.</w:t>
      </w:r>
    </w:p>
    <w:p w14:paraId="2C4BFC3F" w14:textId="77777777" w:rsidR="00137BAE" w:rsidRPr="00107040" w:rsidRDefault="00137BAE" w:rsidP="000C16BB">
      <w:pPr>
        <w:widowControl w:val="0"/>
        <w:tabs>
          <w:tab w:val="left" w:pos="284"/>
          <w:tab w:val="left" w:pos="8647"/>
        </w:tabs>
        <w:suppressAutoHyphens/>
        <w:spacing w:after="0" w:line="240" w:lineRule="auto"/>
        <w:jc w:val="center"/>
        <w:rPr>
          <w:rFonts w:ascii="Times New Roman" w:eastAsia="Arial Unicode MS" w:hAnsi="Times New Roman"/>
          <w:iCs/>
          <w:sz w:val="28"/>
          <w:szCs w:val="28"/>
          <w:lang w:val="ru-RU" w:bidi="en-US"/>
        </w:rPr>
      </w:pPr>
    </w:p>
    <w:p w14:paraId="0A996C2E" w14:textId="39072576" w:rsidR="00B668F8" w:rsidRPr="00107040" w:rsidRDefault="00B668F8" w:rsidP="000C16BB">
      <w:pPr>
        <w:widowControl w:val="0"/>
        <w:tabs>
          <w:tab w:val="left" w:pos="284"/>
          <w:tab w:val="left" w:pos="8647"/>
        </w:tabs>
        <w:suppressAutoHyphens/>
        <w:spacing w:after="0" w:line="240" w:lineRule="auto"/>
        <w:jc w:val="center"/>
        <w:rPr>
          <w:rFonts w:ascii="Times New Roman" w:eastAsia="Arial Unicode MS" w:hAnsi="Times New Roman"/>
          <w:iCs/>
          <w:sz w:val="28"/>
          <w:szCs w:val="28"/>
          <w:highlight w:val="yellow"/>
          <w:lang w:val="ru-RU" w:bidi="en-US"/>
        </w:rPr>
      </w:pPr>
      <w:r w:rsidRPr="00107040">
        <w:rPr>
          <w:rFonts w:ascii="Times New Roman" w:eastAsia="Arial Unicode MS" w:hAnsi="Times New Roman"/>
          <w:iCs/>
          <w:noProof/>
          <w:sz w:val="28"/>
          <w:szCs w:val="28"/>
          <w:lang w:val="ru-RU" w:eastAsia="ru-RU"/>
        </w:rPr>
        <w:lastRenderedPageBreak/>
        <w:drawing>
          <wp:inline distT="0" distB="0" distL="0" distR="0" wp14:anchorId="3AD7E56C" wp14:editId="0034C1A9">
            <wp:extent cx="6000750" cy="4000500"/>
            <wp:effectExtent l="0" t="0" r="0" b="0"/>
            <wp:docPr id="25" name="Рисунок 25" descr="2022-06-19_11-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2-06-19_11-10-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p>
    <w:p w14:paraId="6234E84F" w14:textId="77777777" w:rsidR="00B668F8" w:rsidRPr="00107040" w:rsidRDefault="00B668F8" w:rsidP="000C16BB">
      <w:pPr>
        <w:widowControl w:val="0"/>
        <w:tabs>
          <w:tab w:val="left" w:pos="284"/>
          <w:tab w:val="left" w:pos="8647"/>
        </w:tabs>
        <w:suppressAutoHyphens/>
        <w:spacing w:after="0" w:line="240" w:lineRule="auto"/>
        <w:jc w:val="center"/>
        <w:rPr>
          <w:rFonts w:ascii="Times New Roman" w:eastAsia="Arial Unicode MS" w:hAnsi="Times New Roman"/>
          <w:iCs/>
          <w:sz w:val="28"/>
          <w:szCs w:val="28"/>
          <w:highlight w:val="yellow"/>
          <w:lang w:val="ru-RU" w:bidi="en-US"/>
        </w:rPr>
      </w:pPr>
    </w:p>
    <w:p w14:paraId="7A18D227" w14:textId="73D51AAE" w:rsidR="00AA69DA" w:rsidRPr="00107040" w:rsidRDefault="00AA69DA" w:rsidP="000C16BB">
      <w:pPr>
        <w:widowControl w:val="0"/>
        <w:tabs>
          <w:tab w:val="left" w:pos="284"/>
          <w:tab w:val="left" w:pos="8647"/>
        </w:tabs>
        <w:suppressAutoHyphens/>
        <w:spacing w:after="0" w:line="240" w:lineRule="auto"/>
        <w:ind w:firstLine="567"/>
        <w:jc w:val="center"/>
        <w:rPr>
          <w:rFonts w:ascii="Times New Roman" w:eastAsia="Arial Unicode MS" w:hAnsi="Times New Roman"/>
          <w:sz w:val="28"/>
          <w:szCs w:val="28"/>
          <w:lang w:val="ru-RU" w:bidi="en-US"/>
        </w:rPr>
      </w:pPr>
      <w:r w:rsidRPr="00107040">
        <w:rPr>
          <w:rFonts w:ascii="Times New Roman" w:eastAsia="Arial Unicode MS" w:hAnsi="Times New Roman"/>
          <w:iCs/>
          <w:sz w:val="28"/>
          <w:szCs w:val="28"/>
          <w:lang w:val="ru-RU" w:bidi="en-US"/>
        </w:rPr>
        <w:t>Рисунок 2</w:t>
      </w:r>
      <w:r w:rsidR="002A568C">
        <w:rPr>
          <w:rFonts w:ascii="Times New Roman" w:eastAsia="Arial Unicode MS" w:hAnsi="Times New Roman"/>
          <w:iCs/>
          <w:sz w:val="28"/>
          <w:szCs w:val="28"/>
          <w:lang w:val="ru-RU" w:bidi="en-US"/>
        </w:rPr>
        <w:t>7</w:t>
      </w:r>
      <w:r w:rsidRPr="00107040">
        <w:rPr>
          <w:rFonts w:ascii="Times New Roman" w:eastAsia="Arial Unicode MS" w:hAnsi="Times New Roman"/>
          <w:iCs/>
          <w:sz w:val="28"/>
          <w:szCs w:val="28"/>
          <w:lang w:val="ru-RU" w:bidi="en-US"/>
        </w:rPr>
        <w:t xml:space="preserve"> – </w:t>
      </w:r>
      <w:r w:rsidRPr="00107040">
        <w:rPr>
          <w:rFonts w:ascii="Times New Roman" w:eastAsia="Arial Unicode MS" w:hAnsi="Times New Roman"/>
          <w:bCs/>
          <w:sz w:val="28"/>
          <w:szCs w:val="28"/>
          <w:lang w:val="ru-RU" w:bidi="en-US"/>
        </w:rPr>
        <w:t xml:space="preserve">Сравнительное выравнивание аминокислотной последовательности каталитического домена </w:t>
      </w:r>
      <w:r w:rsidRPr="00107040">
        <w:rPr>
          <w:rFonts w:ascii="Times New Roman" w:eastAsia="Arial Unicode MS" w:hAnsi="Times New Roman"/>
          <w:bCs/>
          <w:sz w:val="28"/>
          <w:szCs w:val="28"/>
          <w:lang w:bidi="en-US"/>
        </w:rPr>
        <w:t>PARP</w:t>
      </w:r>
      <w:r w:rsidRPr="00107040">
        <w:rPr>
          <w:rFonts w:ascii="Times New Roman" w:eastAsia="Arial Unicode MS" w:hAnsi="Times New Roman"/>
          <w:sz w:val="28"/>
          <w:szCs w:val="28"/>
          <w:shd w:val="clear" w:color="auto" w:fill="FFFFFF"/>
          <w:lang w:val="kk-KZ" w:bidi="en-US"/>
        </w:rPr>
        <w:t xml:space="preserve">1 человека и </w:t>
      </w:r>
      <w:r w:rsidRPr="00107040">
        <w:rPr>
          <w:rFonts w:ascii="Times New Roman" w:eastAsia="Arial Unicode MS" w:hAnsi="Times New Roman"/>
          <w:sz w:val="28"/>
          <w:szCs w:val="28"/>
          <w:lang w:val="kk-KZ" w:bidi="en-US"/>
        </w:rPr>
        <w:t>AtPARP</w:t>
      </w:r>
      <w:r w:rsidRPr="00107040">
        <w:rPr>
          <w:rFonts w:ascii="Times New Roman" w:eastAsia="Arial Unicode MS" w:hAnsi="Times New Roman"/>
          <w:sz w:val="28"/>
          <w:szCs w:val="28"/>
          <w:shd w:val="clear" w:color="auto" w:fill="FFFFFF"/>
          <w:lang w:val="kk-KZ" w:bidi="en-US"/>
        </w:rPr>
        <w:t xml:space="preserve">1, </w:t>
      </w:r>
      <w:r w:rsidRPr="00107040">
        <w:rPr>
          <w:rFonts w:ascii="Times New Roman" w:eastAsia="Arial Unicode MS" w:hAnsi="Times New Roman"/>
          <w:sz w:val="28"/>
          <w:szCs w:val="28"/>
          <w:shd w:val="clear" w:color="auto" w:fill="FFFFFF"/>
          <w:lang w:bidi="en-US"/>
        </w:rPr>
        <w:t>AtPARP</w:t>
      </w:r>
      <w:r w:rsidRPr="00107040">
        <w:rPr>
          <w:rFonts w:ascii="Times New Roman" w:eastAsia="Arial Unicode MS" w:hAnsi="Times New Roman"/>
          <w:sz w:val="28"/>
          <w:szCs w:val="28"/>
          <w:shd w:val="clear" w:color="auto" w:fill="FFFFFF"/>
          <w:lang w:val="kk-KZ" w:bidi="en-US"/>
        </w:rPr>
        <w:t xml:space="preserve">2 </w:t>
      </w:r>
      <w:r w:rsidRPr="00107040">
        <w:rPr>
          <w:rFonts w:ascii="Times New Roman" w:eastAsia="Arial Unicode MS" w:hAnsi="Times New Roman"/>
          <w:i/>
          <w:iCs/>
          <w:sz w:val="28"/>
          <w:szCs w:val="28"/>
          <w:lang w:bidi="en-US"/>
        </w:rPr>
        <w:t>A</w:t>
      </w:r>
      <w:r w:rsidRPr="00107040">
        <w:rPr>
          <w:rFonts w:ascii="Times New Roman" w:eastAsia="Arial Unicode MS" w:hAnsi="Times New Roman"/>
          <w:i/>
          <w:iCs/>
          <w:sz w:val="28"/>
          <w:szCs w:val="28"/>
          <w:lang w:val="ru-RU" w:bidi="en-US"/>
        </w:rPr>
        <w:t>.</w:t>
      </w:r>
      <w:r w:rsidRPr="00107040">
        <w:rPr>
          <w:rFonts w:ascii="Times New Roman" w:eastAsia="Arial Unicode MS" w:hAnsi="Times New Roman"/>
          <w:i/>
          <w:iCs/>
          <w:sz w:val="28"/>
          <w:szCs w:val="28"/>
          <w:lang w:bidi="en-US"/>
        </w:rPr>
        <w:t>thaliana</w:t>
      </w:r>
      <w:r w:rsidRPr="00107040">
        <w:rPr>
          <w:rFonts w:ascii="Times New Roman" w:eastAsia="Arial Unicode MS" w:hAnsi="Times New Roman"/>
          <w:i/>
          <w:iCs/>
          <w:sz w:val="28"/>
          <w:szCs w:val="28"/>
          <w:lang w:val="kk-KZ" w:bidi="en-US"/>
        </w:rPr>
        <w:t xml:space="preserve">. </w:t>
      </w:r>
      <w:r w:rsidRPr="00107040">
        <w:rPr>
          <w:rFonts w:ascii="Times New Roman" w:eastAsia="Arial Unicode MS" w:hAnsi="Times New Roman"/>
          <w:sz w:val="28"/>
          <w:szCs w:val="28"/>
          <w:lang w:val="ru-RU" w:bidi="en-US"/>
        </w:rPr>
        <w:t xml:space="preserve"> </w:t>
      </w:r>
      <w:bookmarkStart w:id="77" w:name="ART_domain_–_donor_site"/>
      <w:bookmarkStart w:id="78" w:name="Helical_domain"/>
      <w:bookmarkStart w:id="79" w:name="Structural_similarities_and_differences_"/>
      <w:bookmarkStart w:id="80" w:name="Catalytic_domain"/>
      <w:bookmarkEnd w:id="77"/>
      <w:bookmarkEnd w:id="78"/>
      <w:bookmarkEnd w:id="79"/>
      <w:bookmarkEnd w:id="80"/>
    </w:p>
    <w:p w14:paraId="25431722" w14:textId="77777777" w:rsidR="00E57C3D" w:rsidRPr="00107040" w:rsidRDefault="00E57C3D" w:rsidP="000C16BB">
      <w:pPr>
        <w:widowControl w:val="0"/>
        <w:tabs>
          <w:tab w:val="left" w:pos="284"/>
          <w:tab w:val="left" w:pos="8647"/>
        </w:tabs>
        <w:suppressAutoHyphens/>
        <w:spacing w:after="0" w:line="240" w:lineRule="auto"/>
        <w:ind w:firstLine="567"/>
        <w:jc w:val="center"/>
        <w:rPr>
          <w:rFonts w:ascii="Times New Roman" w:eastAsia="Arial Unicode MS" w:hAnsi="Times New Roman"/>
          <w:sz w:val="28"/>
          <w:szCs w:val="28"/>
          <w:lang w:val="ru-RU" w:bidi="en-US"/>
        </w:rPr>
      </w:pPr>
    </w:p>
    <w:p w14:paraId="19DB3BA9" w14:textId="3D45EA6C" w:rsidR="00AA69DA" w:rsidRPr="00107040" w:rsidRDefault="00137BAE" w:rsidP="000C16BB">
      <w:pPr>
        <w:widowControl w:val="0"/>
        <w:tabs>
          <w:tab w:val="left" w:pos="284"/>
          <w:tab w:val="left" w:pos="8647"/>
        </w:tabs>
        <w:suppressAutoHyphens/>
        <w:spacing w:after="0" w:line="240" w:lineRule="auto"/>
        <w:ind w:firstLine="567"/>
        <w:rPr>
          <w:rFonts w:ascii="Times New Roman" w:eastAsia="Arial Unicode MS" w:hAnsi="Times New Roman"/>
          <w:sz w:val="28"/>
          <w:szCs w:val="28"/>
          <w:lang w:val="ru-RU" w:bidi="en-US"/>
        </w:rPr>
      </w:pPr>
      <w:r w:rsidRPr="00107040">
        <w:rPr>
          <w:rFonts w:ascii="Times New Roman" w:eastAsia="Arial Unicode MS" w:hAnsi="Times New Roman"/>
          <w:sz w:val="28"/>
          <w:szCs w:val="28"/>
          <w:lang w:val="ru-RU" w:bidi="en-US"/>
        </w:rPr>
        <w:t xml:space="preserve">Примечание – </w:t>
      </w:r>
      <w:r w:rsidR="00E57C3D" w:rsidRPr="00107040">
        <w:rPr>
          <w:rFonts w:ascii="Times New Roman" w:eastAsia="Arial Unicode MS" w:hAnsi="Times New Roman"/>
          <w:sz w:val="28"/>
          <w:szCs w:val="28"/>
          <w:lang w:val="ru-RU" w:bidi="en-US"/>
        </w:rPr>
        <w:t xml:space="preserve">Использовали компьютерную программу </w:t>
      </w:r>
      <w:r w:rsidR="00E57C3D" w:rsidRPr="00107040">
        <w:rPr>
          <w:rFonts w:ascii="Times New Roman" w:eastAsia="Arial Unicode MS" w:hAnsi="Times New Roman"/>
          <w:iCs/>
          <w:sz w:val="28"/>
          <w:szCs w:val="28"/>
          <w:lang w:val="en-US" w:bidi="en-US"/>
        </w:rPr>
        <w:t>Clustal</w:t>
      </w:r>
      <w:r w:rsidR="00E57C3D" w:rsidRPr="00107040">
        <w:rPr>
          <w:rFonts w:ascii="Times New Roman" w:eastAsia="Arial Unicode MS" w:hAnsi="Times New Roman"/>
          <w:iCs/>
          <w:sz w:val="28"/>
          <w:szCs w:val="28"/>
          <w:lang w:val="ru-RU" w:bidi="en-US"/>
        </w:rPr>
        <w:t xml:space="preserve"> </w:t>
      </w:r>
      <w:r w:rsidR="00E57C3D" w:rsidRPr="00107040">
        <w:rPr>
          <w:rFonts w:ascii="Times New Roman" w:eastAsia="Arial Unicode MS" w:hAnsi="Times New Roman"/>
          <w:iCs/>
          <w:sz w:val="28"/>
          <w:szCs w:val="28"/>
          <w:lang w:val="en-US" w:bidi="en-US"/>
        </w:rPr>
        <w:t>Omega</w:t>
      </w:r>
      <w:r w:rsidR="00E57C3D" w:rsidRPr="00107040">
        <w:rPr>
          <w:rFonts w:ascii="Times New Roman" w:eastAsia="Arial Unicode MS" w:hAnsi="Times New Roman"/>
          <w:iCs/>
          <w:sz w:val="28"/>
          <w:szCs w:val="28"/>
          <w:lang w:val="ru-RU" w:bidi="en-US"/>
        </w:rPr>
        <w:t xml:space="preserve"> </w:t>
      </w:r>
      <w:r w:rsidR="00E57C3D" w:rsidRPr="00107040">
        <w:rPr>
          <w:rFonts w:ascii="Times New Roman" w:eastAsia="Arial Unicode MS" w:hAnsi="Times New Roman"/>
          <w:iCs/>
          <w:sz w:val="28"/>
          <w:szCs w:val="28"/>
          <w:lang w:val="ru-RU" w:bidi="en-US"/>
        </w:rPr>
        <w:fldChar w:fldCharType="begin"/>
      </w:r>
      <w:r w:rsidR="00FB5E68">
        <w:rPr>
          <w:rFonts w:ascii="Times New Roman" w:eastAsia="Arial Unicode MS" w:hAnsi="Times New Roman"/>
          <w:iCs/>
          <w:sz w:val="28"/>
          <w:szCs w:val="28"/>
          <w:lang w:val="ru-RU" w:bidi="en-US"/>
        </w:rPr>
        <w:instrText xml:space="preserve"> ADDIN ZOTERO_ITEM CSL_CITATION {"citationID":"ikFNUsYa","properties":{"formattedCitation":"[460]","plainCitation":"[460]","noteIndex":0},"citationItems":[{"id":1461,"uris":["http://zotero.org/users/9078202/items/H2XE8LLQ"],"itemData":{"id":1461,"type":"article-journal","abstract":"Clustal Omega is a package for making multiple sequence alignments of amino acid or nucleotide sequences, quickly and accurately. It is a complete upgrade and rewrite of earlier Clustal programs. This unit describes how to run Clustal Omega interactively from a command line, although it can also be run online from several sites. The unit describes a basic protocol for taking a set of unaligned sequences and producing a full alignment. There are also protocols for using an external HMM or iteration to help improve an alignment. © 2014 by John Wiley &amp; Sons, Inc.","container-title":"Current Protocols in Bioinformatics","DOI":"10.1002/0471250953.bi0313s48","ISSN":"1934-340X","issue":"1","language":"en","note":"_eprint: https://onlinelibrary.wiley.com/doi/pdf/10.1002/0471250953.bi0313s48","page":"3.13.1-3.13.16","source":"Wiley Online Library","title":"Clustal Omega","URL":"https://onlinelibrary.wiley.com/doi/abs/10.1002/0471250953.bi0313s48","volume":"48","author":[{"family":"Sievers","given":"Fabian"},{"family":"Higgins","given":"Desmond G."}],"accessed":{"date-parts":[["2022",6,19]]},"issued":{"date-parts":[["2014"]]}}}],"schema":"https://github.com/citation-style-language/schema/raw/master/csl-citation.json"} </w:instrText>
      </w:r>
      <w:r w:rsidR="00E57C3D" w:rsidRPr="00107040">
        <w:rPr>
          <w:rFonts w:ascii="Times New Roman" w:eastAsia="Arial Unicode MS" w:hAnsi="Times New Roman"/>
          <w:iCs/>
          <w:sz w:val="28"/>
          <w:szCs w:val="28"/>
          <w:lang w:val="ru-RU" w:bidi="en-US"/>
        </w:rPr>
        <w:fldChar w:fldCharType="separate"/>
      </w:r>
      <w:r w:rsidR="00FB5E68" w:rsidRPr="00FB5E68">
        <w:rPr>
          <w:rFonts w:ascii="Times New Roman" w:hAnsi="Times New Roman"/>
          <w:sz w:val="28"/>
        </w:rPr>
        <w:t>[460]</w:t>
      </w:r>
      <w:r w:rsidR="00E57C3D" w:rsidRPr="00107040">
        <w:rPr>
          <w:rFonts w:ascii="Times New Roman" w:eastAsia="Arial Unicode MS" w:hAnsi="Times New Roman"/>
          <w:iCs/>
          <w:sz w:val="28"/>
          <w:szCs w:val="28"/>
          <w:lang w:val="ru-RU" w:bidi="en-US"/>
        </w:rPr>
        <w:fldChar w:fldCharType="end"/>
      </w:r>
    </w:p>
    <w:p w14:paraId="0A8C80BD" w14:textId="77777777" w:rsidR="00E57C3D" w:rsidRPr="00107040" w:rsidRDefault="00E57C3D" w:rsidP="000C16BB">
      <w:pPr>
        <w:widowControl w:val="0"/>
        <w:tabs>
          <w:tab w:val="left" w:pos="284"/>
          <w:tab w:val="left" w:pos="8647"/>
        </w:tabs>
        <w:suppressAutoHyphens/>
        <w:spacing w:after="0" w:line="240" w:lineRule="auto"/>
        <w:ind w:firstLine="567"/>
        <w:rPr>
          <w:rFonts w:ascii="Times New Roman" w:eastAsia="Arial Unicode MS" w:hAnsi="Times New Roman"/>
          <w:sz w:val="28"/>
          <w:szCs w:val="28"/>
          <w:lang w:val="ru-RU" w:bidi="en-US"/>
        </w:rPr>
      </w:pPr>
    </w:p>
    <w:p w14:paraId="4B338AEE" w14:textId="3130A5CD" w:rsidR="00AA69DA" w:rsidRPr="00107040" w:rsidRDefault="00AA69DA" w:rsidP="000C16BB">
      <w:pPr>
        <w:autoSpaceDE w:val="0"/>
        <w:autoSpaceDN w:val="0"/>
        <w:adjustRightInd w:val="0"/>
        <w:spacing w:after="0" w:line="240" w:lineRule="auto"/>
        <w:ind w:firstLine="567"/>
        <w:jc w:val="both"/>
        <w:rPr>
          <w:rFonts w:ascii="Times New Roman" w:eastAsia="MS Mincho" w:hAnsi="Times New Roman"/>
          <w:iCs/>
          <w:sz w:val="28"/>
          <w:szCs w:val="28"/>
          <w:lang w:val="kk-KZ" w:eastAsia="ja-JP"/>
        </w:rPr>
      </w:pPr>
      <w:r w:rsidRPr="00107040">
        <w:rPr>
          <w:rFonts w:ascii="Times New Roman" w:eastAsia="MS Mincho" w:hAnsi="Times New Roman"/>
          <w:sz w:val="28"/>
          <w:szCs w:val="28"/>
          <w:lang w:val="ru-RU" w:eastAsia="ja-JP"/>
        </w:rPr>
        <w:t xml:space="preserve">Для экспрессии генов мутантных </w:t>
      </w:r>
      <w:r w:rsidRPr="00107040">
        <w:rPr>
          <w:rFonts w:ascii="Times New Roman" w:eastAsia="MS Mincho" w:hAnsi="Times New Roman"/>
          <w:i/>
          <w:sz w:val="28"/>
          <w:szCs w:val="28"/>
          <w:shd w:val="clear" w:color="auto" w:fill="FFFFFF"/>
          <w:lang w:val="ru-RU" w:eastAsia="ja-JP"/>
        </w:rPr>
        <w:t>А</w:t>
      </w:r>
      <w:r w:rsidRPr="00107040">
        <w:rPr>
          <w:rFonts w:ascii="Times New Roman" w:eastAsia="MS Mincho" w:hAnsi="Times New Roman"/>
          <w:i/>
          <w:sz w:val="28"/>
          <w:szCs w:val="28"/>
          <w:shd w:val="clear" w:color="auto" w:fill="FFFFFF"/>
          <w:lang w:val="en-US" w:eastAsia="ja-JP"/>
        </w:rPr>
        <w:t>tPARP</w:t>
      </w:r>
      <w:r w:rsidRPr="00107040">
        <w:rPr>
          <w:rFonts w:ascii="Times New Roman" w:eastAsia="MS Mincho" w:hAnsi="Times New Roman"/>
          <w:i/>
          <w:sz w:val="28"/>
          <w:szCs w:val="28"/>
          <w:shd w:val="clear" w:color="auto" w:fill="FFFFFF"/>
          <w:lang w:val="ru-RU" w:eastAsia="ja-JP"/>
        </w:rPr>
        <w:t>1</w:t>
      </w:r>
      <w:r w:rsidRPr="00107040">
        <w:rPr>
          <w:rFonts w:ascii="Times New Roman" w:eastAsia="MS Mincho" w:hAnsi="Times New Roman"/>
          <w:sz w:val="28"/>
          <w:szCs w:val="28"/>
          <w:vertAlign w:val="superscript"/>
          <w:lang w:val="en-US" w:eastAsia="ja-JP"/>
        </w:rPr>
        <w:t>E</w:t>
      </w:r>
      <w:r w:rsidRPr="00107040">
        <w:rPr>
          <w:rFonts w:ascii="Times New Roman" w:eastAsia="MS Mincho" w:hAnsi="Times New Roman"/>
          <w:sz w:val="28"/>
          <w:szCs w:val="28"/>
          <w:vertAlign w:val="superscript"/>
          <w:lang w:val="ru-RU" w:eastAsia="ja-JP"/>
        </w:rPr>
        <w:t>960</w:t>
      </w:r>
      <w:r w:rsidRPr="00107040">
        <w:rPr>
          <w:rFonts w:ascii="Times New Roman" w:eastAsia="MS Mincho" w:hAnsi="Times New Roman"/>
          <w:sz w:val="28"/>
          <w:szCs w:val="28"/>
          <w:vertAlign w:val="superscript"/>
          <w:lang w:val="en-US" w:eastAsia="ja-JP"/>
        </w:rPr>
        <w:t>K</w:t>
      </w:r>
      <w:r w:rsidRPr="00107040">
        <w:rPr>
          <w:rFonts w:ascii="Times New Roman" w:eastAsia="MS Mincho" w:hAnsi="Times New Roman"/>
          <w:i/>
          <w:sz w:val="28"/>
          <w:szCs w:val="28"/>
          <w:shd w:val="clear" w:color="auto" w:fill="FFFFFF"/>
          <w:lang w:val="ru-RU" w:eastAsia="ja-JP"/>
        </w:rPr>
        <w:t xml:space="preserve"> </w:t>
      </w:r>
      <w:r w:rsidRPr="00107040">
        <w:rPr>
          <w:rFonts w:ascii="Times New Roman" w:eastAsia="Consolas" w:hAnsi="Times New Roman"/>
          <w:sz w:val="28"/>
          <w:szCs w:val="28"/>
          <w:lang w:val="kk-KZ" w:eastAsia="ar-SA"/>
        </w:rPr>
        <w:t xml:space="preserve">и </w:t>
      </w:r>
      <w:r w:rsidRPr="00107040">
        <w:rPr>
          <w:rFonts w:ascii="Times New Roman" w:eastAsia="Consolas" w:hAnsi="Times New Roman"/>
          <w:i/>
          <w:sz w:val="28"/>
          <w:szCs w:val="28"/>
          <w:lang w:val="kk-KZ" w:eastAsia="ar-SA"/>
        </w:rPr>
        <w:t>AtPARP2</w:t>
      </w:r>
      <w:r w:rsidRPr="00107040">
        <w:rPr>
          <w:rFonts w:ascii="Times New Roman" w:eastAsia="MS Mincho" w:hAnsi="Times New Roman"/>
          <w:sz w:val="28"/>
          <w:szCs w:val="28"/>
          <w:vertAlign w:val="superscript"/>
          <w:lang w:val="en-US" w:eastAsia="ja-JP"/>
        </w:rPr>
        <w:t>E</w:t>
      </w:r>
      <w:r w:rsidRPr="00107040">
        <w:rPr>
          <w:rFonts w:ascii="Times New Roman" w:eastAsia="MS Mincho" w:hAnsi="Times New Roman"/>
          <w:sz w:val="28"/>
          <w:szCs w:val="28"/>
          <w:vertAlign w:val="superscript"/>
          <w:lang w:val="ru-RU" w:eastAsia="ja-JP"/>
        </w:rPr>
        <w:t>614</w:t>
      </w:r>
      <w:r w:rsidRPr="00107040">
        <w:rPr>
          <w:rFonts w:ascii="Times New Roman" w:eastAsia="MS Mincho" w:hAnsi="Times New Roman"/>
          <w:sz w:val="28"/>
          <w:szCs w:val="28"/>
          <w:vertAlign w:val="superscript"/>
          <w:lang w:val="en-US" w:eastAsia="ja-JP"/>
        </w:rPr>
        <w:t>K</w:t>
      </w:r>
      <w:r w:rsidRPr="00107040">
        <w:rPr>
          <w:rFonts w:ascii="Times New Roman" w:eastAsia="MS Mincho" w:hAnsi="Times New Roman"/>
          <w:sz w:val="28"/>
          <w:szCs w:val="28"/>
          <w:lang w:val="ru-RU" w:eastAsia="ja-JP"/>
        </w:rPr>
        <w:t xml:space="preserve"> в </w:t>
      </w:r>
      <w:r w:rsidRPr="00107040">
        <w:rPr>
          <w:rFonts w:ascii="Times New Roman" w:eastAsia="MS Mincho" w:hAnsi="Times New Roman"/>
          <w:i/>
          <w:sz w:val="28"/>
          <w:szCs w:val="28"/>
          <w:lang w:eastAsia="ja-JP"/>
        </w:rPr>
        <w:t>E</w:t>
      </w:r>
      <w:r w:rsidRPr="00107040">
        <w:rPr>
          <w:rFonts w:ascii="Times New Roman" w:eastAsia="MS Mincho" w:hAnsi="Times New Roman"/>
          <w:i/>
          <w:sz w:val="28"/>
          <w:szCs w:val="28"/>
          <w:lang w:val="ru-RU" w:eastAsia="ja-JP"/>
        </w:rPr>
        <w:t>.</w:t>
      </w:r>
      <w:r w:rsidRPr="00107040">
        <w:rPr>
          <w:rFonts w:ascii="Times New Roman" w:eastAsia="MS Mincho" w:hAnsi="Times New Roman"/>
          <w:i/>
          <w:sz w:val="28"/>
          <w:szCs w:val="28"/>
          <w:lang w:eastAsia="ja-JP"/>
        </w:rPr>
        <w:t>coli</w:t>
      </w:r>
      <w:r w:rsidRPr="00107040">
        <w:rPr>
          <w:rFonts w:ascii="Times New Roman" w:eastAsia="MS Mincho" w:hAnsi="Times New Roman"/>
          <w:sz w:val="28"/>
          <w:szCs w:val="28"/>
          <w:lang w:val="ru-RU" w:eastAsia="ja-JP"/>
        </w:rPr>
        <w:t xml:space="preserve"> был выбран вектор </w:t>
      </w:r>
      <w:r w:rsidRPr="00107040">
        <w:rPr>
          <w:rFonts w:ascii="Times New Roman" w:eastAsia="MS Mincho" w:hAnsi="Times New Roman"/>
          <w:sz w:val="28"/>
          <w:szCs w:val="28"/>
          <w:lang w:eastAsia="ja-JP"/>
        </w:rPr>
        <w:t>pET</w:t>
      </w:r>
      <w:r w:rsidRPr="00107040">
        <w:rPr>
          <w:rFonts w:ascii="Times New Roman" w:eastAsia="MS Mincho" w:hAnsi="Times New Roman"/>
          <w:sz w:val="28"/>
          <w:szCs w:val="28"/>
          <w:lang w:val="ru-RU" w:eastAsia="ja-JP"/>
        </w:rPr>
        <w:t>28с с 6</w:t>
      </w:r>
      <w:r w:rsidRPr="00107040">
        <w:rPr>
          <w:rFonts w:ascii="Times New Roman" w:eastAsia="MS Mincho" w:hAnsi="Times New Roman"/>
          <w:sz w:val="28"/>
          <w:szCs w:val="28"/>
          <w:lang w:eastAsia="ja-JP"/>
        </w:rPr>
        <w:t>xHis</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tag</w:t>
      </w:r>
      <w:r w:rsidRPr="00107040">
        <w:rPr>
          <w:rFonts w:ascii="Times New Roman" w:eastAsia="MS Mincho" w:hAnsi="Times New Roman"/>
          <w:sz w:val="28"/>
          <w:szCs w:val="28"/>
          <w:lang w:val="ru-RU" w:eastAsia="ja-JP"/>
        </w:rPr>
        <w:t xml:space="preserve"> последовательностью на С– конце. В связи с этим рекомбинантный белок с </w:t>
      </w:r>
      <w:r w:rsidRPr="00107040">
        <w:rPr>
          <w:rFonts w:ascii="Times New Roman" w:eastAsia="MS Mincho" w:hAnsi="Times New Roman"/>
          <w:sz w:val="28"/>
          <w:szCs w:val="28"/>
          <w:lang w:eastAsia="ja-JP"/>
        </w:rPr>
        <w:t>His</w:t>
      </w:r>
      <w:r w:rsidRPr="00107040">
        <w:rPr>
          <w:rFonts w:ascii="Times New Roman" w:eastAsia="MS Mincho" w:hAnsi="Times New Roman"/>
          <w:sz w:val="28"/>
          <w:szCs w:val="28"/>
          <w:lang w:val="ru-RU" w:eastAsia="ja-JP"/>
        </w:rPr>
        <w:t>-концом был очищен металлоаффинной хроматографией на ионах никеля (</w:t>
      </w:r>
      <w:r w:rsidRPr="00107040">
        <w:rPr>
          <w:rFonts w:ascii="Times New Roman" w:eastAsia="MS Mincho" w:hAnsi="Times New Roman"/>
          <w:sz w:val="28"/>
          <w:szCs w:val="28"/>
          <w:lang w:eastAsia="ja-JP"/>
        </w:rPr>
        <w:t>Ni</w:t>
      </w:r>
      <w:r w:rsidRPr="00107040">
        <w:rPr>
          <w:rFonts w:ascii="Times New Roman" w:eastAsia="MS Mincho" w:hAnsi="Times New Roman"/>
          <w:sz w:val="28"/>
          <w:szCs w:val="28"/>
          <w:vertAlign w:val="superscript"/>
          <w:lang w:val="ru-RU" w:eastAsia="ja-JP"/>
        </w:rPr>
        <w:t>2+</w:t>
      </w:r>
      <w:r w:rsidRPr="00107040">
        <w:rPr>
          <w:rFonts w:ascii="Times New Roman" w:eastAsia="MS Mincho" w:hAnsi="Times New Roman"/>
          <w:sz w:val="28"/>
          <w:szCs w:val="28"/>
          <w:lang w:val="ru-RU" w:eastAsia="ja-JP"/>
        </w:rPr>
        <w:t xml:space="preserve">) с использованием </w:t>
      </w:r>
      <w:r w:rsidRPr="00107040">
        <w:rPr>
          <w:rFonts w:ascii="Times New Roman" w:eastAsia="MS Mincho" w:hAnsi="Times New Roman"/>
          <w:sz w:val="28"/>
          <w:szCs w:val="28"/>
          <w:lang w:eastAsia="ja-JP"/>
        </w:rPr>
        <w:t>HiTrap</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t>Chelating</w:t>
      </w:r>
      <w:r w:rsidRPr="00107040">
        <w:rPr>
          <w:rFonts w:ascii="Times New Roman" w:eastAsia="MS Mincho" w:hAnsi="Times New Roman"/>
          <w:sz w:val="28"/>
          <w:szCs w:val="28"/>
          <w:lang w:val="ru-RU" w:eastAsia="ja-JP"/>
        </w:rPr>
        <w:t xml:space="preserve"> колонки и после элюирования степень очистки полученных мутантов определяли с помощью гель-электрофореза в </w:t>
      </w:r>
      <w:r w:rsidRPr="00107040">
        <w:rPr>
          <w:rFonts w:ascii="Times New Roman" w:eastAsia="MS Mincho" w:hAnsi="Times New Roman"/>
          <w:snapToGrid w:val="0"/>
          <w:sz w:val="28"/>
          <w:szCs w:val="28"/>
          <w:lang w:val="ru-RU" w:eastAsia="ja-JP"/>
        </w:rPr>
        <w:t xml:space="preserve">10 % </w:t>
      </w:r>
      <w:r w:rsidRPr="00107040">
        <w:rPr>
          <w:rFonts w:ascii="Times New Roman" w:eastAsia="MS Mincho" w:hAnsi="Times New Roman"/>
          <w:snapToGrid w:val="0"/>
          <w:sz w:val="28"/>
          <w:szCs w:val="28"/>
          <w:lang w:val="en-US" w:eastAsia="ja-JP"/>
        </w:rPr>
        <w:t>SDS</w:t>
      </w:r>
      <w:r w:rsidRPr="00107040">
        <w:rPr>
          <w:rFonts w:ascii="Times New Roman" w:eastAsia="MS Mincho" w:hAnsi="Times New Roman"/>
          <w:snapToGrid w:val="0"/>
          <w:sz w:val="28"/>
          <w:szCs w:val="28"/>
          <w:lang w:val="kk-KZ" w:eastAsia="ja-JP"/>
        </w:rPr>
        <w:t>-</w:t>
      </w:r>
      <w:r w:rsidRPr="00107040">
        <w:rPr>
          <w:rFonts w:ascii="Times New Roman" w:eastAsia="MS Mincho" w:hAnsi="Times New Roman"/>
          <w:snapToGrid w:val="0"/>
          <w:sz w:val="28"/>
          <w:szCs w:val="28"/>
          <w:lang w:val="ru-RU" w:eastAsia="ja-JP"/>
        </w:rPr>
        <w:t xml:space="preserve">ПААГ </w:t>
      </w:r>
      <w:r w:rsidRPr="00107040">
        <w:rPr>
          <w:rFonts w:ascii="Times New Roman" w:eastAsia="MS Mincho" w:hAnsi="Times New Roman"/>
          <w:sz w:val="28"/>
          <w:szCs w:val="28"/>
          <w:lang w:val="ru-RU" w:eastAsia="ja-JP"/>
        </w:rPr>
        <w:t>(Рисунок 2</w:t>
      </w:r>
      <w:r w:rsidR="002A568C">
        <w:rPr>
          <w:rFonts w:ascii="Times New Roman" w:eastAsia="MS Mincho" w:hAnsi="Times New Roman"/>
          <w:sz w:val="28"/>
          <w:szCs w:val="28"/>
          <w:lang w:val="ru-RU" w:eastAsia="ja-JP"/>
        </w:rPr>
        <w:t>8</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iCs/>
          <w:sz w:val="28"/>
          <w:szCs w:val="28"/>
          <w:lang w:val="kk-KZ" w:eastAsia="ja-JP"/>
        </w:rPr>
        <w:t xml:space="preserve">В результате проведенных работ удалось установить, что рекомбинантный штамм продуцирует белок с молекулярной массой приблизительно 111 кДа и 72 кДа, что соответствует расчетной молекулярной массе предсказанной для AtPARP1 и AtPARP2, соответсвенно. </w:t>
      </w:r>
    </w:p>
    <w:p w14:paraId="1365B61D"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iCs/>
          <w:sz w:val="28"/>
          <w:szCs w:val="28"/>
          <w:lang w:val="kk-KZ" w:eastAsia="ja-JP"/>
        </w:rPr>
        <w:t xml:space="preserve">Для выявления роли консервативного каталитического глютамата в поли-АДФ-рибозилирований ДНК мы определяли ферментативную активность очищенных мутантных белков </w:t>
      </w:r>
      <w:r w:rsidRPr="00107040">
        <w:rPr>
          <w:rFonts w:ascii="Times New Roman" w:eastAsia="MS Mincho" w:hAnsi="Times New Roman"/>
          <w:sz w:val="28"/>
          <w:szCs w:val="28"/>
          <w:shd w:val="clear" w:color="auto" w:fill="FFFFFF"/>
          <w:lang w:val="ru-RU" w:eastAsia="ja-JP"/>
        </w:rPr>
        <w:t>А</w:t>
      </w:r>
      <w:r w:rsidRPr="00107040">
        <w:rPr>
          <w:rFonts w:ascii="Times New Roman" w:eastAsia="MS Mincho" w:hAnsi="Times New Roman"/>
          <w:sz w:val="28"/>
          <w:szCs w:val="28"/>
          <w:shd w:val="clear" w:color="auto" w:fill="FFFFFF"/>
          <w:lang w:val="en-US" w:eastAsia="ja-JP"/>
        </w:rPr>
        <w:t>tPARP</w:t>
      </w:r>
      <w:r w:rsidRPr="00107040">
        <w:rPr>
          <w:rFonts w:ascii="Times New Roman" w:eastAsia="MS Mincho" w:hAnsi="Times New Roman"/>
          <w:sz w:val="28"/>
          <w:szCs w:val="28"/>
          <w:shd w:val="clear" w:color="auto" w:fill="FFFFFF"/>
          <w:lang w:val="ru-RU" w:eastAsia="ja-JP"/>
        </w:rPr>
        <w:t>1</w:t>
      </w:r>
      <w:r w:rsidRPr="00107040">
        <w:rPr>
          <w:rFonts w:ascii="Times New Roman" w:eastAsia="MS Mincho" w:hAnsi="Times New Roman"/>
          <w:sz w:val="28"/>
          <w:szCs w:val="28"/>
          <w:vertAlign w:val="superscript"/>
          <w:lang w:val="en-US" w:eastAsia="ja-JP"/>
        </w:rPr>
        <w:t>E</w:t>
      </w:r>
      <w:r w:rsidRPr="00107040">
        <w:rPr>
          <w:rFonts w:ascii="Times New Roman" w:eastAsia="MS Mincho" w:hAnsi="Times New Roman"/>
          <w:sz w:val="28"/>
          <w:szCs w:val="28"/>
          <w:vertAlign w:val="superscript"/>
          <w:lang w:val="ru-RU" w:eastAsia="ja-JP"/>
        </w:rPr>
        <w:t>960</w:t>
      </w:r>
      <w:r w:rsidRPr="00107040">
        <w:rPr>
          <w:rFonts w:ascii="Times New Roman" w:eastAsia="MS Mincho" w:hAnsi="Times New Roman"/>
          <w:sz w:val="28"/>
          <w:szCs w:val="28"/>
          <w:vertAlign w:val="superscript"/>
          <w:lang w:val="en-US" w:eastAsia="ja-JP"/>
        </w:rPr>
        <w:t>K</w:t>
      </w:r>
      <w:r w:rsidRPr="00107040">
        <w:rPr>
          <w:rFonts w:ascii="Times New Roman" w:eastAsia="MS Mincho" w:hAnsi="Times New Roman"/>
          <w:i/>
          <w:sz w:val="28"/>
          <w:szCs w:val="28"/>
          <w:shd w:val="clear" w:color="auto" w:fill="FFFFFF"/>
          <w:lang w:val="ru-RU" w:eastAsia="ja-JP"/>
        </w:rPr>
        <w:t xml:space="preserve"> </w:t>
      </w:r>
      <w:r w:rsidRPr="00107040">
        <w:rPr>
          <w:rFonts w:ascii="Times New Roman" w:eastAsia="Consolas" w:hAnsi="Times New Roman"/>
          <w:sz w:val="28"/>
          <w:szCs w:val="28"/>
          <w:lang w:val="kk-KZ" w:eastAsia="ar-SA"/>
        </w:rPr>
        <w:t>и AtPARP2</w:t>
      </w:r>
      <w:r w:rsidRPr="00107040">
        <w:rPr>
          <w:rFonts w:ascii="Times New Roman" w:eastAsia="MS Mincho" w:hAnsi="Times New Roman"/>
          <w:sz w:val="28"/>
          <w:szCs w:val="28"/>
          <w:vertAlign w:val="superscript"/>
          <w:lang w:val="en-US" w:eastAsia="ja-JP"/>
        </w:rPr>
        <w:t>E</w:t>
      </w:r>
      <w:r w:rsidRPr="00107040">
        <w:rPr>
          <w:rFonts w:ascii="Times New Roman" w:eastAsia="MS Mincho" w:hAnsi="Times New Roman"/>
          <w:sz w:val="28"/>
          <w:szCs w:val="28"/>
          <w:vertAlign w:val="superscript"/>
          <w:lang w:val="ru-RU" w:eastAsia="ja-JP"/>
        </w:rPr>
        <w:t>614</w:t>
      </w:r>
      <w:r w:rsidRPr="00107040">
        <w:rPr>
          <w:rFonts w:ascii="Times New Roman" w:eastAsia="MS Mincho" w:hAnsi="Times New Roman"/>
          <w:sz w:val="28"/>
          <w:szCs w:val="28"/>
          <w:vertAlign w:val="superscript"/>
          <w:lang w:val="en-US" w:eastAsia="ja-JP"/>
        </w:rPr>
        <w:t>K</w:t>
      </w:r>
      <w:r w:rsidRPr="00107040">
        <w:rPr>
          <w:rFonts w:ascii="Times New Roman" w:eastAsia="MS Mincho" w:hAnsi="Times New Roman"/>
          <w:sz w:val="28"/>
          <w:szCs w:val="28"/>
          <w:lang w:val="ru-RU" w:eastAsia="ja-JP"/>
        </w:rPr>
        <w:t xml:space="preserve"> с использованием 5'-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w:t>
      </w:r>
      <w:r w:rsidRPr="00107040">
        <w:rPr>
          <w:rFonts w:ascii="Times New Roman" w:eastAsia="MS Mincho" w:hAnsi="Times New Roman"/>
          <w:iCs/>
          <w:sz w:val="28"/>
          <w:szCs w:val="28"/>
          <w:lang w:val="kk-KZ" w:eastAsia="ja-JP"/>
        </w:rPr>
        <w:t>pExo15•Rex12T</w:t>
      </w:r>
      <w:r w:rsidRPr="00107040">
        <w:rPr>
          <w:rFonts w:ascii="Times New Roman" w:eastAsia="MS Mincho" w:hAnsi="Times New Roman"/>
          <w:iCs/>
          <w:sz w:val="28"/>
          <w:szCs w:val="28"/>
          <w:vertAlign w:val="superscript"/>
          <w:lang w:val="kk-KZ" w:eastAsia="ja-JP"/>
        </w:rPr>
        <w:t>rec</w:t>
      </w:r>
      <w:r w:rsidRPr="00107040">
        <w:rPr>
          <w:rFonts w:ascii="Times New Roman" w:eastAsia="MS Mincho" w:hAnsi="Times New Roman"/>
          <w:iCs/>
          <w:sz w:val="28"/>
          <w:szCs w:val="28"/>
          <w:lang w:val="kk-KZ" w:eastAsia="ja-JP"/>
        </w:rPr>
        <w:t xml:space="preserve"> и </w:t>
      </w:r>
      <w:r w:rsidRPr="00107040">
        <w:rPr>
          <w:rFonts w:ascii="Times New Roman" w:eastAsia="MS Mincho" w:hAnsi="Times New Roman"/>
          <w:sz w:val="28"/>
          <w:szCs w:val="28"/>
          <w:lang w:val="ru-RU" w:eastAsia="ja-JP"/>
        </w:rPr>
        <w:t>5'-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w:t>
      </w:r>
      <w:r w:rsidRPr="00107040">
        <w:rPr>
          <w:rFonts w:ascii="Times New Roman" w:eastAsia="MS Mincho" w:hAnsi="Times New Roman"/>
          <w:iCs/>
          <w:sz w:val="28"/>
          <w:szCs w:val="28"/>
          <w:lang w:val="kk-KZ" w:eastAsia="ja-JP"/>
        </w:rPr>
        <w:t>p-10-RT•RT-A</w:t>
      </w:r>
      <w:r w:rsidRPr="00107040">
        <w:rPr>
          <w:rFonts w:ascii="Times New Roman" w:eastAsia="MS Mincho" w:hAnsi="Times New Roman"/>
          <w:iCs/>
          <w:sz w:val="28"/>
          <w:szCs w:val="28"/>
          <w:vertAlign w:val="superscript"/>
          <w:lang w:val="kk-KZ" w:eastAsia="ja-JP"/>
        </w:rPr>
        <w:t>nick</w:t>
      </w:r>
      <w:r w:rsidRPr="00107040">
        <w:rPr>
          <w:rFonts w:ascii="Times New Roman" w:eastAsia="MS Mincho" w:hAnsi="Times New Roman"/>
          <w:iCs/>
          <w:sz w:val="28"/>
          <w:szCs w:val="28"/>
          <w:lang w:val="kk-KZ" w:eastAsia="ja-JP"/>
        </w:rPr>
        <w:t xml:space="preserve"> дуплексной ДНК. Как и ожидалось, обе мутантные АtPARP, даже если они присутствовали в избыточных количествах, не проявляли каких-либо обнаруживаемых активностей поли-АДФ-рибозилирования ДНК по сравнению с АtPARP дикого типа.</w:t>
      </w:r>
    </w:p>
    <w:p w14:paraId="40082E5B" w14:textId="77777777" w:rsidR="00AA69DA" w:rsidRPr="00107040" w:rsidRDefault="00AA69DA" w:rsidP="000C16BB">
      <w:pPr>
        <w:spacing w:after="0" w:line="240" w:lineRule="auto"/>
        <w:ind w:firstLine="567"/>
        <w:jc w:val="center"/>
        <w:rPr>
          <w:rFonts w:ascii="Times New Roman" w:eastAsia="MS Mincho" w:hAnsi="Times New Roman"/>
          <w:sz w:val="28"/>
          <w:szCs w:val="28"/>
          <w:lang w:val="ru-RU" w:eastAsia="ja-JP"/>
        </w:rPr>
      </w:pPr>
    </w:p>
    <w:p w14:paraId="4CC59578" w14:textId="0D9340E3" w:rsidR="00B668F8" w:rsidRPr="00107040" w:rsidRDefault="00B668F8" w:rsidP="000C16BB">
      <w:pPr>
        <w:spacing w:after="0" w:line="240" w:lineRule="auto"/>
        <w:ind w:firstLine="567"/>
        <w:jc w:val="center"/>
        <w:rPr>
          <w:rFonts w:ascii="Times New Roman" w:eastAsia="MS Mincho" w:hAnsi="Times New Roman"/>
          <w:sz w:val="28"/>
          <w:szCs w:val="28"/>
          <w:highlight w:val="yellow"/>
          <w:lang w:val="kk-KZ" w:eastAsia="ja-JP"/>
        </w:rPr>
      </w:pPr>
      <w:r w:rsidRPr="00107040">
        <w:rPr>
          <w:rFonts w:ascii="Times New Roman" w:eastAsia="MS Mincho" w:hAnsi="Times New Roman"/>
          <w:noProof/>
          <w:sz w:val="28"/>
          <w:szCs w:val="28"/>
          <w:lang w:val="ru-RU" w:eastAsia="ru-RU"/>
        </w:rPr>
        <w:drawing>
          <wp:inline distT="0" distB="0" distL="0" distR="0" wp14:anchorId="5303ECB1" wp14:editId="2E3437E7">
            <wp:extent cx="3352800" cy="4637314"/>
            <wp:effectExtent l="0" t="0" r="0" b="0"/>
            <wp:docPr id="26" name="Рисунок 26" descr="C:\Users\IzatS\Desktop\Без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Users\IzatS\Desktop\Безимени-1.t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57256" cy="4643478"/>
                    </a:xfrm>
                    <a:prstGeom prst="rect">
                      <a:avLst/>
                    </a:prstGeom>
                    <a:noFill/>
                    <a:ln>
                      <a:noFill/>
                    </a:ln>
                  </pic:spPr>
                </pic:pic>
              </a:graphicData>
            </a:graphic>
          </wp:inline>
        </w:drawing>
      </w:r>
    </w:p>
    <w:p w14:paraId="652D08DF" w14:textId="77777777" w:rsidR="00B668F8" w:rsidRPr="00107040" w:rsidRDefault="00B668F8" w:rsidP="000C16BB">
      <w:pPr>
        <w:spacing w:after="0" w:line="240" w:lineRule="auto"/>
        <w:ind w:firstLine="567"/>
        <w:jc w:val="center"/>
        <w:rPr>
          <w:rFonts w:ascii="Times New Roman" w:eastAsia="MS Mincho" w:hAnsi="Times New Roman"/>
          <w:sz w:val="28"/>
          <w:szCs w:val="28"/>
          <w:highlight w:val="yellow"/>
          <w:lang w:val="kk-KZ" w:eastAsia="ja-JP"/>
        </w:rPr>
      </w:pPr>
    </w:p>
    <w:p w14:paraId="14E73F44" w14:textId="48D5CA7A" w:rsidR="00AA69DA" w:rsidRPr="00107040" w:rsidRDefault="00AA69DA" w:rsidP="000C16BB">
      <w:pPr>
        <w:spacing w:after="0" w:line="240" w:lineRule="auto"/>
        <w:ind w:firstLine="567"/>
        <w:jc w:val="center"/>
        <w:rPr>
          <w:rFonts w:ascii="Times New Roman" w:eastAsia="MS Mincho" w:hAnsi="Times New Roman"/>
          <w:sz w:val="28"/>
          <w:szCs w:val="28"/>
          <w:lang w:val="kk-KZ" w:eastAsia="ja-JP"/>
        </w:rPr>
      </w:pPr>
      <w:r w:rsidRPr="00107040">
        <w:rPr>
          <w:rFonts w:ascii="Times New Roman" w:eastAsia="MS Mincho" w:hAnsi="Times New Roman"/>
          <w:sz w:val="28"/>
          <w:szCs w:val="28"/>
          <w:lang w:val="kk-KZ" w:eastAsia="ja-JP"/>
        </w:rPr>
        <w:t xml:space="preserve">А) Очистка нa Ni-NTA мaтрице </w:t>
      </w:r>
      <w:r w:rsidRPr="00107040">
        <w:rPr>
          <w:rFonts w:ascii="Times New Roman" w:eastAsia="MS Mincho" w:hAnsi="Times New Roman"/>
          <w:sz w:val="28"/>
          <w:szCs w:val="28"/>
          <w:shd w:val="clear" w:color="auto" w:fill="FFFFFF"/>
          <w:lang w:eastAsia="ja-JP"/>
        </w:rPr>
        <w:t>А</w:t>
      </w:r>
      <w:r w:rsidRPr="00107040">
        <w:rPr>
          <w:rFonts w:ascii="Times New Roman" w:eastAsia="MS Mincho" w:hAnsi="Times New Roman"/>
          <w:sz w:val="28"/>
          <w:szCs w:val="28"/>
          <w:shd w:val="clear" w:color="auto" w:fill="FFFFFF"/>
          <w:lang w:val="kk-KZ" w:eastAsia="ja-JP"/>
        </w:rPr>
        <w:t>tPARP1</w:t>
      </w:r>
      <w:r w:rsidRPr="00107040">
        <w:rPr>
          <w:rFonts w:ascii="Times New Roman" w:eastAsia="MS Mincho" w:hAnsi="Times New Roman"/>
          <w:sz w:val="28"/>
          <w:szCs w:val="28"/>
          <w:vertAlign w:val="superscript"/>
          <w:lang w:val="kk-KZ" w:eastAsia="ja-JP"/>
        </w:rPr>
        <w:t>E960K</w:t>
      </w:r>
      <w:r w:rsidRPr="00107040">
        <w:rPr>
          <w:rFonts w:ascii="Times New Roman" w:eastAsia="MS Mincho" w:hAnsi="Times New Roman"/>
          <w:sz w:val="28"/>
          <w:szCs w:val="28"/>
          <w:lang w:val="kk-KZ" w:eastAsia="ja-JP"/>
        </w:rPr>
        <w:t xml:space="preserve">, В) Очистка нa Ni-NTA мaтрице </w:t>
      </w:r>
      <w:r w:rsidRPr="00107040">
        <w:rPr>
          <w:rFonts w:ascii="Times New Roman" w:eastAsia="MS Mincho" w:hAnsi="Times New Roman"/>
          <w:sz w:val="28"/>
          <w:szCs w:val="28"/>
          <w:shd w:val="clear" w:color="auto" w:fill="FFFFFF"/>
          <w:lang w:eastAsia="ja-JP"/>
        </w:rPr>
        <w:t>А</w:t>
      </w:r>
      <w:r w:rsidRPr="00107040">
        <w:rPr>
          <w:rFonts w:ascii="Times New Roman" w:eastAsia="MS Mincho" w:hAnsi="Times New Roman"/>
          <w:sz w:val="28"/>
          <w:szCs w:val="28"/>
          <w:shd w:val="clear" w:color="auto" w:fill="FFFFFF"/>
          <w:lang w:val="kk-KZ" w:eastAsia="ja-JP"/>
        </w:rPr>
        <w:t>tPARP2</w:t>
      </w:r>
      <w:r w:rsidRPr="00107040">
        <w:rPr>
          <w:rFonts w:ascii="Times New Roman" w:eastAsia="MS Mincho" w:hAnsi="Times New Roman"/>
          <w:sz w:val="28"/>
          <w:szCs w:val="28"/>
          <w:vertAlign w:val="superscript"/>
          <w:lang w:val="kk-KZ" w:eastAsia="ja-JP"/>
        </w:rPr>
        <w:t>E614K</w:t>
      </w:r>
      <w:r w:rsidRPr="00107040">
        <w:rPr>
          <w:rFonts w:ascii="Times New Roman" w:eastAsia="MS Mincho" w:hAnsi="Times New Roman"/>
          <w:sz w:val="28"/>
          <w:szCs w:val="28"/>
          <w:lang w:val="kk-KZ" w:eastAsia="ja-JP"/>
        </w:rPr>
        <w:t>. М - бeлкoвый мaркeр, рaзмeры кoтoрых укaзaны в кДa cлeвa. «-» Нeиндуцирoвaнный клeтoчный лизaт. «+» - Индуцирoвaнный клeтoчный лизaт. Ft - Прocкoк чeрeз кoлoнку HiTrap; F5- F19 -   Oчищeнныe фрaкции белков.</w:t>
      </w:r>
    </w:p>
    <w:p w14:paraId="0672BDE4" w14:textId="77777777" w:rsidR="00AA69DA" w:rsidRPr="00107040" w:rsidRDefault="00AA69DA" w:rsidP="000C16BB">
      <w:pPr>
        <w:spacing w:after="0" w:line="240" w:lineRule="auto"/>
        <w:ind w:firstLine="567"/>
        <w:jc w:val="both"/>
        <w:rPr>
          <w:rFonts w:ascii="Times New Roman" w:eastAsia="MS Mincho" w:hAnsi="Times New Roman"/>
          <w:sz w:val="28"/>
          <w:szCs w:val="28"/>
          <w:lang w:val="kk-KZ" w:eastAsia="ja-JP"/>
        </w:rPr>
      </w:pPr>
    </w:p>
    <w:p w14:paraId="7AEB916A" w14:textId="72CEF7CD" w:rsidR="00AA69DA" w:rsidRPr="00107040" w:rsidRDefault="00AA69DA" w:rsidP="000C16BB">
      <w:pPr>
        <w:spacing w:after="0" w:line="240" w:lineRule="auto"/>
        <w:ind w:firstLine="567"/>
        <w:jc w:val="center"/>
        <w:rPr>
          <w:rFonts w:ascii="Times New Roman" w:eastAsia="MS Mincho" w:hAnsi="Times New Roman"/>
          <w:sz w:val="28"/>
          <w:szCs w:val="28"/>
          <w:lang w:val="kk-KZ" w:eastAsia="ja-JP"/>
        </w:rPr>
      </w:pPr>
      <w:r w:rsidRPr="00107040">
        <w:rPr>
          <w:rFonts w:ascii="Times New Roman" w:eastAsia="MS Mincho" w:hAnsi="Times New Roman"/>
          <w:sz w:val="28"/>
          <w:szCs w:val="28"/>
          <w:lang w:val="kk-KZ" w:eastAsia="ja-JP"/>
        </w:rPr>
        <w:t>Риcунoк 2</w:t>
      </w:r>
      <w:r w:rsidR="002A568C">
        <w:rPr>
          <w:rFonts w:ascii="Times New Roman" w:eastAsia="MS Mincho" w:hAnsi="Times New Roman"/>
          <w:sz w:val="28"/>
          <w:szCs w:val="28"/>
          <w:lang w:val="kk-KZ" w:eastAsia="ja-JP"/>
        </w:rPr>
        <w:t>8</w:t>
      </w:r>
      <w:r w:rsidRPr="00107040">
        <w:rPr>
          <w:rFonts w:ascii="Times New Roman" w:eastAsia="MS Mincho" w:hAnsi="Times New Roman"/>
          <w:sz w:val="28"/>
          <w:szCs w:val="28"/>
          <w:lang w:val="kk-KZ" w:eastAsia="ja-JP"/>
        </w:rPr>
        <w:t xml:space="preserve"> – Аффинная хроматография экстрактов клеток </w:t>
      </w:r>
      <w:r w:rsidRPr="00107040">
        <w:rPr>
          <w:rFonts w:ascii="Times New Roman" w:eastAsia="MS Mincho" w:hAnsi="Times New Roman"/>
          <w:i/>
          <w:iCs/>
          <w:sz w:val="28"/>
          <w:szCs w:val="28"/>
          <w:lang w:val="kk-KZ" w:eastAsia="ja-JP"/>
        </w:rPr>
        <w:t>E.coli</w:t>
      </w:r>
      <w:r w:rsidRPr="00107040">
        <w:rPr>
          <w:rFonts w:ascii="Times New Roman" w:eastAsia="MS Mincho" w:hAnsi="Times New Roman"/>
          <w:sz w:val="28"/>
          <w:szCs w:val="28"/>
          <w:lang w:val="kk-KZ" w:eastAsia="ja-JP"/>
        </w:rPr>
        <w:t xml:space="preserve">, экспрессирующих </w:t>
      </w:r>
      <w:r w:rsidRPr="00107040">
        <w:rPr>
          <w:rFonts w:ascii="Times New Roman" w:eastAsia="MS Mincho" w:hAnsi="Times New Roman"/>
          <w:sz w:val="28"/>
          <w:szCs w:val="28"/>
          <w:shd w:val="clear" w:color="auto" w:fill="FFFFFF"/>
          <w:lang w:val="kk-KZ" w:eastAsia="ja-JP"/>
        </w:rPr>
        <w:t>АtPARP1</w:t>
      </w:r>
      <w:r w:rsidRPr="00107040">
        <w:rPr>
          <w:rFonts w:ascii="Times New Roman" w:eastAsia="MS Mincho" w:hAnsi="Times New Roman"/>
          <w:sz w:val="28"/>
          <w:szCs w:val="28"/>
          <w:vertAlign w:val="superscript"/>
          <w:lang w:val="kk-KZ" w:eastAsia="ja-JP"/>
        </w:rPr>
        <w:t>E960K</w:t>
      </w:r>
      <w:r w:rsidRPr="00107040">
        <w:rPr>
          <w:rFonts w:ascii="Times New Roman" w:eastAsia="MS Mincho" w:hAnsi="Times New Roman"/>
          <w:i/>
          <w:sz w:val="28"/>
          <w:szCs w:val="28"/>
          <w:shd w:val="clear" w:color="auto" w:fill="FFFFFF"/>
          <w:lang w:val="kk-KZ" w:eastAsia="ja-JP"/>
        </w:rPr>
        <w:t xml:space="preserve"> </w:t>
      </w:r>
      <w:r w:rsidRPr="00107040">
        <w:rPr>
          <w:rFonts w:ascii="Times New Roman" w:eastAsia="Consolas" w:hAnsi="Times New Roman"/>
          <w:sz w:val="28"/>
          <w:szCs w:val="28"/>
          <w:lang w:val="kk-KZ" w:eastAsia="ar-SA"/>
        </w:rPr>
        <w:t>и AtPARP2</w:t>
      </w:r>
      <w:r w:rsidRPr="00107040">
        <w:rPr>
          <w:rFonts w:ascii="Times New Roman" w:eastAsia="MS Mincho" w:hAnsi="Times New Roman"/>
          <w:sz w:val="28"/>
          <w:szCs w:val="28"/>
          <w:vertAlign w:val="superscript"/>
          <w:lang w:val="kk-KZ" w:eastAsia="ja-JP"/>
        </w:rPr>
        <w:t>E614K</w:t>
      </w:r>
      <w:r w:rsidRPr="00107040">
        <w:rPr>
          <w:rFonts w:ascii="Times New Roman" w:eastAsia="MS Mincho" w:hAnsi="Times New Roman"/>
          <w:sz w:val="28"/>
          <w:szCs w:val="28"/>
          <w:lang w:val="kk-KZ" w:eastAsia="ja-JP"/>
        </w:rPr>
        <w:t xml:space="preserve"> белки</w:t>
      </w:r>
    </w:p>
    <w:p w14:paraId="3A369B8D" w14:textId="77777777" w:rsidR="00AA69DA" w:rsidRPr="00107040" w:rsidRDefault="00AA69DA" w:rsidP="000C16BB">
      <w:pPr>
        <w:spacing w:after="0" w:line="240" w:lineRule="auto"/>
        <w:ind w:firstLine="567"/>
        <w:jc w:val="center"/>
        <w:rPr>
          <w:rFonts w:ascii="Times New Roman" w:eastAsia="MS Mincho" w:hAnsi="Times New Roman"/>
          <w:sz w:val="28"/>
          <w:szCs w:val="28"/>
          <w:lang w:val="kk-KZ" w:eastAsia="ja-JP"/>
        </w:rPr>
      </w:pPr>
    </w:p>
    <w:p w14:paraId="5BFA366E" w14:textId="1E838745" w:rsidR="00AA69DA" w:rsidRPr="00107040" w:rsidRDefault="00AA69DA" w:rsidP="000C16BB">
      <w:pPr>
        <w:spacing w:after="0" w:line="240" w:lineRule="auto"/>
        <w:ind w:firstLine="567"/>
        <w:jc w:val="both"/>
        <w:rPr>
          <w:rFonts w:ascii="Times New Roman" w:eastAsia="MS Mincho" w:hAnsi="Times New Roman"/>
          <w:sz w:val="28"/>
          <w:szCs w:val="28"/>
          <w:lang w:val="kk-KZ" w:eastAsia="ja-JP"/>
        </w:rPr>
      </w:pPr>
      <w:r w:rsidRPr="00107040">
        <w:rPr>
          <w:rFonts w:ascii="Times New Roman" w:eastAsia="MS Mincho" w:hAnsi="Times New Roman"/>
          <w:sz w:val="28"/>
          <w:szCs w:val="28"/>
          <w:lang w:val="ru-RU" w:eastAsia="ja-JP"/>
        </w:rPr>
        <w:t xml:space="preserve">Соответствующие мутации </w:t>
      </w:r>
      <w:r w:rsidRPr="00107040">
        <w:rPr>
          <w:rFonts w:ascii="Times New Roman" w:eastAsia="MS Mincho" w:hAnsi="Times New Roman"/>
          <w:sz w:val="28"/>
          <w:szCs w:val="28"/>
          <w:lang w:eastAsia="ja-JP"/>
        </w:rPr>
        <w:t>E</w:t>
      </w:r>
      <w:r w:rsidRPr="00107040">
        <w:rPr>
          <w:rFonts w:ascii="Times New Roman" w:eastAsia="MS Mincho" w:hAnsi="Times New Roman"/>
          <w:sz w:val="28"/>
          <w:szCs w:val="28"/>
          <w:lang w:val="ru-RU" w:eastAsia="ja-JP"/>
        </w:rPr>
        <w:t>988</w:t>
      </w:r>
      <w:r w:rsidRPr="00107040">
        <w:rPr>
          <w:rFonts w:ascii="Times New Roman" w:eastAsia="MS Mincho" w:hAnsi="Times New Roman"/>
          <w:sz w:val="28"/>
          <w:szCs w:val="28"/>
          <w:lang w:eastAsia="ja-JP"/>
        </w:rPr>
        <w:t>Q</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eastAsia="ja-JP"/>
        </w:rPr>
        <w:t>E</w:t>
      </w:r>
      <w:r w:rsidRPr="00107040">
        <w:rPr>
          <w:rFonts w:ascii="Times New Roman" w:eastAsia="MS Mincho" w:hAnsi="Times New Roman"/>
          <w:sz w:val="28"/>
          <w:szCs w:val="28"/>
          <w:lang w:val="ru-RU" w:eastAsia="ja-JP"/>
        </w:rPr>
        <w:t>988</w:t>
      </w:r>
      <w:r w:rsidRPr="00107040">
        <w:rPr>
          <w:rFonts w:ascii="Times New Roman" w:eastAsia="MS Mincho" w:hAnsi="Times New Roman"/>
          <w:sz w:val="28"/>
          <w:szCs w:val="28"/>
          <w:lang w:eastAsia="ja-JP"/>
        </w:rPr>
        <w:t>K</w:t>
      </w:r>
      <w:r w:rsidRPr="00107040">
        <w:rPr>
          <w:rFonts w:ascii="Times New Roman" w:eastAsia="MS Mincho" w:hAnsi="Times New Roman"/>
          <w:sz w:val="28"/>
          <w:szCs w:val="28"/>
          <w:lang w:val="ru-RU" w:eastAsia="ja-JP"/>
        </w:rPr>
        <w:t xml:space="preserve"> в белке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человека сильно снижают активность фермента (&gt; 40-кратно) и превращают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1 в моно-АДФ-рибозил-трансферазу </w:t>
      </w:r>
      <w:r w:rsidRPr="00107040">
        <w:rPr>
          <w:rFonts w:ascii="Times New Roman" w:eastAsia="MS Mincho" w:hAnsi="Times New Roman"/>
          <w:sz w:val="28"/>
          <w:szCs w:val="28"/>
          <w:lang w:eastAsia="ja-JP"/>
        </w:rPr>
        <w:fldChar w:fldCharType="begin"/>
      </w:r>
      <w:r w:rsidR="00FB5E68">
        <w:rPr>
          <w:rFonts w:ascii="Times New Roman" w:eastAsia="MS Mincho" w:hAnsi="Times New Roman"/>
          <w:sz w:val="28"/>
          <w:szCs w:val="28"/>
          <w:lang w:val="ru-RU" w:eastAsia="ja-JP"/>
        </w:rPr>
        <w:instrText xml:space="preserve"> ADDIN ZOTERO_ITEM CSL_CITATION {"citationID":"g41LztJm","properties":{"formattedCitation":"[461,462]","plainCitation":"[461,462]","noteIndex":0},"citationItems":[{"id":1332,"uris":["http://zotero.org/users/9078202/items/UBXNGBWU"],"itemData":{"id":1332,"type":"article-journal","abstract":"Sequence similarities between the enzymatic region of poly-ADP-ribose polymerase and the corresponding region of mono-ADP-ribosylating bacterial toxins suggest similarities in active site structure and catalytic mechanism. Glu988 of the human polymerase aligns with the catalytic glutamic acid of the toxins, and replacement of this residue with Gln, Asp, or Ala caused major reductions in synthesis of enzyme-linked poly-ADP-ribose. Replacement of any of 3 other nearby Glu residues had little effect. The Glu988 mutations produced similar changes in activity in the carboxyl-terminal 40-kDa catalytic fragment fused to maltose-binding protein: E988Q and E988A reduced polymer elongation &gt; 2000-fold, and E988D approximately 20-fold. Smaller changes were seen in chain initiation. The mutations had little effect on the Km of NAD, indicating a predominantly catalytic function for Glu988. The results support the concept of similar active sites of the polymerase and the ADP-ribosylating toxins. Glu988 may function in polymer elongation similarly to the toxins' active site glutamate, as a general base to activate the attacking nucleophile (in the case of the polymerase, the 2'-OH of the terminal adenosine group of a nascent poly-ADP-ribose chain).","container-title":"The Journal of Biological Chemistry","DOI":"10.1074/jbc.270.7.3247","ISSN":"0021-9258","issue":"7","journalAbbreviation":"J Biol Chem","language":"eng","note":"PMID: 7852410","page":"3247-3254","source":"PubMed","title":"Role of glutamic acid 988 of human poly-ADP-ribose polymerase in polymer formation. Evidence for active site similarities to the ADP-ribosylating toxins","volume":"270","author":[{"family":"Marsischky","given":"G. T."},{"family":"Wilson","given":"B. A."},{"family":"Collier","given":"R. J."}],"issued":{"date-parts":[["1995",2,17]]}}},{"id":1335,"uris":["http://zotero.org/users/9078202/items/Q4ZZMPJQ"],"itemData":{"id":1335,"type":"article-journal","abstract":"Poly(ADP-ribose) polymerase (PARP) is a multifunctional nuclear zinc finger protein which participates in the immediate response of mammalian cells exposed to DNA damaging agents. Given the complexity of the poly(ADP-ribosylation) reaction, we developed a large-scale screening procedure in Escherichia coli to identify randomly amino acids involved in the various aspects of this mechanism. Random mutations were generated by the polymerase chain reaction in a cDNA sequence covering most of the catalytic domain. Out of 26 individual mutations that diversely inactivated the full-length PARP, 22 were found at conserved positions in the primary structure, and 24 were located in the core domain formed by two beta-sheets containing the active site. Most of the PARP mutants were altered in poly(ADP-ribose) elongation and/or branching. The spatial proximity of some residues involved in chain elongation (E988) and branching (Y986) suggests a proximity or a superposition of these two catalytic sites. Other residues affected in branching were located at the surface of the molecule (R847, E923, G972), indicating that protein-protein contacts are necessary for optimal polymer branching. This screening procedure provides a simple and efficient method to explore further the structure-function relationship of the enzyme.","container-title":"Biochemistry","DOI":"10.1021/bi971055p","ISSN":"0006-2960","issue":"40","journalAbbreviation":"Biochemistry","language":"eng","note":"PMID: 9315851","page":"12147-12154","source":"PubMed","title":"Random mutagenesis of the poly(ADP-ribose) polymerase catalytic domain reveals amino acids involved in polymer branching","volume":"36","author":[{"family":"Rolli","given":"V."},{"family":"O'Farrell","given":"M."},{"family":"Ménissier-de Murcia","given":"J."},{"family":"Murcia","given":"G.","non-dropping-particle":"de"}],"issued":{"date-parts":[["1997",10,7]]}}}],"schema":"https://github.com/citation-style-language/schema/raw/master/csl-citation.json"} </w:instrText>
      </w:r>
      <w:r w:rsidRPr="00107040">
        <w:rPr>
          <w:rFonts w:ascii="Times New Roman" w:eastAsia="MS Mincho" w:hAnsi="Times New Roman"/>
          <w:sz w:val="28"/>
          <w:szCs w:val="28"/>
          <w:lang w:eastAsia="ja-JP"/>
        </w:rPr>
        <w:fldChar w:fldCharType="separate"/>
      </w:r>
      <w:r w:rsidR="00FB5E68" w:rsidRPr="00FB5E68">
        <w:rPr>
          <w:rFonts w:ascii="Times New Roman" w:hAnsi="Times New Roman"/>
          <w:sz w:val="28"/>
        </w:rPr>
        <w:t>[461,462]</w:t>
      </w:r>
      <w:r w:rsidRPr="00107040">
        <w:rPr>
          <w:rFonts w:ascii="Times New Roman" w:eastAsia="MS Mincho" w:hAnsi="Times New Roman"/>
          <w:sz w:val="28"/>
          <w:szCs w:val="28"/>
          <w:lang w:eastAsia="ja-JP"/>
        </w:rPr>
        <w:fldChar w:fldCharType="end"/>
      </w:r>
      <w:r w:rsidRPr="00107040">
        <w:rPr>
          <w:rFonts w:ascii="Times New Roman" w:eastAsia="MS Mincho" w:hAnsi="Times New Roman"/>
          <w:sz w:val="28"/>
          <w:szCs w:val="28"/>
          <w:lang w:eastAsia="ja-JP"/>
        </w:rPr>
        <w:t>.</w:t>
      </w:r>
      <w:r w:rsidRPr="00107040">
        <w:rPr>
          <w:rFonts w:ascii="Times New Roman" w:eastAsia="MS Mincho" w:hAnsi="Times New Roman"/>
          <w:sz w:val="28"/>
          <w:szCs w:val="28"/>
          <w:lang w:val="kk-KZ" w:eastAsia="ja-JP"/>
        </w:rPr>
        <w:t xml:space="preserve"> Очищенные мутантные белки atPARP1</w:t>
      </w:r>
      <w:r w:rsidRPr="00107040">
        <w:rPr>
          <w:rFonts w:ascii="Times New Roman" w:eastAsia="MS Mincho" w:hAnsi="Times New Roman"/>
          <w:sz w:val="28"/>
          <w:szCs w:val="28"/>
          <w:vertAlign w:val="superscript"/>
          <w:lang w:val="kk-KZ" w:eastAsia="ja-JP"/>
        </w:rPr>
        <w:t>E960K</w:t>
      </w:r>
      <w:r w:rsidRPr="00107040">
        <w:rPr>
          <w:rFonts w:ascii="Times New Roman" w:eastAsia="MS Mincho" w:hAnsi="Times New Roman"/>
          <w:sz w:val="28"/>
          <w:szCs w:val="28"/>
          <w:lang w:val="kk-KZ" w:eastAsia="ja-JP"/>
        </w:rPr>
        <w:t>, atPARP1</w:t>
      </w:r>
      <w:r w:rsidRPr="00107040">
        <w:rPr>
          <w:rFonts w:ascii="Times New Roman" w:eastAsia="MS Mincho" w:hAnsi="Times New Roman"/>
          <w:sz w:val="28"/>
          <w:szCs w:val="28"/>
          <w:vertAlign w:val="superscript"/>
          <w:lang w:val="kk-KZ" w:eastAsia="ja-JP"/>
        </w:rPr>
        <w:t>E960Q</w:t>
      </w:r>
      <w:r w:rsidRPr="00107040">
        <w:rPr>
          <w:rFonts w:ascii="Times New Roman" w:eastAsia="MS Mincho" w:hAnsi="Times New Roman"/>
          <w:sz w:val="28"/>
          <w:szCs w:val="28"/>
          <w:lang w:val="kk-KZ" w:eastAsia="ja-JP"/>
        </w:rPr>
        <w:t xml:space="preserve"> и atPARP2</w:t>
      </w:r>
      <w:r w:rsidRPr="00107040">
        <w:rPr>
          <w:rFonts w:ascii="Times New Roman" w:eastAsia="MS Mincho" w:hAnsi="Times New Roman"/>
          <w:sz w:val="28"/>
          <w:szCs w:val="28"/>
          <w:vertAlign w:val="superscript"/>
          <w:lang w:val="kk-KZ" w:eastAsia="ja-JP"/>
        </w:rPr>
        <w:t>E614K</w:t>
      </w:r>
      <w:r w:rsidRPr="00107040">
        <w:rPr>
          <w:rFonts w:ascii="Times New Roman" w:eastAsia="MS Mincho" w:hAnsi="Times New Roman"/>
          <w:sz w:val="28"/>
          <w:szCs w:val="28"/>
          <w:lang w:val="kk-KZ" w:eastAsia="ja-JP"/>
        </w:rPr>
        <w:t xml:space="preserve"> инкубировали с 5'-32P меченными дуплексами Exo15•RexT-12</w:t>
      </w:r>
      <w:r w:rsidRPr="00107040">
        <w:rPr>
          <w:rFonts w:ascii="Times New Roman" w:eastAsia="MS Mincho" w:hAnsi="Times New Roman"/>
          <w:sz w:val="28"/>
          <w:szCs w:val="28"/>
          <w:vertAlign w:val="superscript"/>
          <w:lang w:val="kk-KZ" w:eastAsia="ja-JP"/>
        </w:rPr>
        <w:t>rec</w:t>
      </w:r>
      <w:r w:rsidRPr="00107040">
        <w:rPr>
          <w:rFonts w:ascii="Times New Roman" w:eastAsia="MS Mincho" w:hAnsi="Times New Roman"/>
          <w:sz w:val="28"/>
          <w:szCs w:val="28"/>
          <w:lang w:val="kk-KZ" w:eastAsia="ja-JP"/>
        </w:rPr>
        <w:t xml:space="preserve"> и p10•RT-A</w:t>
      </w:r>
      <w:r w:rsidRPr="00107040">
        <w:rPr>
          <w:rFonts w:ascii="Times New Roman" w:eastAsia="MS Mincho" w:hAnsi="Times New Roman"/>
          <w:sz w:val="28"/>
          <w:szCs w:val="28"/>
          <w:vertAlign w:val="superscript"/>
          <w:lang w:val="kk-KZ" w:eastAsia="ja-JP"/>
        </w:rPr>
        <w:t>nick</w:t>
      </w:r>
      <w:r w:rsidRPr="00107040">
        <w:rPr>
          <w:rFonts w:ascii="Times New Roman" w:eastAsia="MS Mincho" w:hAnsi="Times New Roman"/>
          <w:sz w:val="28"/>
          <w:szCs w:val="28"/>
          <w:lang w:val="kk-KZ" w:eastAsia="ja-JP"/>
        </w:rPr>
        <w:t>, соответственно, для измерения активности AДФ-рибозилирования ДНК. Результаты показали, что мутантный белок atPARP1</w:t>
      </w:r>
      <w:r w:rsidRPr="00107040">
        <w:rPr>
          <w:rFonts w:ascii="Times New Roman" w:eastAsia="MS Mincho" w:hAnsi="Times New Roman"/>
          <w:sz w:val="28"/>
          <w:szCs w:val="28"/>
          <w:vertAlign w:val="superscript"/>
          <w:lang w:val="kk-KZ" w:eastAsia="ja-JP"/>
        </w:rPr>
        <w:t>E960K</w:t>
      </w:r>
      <w:r w:rsidRPr="00107040">
        <w:rPr>
          <w:rFonts w:ascii="Times New Roman" w:eastAsia="MS Mincho" w:hAnsi="Times New Roman"/>
          <w:sz w:val="28"/>
          <w:szCs w:val="28"/>
          <w:lang w:val="kk-KZ" w:eastAsia="ja-JP"/>
        </w:rPr>
        <w:t xml:space="preserve"> полностью утратил активность ДНК-АДФ-рибозилирования (рисунок 2</w:t>
      </w:r>
      <w:r w:rsidR="002A568C">
        <w:rPr>
          <w:rFonts w:ascii="Times New Roman" w:eastAsia="MS Mincho" w:hAnsi="Times New Roman"/>
          <w:sz w:val="28"/>
          <w:szCs w:val="28"/>
          <w:lang w:val="ru-RU" w:eastAsia="ja-JP"/>
        </w:rPr>
        <w:t>8</w:t>
      </w:r>
      <w:r w:rsidRPr="00107040">
        <w:rPr>
          <w:rFonts w:ascii="Times New Roman" w:eastAsia="MS Mincho" w:hAnsi="Times New Roman"/>
          <w:sz w:val="28"/>
          <w:szCs w:val="28"/>
          <w:lang w:val="kk-KZ" w:eastAsia="ja-JP"/>
        </w:rPr>
        <w:t>A, дорожки 8-11), тогда, как и ожидалось, мутант AtPARP1</w:t>
      </w:r>
      <w:r w:rsidRPr="00107040">
        <w:rPr>
          <w:rFonts w:ascii="Times New Roman" w:eastAsia="MS Mincho" w:hAnsi="Times New Roman"/>
          <w:sz w:val="28"/>
          <w:szCs w:val="28"/>
          <w:vertAlign w:val="superscript"/>
          <w:lang w:val="kk-KZ" w:eastAsia="ja-JP"/>
        </w:rPr>
        <w:t>E960Q</w:t>
      </w:r>
      <w:r w:rsidRPr="00107040">
        <w:rPr>
          <w:rFonts w:ascii="Times New Roman" w:eastAsia="MS Mincho" w:hAnsi="Times New Roman"/>
          <w:sz w:val="28"/>
          <w:szCs w:val="28"/>
          <w:lang w:val="kk-KZ" w:eastAsia="ja-JP"/>
        </w:rPr>
        <w:t xml:space="preserve"> проявлял сильную активность в отношении </w:t>
      </w:r>
      <w:r w:rsidRPr="00107040">
        <w:rPr>
          <w:rFonts w:ascii="Times New Roman" w:eastAsia="MS Mincho" w:hAnsi="Times New Roman"/>
          <w:sz w:val="28"/>
          <w:szCs w:val="28"/>
          <w:lang w:val="ru-RU" w:eastAsia="ja-JP"/>
        </w:rPr>
        <w:t>МАР</w:t>
      </w:r>
      <w:r w:rsidRPr="00107040">
        <w:rPr>
          <w:rFonts w:ascii="Times New Roman" w:eastAsia="MS Mincho" w:hAnsi="Times New Roman"/>
          <w:sz w:val="28"/>
          <w:szCs w:val="28"/>
          <w:lang w:val="kk-KZ" w:eastAsia="ja-JP"/>
        </w:rPr>
        <w:t>илирования ДНК (дорожки 12-14). Примечательно, что при более высокой концентрации мутант</w:t>
      </w:r>
      <w:r w:rsidRPr="00107040">
        <w:rPr>
          <w:rFonts w:ascii="Times New Roman" w:eastAsia="MS Mincho" w:hAnsi="Times New Roman"/>
          <w:sz w:val="28"/>
          <w:szCs w:val="28"/>
          <w:lang w:val="ru-RU" w:eastAsia="ja-JP"/>
        </w:rPr>
        <w:t>ный</w:t>
      </w:r>
      <w:r w:rsidRPr="00107040">
        <w:rPr>
          <w:rFonts w:ascii="Times New Roman" w:eastAsia="MS Mincho" w:hAnsi="Times New Roman"/>
          <w:sz w:val="28"/>
          <w:szCs w:val="28"/>
          <w:lang w:val="kk-KZ" w:eastAsia="ja-JP"/>
        </w:rPr>
        <w:t xml:space="preserve"> AtPARP1</w:t>
      </w:r>
      <w:r w:rsidRPr="00107040">
        <w:rPr>
          <w:rFonts w:ascii="Times New Roman" w:eastAsia="MS Mincho" w:hAnsi="Times New Roman"/>
          <w:sz w:val="28"/>
          <w:szCs w:val="28"/>
          <w:vertAlign w:val="superscript"/>
          <w:lang w:val="kk-KZ" w:eastAsia="ja-JP"/>
        </w:rPr>
        <w:t>E960Q</w:t>
      </w:r>
      <w:r w:rsidRPr="00107040">
        <w:rPr>
          <w:rFonts w:ascii="Times New Roman" w:eastAsia="MS Mincho" w:hAnsi="Times New Roman"/>
          <w:sz w:val="28"/>
          <w:szCs w:val="28"/>
          <w:lang w:val="kk-KZ" w:eastAsia="ja-JP"/>
        </w:rPr>
        <w:t xml:space="preserve"> был способен синтезировать короткие олигомеры АДФ-рибозы, но </w:t>
      </w:r>
      <w:r w:rsidRPr="00107040">
        <w:rPr>
          <w:rFonts w:ascii="Times New Roman" w:eastAsia="MS Mincho" w:hAnsi="Times New Roman"/>
          <w:sz w:val="28"/>
          <w:szCs w:val="28"/>
          <w:lang w:val="kk-KZ" w:eastAsia="ja-JP"/>
        </w:rPr>
        <w:lastRenderedPageBreak/>
        <w:t xml:space="preserve">скорее распределенным образом (дорожка 15). В контрольных реакциях PARP1 человека и AtPARP1 дикого типа синтезировали в основном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kk-KZ" w:eastAsia="ja-JP"/>
        </w:rPr>
        <w:t xml:space="preserve"> продукты ПАР-ДНК (рисунок 2</w:t>
      </w:r>
      <w:r w:rsidR="002A568C">
        <w:rPr>
          <w:rFonts w:ascii="Times New Roman" w:eastAsia="MS Mincho" w:hAnsi="Times New Roman"/>
          <w:sz w:val="28"/>
          <w:szCs w:val="28"/>
          <w:lang w:val="ru-RU" w:eastAsia="ja-JP"/>
        </w:rPr>
        <w:t>9</w:t>
      </w:r>
      <w:r w:rsidRPr="00107040">
        <w:rPr>
          <w:rFonts w:ascii="Times New Roman" w:eastAsia="MS Mincho" w:hAnsi="Times New Roman"/>
          <w:sz w:val="28"/>
          <w:szCs w:val="28"/>
          <w:lang w:val="kk-KZ" w:eastAsia="ja-JP"/>
        </w:rPr>
        <w:t>A, дорожки 1 и 6-7, соответственно). Мутант AtPARP2</w:t>
      </w:r>
      <w:r w:rsidRPr="00107040">
        <w:rPr>
          <w:rFonts w:ascii="Times New Roman" w:eastAsia="MS Mincho" w:hAnsi="Times New Roman"/>
          <w:sz w:val="28"/>
          <w:szCs w:val="28"/>
          <w:vertAlign w:val="superscript"/>
          <w:lang w:val="kk-KZ" w:eastAsia="ja-JP"/>
        </w:rPr>
        <w:t xml:space="preserve">E614K </w:t>
      </w:r>
      <w:r w:rsidRPr="00107040">
        <w:rPr>
          <w:rFonts w:ascii="Times New Roman" w:eastAsia="MS Mincho" w:hAnsi="Times New Roman"/>
          <w:sz w:val="28"/>
          <w:szCs w:val="28"/>
          <w:lang w:val="kk-KZ" w:eastAsia="ja-JP"/>
        </w:rPr>
        <w:t>при низкой концентрации белка не проявлял детектируемой активности ПАРилирования ДНК (рисунок 2</w:t>
      </w:r>
      <w:r w:rsidR="002A568C">
        <w:rPr>
          <w:rFonts w:ascii="Times New Roman" w:eastAsia="MS Mincho" w:hAnsi="Times New Roman"/>
          <w:sz w:val="28"/>
          <w:szCs w:val="28"/>
          <w:lang w:val="ru-RU" w:eastAsia="ja-JP"/>
        </w:rPr>
        <w:t>9</w:t>
      </w:r>
      <w:r w:rsidRPr="00107040">
        <w:rPr>
          <w:rFonts w:ascii="Times New Roman" w:eastAsia="MS Mincho" w:hAnsi="Times New Roman"/>
          <w:sz w:val="28"/>
          <w:szCs w:val="28"/>
          <w:lang w:val="kk-KZ" w:eastAsia="ja-JP"/>
        </w:rPr>
        <w:t>B, дорожки 7-8), но проявлял очень слабую активность моно-AДФ-рибозилирования (МАРилирование) ДНК при более высокой концентрации белка (дорожки 9-10). В контрольных реакциях PARP2 человека и AtPARP2 дикого типа показали эффективную активность в отношении ПАРилирования ДНК (рисунок 2</w:t>
      </w:r>
      <w:r w:rsidR="002A568C">
        <w:rPr>
          <w:rFonts w:ascii="Times New Roman" w:eastAsia="MS Mincho" w:hAnsi="Times New Roman"/>
          <w:sz w:val="28"/>
          <w:szCs w:val="28"/>
          <w:lang w:val="ru-RU" w:eastAsia="ja-JP"/>
        </w:rPr>
        <w:t>9</w:t>
      </w:r>
      <w:r w:rsidRPr="00107040">
        <w:rPr>
          <w:rFonts w:ascii="Times New Roman" w:eastAsia="MS Mincho" w:hAnsi="Times New Roman"/>
          <w:sz w:val="28"/>
          <w:szCs w:val="28"/>
          <w:lang w:val="kk-KZ" w:eastAsia="ja-JP"/>
        </w:rPr>
        <w:t xml:space="preserve">B, дорожка 2 и дорожки 3-6, соответственно). В целом, эти результаты указывают на то, что высококонсервативные E960 AtPARP1 и E614 AtPARP2 важны для активности ДНК-ПАРилирования растительных ферментов и что препараты растительных белков, используемые в этом исследовании, не загрязнены некоторыми неизвестными бактериальными трансферазами AДФ-рибозы. </w:t>
      </w:r>
    </w:p>
    <w:p w14:paraId="37D1B6D3" w14:textId="77777777" w:rsidR="00B668F8" w:rsidRPr="00107040" w:rsidRDefault="00B668F8" w:rsidP="000C16BB">
      <w:pPr>
        <w:spacing w:after="0" w:line="240" w:lineRule="auto"/>
        <w:ind w:firstLine="567"/>
        <w:jc w:val="both"/>
        <w:rPr>
          <w:rFonts w:ascii="Times New Roman" w:eastAsia="MS Mincho" w:hAnsi="Times New Roman"/>
          <w:sz w:val="28"/>
          <w:szCs w:val="28"/>
          <w:lang w:val="kk-KZ" w:eastAsia="ja-JP"/>
        </w:rPr>
      </w:pPr>
    </w:p>
    <w:p w14:paraId="2906FB5F" w14:textId="3721E689" w:rsidR="00AA69DA" w:rsidRPr="00107040" w:rsidRDefault="00B668F8" w:rsidP="000C16BB">
      <w:pPr>
        <w:spacing w:after="0" w:line="240" w:lineRule="auto"/>
        <w:jc w:val="center"/>
        <w:rPr>
          <w:rFonts w:ascii="Times New Roman" w:eastAsia="MS Mincho" w:hAnsi="Times New Roman"/>
          <w:sz w:val="28"/>
          <w:szCs w:val="28"/>
          <w:lang w:val="ru-RU" w:eastAsia="ja-JP"/>
        </w:rPr>
      </w:pPr>
      <w:r w:rsidRPr="00107040">
        <w:rPr>
          <w:rFonts w:ascii="Times New Roman" w:eastAsia="MS Mincho" w:hAnsi="Times New Roman"/>
          <w:noProof/>
          <w:sz w:val="28"/>
          <w:szCs w:val="28"/>
          <w:lang w:val="ru-RU" w:eastAsia="ru-RU"/>
        </w:rPr>
        <w:drawing>
          <wp:inline distT="0" distB="0" distL="0" distR="0" wp14:anchorId="3044FB22" wp14:editId="5F511C0B">
            <wp:extent cx="6086475" cy="4057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p>
    <w:p w14:paraId="2A95DC5B" w14:textId="77777777" w:rsidR="00B668F8" w:rsidRPr="00107040" w:rsidRDefault="00B668F8" w:rsidP="000C16BB">
      <w:pPr>
        <w:spacing w:after="0" w:line="240" w:lineRule="auto"/>
        <w:ind w:firstLine="567"/>
        <w:jc w:val="center"/>
        <w:rPr>
          <w:rFonts w:ascii="Times New Roman" w:eastAsia="MS Mincho" w:hAnsi="Times New Roman"/>
          <w:sz w:val="28"/>
          <w:szCs w:val="28"/>
          <w:lang w:val="ru-RU" w:eastAsia="ja-JP"/>
        </w:rPr>
      </w:pPr>
    </w:p>
    <w:p w14:paraId="0BE62416" w14:textId="77777777" w:rsidR="00AA69DA" w:rsidRPr="00107040" w:rsidRDefault="00AA69DA" w:rsidP="000C16BB">
      <w:pPr>
        <w:spacing w:after="0" w:line="240" w:lineRule="auto"/>
        <w:ind w:firstLine="567"/>
        <w:jc w:val="center"/>
        <w:rPr>
          <w:rFonts w:ascii="Times New Roman" w:hAnsi="Times New Roman"/>
          <w:bCs/>
          <w:sz w:val="28"/>
          <w:szCs w:val="28"/>
          <w:lang w:val="ru-RU"/>
        </w:rPr>
      </w:pPr>
      <w:r w:rsidRPr="00107040">
        <w:rPr>
          <w:rFonts w:ascii="Times New Roman" w:eastAsia="MS Mincho" w:hAnsi="Times New Roman"/>
          <w:bCs/>
          <w:sz w:val="28"/>
          <w:szCs w:val="28"/>
          <w:lang w:val="en-GB" w:eastAsia="ja-JP"/>
        </w:rPr>
        <w:t>A</w:t>
      </w:r>
      <w:r w:rsidRPr="00107040">
        <w:rPr>
          <w:rFonts w:ascii="Times New Roman" w:hAnsi="Times New Roman"/>
          <w:bCs/>
          <w:sz w:val="28"/>
          <w:szCs w:val="28"/>
          <w:lang w:val="ru-RU"/>
        </w:rPr>
        <w:t xml:space="preserve">) Анализ </w:t>
      </w:r>
      <w:r w:rsidRPr="00107040">
        <w:rPr>
          <w:rFonts w:ascii="Times New Roman" w:hAnsi="Times New Roman"/>
          <w:bCs/>
          <w:sz w:val="28"/>
          <w:szCs w:val="28"/>
        </w:rPr>
        <w:t>HMW</w:t>
      </w:r>
      <w:r w:rsidRPr="00107040">
        <w:rPr>
          <w:rFonts w:ascii="Times New Roman" w:hAnsi="Times New Roman"/>
          <w:bCs/>
          <w:sz w:val="28"/>
          <w:szCs w:val="28"/>
          <w:lang w:val="ru-RU"/>
        </w:rPr>
        <w:t xml:space="preserve"> продуктов, генерируемых мутантами А</w:t>
      </w:r>
      <w:r w:rsidRPr="00107040">
        <w:rPr>
          <w:rFonts w:ascii="Times New Roman" w:hAnsi="Times New Roman"/>
          <w:bCs/>
          <w:sz w:val="28"/>
          <w:szCs w:val="28"/>
        </w:rPr>
        <w:t>tPARP</w:t>
      </w:r>
      <w:r w:rsidRPr="00107040">
        <w:rPr>
          <w:rFonts w:ascii="Times New Roman" w:hAnsi="Times New Roman"/>
          <w:bCs/>
          <w:sz w:val="28"/>
          <w:szCs w:val="28"/>
          <w:lang w:val="ru-RU"/>
        </w:rPr>
        <w:t>1-</w:t>
      </w:r>
      <w:r w:rsidRPr="00107040">
        <w:rPr>
          <w:rFonts w:ascii="Times New Roman" w:hAnsi="Times New Roman"/>
          <w:bCs/>
          <w:sz w:val="28"/>
          <w:szCs w:val="28"/>
        </w:rPr>
        <w:t>WT</w:t>
      </w:r>
      <w:r w:rsidRPr="00107040">
        <w:rPr>
          <w:rFonts w:ascii="Times New Roman" w:hAnsi="Times New Roman"/>
          <w:bCs/>
          <w:sz w:val="28"/>
          <w:szCs w:val="28"/>
          <w:lang w:val="ru-RU"/>
        </w:rPr>
        <w:t xml:space="preserve">, </w:t>
      </w:r>
      <w:r w:rsidRPr="00107040">
        <w:rPr>
          <w:rFonts w:ascii="Times New Roman" w:hAnsi="Times New Roman"/>
          <w:bCs/>
          <w:sz w:val="28"/>
          <w:szCs w:val="28"/>
        </w:rPr>
        <w:t>AtPARP</w:t>
      </w:r>
      <w:r w:rsidRPr="00107040">
        <w:rPr>
          <w:rFonts w:ascii="Times New Roman" w:hAnsi="Times New Roman"/>
          <w:bCs/>
          <w:sz w:val="28"/>
          <w:szCs w:val="28"/>
          <w:lang w:val="ru-RU"/>
        </w:rPr>
        <w:t>1-</w:t>
      </w:r>
      <w:r w:rsidRPr="00107040">
        <w:rPr>
          <w:rFonts w:ascii="Times New Roman" w:hAnsi="Times New Roman"/>
          <w:bCs/>
          <w:sz w:val="28"/>
          <w:szCs w:val="28"/>
        </w:rPr>
        <w:t>E</w:t>
      </w:r>
      <w:r w:rsidRPr="00107040">
        <w:rPr>
          <w:rFonts w:ascii="Times New Roman" w:hAnsi="Times New Roman"/>
          <w:bCs/>
          <w:sz w:val="28"/>
          <w:szCs w:val="28"/>
          <w:lang w:val="ru-RU"/>
        </w:rPr>
        <w:t>960</w:t>
      </w:r>
      <w:r w:rsidRPr="00107040">
        <w:rPr>
          <w:rFonts w:ascii="Times New Roman" w:hAnsi="Times New Roman"/>
          <w:bCs/>
          <w:sz w:val="28"/>
          <w:szCs w:val="28"/>
        </w:rPr>
        <w:t>K</w:t>
      </w:r>
      <w:r w:rsidRPr="00107040">
        <w:rPr>
          <w:rFonts w:ascii="Times New Roman" w:hAnsi="Times New Roman"/>
          <w:bCs/>
          <w:sz w:val="28"/>
          <w:szCs w:val="28"/>
          <w:lang w:val="ru-RU"/>
        </w:rPr>
        <w:t xml:space="preserve"> и </w:t>
      </w:r>
      <w:r w:rsidRPr="00107040">
        <w:rPr>
          <w:rFonts w:ascii="Times New Roman" w:hAnsi="Times New Roman"/>
          <w:bCs/>
          <w:sz w:val="28"/>
          <w:szCs w:val="28"/>
        </w:rPr>
        <w:t>AtPARP</w:t>
      </w:r>
      <w:r w:rsidRPr="00107040">
        <w:rPr>
          <w:rFonts w:ascii="Times New Roman" w:hAnsi="Times New Roman"/>
          <w:bCs/>
          <w:sz w:val="28"/>
          <w:szCs w:val="28"/>
          <w:lang w:val="ru-RU"/>
        </w:rPr>
        <w:t>1-</w:t>
      </w:r>
      <w:r w:rsidRPr="00107040">
        <w:rPr>
          <w:rFonts w:ascii="Times New Roman" w:hAnsi="Times New Roman"/>
          <w:bCs/>
          <w:sz w:val="28"/>
          <w:szCs w:val="28"/>
        </w:rPr>
        <w:t>E</w:t>
      </w:r>
      <w:r w:rsidRPr="00107040">
        <w:rPr>
          <w:rFonts w:ascii="Times New Roman" w:hAnsi="Times New Roman"/>
          <w:bCs/>
          <w:sz w:val="28"/>
          <w:szCs w:val="28"/>
          <w:lang w:val="ru-RU"/>
        </w:rPr>
        <w:t>960</w:t>
      </w:r>
      <w:r w:rsidRPr="00107040">
        <w:rPr>
          <w:rFonts w:ascii="Times New Roman" w:hAnsi="Times New Roman"/>
          <w:bCs/>
          <w:sz w:val="28"/>
          <w:szCs w:val="28"/>
        </w:rPr>
        <w:t>Q</w:t>
      </w:r>
      <w:r w:rsidRPr="00107040">
        <w:rPr>
          <w:rFonts w:ascii="Times New Roman" w:hAnsi="Times New Roman"/>
          <w:bCs/>
          <w:sz w:val="28"/>
          <w:szCs w:val="28"/>
          <w:lang w:val="ru-RU"/>
        </w:rPr>
        <w:t xml:space="preserve">. </w:t>
      </w:r>
      <w:r w:rsidRPr="00107040">
        <w:rPr>
          <w:rFonts w:ascii="Times New Roman" w:hAnsi="Times New Roman"/>
          <w:bCs/>
          <w:sz w:val="28"/>
          <w:szCs w:val="28"/>
          <w:lang w:val="en-US"/>
        </w:rPr>
        <w:t>B</w:t>
      </w:r>
      <w:r w:rsidRPr="00107040">
        <w:rPr>
          <w:rFonts w:ascii="Times New Roman" w:hAnsi="Times New Roman"/>
          <w:bCs/>
          <w:sz w:val="28"/>
          <w:szCs w:val="28"/>
          <w:lang w:val="ru-RU"/>
        </w:rPr>
        <w:t xml:space="preserve">) Анализ </w:t>
      </w:r>
      <w:r w:rsidRPr="00107040">
        <w:rPr>
          <w:rFonts w:ascii="Times New Roman" w:hAnsi="Times New Roman"/>
          <w:bCs/>
          <w:sz w:val="28"/>
          <w:szCs w:val="28"/>
          <w:lang w:val="en-US"/>
        </w:rPr>
        <w:t>HMW</w:t>
      </w:r>
      <w:r w:rsidRPr="00107040">
        <w:rPr>
          <w:rFonts w:ascii="Times New Roman" w:hAnsi="Times New Roman"/>
          <w:bCs/>
          <w:sz w:val="28"/>
          <w:szCs w:val="28"/>
          <w:lang w:val="ru-RU"/>
        </w:rPr>
        <w:t xml:space="preserve"> продуктов, генерируемых мутантами </w:t>
      </w:r>
      <w:r w:rsidRPr="00107040">
        <w:rPr>
          <w:rFonts w:ascii="Times New Roman" w:hAnsi="Times New Roman"/>
          <w:bCs/>
          <w:sz w:val="28"/>
          <w:szCs w:val="28"/>
          <w:lang w:val="en-US"/>
        </w:rPr>
        <w:t>AtPARP</w:t>
      </w:r>
      <w:r w:rsidRPr="00107040">
        <w:rPr>
          <w:rFonts w:ascii="Times New Roman" w:hAnsi="Times New Roman"/>
          <w:bCs/>
          <w:sz w:val="28"/>
          <w:szCs w:val="28"/>
          <w:lang w:val="ru-RU"/>
        </w:rPr>
        <w:t>2-</w:t>
      </w:r>
      <w:r w:rsidRPr="00107040">
        <w:rPr>
          <w:rFonts w:ascii="Times New Roman" w:hAnsi="Times New Roman"/>
          <w:bCs/>
          <w:sz w:val="28"/>
          <w:szCs w:val="28"/>
          <w:lang w:val="en-US"/>
        </w:rPr>
        <w:t>WT</w:t>
      </w:r>
      <w:r w:rsidRPr="00107040">
        <w:rPr>
          <w:rFonts w:ascii="Times New Roman" w:hAnsi="Times New Roman"/>
          <w:bCs/>
          <w:sz w:val="28"/>
          <w:szCs w:val="28"/>
          <w:lang w:val="ru-RU"/>
        </w:rPr>
        <w:t xml:space="preserve"> и </w:t>
      </w:r>
      <w:r w:rsidRPr="00107040">
        <w:rPr>
          <w:rFonts w:ascii="Times New Roman" w:hAnsi="Times New Roman"/>
          <w:bCs/>
          <w:sz w:val="28"/>
          <w:szCs w:val="28"/>
          <w:lang w:val="en-US"/>
        </w:rPr>
        <w:t>AtPARP</w:t>
      </w:r>
      <w:r w:rsidRPr="00107040">
        <w:rPr>
          <w:rFonts w:ascii="Times New Roman" w:hAnsi="Times New Roman"/>
          <w:bCs/>
          <w:sz w:val="28"/>
          <w:szCs w:val="28"/>
          <w:lang w:val="ru-RU"/>
        </w:rPr>
        <w:t>2-</w:t>
      </w:r>
      <w:r w:rsidRPr="00107040">
        <w:rPr>
          <w:rFonts w:ascii="Times New Roman" w:hAnsi="Times New Roman"/>
          <w:bCs/>
          <w:sz w:val="28"/>
          <w:szCs w:val="28"/>
          <w:lang w:val="en-US"/>
        </w:rPr>
        <w:t>E</w:t>
      </w:r>
      <w:r w:rsidRPr="00107040">
        <w:rPr>
          <w:rFonts w:ascii="Times New Roman" w:hAnsi="Times New Roman"/>
          <w:bCs/>
          <w:sz w:val="28"/>
          <w:szCs w:val="28"/>
          <w:lang w:val="ru-RU"/>
        </w:rPr>
        <w:t>614</w:t>
      </w:r>
      <w:r w:rsidRPr="00107040">
        <w:rPr>
          <w:rFonts w:ascii="Times New Roman" w:hAnsi="Times New Roman"/>
          <w:bCs/>
          <w:sz w:val="28"/>
          <w:szCs w:val="28"/>
          <w:lang w:val="en-US"/>
        </w:rPr>
        <w:t>K</w:t>
      </w:r>
      <w:r w:rsidRPr="00107040">
        <w:rPr>
          <w:rFonts w:ascii="Times New Roman" w:hAnsi="Times New Roman"/>
          <w:bCs/>
          <w:sz w:val="28"/>
          <w:szCs w:val="28"/>
          <w:lang w:val="ru-RU"/>
        </w:rPr>
        <w:t xml:space="preserve">. Стрелки указывают </w:t>
      </w:r>
      <w:r w:rsidRPr="00107040">
        <w:rPr>
          <w:rFonts w:ascii="Times New Roman" w:hAnsi="Times New Roman"/>
          <w:bCs/>
          <w:sz w:val="28"/>
          <w:szCs w:val="28"/>
          <w:lang w:val="en-US"/>
        </w:rPr>
        <w:t>HMW</w:t>
      </w:r>
      <w:r w:rsidRPr="00107040">
        <w:rPr>
          <w:rFonts w:ascii="Times New Roman" w:hAnsi="Times New Roman"/>
          <w:bCs/>
          <w:sz w:val="28"/>
          <w:szCs w:val="28"/>
          <w:lang w:val="ru-RU"/>
        </w:rPr>
        <w:t xml:space="preserve"> и </w:t>
      </w:r>
      <w:r w:rsidRPr="00107040">
        <w:rPr>
          <w:rFonts w:ascii="Times New Roman" w:hAnsi="Times New Roman"/>
          <w:bCs/>
          <w:sz w:val="28"/>
          <w:szCs w:val="28"/>
          <w:lang w:val="en-US"/>
        </w:rPr>
        <w:t>LMW</w:t>
      </w:r>
      <w:r w:rsidRPr="00107040">
        <w:rPr>
          <w:rFonts w:ascii="Times New Roman" w:hAnsi="Times New Roman"/>
          <w:bCs/>
          <w:sz w:val="28"/>
          <w:szCs w:val="28"/>
          <w:lang w:val="ru-RU"/>
        </w:rPr>
        <w:t xml:space="preserve"> продукты ПАР-ДНК и свободные олигонуклеотиды. </w:t>
      </w:r>
    </w:p>
    <w:p w14:paraId="170318CA" w14:textId="77777777" w:rsidR="00AA69DA" w:rsidRPr="00107040" w:rsidRDefault="00AA69DA" w:rsidP="000C16BB">
      <w:pPr>
        <w:spacing w:after="0" w:line="240" w:lineRule="auto"/>
        <w:ind w:firstLine="567"/>
        <w:rPr>
          <w:rFonts w:ascii="Times New Roman" w:hAnsi="Times New Roman"/>
          <w:sz w:val="28"/>
          <w:szCs w:val="28"/>
          <w:lang w:val="ru-RU"/>
        </w:rPr>
      </w:pPr>
    </w:p>
    <w:p w14:paraId="6CDACB15" w14:textId="2B72B30D" w:rsidR="00903387" w:rsidRPr="00107040" w:rsidRDefault="00AA69DA" w:rsidP="000C16BB">
      <w:pPr>
        <w:spacing w:after="0" w:line="240" w:lineRule="auto"/>
        <w:ind w:firstLine="567"/>
        <w:jc w:val="center"/>
        <w:rPr>
          <w:rFonts w:ascii="Times New Roman" w:eastAsia="MS Mincho" w:hAnsi="Times New Roman"/>
          <w:bCs/>
          <w:sz w:val="28"/>
          <w:szCs w:val="28"/>
          <w:lang w:val="ru-RU" w:eastAsia="ja-JP"/>
        </w:rPr>
      </w:pPr>
      <w:r w:rsidRPr="00107040">
        <w:rPr>
          <w:rFonts w:ascii="Times New Roman" w:eastAsia="MS Mincho" w:hAnsi="Times New Roman"/>
          <w:bCs/>
          <w:sz w:val="28"/>
          <w:szCs w:val="28"/>
          <w:lang w:val="ru-RU" w:eastAsia="ja-JP"/>
        </w:rPr>
        <w:t>Рисунок 2</w:t>
      </w:r>
      <w:r w:rsidR="002A568C">
        <w:rPr>
          <w:rFonts w:ascii="Times New Roman" w:eastAsia="MS Mincho" w:hAnsi="Times New Roman"/>
          <w:bCs/>
          <w:sz w:val="28"/>
          <w:szCs w:val="28"/>
          <w:lang w:val="ru-RU" w:eastAsia="ja-JP"/>
        </w:rPr>
        <w:t>9</w:t>
      </w:r>
      <w:r w:rsidR="000A479F"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ru-RU" w:eastAsia="ja-JP"/>
        </w:rPr>
        <w:t xml:space="preserve"> Денатурирующий ПААГ анализ аддуктов </w:t>
      </w:r>
      <w:r w:rsidRPr="00107040">
        <w:rPr>
          <w:rFonts w:ascii="Times New Roman" w:eastAsia="MS Mincho" w:hAnsi="Times New Roman"/>
          <w:bCs/>
          <w:sz w:val="28"/>
          <w:szCs w:val="28"/>
          <w:lang w:val="kk-KZ" w:eastAsia="ja-JP"/>
        </w:rPr>
        <w:t>ПАР</w:t>
      </w:r>
      <w:r w:rsidRPr="00107040">
        <w:rPr>
          <w:rFonts w:ascii="Times New Roman" w:eastAsia="MS Mincho" w:hAnsi="Times New Roman"/>
          <w:bCs/>
          <w:sz w:val="28"/>
          <w:szCs w:val="28"/>
          <w:lang w:val="ru-RU" w:eastAsia="ja-JP"/>
        </w:rPr>
        <w:t>-ДНК, генерируемых мутант</w:t>
      </w:r>
      <w:r w:rsidR="00903387" w:rsidRPr="00107040">
        <w:rPr>
          <w:rFonts w:ascii="Times New Roman" w:eastAsia="MS Mincho" w:hAnsi="Times New Roman"/>
          <w:bCs/>
          <w:sz w:val="28"/>
          <w:szCs w:val="28"/>
          <w:lang w:val="ru-RU" w:eastAsia="ja-JP"/>
        </w:rPr>
        <w:t>ными</w:t>
      </w:r>
      <w:r w:rsidRPr="00107040">
        <w:rPr>
          <w:rFonts w:ascii="Times New Roman" w:eastAsia="MS Mincho" w:hAnsi="Times New Roman"/>
          <w:bCs/>
          <w:sz w:val="28"/>
          <w:szCs w:val="28"/>
          <w:lang w:val="ru-RU" w:eastAsia="ja-JP"/>
        </w:rPr>
        <w:t xml:space="preserve"> </w:t>
      </w:r>
      <w:r w:rsidRPr="00107040">
        <w:rPr>
          <w:rFonts w:ascii="Times New Roman" w:eastAsia="MS Mincho" w:hAnsi="Times New Roman"/>
          <w:bCs/>
          <w:sz w:val="28"/>
          <w:szCs w:val="28"/>
          <w:lang w:val="en-US" w:eastAsia="ja-JP"/>
        </w:rPr>
        <w:t>AtPARP</w:t>
      </w:r>
      <w:r w:rsidR="00903387" w:rsidRPr="00107040">
        <w:rPr>
          <w:rFonts w:ascii="Times New Roman" w:eastAsia="MS Mincho" w:hAnsi="Times New Roman"/>
          <w:bCs/>
          <w:sz w:val="28"/>
          <w:szCs w:val="28"/>
          <w:lang w:val="ru-RU" w:eastAsia="ja-JP"/>
        </w:rPr>
        <w:t xml:space="preserve"> ферментами</w:t>
      </w:r>
    </w:p>
    <w:p w14:paraId="20ADCC55"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p>
    <w:p w14:paraId="46849B57"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lastRenderedPageBreak/>
        <w:t xml:space="preserve">Таким образом, все мутантные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 ферменты растений, сходные с соответствующими мутантами млекопитающих, обладают сильно сниженной активностью </w:t>
      </w:r>
      <w:r w:rsidRPr="00107040">
        <w:rPr>
          <w:rFonts w:ascii="Times New Roman" w:eastAsia="MS Mincho" w:hAnsi="Times New Roman"/>
          <w:sz w:val="28"/>
          <w:szCs w:val="28"/>
          <w:lang w:val="kk-KZ" w:eastAsia="ja-JP"/>
        </w:rPr>
        <w:t>ПАРилирования</w:t>
      </w:r>
      <w:r w:rsidRPr="00107040">
        <w:rPr>
          <w:rFonts w:ascii="Times New Roman" w:eastAsia="MS Mincho" w:hAnsi="Times New Roman"/>
          <w:sz w:val="28"/>
          <w:szCs w:val="28"/>
          <w:lang w:val="ru-RU" w:eastAsia="ja-JP"/>
        </w:rPr>
        <w:t xml:space="preserve"> ДНК. Тем не менее, мутанты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1</w:t>
      </w:r>
      <w:r w:rsidRPr="00107040">
        <w:rPr>
          <w:rFonts w:ascii="Times New Roman" w:eastAsia="MS Mincho" w:hAnsi="Times New Roman"/>
          <w:sz w:val="28"/>
          <w:szCs w:val="28"/>
          <w:vertAlign w:val="superscript"/>
          <w:lang w:val="en-GB" w:eastAsia="ja-JP"/>
        </w:rPr>
        <w:t>E</w:t>
      </w:r>
      <w:r w:rsidRPr="00107040">
        <w:rPr>
          <w:rFonts w:ascii="Times New Roman" w:eastAsia="MS Mincho" w:hAnsi="Times New Roman"/>
          <w:sz w:val="28"/>
          <w:szCs w:val="28"/>
          <w:vertAlign w:val="superscript"/>
          <w:lang w:val="ru-RU" w:eastAsia="ja-JP"/>
        </w:rPr>
        <w:t>960</w:t>
      </w:r>
      <w:r w:rsidRPr="00107040">
        <w:rPr>
          <w:rFonts w:ascii="Times New Roman" w:eastAsia="MS Mincho" w:hAnsi="Times New Roman"/>
          <w:sz w:val="28"/>
          <w:szCs w:val="28"/>
          <w:vertAlign w:val="superscript"/>
          <w:lang w:val="en-GB" w:eastAsia="ja-JP"/>
        </w:rPr>
        <w:t>Q</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2</w:t>
      </w:r>
      <w:r w:rsidRPr="00107040">
        <w:rPr>
          <w:rFonts w:ascii="Times New Roman" w:eastAsia="MS Mincho" w:hAnsi="Times New Roman"/>
          <w:sz w:val="28"/>
          <w:szCs w:val="28"/>
          <w:vertAlign w:val="superscript"/>
          <w:lang w:val="en-GB" w:eastAsia="ja-JP"/>
        </w:rPr>
        <w:t>E</w:t>
      </w:r>
      <w:r w:rsidRPr="00107040">
        <w:rPr>
          <w:rFonts w:ascii="Times New Roman" w:eastAsia="MS Mincho" w:hAnsi="Times New Roman"/>
          <w:sz w:val="28"/>
          <w:szCs w:val="28"/>
          <w:vertAlign w:val="superscript"/>
          <w:lang w:val="ru-RU" w:eastAsia="ja-JP"/>
        </w:rPr>
        <w:t>614</w:t>
      </w:r>
      <w:r w:rsidRPr="00107040">
        <w:rPr>
          <w:rFonts w:ascii="Times New Roman" w:eastAsia="MS Mincho" w:hAnsi="Times New Roman"/>
          <w:sz w:val="28"/>
          <w:szCs w:val="28"/>
          <w:vertAlign w:val="superscript"/>
          <w:lang w:val="en-GB" w:eastAsia="ja-JP"/>
        </w:rPr>
        <w:t>K</w:t>
      </w:r>
      <w:r w:rsidRPr="00107040">
        <w:rPr>
          <w:rFonts w:ascii="Times New Roman" w:eastAsia="MS Mincho" w:hAnsi="Times New Roman"/>
          <w:sz w:val="28"/>
          <w:szCs w:val="28"/>
          <w:lang w:val="ru-RU" w:eastAsia="ja-JP"/>
        </w:rPr>
        <w:t xml:space="preserve"> проявляли активность </w:t>
      </w:r>
      <w:r w:rsidRPr="00107040">
        <w:rPr>
          <w:rFonts w:ascii="Times New Roman" w:eastAsia="MS Mincho" w:hAnsi="Times New Roman"/>
          <w:sz w:val="28"/>
          <w:szCs w:val="28"/>
          <w:lang w:val="kk-KZ" w:eastAsia="ja-JP"/>
        </w:rPr>
        <w:t>МАРилирования</w:t>
      </w:r>
      <w:r w:rsidRPr="00107040">
        <w:rPr>
          <w:rFonts w:ascii="Times New Roman" w:eastAsia="MS Mincho" w:hAnsi="Times New Roman"/>
          <w:sz w:val="28"/>
          <w:szCs w:val="28"/>
          <w:lang w:val="ru-RU" w:eastAsia="ja-JP"/>
        </w:rPr>
        <w:t xml:space="preserve"> ДНК. Следовательно, эти результаты демонстрируют, что высококонсервативный остаток глутаминовой кислоты в каталитической триаде растительных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 необходим для активностей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илирования ДНК и что пре</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аты рекомбинантных белков </w:t>
      </w:r>
      <w:r w:rsidRPr="00107040">
        <w:rPr>
          <w:rFonts w:ascii="Times New Roman" w:eastAsia="MS Mincho" w:hAnsi="Times New Roman"/>
          <w:sz w:val="28"/>
          <w:szCs w:val="28"/>
          <w:lang w:val="en-GB" w:eastAsia="ja-JP"/>
        </w:rPr>
        <w:t>PARP</w:t>
      </w:r>
      <w:r w:rsidRPr="00107040">
        <w:rPr>
          <w:rFonts w:ascii="Times New Roman" w:eastAsia="MS Mincho" w:hAnsi="Times New Roman"/>
          <w:sz w:val="28"/>
          <w:szCs w:val="28"/>
          <w:lang w:val="ru-RU" w:eastAsia="ja-JP"/>
        </w:rPr>
        <w:t xml:space="preserve"> не загрязнены некоторыми нехарактеризованными бактериальными трансферазами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-рибозы.</w:t>
      </w:r>
    </w:p>
    <w:p w14:paraId="684836DD"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p>
    <w:p w14:paraId="356DA975" w14:textId="77777777" w:rsidR="00AA69DA" w:rsidRPr="00107040" w:rsidRDefault="00AA69DA" w:rsidP="000C16BB">
      <w:pPr>
        <w:spacing w:after="0" w:line="240" w:lineRule="auto"/>
        <w:ind w:firstLine="567"/>
        <w:jc w:val="both"/>
        <w:rPr>
          <w:rFonts w:ascii="Times New Roman" w:eastAsia="MS Mincho" w:hAnsi="Times New Roman"/>
          <w:b/>
          <w:bCs/>
          <w:sz w:val="28"/>
          <w:szCs w:val="28"/>
          <w:lang w:val="ru-RU" w:eastAsia="ja-JP"/>
        </w:rPr>
      </w:pPr>
      <w:r w:rsidRPr="00107040">
        <w:rPr>
          <w:rFonts w:ascii="Times New Roman" w:eastAsia="MS Mincho" w:hAnsi="Times New Roman"/>
          <w:b/>
          <w:bCs/>
          <w:sz w:val="28"/>
          <w:szCs w:val="28"/>
          <w:lang w:val="ru-RU" w:eastAsia="ja-JP"/>
        </w:rPr>
        <w:t>3.4</w:t>
      </w:r>
      <w:r w:rsidRPr="00107040">
        <w:rPr>
          <w:rFonts w:ascii="Times New Roman" w:eastAsia="MS Mincho" w:hAnsi="Times New Roman"/>
          <w:b/>
          <w:bCs/>
          <w:sz w:val="28"/>
          <w:szCs w:val="28"/>
          <w:lang w:val="ru-RU" w:eastAsia="ja-JP"/>
        </w:rPr>
        <w:tab/>
        <w:t xml:space="preserve">Изучение ауто (АДФ)-рибозилирующей активности </w:t>
      </w:r>
      <w:r w:rsidRPr="00107040">
        <w:rPr>
          <w:rFonts w:ascii="Times New Roman" w:eastAsia="MS Mincho" w:hAnsi="Times New Roman"/>
          <w:b/>
          <w:bCs/>
          <w:sz w:val="28"/>
          <w:szCs w:val="28"/>
          <w:lang w:eastAsia="ja-JP"/>
        </w:rPr>
        <w:t>AtPARP</w:t>
      </w:r>
      <w:r w:rsidRPr="00107040">
        <w:rPr>
          <w:rFonts w:ascii="Times New Roman" w:eastAsia="MS Mincho" w:hAnsi="Times New Roman"/>
          <w:b/>
          <w:bCs/>
          <w:sz w:val="28"/>
          <w:szCs w:val="28"/>
          <w:lang w:val="ru-RU" w:eastAsia="ja-JP"/>
        </w:rPr>
        <w:t>2</w:t>
      </w:r>
    </w:p>
    <w:p w14:paraId="4B0AB9EE" w14:textId="4F0412F9"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В зависимости от конкретных конфигураций множественных близко расположенных разрывов цепей ДНК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1-3 млекопитающих может переключать свою субстратную специфичность с белка на ДНК АДФ-рибозилирование </w:t>
      </w:r>
      <w:r w:rsidRPr="00107040">
        <w:rPr>
          <w:rFonts w:ascii="Times New Roman" w:eastAsia="MS Mincho" w:hAnsi="Times New Roman"/>
          <w:sz w:val="28"/>
          <w:szCs w:val="28"/>
          <w:lang w:eastAsia="ja-JP"/>
        </w:rPr>
        <w:fldChar w:fldCharType="begin"/>
      </w:r>
      <w:r w:rsidR="00107040">
        <w:rPr>
          <w:rFonts w:ascii="Times New Roman" w:eastAsia="MS Mincho" w:hAnsi="Times New Roman"/>
          <w:sz w:val="28"/>
          <w:szCs w:val="28"/>
          <w:lang w:val="ru-RU" w:eastAsia="ja-JP"/>
        </w:rPr>
        <w:instrText xml:space="preserve"> ADDIN ZOTERO_ITEM CSL_CITATION {"citationID":"qMmVNQcn","properties":{"formattedCitation":"[393,411]","plainCitation":"[393,411]","dontUpdate":true,"noteIndex":0},"citationItems":[{"id":1322,"uris":["http://zotero.org/users/9078202/items/IRJADZKH"],"itemData":{"id":1322,"type":"article-journal","abstract":"Poly(ADP-ribose) polymerases (PARPs) act as DNA break sensors and catalyze the synthesis of polymers of ADP-ribose (PAR) covalently attached to acceptor proteins at DNA damage sites. It has been demonstrated that both mammalian PARP1 and PARP2 PARylate double-strand break termini in DNA oligonucleotide duplexes in vitro. Here, we show that mammalian PARP2 and PARP3 can PARylate and mono(ADP-ribosyl)ate (MARylate), respectively, 5'- and 3'-terminal phosphate residues at double- and single-strand break termini of a DNA molecule containing multiple strand breaks. PARP3-catalyzed DNA MARylation can be considered a new type of reversible post-replicative DNA modification. According to DNA substrate specificity of PARP3 and PARP2, we propose a putative mechanistic model of PARP-catalyzed strand break-oriented ADP-ribosylation of DNA termini. Notably, PARP-mediated DNA ADP-ribosylation can be more effective than PARPs' auto-ADP-ribosylation depending on the DNA substrates and reaction conditions used. Finally, we show an effective PARP3- or PARP2-catalyzed ADP-ribosylation of high-molecular-weight (</w:instrText>
      </w:r>
      <w:r w:rsidR="00107040">
        <w:rPr>
          <w:rFonts w:ascii="Cambria Math" w:eastAsia="MS Mincho" w:hAnsi="Cambria Math" w:cs="Cambria Math"/>
          <w:sz w:val="28"/>
          <w:szCs w:val="28"/>
          <w:lang w:val="ru-RU" w:eastAsia="ja-JP"/>
        </w:rPr>
        <w:instrText>∼</w:instrText>
      </w:r>
      <w:r w:rsidR="00107040">
        <w:rPr>
          <w:rFonts w:ascii="Times New Roman" w:eastAsia="MS Mincho" w:hAnsi="Times New Roman"/>
          <w:sz w:val="28"/>
          <w:szCs w:val="28"/>
          <w:lang w:val="ru-RU" w:eastAsia="ja-JP"/>
        </w:rPr>
        <w:instrText xml:space="preserve">3-kb) DNA molecules, PARP-mediated DNA PARylation in cell-free extracts and a persisting signal of anti-PAR antibodies in a serially purified genomic DNA from bleomycin-treated poly(ADP-ribose) glycohydrolase-depleted HeLa cells. These results suggest that certain types of complex DNA breaks can be effectively ADP-ribosylated by PARPs in cellular response to DNA damage.","container-title":"Nucleic Acids Research","DOI":"10.1093/nar/gkx1318","ISSN":"1362-4962","issue":"5","journalAbbreviation":"Nucleic Acids Res","language":"eng","note":"PMID: 29361132\nPMCID: PMC5861426","page":"2417-2431","source":"PubMed","title":"Characterization of DNA ADP-ribosyltransferase activities of PARP2 and PARP3: new insights into DNA ADP-ribosylation","title-short":"Characterization of DNA ADP-ribosyltransferase activities of PARP2 and PARP3","volume":"46","author":[{"family":"Zarkovic","given":"Gabriella"},{"family":"Belousova","given":"Ekaterina A."},{"family":"Talhaoui","given":"Ibtissam"},{"family":"Saint-Pierre","given":"Christine"},{"family":"Kutuzov","given":"Mikhail M."},{"family":"Matkarimov","given":"Bakhyt T."},{"family":"Biard","given":"Denis"},{"family":"Gasparutto","given":"Didier"},{"family":"Lavrik","given":"Olga I."},{"family":"Ishchenko","given":"Alexander A."}],"issued":{"date-parts":[["2018",3,16]]}}},{"id":1335,"uris":["http://zotero.org/users/9078202/items/Q4ZZMPJQ"],"itemData":{"id":1335,"type":"article-journal","abstract":"Poly(ADP-ribose) polymerase (PARP) is a multifunctional nuclear zinc finger protein which participates in the immediate response of mammalian cells exposed to DNA damaging agents. Given the complexity of the poly(ADP-ribosylation) reaction, we developed a large-scale screening procedure in Escherichia coli to identify randomly amino acids involved in the various aspects of this mechanism. Random mutations were generated by the polymerase chain reaction in a cDNA sequence covering most of the catalytic domain. Out of 26 individual mutations that diversely inactivated the full-length PARP, 22 were found at conserved positions in the primary structure, and 24 were located in the core domain formed by two beta-sheets containing the active site. Most of the PARP mutants were altered in poly(ADP-ribose) elongation and/or branching. The spatial proximity of some residues involved in chain elongation (E988) and branching (Y986) suggests a proximity or a superposition of these two catalytic sites. Other residues affected in branching were located at the surface of the molecule (R847, E923, G972), indicating that protein-protein contacts are necessary for optimal polymer branching. This screening procedure provides a simple and efficient method to explore further the structure-function relationship of the enzyme.","container-title":"Biochemistry","DOI":"10.1021/bi971055p","ISSN":"0006-2960","issue":"40","journalAbbreviation":"Biochemistry","language":"eng","note":"PMID: 9315851","page":"12147-12154","source":"PubMed","title":"Random mutagenesis of the poly(ADP-ribose) polymerase catalytic domain reveals amino acids involved in polymer branching","volume":"36","author":[{"family":"Rolli","given":"V."},{"family":"O'Farrell","given":"M."},{"family":"Ménissier-de Murcia","given":"J."},{"family":"Murcia","given":"G.","non-dropping-particle":"de"}],"issued":{"date-parts":[["1997",10,7]]}}}],"schema":"https://github.com/citation-style-language/schema/raw/master/csl-citation.json"} </w:instrText>
      </w:r>
      <w:r w:rsidRPr="00107040">
        <w:rPr>
          <w:rFonts w:ascii="Times New Roman" w:eastAsia="MS Mincho" w:hAnsi="Times New Roman"/>
          <w:sz w:val="28"/>
          <w:szCs w:val="28"/>
          <w:lang w:eastAsia="ja-JP"/>
        </w:rPr>
        <w:fldChar w:fldCharType="separate"/>
      </w:r>
      <w:r w:rsidR="00BF4F87" w:rsidRPr="00107040">
        <w:rPr>
          <w:rFonts w:ascii="Times New Roman" w:hAnsi="Times New Roman"/>
          <w:sz w:val="28"/>
          <w:szCs w:val="28"/>
        </w:rPr>
        <w:t>[393</w:t>
      </w:r>
      <w:r w:rsidR="00A96346" w:rsidRPr="00107040">
        <w:rPr>
          <w:rFonts w:ascii="Times New Roman" w:hAnsi="Times New Roman"/>
          <w:sz w:val="28"/>
          <w:szCs w:val="28"/>
          <w:lang w:val="ru-RU"/>
        </w:rPr>
        <w:t xml:space="preserve">; </w:t>
      </w:r>
      <w:r w:rsidR="00BF4F87" w:rsidRPr="00107040">
        <w:rPr>
          <w:rFonts w:ascii="Times New Roman" w:hAnsi="Times New Roman"/>
          <w:sz w:val="28"/>
          <w:szCs w:val="28"/>
        </w:rPr>
        <w:t>411]</w:t>
      </w:r>
      <w:r w:rsidRPr="00107040">
        <w:rPr>
          <w:rFonts w:ascii="Times New Roman" w:eastAsia="MS Mincho" w:hAnsi="Times New Roman"/>
          <w:sz w:val="28"/>
          <w:szCs w:val="28"/>
          <w:lang w:eastAsia="ja-JP"/>
        </w:rPr>
        <w:fldChar w:fldCharType="end"/>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Чтобы</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оценить</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относительную</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эффективность</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аутопарилирования</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белка</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катализируемого</w:t>
      </w:r>
      <w:r w:rsidRPr="00107040">
        <w:rPr>
          <w:rFonts w:ascii="Times New Roman" w:eastAsia="MS Mincho" w:hAnsi="Times New Roman"/>
          <w:sz w:val="28"/>
          <w:szCs w:val="28"/>
          <w:lang w:eastAsia="ja-JP"/>
        </w:rPr>
        <w:t xml:space="preserve"> AtPARP2, </w:t>
      </w:r>
      <w:r w:rsidRPr="00107040">
        <w:rPr>
          <w:rFonts w:ascii="Times New Roman" w:eastAsia="MS Mincho" w:hAnsi="Times New Roman"/>
          <w:sz w:val="28"/>
          <w:szCs w:val="28"/>
          <w:lang w:val="ru-RU" w:eastAsia="ja-JP"/>
        </w:rPr>
        <w:t>по</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сравнению</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с</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ДНК</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АДФ</w:t>
      </w:r>
      <w:r w:rsidRPr="00107040">
        <w:rPr>
          <w:rFonts w:ascii="Times New Roman" w:eastAsia="MS Mincho" w:hAnsi="Times New Roman"/>
          <w:sz w:val="28"/>
          <w:szCs w:val="28"/>
          <w:lang w:eastAsia="ja-JP"/>
        </w:rPr>
        <w:t>-</w:t>
      </w:r>
      <w:r w:rsidRPr="00107040">
        <w:rPr>
          <w:rFonts w:ascii="Times New Roman" w:eastAsia="MS Mincho" w:hAnsi="Times New Roman"/>
          <w:sz w:val="28"/>
          <w:szCs w:val="28"/>
          <w:lang w:val="ru-RU" w:eastAsia="ja-JP"/>
        </w:rPr>
        <w:t>рибозилирования</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активностями</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мы</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использовали</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нерадиоактивный</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холодный</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нефосфорилированный</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имеющий</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разрыв</w:t>
      </w:r>
      <w:r w:rsidRPr="00107040">
        <w:rPr>
          <w:rFonts w:ascii="Times New Roman" w:eastAsia="MS Mincho" w:hAnsi="Times New Roman"/>
          <w:sz w:val="28"/>
          <w:szCs w:val="28"/>
          <w:lang w:eastAsia="ja-JP"/>
        </w:rPr>
        <w:t xml:space="preserve"> 40-</w:t>
      </w:r>
      <w:r w:rsidRPr="00107040">
        <w:rPr>
          <w:rFonts w:ascii="Times New Roman" w:eastAsia="MS Mincho" w:hAnsi="Times New Roman"/>
          <w:sz w:val="28"/>
          <w:szCs w:val="28"/>
          <w:lang w:val="ru-RU" w:eastAsia="ja-JP"/>
        </w:rPr>
        <w:t>мерный</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дуплекс</w:t>
      </w:r>
      <w:r w:rsidRPr="00107040">
        <w:rPr>
          <w:rFonts w:ascii="Times New Roman" w:eastAsia="MS Mincho" w:hAnsi="Times New Roman"/>
          <w:sz w:val="28"/>
          <w:szCs w:val="28"/>
          <w:lang w:eastAsia="ja-JP"/>
        </w:rPr>
        <w:t xml:space="preserve"> ExoA•RexT</w:t>
      </w:r>
      <w:r w:rsidRPr="00107040">
        <w:rPr>
          <w:rFonts w:ascii="Times New Roman" w:eastAsia="MS Mincho" w:hAnsi="Times New Roman"/>
          <w:sz w:val="28"/>
          <w:szCs w:val="28"/>
          <w:vertAlign w:val="superscript"/>
          <w:lang w:eastAsia="ja-JP"/>
        </w:rPr>
        <w:t>nick</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в</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качестве</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кофактора</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и</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холодный</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фосфорилированный</w:t>
      </w:r>
      <w:r w:rsidRPr="00107040">
        <w:rPr>
          <w:rFonts w:ascii="Times New Roman" w:eastAsia="MS Mincho" w:hAnsi="Times New Roman"/>
          <w:sz w:val="28"/>
          <w:szCs w:val="28"/>
          <w:lang w:eastAsia="ja-JP"/>
        </w:rPr>
        <w:t xml:space="preserve"> pExoA•RexT</w:t>
      </w:r>
      <w:r w:rsidRPr="00107040">
        <w:rPr>
          <w:rFonts w:ascii="Times New Roman" w:eastAsia="MS Mincho" w:hAnsi="Times New Roman"/>
          <w:sz w:val="28"/>
          <w:szCs w:val="28"/>
          <w:vertAlign w:val="superscript"/>
          <w:lang w:eastAsia="ja-JP"/>
        </w:rPr>
        <w:t>nick</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дуплекс</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как</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субстрат</w:t>
      </w:r>
      <w:r w:rsidRPr="00107040">
        <w:rPr>
          <w:rFonts w:ascii="Times New Roman" w:eastAsia="MS Mincho" w:hAnsi="Times New Roman"/>
          <w:sz w:val="28"/>
          <w:szCs w:val="28"/>
          <w:lang w:eastAsia="ja-JP"/>
        </w:rPr>
        <w:t xml:space="preserve"> </w:t>
      </w:r>
      <w:r w:rsidRPr="00107040">
        <w:rPr>
          <w:rFonts w:ascii="Times New Roman" w:eastAsia="MS Mincho" w:hAnsi="Times New Roman"/>
          <w:sz w:val="28"/>
          <w:szCs w:val="28"/>
          <w:lang w:val="ru-RU" w:eastAsia="ja-JP"/>
        </w:rPr>
        <w:t>ДНК</w:t>
      </w:r>
      <w:r w:rsidRPr="00107040">
        <w:rPr>
          <w:rFonts w:ascii="Times New Roman" w:eastAsia="MS Mincho" w:hAnsi="Times New Roman"/>
          <w:sz w:val="28"/>
          <w:szCs w:val="28"/>
          <w:lang w:eastAsia="ja-JP"/>
        </w:rPr>
        <w:t>.</w:t>
      </w:r>
      <w:r w:rsidRPr="00107040">
        <w:rPr>
          <w:rFonts w:ascii="Times New Roman" w:eastAsia="MS Mincho" w:hAnsi="Times New Roman"/>
          <w:sz w:val="28"/>
          <w:szCs w:val="28"/>
          <w:lang w:val="kk-KZ" w:eastAsia="ja-JP"/>
        </w:rPr>
        <w:t xml:space="preserve"> Следует отметить, что дуплекс pExoA•RexT</w:t>
      </w:r>
      <w:r w:rsidRPr="00107040">
        <w:rPr>
          <w:rFonts w:ascii="Times New Roman" w:eastAsia="MS Mincho" w:hAnsi="Times New Roman"/>
          <w:sz w:val="28"/>
          <w:szCs w:val="28"/>
          <w:vertAlign w:val="superscript"/>
          <w:lang w:val="kk-KZ" w:eastAsia="ja-JP"/>
        </w:rPr>
        <w:t>nick</w:t>
      </w:r>
      <w:r w:rsidRPr="00107040">
        <w:rPr>
          <w:rFonts w:ascii="Times New Roman" w:eastAsia="MS Mincho" w:hAnsi="Times New Roman"/>
          <w:sz w:val="28"/>
          <w:szCs w:val="28"/>
          <w:lang w:val="kk-KZ" w:eastAsia="ja-JP"/>
        </w:rPr>
        <w:t>, содержащий 5'-фосфорилированный 21-мерный фрагмент, склонен к ковалентному АДФ-рибозилированию человеческими и растительными PARP по 5'-концевому фосфатному остатку, тогда как дуплекс ExoA•RexT</w:t>
      </w:r>
      <w:r w:rsidRPr="00107040">
        <w:rPr>
          <w:rFonts w:ascii="Times New Roman" w:eastAsia="MS Mincho" w:hAnsi="Times New Roman"/>
          <w:sz w:val="28"/>
          <w:szCs w:val="28"/>
          <w:vertAlign w:val="superscript"/>
          <w:lang w:val="kk-KZ" w:eastAsia="ja-JP"/>
        </w:rPr>
        <w:t>nick</w:t>
      </w:r>
      <w:r w:rsidRPr="00107040">
        <w:rPr>
          <w:rFonts w:ascii="Times New Roman" w:eastAsia="MS Mincho" w:hAnsi="Times New Roman"/>
          <w:sz w:val="28"/>
          <w:szCs w:val="28"/>
          <w:lang w:val="kk-KZ" w:eastAsia="ja-JP"/>
        </w:rPr>
        <w:t>, содержащий нефосфорилированный 21-мерный фрагмент не является субстратом для AДФ-рибозилирования с помощью PARP. Важно отметить, что оба ДНК-дуплекса могут активировать ауто-AДФ-рибозилирование PARP млекопитающих и растений. Чтобы избежать образования длинных полимеров ПАР, мы инкубировали 10-кратно молярный избыток дуплексов ДНК (10 мкМ) с AtPARP2 (1 мкМ) в присутствии ограниченного количества радиоактивно меченного [аденилат-</w:t>
      </w:r>
      <w:r w:rsidRPr="00107040">
        <w:rPr>
          <w:rFonts w:ascii="Times New Roman" w:eastAsia="MS Mincho" w:hAnsi="Times New Roman"/>
          <w:sz w:val="28"/>
          <w:szCs w:val="28"/>
          <w:vertAlign w:val="superscript"/>
          <w:lang w:val="kk-KZ" w:eastAsia="ja-JP"/>
        </w:rPr>
        <w:t>32</w:t>
      </w:r>
      <w:r w:rsidRPr="00107040">
        <w:rPr>
          <w:rFonts w:ascii="Times New Roman" w:eastAsia="MS Mincho" w:hAnsi="Times New Roman"/>
          <w:sz w:val="28"/>
          <w:szCs w:val="28"/>
          <w:lang w:val="kk-KZ" w:eastAsia="ja-JP"/>
        </w:rPr>
        <w:t>P] НАД</w:t>
      </w:r>
      <w:r w:rsidRPr="00107040">
        <w:rPr>
          <w:rFonts w:ascii="Times New Roman" w:eastAsia="MS Mincho" w:hAnsi="Times New Roman"/>
          <w:sz w:val="28"/>
          <w:szCs w:val="28"/>
          <w:vertAlign w:val="superscript"/>
          <w:lang w:val="kk-KZ" w:eastAsia="ja-JP"/>
        </w:rPr>
        <w:t>+</w:t>
      </w:r>
      <w:r w:rsidRPr="00107040">
        <w:rPr>
          <w:rFonts w:ascii="Times New Roman" w:eastAsia="MS Mincho" w:hAnsi="Times New Roman"/>
          <w:sz w:val="28"/>
          <w:szCs w:val="28"/>
          <w:lang w:val="kk-KZ" w:eastAsia="ja-JP"/>
        </w:rPr>
        <w:t xml:space="preserve"> (1 мкМ). Мы ожидали, что в этих конкретных условиях реакции AtPARP2 и другие PARP будут способствовать </w:t>
      </w:r>
      <w:r w:rsidRPr="00107040">
        <w:rPr>
          <w:rFonts w:ascii="Times New Roman" w:eastAsia="MS Mincho" w:hAnsi="Times New Roman"/>
          <w:sz w:val="28"/>
          <w:szCs w:val="28"/>
          <w:lang w:val="ru-RU" w:eastAsia="ja-JP"/>
        </w:rPr>
        <w:t>МАР</w:t>
      </w:r>
      <w:r w:rsidRPr="00107040">
        <w:rPr>
          <w:rFonts w:ascii="Times New Roman" w:eastAsia="MS Mincho" w:hAnsi="Times New Roman"/>
          <w:sz w:val="28"/>
          <w:szCs w:val="28"/>
          <w:lang w:val="kk-KZ" w:eastAsia="ja-JP"/>
        </w:rPr>
        <w:t>илированию, а не ПАРилированию белков и ДНК. PARP3 человека использовался в качестве контроля, поскольку при воздействии на дуплекс pExoA•RexT</w:t>
      </w:r>
      <w:r w:rsidRPr="00107040">
        <w:rPr>
          <w:rFonts w:ascii="Times New Roman" w:eastAsia="MS Mincho" w:hAnsi="Times New Roman"/>
          <w:sz w:val="28"/>
          <w:szCs w:val="28"/>
          <w:vertAlign w:val="superscript"/>
          <w:lang w:val="kk-KZ" w:eastAsia="ja-JP"/>
        </w:rPr>
        <w:t>nick</w:t>
      </w:r>
      <w:r w:rsidRPr="00107040">
        <w:rPr>
          <w:rFonts w:ascii="Times New Roman" w:eastAsia="MS Mincho" w:hAnsi="Times New Roman"/>
          <w:sz w:val="28"/>
          <w:szCs w:val="28"/>
          <w:lang w:val="kk-KZ" w:eastAsia="ja-JP"/>
        </w:rPr>
        <w:t xml:space="preserve"> этот фермент переключает свою субстратную специфичность с ауто- на ДНК-</w:t>
      </w:r>
      <w:r w:rsidRPr="00107040">
        <w:rPr>
          <w:rFonts w:ascii="Times New Roman" w:eastAsia="MS Mincho" w:hAnsi="Times New Roman"/>
          <w:sz w:val="28"/>
          <w:szCs w:val="28"/>
          <w:lang w:val="ru-RU" w:eastAsia="ja-JP"/>
        </w:rPr>
        <w:t>МАР</w:t>
      </w:r>
      <w:r w:rsidRPr="00107040">
        <w:rPr>
          <w:rFonts w:ascii="Times New Roman" w:eastAsia="MS Mincho" w:hAnsi="Times New Roman"/>
          <w:sz w:val="28"/>
          <w:szCs w:val="28"/>
          <w:lang w:val="kk-KZ" w:eastAsia="ja-JP"/>
        </w:rPr>
        <w:t xml:space="preserve">илирование </w:t>
      </w:r>
      <w:r w:rsidRPr="00107040">
        <w:rPr>
          <w:rFonts w:ascii="Times New Roman" w:eastAsia="MS Mincho" w:hAnsi="Times New Roman"/>
          <w:sz w:val="28"/>
          <w:szCs w:val="28"/>
          <w:lang w:val="kk-KZ" w:eastAsia="ja-JP"/>
        </w:rPr>
        <w:fldChar w:fldCharType="begin"/>
      </w:r>
      <w:r w:rsidR="00FB5E68">
        <w:rPr>
          <w:rFonts w:ascii="Times New Roman" w:eastAsia="MS Mincho" w:hAnsi="Times New Roman"/>
          <w:sz w:val="28"/>
          <w:szCs w:val="28"/>
          <w:lang w:val="kk-KZ" w:eastAsia="ja-JP"/>
        </w:rPr>
        <w:instrText xml:space="preserve"> ADDIN ZOTERO_ITEM CSL_CITATION {"citationID":"7zwerc3s","properties":{"formattedCitation":"[442]","plainCitation":"[442]","noteIndex":0},"citationItems":[{"id":1322,"uris":["http://zotero.org/users/9078202/items/IRJADZKH"],"itemData":{"id":1322,"type":"article-journal","abstract":"Poly(ADP-ribose) polymerases (PARPs) act as DNA break sensors and catalyze the synthesis of polymers of ADP-ribose (PAR) covalently attached to acceptor proteins at DNA damage sites. It has been demonstrated that both mammalian PARP1 and PARP2 PARylate double-strand break termini in DNA oligonucleotide duplexes in vitro. Here, we show that mammalian PARP2 and PARP3 can PARylate and mono(ADP-ribosyl)ate (MARylate), respectively, 5'- and 3'-terminal phosphate residues at double- and single-strand break termini of a DNA molecule containing multiple strand breaks. PARP3-catalyzed DNA MARylation can be considered a new type of reversible post-replicative DNA modification. According to DNA substrate specificity of PARP3 and PARP2, we propose a putative mechanistic model of PARP-catalyzed strand break-oriented ADP-ribosylation of DNA termini. Notably, PARP-mediated DNA ADP-ribosylation can be more effective than PARPs' auto-ADP-ribosylation depending on the DNA substrates and reaction conditions used. Finally, we show an effective PARP3- or PARP2-catalyzed ADP-ribosylation of high-molecular-weight (</w:instrText>
      </w:r>
      <w:r w:rsidR="00FB5E68">
        <w:rPr>
          <w:rFonts w:ascii="Cambria Math" w:eastAsia="MS Mincho" w:hAnsi="Cambria Math" w:cs="Cambria Math"/>
          <w:sz w:val="28"/>
          <w:szCs w:val="28"/>
          <w:lang w:val="kk-KZ" w:eastAsia="ja-JP"/>
        </w:rPr>
        <w:instrText>∼</w:instrText>
      </w:r>
      <w:r w:rsidR="00FB5E68">
        <w:rPr>
          <w:rFonts w:ascii="Times New Roman" w:eastAsia="MS Mincho" w:hAnsi="Times New Roman"/>
          <w:sz w:val="28"/>
          <w:szCs w:val="28"/>
          <w:lang w:val="kk-KZ" w:eastAsia="ja-JP"/>
        </w:rPr>
        <w:instrText xml:space="preserve">3-kb) DNA molecules, PARP-mediated DNA PARylation in cell-free extracts and a persisting signal of anti-PAR antibodies in a serially purified genomic DNA from bleomycin-treated poly(ADP-ribose) glycohydrolase-depleted HeLa cells. These results suggest that certain types of complex DNA breaks can be effectively ADP-ribosylated by PARPs in cellular response to DNA damage.","container-title":"Nucleic Acids Research","DOI":"10.1093/nar/gkx1318","ISSN":"1362-4962","issue":"5","journalAbbreviation":"Nucleic Acids Res","language":"eng","note":"PMID: 29361132\nPMCID: PMC5861426","page":"2417-2431","source":"PubMed","title":"Characterization of DNA ADP-ribosyltransferase activities of PARP2 and PARP3: new insights into DNA ADP-ribosylation","title-short":"Characterization of DNA ADP-ribosyltransferase activities of PARP2 and PARP3","volume":"46","author":[{"family":"Zarkovic","given":"Gabriella"},{"family":"Belousova","given":"Ekaterina A."},{"family":"Talhaoui","given":"Ibtissam"},{"family":"Saint-Pierre","given":"Christine"},{"family":"Kutuzov","given":"Mikhail M."},{"family":"Matkarimov","given":"Bakhyt T."},{"family":"Biard","given":"Denis"},{"family":"Gasparutto","given":"Didier"},{"family":"Lavrik","given":"Olga I."},{"family":"Ishchenko","given":"Alexander A."}],"issued":{"date-parts":[["2018",3,16]]}}}],"schema":"https://github.com/citation-style-language/schema/raw/master/csl-citation.json"} </w:instrText>
      </w:r>
      <w:r w:rsidRPr="00107040">
        <w:rPr>
          <w:rFonts w:ascii="Times New Roman" w:eastAsia="MS Mincho" w:hAnsi="Times New Roman"/>
          <w:sz w:val="28"/>
          <w:szCs w:val="28"/>
          <w:lang w:val="kk-KZ" w:eastAsia="ja-JP"/>
        </w:rPr>
        <w:fldChar w:fldCharType="separate"/>
      </w:r>
      <w:r w:rsidR="00FB5E68" w:rsidRPr="00FB5E68">
        <w:rPr>
          <w:rFonts w:ascii="Times New Roman" w:hAnsi="Times New Roman"/>
          <w:sz w:val="28"/>
        </w:rPr>
        <w:t>[442]</w:t>
      </w:r>
      <w:r w:rsidRPr="00107040">
        <w:rPr>
          <w:rFonts w:ascii="Times New Roman" w:eastAsia="MS Mincho" w:hAnsi="Times New Roman"/>
          <w:sz w:val="28"/>
          <w:szCs w:val="28"/>
          <w:lang w:val="kk-KZ" w:eastAsia="ja-JP"/>
        </w:rPr>
        <w:fldChar w:fldCharType="end"/>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kk-KZ" w:eastAsia="ja-JP"/>
        </w:rPr>
        <w:t xml:space="preserve"> Однако, если PARP3 действует на нефосфорилированный дуплекс ExoA•RexT</w:t>
      </w:r>
      <w:r w:rsidRPr="00107040">
        <w:rPr>
          <w:rFonts w:ascii="Times New Roman" w:eastAsia="MS Mincho" w:hAnsi="Times New Roman"/>
          <w:sz w:val="28"/>
          <w:szCs w:val="28"/>
          <w:vertAlign w:val="superscript"/>
          <w:lang w:val="kk-KZ" w:eastAsia="ja-JP"/>
        </w:rPr>
        <w:t>nick</w:t>
      </w:r>
      <w:r w:rsidRPr="00107040">
        <w:rPr>
          <w:rFonts w:ascii="Times New Roman" w:eastAsia="MS Mincho" w:hAnsi="Times New Roman"/>
          <w:sz w:val="28"/>
          <w:szCs w:val="28"/>
          <w:lang w:val="kk-KZ" w:eastAsia="ja-JP"/>
        </w:rPr>
        <w:t xml:space="preserve"> в качестве кофактора ДНК, он переключается на ауто-</w:t>
      </w:r>
      <w:r w:rsidRPr="00107040">
        <w:rPr>
          <w:rFonts w:ascii="Times New Roman" w:eastAsia="MS Mincho" w:hAnsi="Times New Roman"/>
          <w:sz w:val="28"/>
          <w:szCs w:val="28"/>
          <w:lang w:val="ru-RU" w:eastAsia="ja-JP"/>
        </w:rPr>
        <w:t>МАР</w:t>
      </w:r>
      <w:r w:rsidRPr="00107040">
        <w:rPr>
          <w:rFonts w:ascii="Times New Roman" w:eastAsia="MS Mincho" w:hAnsi="Times New Roman"/>
          <w:sz w:val="28"/>
          <w:szCs w:val="28"/>
          <w:lang w:val="kk-KZ" w:eastAsia="ja-JP"/>
        </w:rPr>
        <w:t xml:space="preserve">илирование. </w:t>
      </w:r>
    </w:p>
    <w:p w14:paraId="758BC3C9" w14:textId="0C7DC891"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Как показано на </w:t>
      </w:r>
      <w:r w:rsidRPr="00107040">
        <w:rPr>
          <w:rFonts w:ascii="Times New Roman" w:eastAsia="MS Mincho" w:hAnsi="Times New Roman"/>
          <w:sz w:val="28"/>
          <w:szCs w:val="28"/>
          <w:lang w:val="kk-KZ" w:eastAsia="ja-JP"/>
        </w:rPr>
        <w:t>рисунке</w:t>
      </w:r>
      <w:r w:rsidRPr="00107040">
        <w:rPr>
          <w:rFonts w:ascii="Times New Roman" w:eastAsia="MS Mincho" w:hAnsi="Times New Roman"/>
          <w:sz w:val="28"/>
          <w:szCs w:val="28"/>
          <w:lang w:val="ru-RU" w:eastAsia="ja-JP"/>
        </w:rPr>
        <w:t xml:space="preserve"> </w:t>
      </w:r>
      <w:r w:rsidR="00371014">
        <w:rPr>
          <w:rFonts w:ascii="Times New Roman" w:eastAsia="MS Mincho" w:hAnsi="Times New Roman"/>
          <w:sz w:val="28"/>
          <w:szCs w:val="28"/>
          <w:lang w:val="ru-RU" w:eastAsia="ja-JP"/>
        </w:rPr>
        <w:t>30</w:t>
      </w:r>
      <w:r w:rsidRPr="00107040">
        <w:rPr>
          <w:rFonts w:ascii="Times New Roman" w:eastAsia="MS Mincho" w:hAnsi="Times New Roman"/>
          <w:sz w:val="28"/>
          <w:szCs w:val="28"/>
          <w:lang w:val="ru-RU" w:eastAsia="ja-JP"/>
        </w:rPr>
        <w:t xml:space="preserve">, человеческий </w:t>
      </w:r>
      <w:r w:rsidRPr="00107040">
        <w:rPr>
          <w:rFonts w:ascii="Times New Roman" w:eastAsia="MS Mincho" w:hAnsi="Times New Roman"/>
          <w:sz w:val="28"/>
          <w:szCs w:val="28"/>
          <w:lang w:val="en-GB" w:eastAsia="ja-JP"/>
        </w:rPr>
        <w:t>PARP</w:t>
      </w:r>
      <w:r w:rsidRPr="00107040">
        <w:rPr>
          <w:rFonts w:ascii="Times New Roman" w:eastAsia="MS Mincho" w:hAnsi="Times New Roman"/>
          <w:sz w:val="28"/>
          <w:szCs w:val="28"/>
          <w:lang w:val="ru-RU" w:eastAsia="ja-JP"/>
        </w:rPr>
        <w:t xml:space="preserve">3, инкубированный с дуплексом </w:t>
      </w:r>
      <w:r w:rsidRPr="00107040">
        <w:rPr>
          <w:rFonts w:ascii="Times New Roman" w:eastAsia="MS Mincho" w:hAnsi="Times New Roman"/>
          <w:sz w:val="28"/>
          <w:szCs w:val="28"/>
          <w:lang w:val="en-GB" w:eastAsia="ja-JP"/>
        </w:rPr>
        <w:t>pExoA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vertAlign w:val="superscript"/>
          <w:lang w:val="en-GB" w:eastAsia="ja-JP"/>
        </w:rPr>
        <w:t>nick</w:t>
      </w:r>
      <w:r w:rsidRPr="00107040">
        <w:rPr>
          <w:rFonts w:ascii="Times New Roman" w:eastAsia="MS Mincho" w:hAnsi="Times New Roman"/>
          <w:sz w:val="28"/>
          <w:szCs w:val="28"/>
          <w:lang w:val="ru-RU" w:eastAsia="ja-JP"/>
        </w:rPr>
        <w:t xml:space="preserve"> и [аденилат-</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kk-KZ"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генерировал МАРилированный 21-мерный фрагмент </w:t>
      </w:r>
      <w:r w:rsidRPr="00107040">
        <w:rPr>
          <w:rFonts w:ascii="Times New Roman" w:eastAsia="MS Mincho" w:hAnsi="Times New Roman"/>
          <w:sz w:val="28"/>
          <w:szCs w:val="28"/>
          <w:lang w:val="en-GB" w:eastAsia="ja-JP"/>
        </w:rPr>
        <w:t>pExoA</w:t>
      </w:r>
      <w:r w:rsidRPr="00107040">
        <w:rPr>
          <w:rFonts w:ascii="Times New Roman" w:eastAsia="MS Mincho" w:hAnsi="Times New Roman"/>
          <w:sz w:val="28"/>
          <w:szCs w:val="28"/>
          <w:lang w:val="ru-RU" w:eastAsia="ja-JP"/>
        </w:rPr>
        <w:t xml:space="preserve"> (дорожка 7), который мигрировал медленнее, чем маркер размера 21-мер (дорожка 13), тогда как ДНК </w:t>
      </w:r>
      <w:r w:rsidRPr="00107040">
        <w:rPr>
          <w:rFonts w:ascii="Times New Roman" w:eastAsia="MS Mincho" w:hAnsi="Times New Roman"/>
          <w:sz w:val="28"/>
          <w:szCs w:val="28"/>
          <w:lang w:val="en-GB" w:eastAsia="ja-JP"/>
        </w:rPr>
        <w:t>M</w:t>
      </w:r>
      <w:r w:rsidRPr="00107040">
        <w:rPr>
          <w:rFonts w:ascii="Times New Roman" w:eastAsia="MS Mincho" w:hAnsi="Times New Roman"/>
          <w:sz w:val="28"/>
          <w:szCs w:val="28"/>
          <w:lang w:val="kk-KZ" w:eastAsia="ja-JP"/>
        </w:rPr>
        <w:t>АР</w:t>
      </w:r>
      <w:r w:rsidRPr="00107040">
        <w:rPr>
          <w:rFonts w:ascii="Times New Roman" w:eastAsia="MS Mincho" w:hAnsi="Times New Roman"/>
          <w:sz w:val="28"/>
          <w:szCs w:val="28"/>
          <w:lang w:val="ru-RU" w:eastAsia="ja-JP"/>
        </w:rPr>
        <w:t xml:space="preserve">илирование не происходило, когда </w:t>
      </w:r>
      <w:r w:rsidRPr="00107040">
        <w:rPr>
          <w:rFonts w:ascii="Times New Roman" w:eastAsia="MS Mincho" w:hAnsi="Times New Roman"/>
          <w:sz w:val="28"/>
          <w:szCs w:val="28"/>
          <w:lang w:val="en-GB" w:eastAsia="ja-JP"/>
        </w:rPr>
        <w:t>PARP</w:t>
      </w:r>
      <w:r w:rsidRPr="00107040">
        <w:rPr>
          <w:rFonts w:ascii="Times New Roman" w:eastAsia="MS Mincho" w:hAnsi="Times New Roman"/>
          <w:sz w:val="28"/>
          <w:szCs w:val="28"/>
          <w:lang w:val="ru-RU" w:eastAsia="ja-JP"/>
        </w:rPr>
        <w:t xml:space="preserve">3 инкубировали с нефосфорилированным 40-звенным дуплексом с разрывом (дорожка 12). В то время как инкубация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2 с холодным фосфорилированным </w:t>
      </w:r>
      <w:r w:rsidRPr="00107040">
        <w:rPr>
          <w:rFonts w:ascii="Times New Roman" w:eastAsia="MS Mincho" w:hAnsi="Times New Roman"/>
          <w:sz w:val="28"/>
          <w:szCs w:val="28"/>
          <w:lang w:val="en-GB" w:eastAsia="ja-JP"/>
        </w:rPr>
        <w:t>pExoA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vertAlign w:val="superscript"/>
          <w:lang w:val="en-GB" w:eastAsia="ja-JP"/>
        </w:rPr>
        <w:t>nick</w:t>
      </w:r>
      <w:r w:rsidRPr="00107040">
        <w:rPr>
          <w:rFonts w:ascii="Times New Roman" w:eastAsia="MS Mincho" w:hAnsi="Times New Roman"/>
          <w:sz w:val="28"/>
          <w:szCs w:val="28"/>
          <w:lang w:val="ru-RU" w:eastAsia="ja-JP"/>
        </w:rPr>
        <w:t xml:space="preserve"> и радиоактивным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приводила к образованию основной полосы в верхней </w:t>
      </w:r>
      <w:r w:rsidRPr="00107040">
        <w:rPr>
          <w:rFonts w:ascii="Times New Roman" w:eastAsia="MS Mincho" w:hAnsi="Times New Roman"/>
          <w:sz w:val="28"/>
          <w:szCs w:val="28"/>
          <w:lang w:val="ru-RU" w:eastAsia="ja-JP"/>
        </w:rPr>
        <w:lastRenderedPageBreak/>
        <w:t>части геля, мазков и минорные полосы, мигрирующей подобно ПАР</w:t>
      </w:r>
      <w:r w:rsidRPr="00107040">
        <w:rPr>
          <w:rFonts w:ascii="Times New Roman" w:eastAsia="MS Mincho" w:hAnsi="Times New Roman"/>
          <w:sz w:val="28"/>
          <w:szCs w:val="28"/>
          <w:lang w:val="kk-KZ" w:eastAsia="ja-JP"/>
        </w:rPr>
        <w:t>илированному</w:t>
      </w:r>
      <w:r w:rsidRPr="00107040">
        <w:rPr>
          <w:rFonts w:ascii="Times New Roman" w:eastAsia="MS Mincho" w:hAnsi="Times New Roman"/>
          <w:sz w:val="28"/>
          <w:szCs w:val="28"/>
          <w:lang w:val="ru-RU" w:eastAsia="ja-JP"/>
        </w:rPr>
        <w:t xml:space="preserve"> 21-мерному фрагменту </w:t>
      </w:r>
      <w:r w:rsidRPr="00107040">
        <w:rPr>
          <w:rFonts w:ascii="Times New Roman" w:eastAsia="MS Mincho" w:hAnsi="Times New Roman"/>
          <w:sz w:val="28"/>
          <w:szCs w:val="28"/>
          <w:lang w:val="en-GB" w:eastAsia="ja-JP"/>
        </w:rPr>
        <w:t>pExoA</w:t>
      </w:r>
      <w:r w:rsidRPr="00107040">
        <w:rPr>
          <w:rFonts w:ascii="Times New Roman" w:eastAsia="MS Mincho" w:hAnsi="Times New Roman"/>
          <w:sz w:val="28"/>
          <w:szCs w:val="28"/>
          <w:lang w:val="ru-RU" w:eastAsia="ja-JP"/>
        </w:rPr>
        <w:t xml:space="preserve"> (дорожка 3). Образование основной полосы наверху геля указывает на ауто-</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-рибозилирование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тогда как появление размытого и модифицированного 21-мерного фрагмента </w:t>
      </w:r>
      <w:r w:rsidRPr="00107040">
        <w:rPr>
          <w:rFonts w:ascii="Times New Roman" w:eastAsia="MS Mincho" w:hAnsi="Times New Roman"/>
          <w:sz w:val="28"/>
          <w:szCs w:val="28"/>
          <w:lang w:val="en-US" w:eastAsia="ja-JP"/>
        </w:rPr>
        <w:t>pExoA</w:t>
      </w:r>
      <w:r w:rsidRPr="00107040">
        <w:rPr>
          <w:rFonts w:ascii="Times New Roman" w:eastAsia="MS Mincho" w:hAnsi="Times New Roman"/>
          <w:sz w:val="28"/>
          <w:szCs w:val="28"/>
          <w:lang w:val="ru-RU" w:eastAsia="ja-JP"/>
        </w:rPr>
        <w:t xml:space="preserve"> указывает на </w:t>
      </w:r>
      <w:r w:rsidRPr="00107040">
        <w:rPr>
          <w:rFonts w:ascii="Times New Roman" w:eastAsia="MS Mincho" w:hAnsi="Times New Roman"/>
          <w:sz w:val="28"/>
          <w:szCs w:val="28"/>
          <w:lang w:val="kk-KZ" w:eastAsia="ja-JP"/>
        </w:rPr>
        <w:t xml:space="preserve">ПАРилирование </w:t>
      </w:r>
      <w:r w:rsidRPr="00107040">
        <w:rPr>
          <w:rFonts w:ascii="Times New Roman" w:eastAsia="MS Mincho" w:hAnsi="Times New Roman"/>
          <w:sz w:val="28"/>
          <w:szCs w:val="28"/>
          <w:lang w:val="ru-RU" w:eastAsia="ja-JP"/>
        </w:rPr>
        <w:t>и МАР</w:t>
      </w:r>
      <w:r w:rsidRPr="00107040">
        <w:rPr>
          <w:rFonts w:ascii="Times New Roman" w:eastAsia="MS Mincho" w:hAnsi="Times New Roman"/>
          <w:sz w:val="28"/>
          <w:szCs w:val="28"/>
          <w:lang w:val="kk-KZ" w:eastAsia="ja-JP"/>
        </w:rPr>
        <w:t>илирование</w:t>
      </w:r>
      <w:r w:rsidRPr="00107040">
        <w:rPr>
          <w:rFonts w:ascii="Times New Roman" w:eastAsia="MS Mincho" w:hAnsi="Times New Roman"/>
          <w:sz w:val="28"/>
          <w:szCs w:val="28"/>
          <w:lang w:val="ru-RU" w:eastAsia="ja-JP"/>
        </w:rPr>
        <w:t xml:space="preserve"> ДНК, соответственно. В соответствии с этим обработка продуктов реакции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протеиназой К приводила к исчезновению основной полосы и резкому уменьшению размытости, но не к минорной полосе (дорожка 4). Как и ожидалось, обработка ДНКазой </w:t>
      </w:r>
      <w:r w:rsidRPr="00107040">
        <w:rPr>
          <w:rFonts w:ascii="Times New Roman" w:eastAsia="MS Mincho" w:hAnsi="Times New Roman"/>
          <w:sz w:val="28"/>
          <w:szCs w:val="28"/>
          <w:lang w:val="en-US" w:eastAsia="ja-JP"/>
        </w:rPr>
        <w:t>I</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PARG</w:t>
      </w:r>
      <w:r w:rsidRPr="00107040">
        <w:rPr>
          <w:rFonts w:ascii="Times New Roman" w:eastAsia="MS Mincho" w:hAnsi="Times New Roman"/>
          <w:sz w:val="28"/>
          <w:szCs w:val="28"/>
          <w:lang w:val="ru-RU" w:eastAsia="ja-JP"/>
        </w:rPr>
        <w:t xml:space="preserve"> приводила к полному исчезновению минорного МАРилированного 21-мерного фрагмента </w:t>
      </w:r>
      <w:r w:rsidRPr="00107040">
        <w:rPr>
          <w:rFonts w:ascii="Times New Roman" w:eastAsia="MS Mincho" w:hAnsi="Times New Roman"/>
          <w:sz w:val="28"/>
          <w:szCs w:val="28"/>
          <w:lang w:val="en-US" w:eastAsia="ja-JP"/>
        </w:rPr>
        <w:t>pExoA</w:t>
      </w:r>
      <w:r w:rsidRPr="00107040">
        <w:rPr>
          <w:rFonts w:ascii="Times New Roman" w:eastAsia="MS Mincho" w:hAnsi="Times New Roman"/>
          <w:sz w:val="28"/>
          <w:szCs w:val="28"/>
          <w:lang w:val="ru-RU" w:eastAsia="ja-JP"/>
        </w:rPr>
        <w:t xml:space="preserve">, но не основной полосы (дорожки 5 и 6). </w:t>
      </w:r>
    </w:p>
    <w:p w14:paraId="44EF2B96" w14:textId="2667F728" w:rsidR="00B668F8" w:rsidRPr="00107040" w:rsidRDefault="00B668F8" w:rsidP="000C16BB">
      <w:pPr>
        <w:spacing w:after="0" w:line="240" w:lineRule="auto"/>
        <w:ind w:firstLine="567"/>
        <w:jc w:val="both"/>
        <w:rPr>
          <w:rFonts w:ascii="Times New Roman" w:eastAsia="MS Mincho" w:hAnsi="Times New Roman"/>
          <w:sz w:val="28"/>
          <w:szCs w:val="28"/>
          <w:lang w:val="ru-RU" w:eastAsia="ja-JP"/>
        </w:rPr>
      </w:pPr>
    </w:p>
    <w:p w14:paraId="7D816EF4" w14:textId="66BF08D3" w:rsidR="00B668F8" w:rsidRPr="00107040" w:rsidRDefault="00B668F8"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noProof/>
          <w:sz w:val="28"/>
          <w:szCs w:val="28"/>
          <w:lang w:val="ru-RU" w:eastAsia="ru-RU"/>
        </w:rPr>
        <w:drawing>
          <wp:inline distT="0" distB="0" distL="0" distR="0" wp14:anchorId="698A7409" wp14:editId="3ACD082A">
            <wp:extent cx="3714750" cy="4419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14750" cy="4419600"/>
                    </a:xfrm>
                    <a:prstGeom prst="rect">
                      <a:avLst/>
                    </a:prstGeom>
                    <a:noFill/>
                    <a:ln>
                      <a:noFill/>
                    </a:ln>
                  </pic:spPr>
                </pic:pic>
              </a:graphicData>
            </a:graphic>
          </wp:inline>
        </w:drawing>
      </w:r>
    </w:p>
    <w:p w14:paraId="0DE2FE8B" w14:textId="77777777" w:rsidR="00AA69DA" w:rsidRPr="00107040" w:rsidRDefault="00AA69DA" w:rsidP="000C16BB">
      <w:pPr>
        <w:spacing w:after="0" w:line="240" w:lineRule="auto"/>
        <w:ind w:firstLine="567"/>
        <w:jc w:val="center"/>
        <w:rPr>
          <w:rFonts w:ascii="Times New Roman" w:eastAsia="MS Mincho" w:hAnsi="Times New Roman"/>
          <w:sz w:val="28"/>
          <w:szCs w:val="28"/>
          <w:lang w:val="ru-RU" w:eastAsia="ja-JP"/>
        </w:rPr>
      </w:pPr>
    </w:p>
    <w:p w14:paraId="584BCC2C" w14:textId="476C4E22" w:rsidR="00903387" w:rsidRPr="00107040" w:rsidRDefault="00AA69DA"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Рисунок </w:t>
      </w:r>
      <w:r w:rsidR="002A568C">
        <w:rPr>
          <w:rFonts w:ascii="Times New Roman" w:eastAsia="MS Mincho" w:hAnsi="Times New Roman"/>
          <w:sz w:val="28"/>
          <w:szCs w:val="28"/>
          <w:lang w:val="ru-RU" w:eastAsia="ja-JP"/>
        </w:rPr>
        <w:t>30</w:t>
      </w:r>
      <w:r w:rsidRPr="00107040">
        <w:rPr>
          <w:rFonts w:ascii="Times New Roman" w:eastAsia="MS Mincho" w:hAnsi="Times New Roman"/>
          <w:sz w:val="28"/>
          <w:szCs w:val="28"/>
          <w:lang w:val="ru-RU" w:eastAsia="ja-JP"/>
        </w:rPr>
        <w:t xml:space="preserve"> – Сравнение относительной эффективности катализируемого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ауто- и ДНК АДФ-рибозилирования </w:t>
      </w:r>
    </w:p>
    <w:p w14:paraId="6EE49E3B" w14:textId="77777777" w:rsidR="00AA69DA" w:rsidRPr="00107040" w:rsidRDefault="00AA69DA" w:rsidP="000C16BB">
      <w:pPr>
        <w:spacing w:after="0" w:line="240" w:lineRule="auto"/>
        <w:rPr>
          <w:rFonts w:ascii="Times New Roman" w:eastAsia="MS Mincho" w:hAnsi="Times New Roman"/>
          <w:sz w:val="28"/>
          <w:szCs w:val="28"/>
          <w:lang w:val="kk-KZ" w:eastAsia="ja-JP"/>
        </w:rPr>
      </w:pPr>
    </w:p>
    <w:p w14:paraId="53972D00" w14:textId="1D25B43B" w:rsidR="00366063" w:rsidRPr="00107040" w:rsidRDefault="00366063"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Эти результаты </w:t>
      </w:r>
      <w:r w:rsidR="00A96346" w:rsidRPr="00107040">
        <w:rPr>
          <w:rFonts w:ascii="Times New Roman" w:eastAsia="MS Mincho" w:hAnsi="Times New Roman"/>
          <w:sz w:val="28"/>
          <w:szCs w:val="28"/>
          <w:lang w:val="ru-RU" w:eastAsia="ja-JP"/>
        </w:rPr>
        <w:t>позволяют заключить, что</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2 при действии на фосфорилированный разорванный дуплекс может частично переключать свою субстратную специфичность с белка на ДНК, но сохраняет свое предпочтение ауто-</w:t>
      </w:r>
      <w:r w:rsidRPr="00107040">
        <w:rPr>
          <w:rFonts w:ascii="Times New Roman" w:eastAsia="MS Mincho" w:hAnsi="Times New Roman"/>
          <w:sz w:val="28"/>
          <w:szCs w:val="28"/>
          <w:lang w:val="kk-KZ" w:eastAsia="ja-JP"/>
        </w:rPr>
        <w:t>АДФ</w:t>
      </w:r>
      <w:r w:rsidRPr="00107040">
        <w:rPr>
          <w:rFonts w:ascii="Times New Roman" w:eastAsia="MS Mincho" w:hAnsi="Times New Roman"/>
          <w:sz w:val="28"/>
          <w:szCs w:val="28"/>
          <w:lang w:val="ru-RU" w:eastAsia="ja-JP"/>
        </w:rPr>
        <w:t>-рибозилированию</w:t>
      </w:r>
      <w:r w:rsidR="00ED7215" w:rsidRPr="00ED7215">
        <w:rPr>
          <w:rFonts w:ascii="Times New Roman" w:eastAsia="MS Mincho" w:hAnsi="Times New Roman"/>
          <w:sz w:val="28"/>
          <w:szCs w:val="28"/>
          <w:lang w:val="ru-RU" w:eastAsia="ja-JP"/>
        </w:rPr>
        <w:t xml:space="preserve"> </w:t>
      </w:r>
      <w:r w:rsidR="00ED7215">
        <w:rPr>
          <w:rFonts w:ascii="Times New Roman" w:eastAsia="MS Mincho" w:hAnsi="Times New Roman"/>
          <w:sz w:val="28"/>
          <w:szCs w:val="28"/>
          <w:lang w:val="en-US" w:eastAsia="ja-JP"/>
        </w:rPr>
        <w:t>[466]</w:t>
      </w:r>
      <w:r w:rsidRPr="00107040">
        <w:rPr>
          <w:rFonts w:ascii="Times New Roman" w:eastAsia="MS Mincho" w:hAnsi="Times New Roman"/>
          <w:sz w:val="28"/>
          <w:szCs w:val="28"/>
          <w:lang w:val="ru-RU" w:eastAsia="ja-JP"/>
        </w:rPr>
        <w:t>.</w:t>
      </w:r>
    </w:p>
    <w:p w14:paraId="69A644AB" w14:textId="6B35F3DF"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Инкубация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с холодным нефосфорилированным дуплексом </w:t>
      </w:r>
      <w:r w:rsidRPr="00107040">
        <w:rPr>
          <w:rFonts w:ascii="Times New Roman" w:eastAsia="MS Mincho" w:hAnsi="Times New Roman"/>
          <w:sz w:val="28"/>
          <w:szCs w:val="28"/>
          <w:lang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RexT</w:t>
      </w:r>
      <w:r w:rsidRPr="00107040">
        <w:rPr>
          <w:rFonts w:ascii="Times New Roman" w:eastAsia="MS Mincho" w:hAnsi="Times New Roman"/>
          <w:sz w:val="28"/>
          <w:szCs w:val="28"/>
          <w:vertAlign w:val="superscript"/>
          <w:lang w:eastAsia="ja-JP"/>
        </w:rPr>
        <w:t>nick</w:t>
      </w:r>
      <w:r w:rsidRPr="00107040">
        <w:rPr>
          <w:rFonts w:ascii="Times New Roman" w:eastAsia="MS Mincho" w:hAnsi="Times New Roman"/>
          <w:sz w:val="28"/>
          <w:szCs w:val="28"/>
          <w:lang w:val="ru-RU" w:eastAsia="ja-JP"/>
        </w:rPr>
        <w:t xml:space="preserve"> и радиоактивным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привела к образованию основной полосы в верхней части геля и некоторому размазыванию, никаких дискретных полос, </w:t>
      </w:r>
      <w:r w:rsidRPr="00107040">
        <w:rPr>
          <w:rFonts w:ascii="Times New Roman" w:eastAsia="MS Mincho" w:hAnsi="Times New Roman"/>
          <w:sz w:val="28"/>
          <w:szCs w:val="28"/>
          <w:lang w:val="ru-RU" w:eastAsia="ja-JP"/>
        </w:rPr>
        <w:lastRenderedPageBreak/>
        <w:t xml:space="preserve">мигрирующих между 21-мерным фрагментом </w:t>
      </w:r>
      <w:r w:rsidRPr="00107040">
        <w:rPr>
          <w:rFonts w:ascii="Times New Roman" w:eastAsia="MS Mincho" w:hAnsi="Times New Roman"/>
          <w:sz w:val="28"/>
          <w:szCs w:val="28"/>
          <w:lang w:eastAsia="ja-JP"/>
        </w:rPr>
        <w:t>pExoA</w:t>
      </w:r>
      <w:r w:rsidRPr="00107040">
        <w:rPr>
          <w:rFonts w:ascii="Times New Roman" w:eastAsia="MS Mincho" w:hAnsi="Times New Roman"/>
          <w:sz w:val="28"/>
          <w:szCs w:val="28"/>
          <w:lang w:val="ru-RU" w:eastAsia="ja-JP"/>
        </w:rPr>
        <w:t xml:space="preserve"> и верхней частью геля, не наблюдалось (</w:t>
      </w:r>
      <w:r w:rsidRPr="00107040">
        <w:rPr>
          <w:rFonts w:ascii="Times New Roman" w:eastAsia="MS Mincho" w:hAnsi="Times New Roman"/>
          <w:sz w:val="28"/>
          <w:szCs w:val="28"/>
          <w:lang w:val="kk-KZ" w:eastAsia="ja-JP"/>
        </w:rPr>
        <w:t xml:space="preserve">рисунок </w:t>
      </w:r>
      <w:r w:rsidR="002A568C">
        <w:rPr>
          <w:rFonts w:ascii="Times New Roman" w:eastAsia="MS Mincho" w:hAnsi="Times New Roman"/>
          <w:sz w:val="28"/>
          <w:szCs w:val="28"/>
          <w:lang w:val="kk-KZ" w:eastAsia="ja-JP"/>
        </w:rPr>
        <w:t>30</w:t>
      </w:r>
      <w:r w:rsidRPr="00107040">
        <w:rPr>
          <w:rFonts w:ascii="Times New Roman" w:eastAsia="MS Mincho" w:hAnsi="Times New Roman"/>
          <w:sz w:val="28"/>
          <w:szCs w:val="28"/>
          <w:lang w:val="ru-RU" w:eastAsia="ja-JP"/>
        </w:rPr>
        <w:t xml:space="preserve">, дорожка 8). Обработка протеиназой К, но не обработкой ДНКазой </w:t>
      </w:r>
      <w:r w:rsidRPr="00107040">
        <w:rPr>
          <w:rFonts w:ascii="Times New Roman" w:eastAsia="MS Mincho" w:hAnsi="Times New Roman"/>
          <w:sz w:val="28"/>
          <w:szCs w:val="28"/>
          <w:lang w:eastAsia="ja-JP"/>
        </w:rPr>
        <w:t>I</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eastAsia="ja-JP"/>
        </w:rPr>
        <w:t>PARG</w:t>
      </w:r>
      <w:r w:rsidRPr="00107040">
        <w:rPr>
          <w:rFonts w:ascii="Times New Roman" w:eastAsia="MS Mincho" w:hAnsi="Times New Roman"/>
          <w:sz w:val="28"/>
          <w:szCs w:val="28"/>
          <w:lang w:val="ru-RU" w:eastAsia="ja-JP"/>
        </w:rPr>
        <w:t>, приводила к полной потере основной полосы, что свидетельствует об ауто-</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ДФ-рибозилировании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(дорожки 9 против 10-11). Примечательно, что обработка </w:t>
      </w:r>
      <w:r w:rsidRPr="00107040">
        <w:rPr>
          <w:rFonts w:ascii="Times New Roman" w:eastAsia="MS Mincho" w:hAnsi="Times New Roman"/>
          <w:sz w:val="28"/>
          <w:szCs w:val="28"/>
          <w:lang w:eastAsia="ja-JP"/>
        </w:rPr>
        <w:t>PARG</w:t>
      </w:r>
      <w:r w:rsidRPr="00107040">
        <w:rPr>
          <w:rFonts w:ascii="Times New Roman" w:eastAsia="MS Mincho" w:hAnsi="Times New Roman"/>
          <w:sz w:val="28"/>
          <w:szCs w:val="28"/>
          <w:lang w:val="ru-RU" w:eastAsia="ja-JP"/>
        </w:rPr>
        <w:t xml:space="preserve"> привела к значительному уменьшению верхней полосы и размытости, что свидетельствует о присутствии ПАРилированного белка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и свободного полимера ПАР (дорожка 11). Взятые вместе, эти результаты убедительно свидетельствуют о том, что фрагменты ДНК, содержащие несколько близко расположенных концов фосфорилированных разрывов цепи, склонны к ковалентным модификациям с помощью белков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 растений.  </w:t>
      </w:r>
    </w:p>
    <w:p w14:paraId="2AA55500"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Таким образом, нами показано, что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2 растений может приобретать дополнительную субстратную специфичность при воздействии на 5</w:t>
      </w:r>
      <w:r w:rsidRPr="00107040">
        <w:rPr>
          <w:rFonts w:ascii="Times New Roman" w:eastAsia="MS Mincho" w:hAnsi="Times New Roman"/>
          <w:sz w:val="28"/>
          <w:szCs w:val="28"/>
          <w:lang w:val="kk-KZ" w:eastAsia="ja-JP"/>
        </w:rPr>
        <w:t>'</w:t>
      </w:r>
      <w:r w:rsidRPr="00107040">
        <w:rPr>
          <w:rFonts w:ascii="Times New Roman" w:eastAsia="MS Mincho" w:hAnsi="Times New Roman"/>
          <w:sz w:val="28"/>
          <w:szCs w:val="28"/>
          <w:lang w:val="ru-RU" w:eastAsia="ja-JP"/>
        </w:rPr>
        <w:t xml:space="preserve">-фосфорилированный дуплекс ДНК с разрывом. В отличие от человеческого </w:t>
      </w:r>
      <w:r w:rsidRPr="00107040">
        <w:rPr>
          <w:rFonts w:ascii="Times New Roman" w:eastAsia="MS Mincho" w:hAnsi="Times New Roman"/>
          <w:sz w:val="28"/>
          <w:szCs w:val="28"/>
          <w:lang w:val="en-GB" w:eastAsia="ja-JP"/>
        </w:rPr>
        <w:t>PARP</w:t>
      </w:r>
      <w:r w:rsidRPr="00107040">
        <w:rPr>
          <w:rFonts w:ascii="Times New Roman" w:eastAsia="MS Mincho" w:hAnsi="Times New Roman"/>
          <w:sz w:val="28"/>
          <w:szCs w:val="28"/>
          <w:lang w:val="ru-RU" w:eastAsia="ja-JP"/>
        </w:rPr>
        <w:t xml:space="preserve">3,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2 не полностью переключался с ауто- на ДНК-АДФ-рибозилирование при воздействии на свой предпочтительный ДНК-субстрат, но продолжал действовать на оба субстрата: белок и ДНК, с предпочтением первому. В используемых экспериментальных условиях нефосфорилированный дуплекс ДНК с разрывами активирует ауто-</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-рибозилирование, катализируемое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2, в той же степени, что и фосфорилированное. Возможно, что определенная конфигурация концов фосфорилированных разрывов цепи в ДНК-субстрате, не исследованная в этой работе, дала бы возможность более выраженного переключения с ауто- на ДНК АДФ-рибозилирования растенительной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2. Важно отметить, что, подобно </w:t>
      </w:r>
      <w:r w:rsidRPr="00107040">
        <w:rPr>
          <w:rFonts w:ascii="Times New Roman" w:eastAsia="MS Mincho" w:hAnsi="Times New Roman"/>
          <w:sz w:val="28"/>
          <w:szCs w:val="28"/>
          <w:lang w:val="en-GB" w:eastAsia="ja-JP"/>
        </w:rPr>
        <w:t>PARP</w:t>
      </w:r>
      <w:r w:rsidRPr="00107040">
        <w:rPr>
          <w:rFonts w:ascii="Times New Roman" w:eastAsia="MS Mincho" w:hAnsi="Times New Roman"/>
          <w:sz w:val="28"/>
          <w:szCs w:val="28"/>
          <w:lang w:val="ru-RU" w:eastAsia="ja-JP"/>
        </w:rPr>
        <w:t xml:space="preserve"> млекопитающих, активность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-рибозилирования ДНК растения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2 не ограничивается короткими дуплексными олигонуклеотидами, но также эффективна в отношении разрывов цепей в пределах высокомолекулярной линейной плазмидной ДНК, что свидетельствует о хромосомном контексте ковалентной модификации ДНК растений. </w:t>
      </w:r>
    </w:p>
    <w:p w14:paraId="23BAA4AA" w14:textId="77777777" w:rsidR="00AA69DA" w:rsidRPr="00107040" w:rsidRDefault="00AA69DA" w:rsidP="000C16BB">
      <w:pPr>
        <w:spacing w:after="0" w:line="240" w:lineRule="auto"/>
        <w:jc w:val="both"/>
        <w:rPr>
          <w:rFonts w:ascii="Times New Roman" w:eastAsia="MS Mincho" w:hAnsi="Times New Roman"/>
          <w:sz w:val="28"/>
          <w:szCs w:val="28"/>
          <w:lang w:val="ru-RU" w:eastAsia="ja-JP"/>
        </w:rPr>
      </w:pPr>
    </w:p>
    <w:p w14:paraId="4A4BC20F" w14:textId="77777777" w:rsidR="00AA69DA" w:rsidRPr="00107040" w:rsidRDefault="00AA69DA" w:rsidP="000C16BB">
      <w:pPr>
        <w:tabs>
          <w:tab w:val="left" w:pos="0"/>
          <w:tab w:val="left" w:pos="851"/>
        </w:tabs>
        <w:autoSpaceDE w:val="0"/>
        <w:autoSpaceDN w:val="0"/>
        <w:adjustRightInd w:val="0"/>
        <w:spacing w:after="0" w:line="240" w:lineRule="auto"/>
        <w:ind w:firstLine="567"/>
        <w:jc w:val="both"/>
        <w:rPr>
          <w:rFonts w:ascii="Times New Roman" w:eastAsia="MS Mincho" w:hAnsi="Times New Roman"/>
          <w:b/>
          <w:bCs/>
          <w:sz w:val="28"/>
          <w:szCs w:val="28"/>
          <w:lang w:val="ru-RU" w:eastAsia="ja-JP"/>
        </w:rPr>
      </w:pPr>
      <w:r w:rsidRPr="00107040">
        <w:rPr>
          <w:rFonts w:ascii="Times New Roman" w:eastAsia="MS Mincho" w:hAnsi="Times New Roman"/>
          <w:b/>
          <w:bCs/>
          <w:sz w:val="28"/>
          <w:szCs w:val="28"/>
          <w:lang w:val="ru-RU" w:eastAsia="ja-JP"/>
        </w:rPr>
        <w:t xml:space="preserve">3.5 Анализ структуры и состава ПАР–ДНК аддуктов обработкой разными ферментами и идентификация их природы с помощью </w:t>
      </w:r>
      <w:r w:rsidRPr="00107040">
        <w:rPr>
          <w:rFonts w:ascii="Times New Roman" w:eastAsia="MS Mincho" w:hAnsi="Times New Roman"/>
          <w:b/>
          <w:bCs/>
          <w:sz w:val="28"/>
          <w:szCs w:val="28"/>
          <w:lang w:eastAsia="ja-JP"/>
        </w:rPr>
        <w:t>MALDI</w:t>
      </w:r>
      <w:r w:rsidRPr="00107040">
        <w:rPr>
          <w:rFonts w:ascii="Times New Roman" w:eastAsia="MS Mincho" w:hAnsi="Times New Roman"/>
          <w:b/>
          <w:bCs/>
          <w:sz w:val="28"/>
          <w:szCs w:val="28"/>
          <w:lang w:val="ru-RU" w:eastAsia="ja-JP"/>
        </w:rPr>
        <w:t>-</w:t>
      </w:r>
      <w:r w:rsidRPr="00107040">
        <w:rPr>
          <w:rFonts w:ascii="Times New Roman" w:eastAsia="MS Mincho" w:hAnsi="Times New Roman"/>
          <w:b/>
          <w:bCs/>
          <w:sz w:val="28"/>
          <w:szCs w:val="28"/>
          <w:lang w:eastAsia="ja-JP"/>
        </w:rPr>
        <w:t>TOF</w:t>
      </w:r>
      <w:r w:rsidRPr="00107040">
        <w:rPr>
          <w:rFonts w:ascii="Times New Roman" w:eastAsia="MS Mincho" w:hAnsi="Times New Roman"/>
          <w:b/>
          <w:bCs/>
          <w:sz w:val="28"/>
          <w:szCs w:val="28"/>
          <w:lang w:val="ru-RU" w:eastAsia="ja-JP"/>
        </w:rPr>
        <w:t xml:space="preserve"> </w:t>
      </w:r>
      <w:r w:rsidRPr="00107040">
        <w:rPr>
          <w:rFonts w:ascii="Times New Roman" w:eastAsia="MS Mincho" w:hAnsi="Times New Roman"/>
          <w:b/>
          <w:bCs/>
          <w:sz w:val="28"/>
          <w:szCs w:val="28"/>
          <w:lang w:eastAsia="ja-JP"/>
        </w:rPr>
        <w:t>MS</w:t>
      </w:r>
      <w:r w:rsidRPr="00107040">
        <w:rPr>
          <w:rFonts w:ascii="Times New Roman" w:eastAsia="MS Mincho" w:hAnsi="Times New Roman"/>
          <w:b/>
          <w:bCs/>
          <w:sz w:val="28"/>
          <w:szCs w:val="28"/>
          <w:lang w:val="ru-RU" w:eastAsia="ja-JP"/>
        </w:rPr>
        <w:t xml:space="preserve"> </w:t>
      </w:r>
    </w:p>
    <w:p w14:paraId="57608B0C" w14:textId="0D2ABA5E" w:rsidR="00AA69DA" w:rsidRPr="00107040" w:rsidRDefault="00AA69DA" w:rsidP="000C16BB">
      <w:pPr>
        <w:tabs>
          <w:tab w:val="left" w:pos="0"/>
          <w:tab w:val="left" w:pos="851"/>
        </w:tabs>
        <w:autoSpaceDE w:val="0"/>
        <w:autoSpaceDN w:val="0"/>
        <w:adjustRightInd w:val="0"/>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Поли</w:t>
      </w:r>
      <w:r w:rsidR="00366063"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 xml:space="preserve">(АДФ)рибозилирование, ковалентное присоединение полимера АДФ-рибозы к белкам, катализируемое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 ферментами в ответ на повреждение ДНК, – одна из ключевых посттрансляционных модификаций белков, вовлеченная, в том числе, в регуляцию процессов репарации ДНК. Первая АДФ рибоза связывается с аминокислотой акцепторного белка за счет 2′,1″ -</w:t>
      </w:r>
      <w:r w:rsidRPr="00107040">
        <w:rPr>
          <w:rFonts w:ascii="Times New Roman" w:eastAsia="MS Mincho" w:hAnsi="Times New Roman"/>
          <w:sz w:val="28"/>
          <w:szCs w:val="28"/>
          <w:lang w:eastAsia="ja-JP"/>
        </w:rPr>
        <w:t>O</w:t>
      </w:r>
      <w:r w:rsidRPr="00107040">
        <w:rPr>
          <w:rFonts w:ascii="Times New Roman" w:eastAsia="MS Mincho" w:hAnsi="Times New Roman"/>
          <w:sz w:val="28"/>
          <w:szCs w:val="28"/>
          <w:lang w:val="ru-RU" w:eastAsia="ja-JP"/>
        </w:rPr>
        <w:t xml:space="preserve">-гликозидные связи. В последующем каждая 2'-гидроксильная группа молекулы АДФ-рибозы служит акцептором для присоединения следующей </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ДФ-рибозы (рисунок </w:t>
      </w:r>
      <w:r w:rsidR="002A568C">
        <w:rPr>
          <w:rFonts w:ascii="Times New Roman" w:eastAsia="MS Mincho" w:hAnsi="Times New Roman"/>
          <w:sz w:val="28"/>
          <w:szCs w:val="28"/>
          <w:lang w:val="ru-RU" w:eastAsia="ja-JP"/>
        </w:rPr>
        <w:t>31</w:t>
      </w:r>
      <w:r w:rsidRPr="00107040">
        <w:rPr>
          <w:rFonts w:ascii="Times New Roman" w:eastAsia="MS Mincho" w:hAnsi="Times New Roman"/>
          <w:sz w:val="28"/>
          <w:szCs w:val="28"/>
          <w:lang w:val="ru-RU" w:eastAsia="ja-JP"/>
        </w:rPr>
        <w:t>А). Нами показано, что наиболее предпочтительным субстратом для А</w:t>
      </w:r>
      <w:r w:rsidRPr="00107040">
        <w:rPr>
          <w:rFonts w:ascii="Times New Roman" w:eastAsia="MS Mincho" w:hAnsi="Times New Roman"/>
          <w:sz w:val="28"/>
          <w:szCs w:val="28"/>
          <w:lang w:eastAsia="ja-JP"/>
        </w:rPr>
        <w:t>tPARP</w:t>
      </w:r>
      <w:r w:rsidRPr="00107040">
        <w:rPr>
          <w:rFonts w:ascii="Times New Roman" w:eastAsia="MS Mincho" w:hAnsi="Times New Roman"/>
          <w:sz w:val="28"/>
          <w:szCs w:val="28"/>
          <w:lang w:val="ru-RU" w:eastAsia="ja-JP"/>
        </w:rPr>
        <w:t>2 и А</w:t>
      </w:r>
      <w:r w:rsidRPr="00107040">
        <w:rPr>
          <w:rFonts w:ascii="Times New Roman" w:eastAsia="MS Mincho" w:hAnsi="Times New Roman"/>
          <w:sz w:val="28"/>
          <w:szCs w:val="28"/>
          <w:lang w:eastAsia="ja-JP"/>
        </w:rPr>
        <w:t>tPARP</w:t>
      </w:r>
      <w:r w:rsidRPr="00107040">
        <w:rPr>
          <w:rFonts w:ascii="Times New Roman" w:eastAsia="MS Mincho" w:hAnsi="Times New Roman"/>
          <w:sz w:val="28"/>
          <w:szCs w:val="28"/>
          <w:lang w:val="ru-RU" w:eastAsia="ja-JP"/>
        </w:rPr>
        <w:t xml:space="preserve">1 в реакции АДФ-рибозилирования ДНК является ДНК-дуплекс, содержащий фосфатную группу на 5'-конце. Соответственно, мы предположили, что концевые фосфатные остатки, могут служить в качестве </w:t>
      </w:r>
      <w:r w:rsidRPr="00107040">
        <w:rPr>
          <w:rFonts w:ascii="Times New Roman" w:eastAsia="MS Mincho" w:hAnsi="Times New Roman"/>
          <w:sz w:val="28"/>
          <w:szCs w:val="28"/>
          <w:lang w:val="ru-RU" w:eastAsia="ja-JP"/>
        </w:rPr>
        <w:lastRenderedPageBreak/>
        <w:t>акцептора для инициации А</w:t>
      </w:r>
      <w:r w:rsidRPr="00107040">
        <w:rPr>
          <w:rFonts w:ascii="Times New Roman" w:eastAsia="MS Mincho" w:hAnsi="Times New Roman"/>
          <w:sz w:val="28"/>
          <w:szCs w:val="28"/>
          <w:lang w:eastAsia="ja-JP"/>
        </w:rPr>
        <w:t>tPARP</w:t>
      </w:r>
      <w:r w:rsidRPr="00107040">
        <w:rPr>
          <w:rFonts w:ascii="Times New Roman" w:eastAsia="MS Mincho" w:hAnsi="Times New Roman"/>
          <w:sz w:val="28"/>
          <w:szCs w:val="28"/>
          <w:lang w:val="ru-RU" w:eastAsia="ja-JP"/>
        </w:rPr>
        <w:t>2-зависимого удлинения АДФ -рибозной цепочки.</w:t>
      </w:r>
    </w:p>
    <w:p w14:paraId="2DC31DC8"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Чтобы проверить эту гипотезу, мы по отдельности инкубировали А</w:t>
      </w:r>
      <w:r w:rsidRPr="00107040">
        <w:rPr>
          <w:rFonts w:ascii="Times New Roman" w:eastAsia="MS Mincho" w:hAnsi="Times New Roman"/>
          <w:sz w:val="28"/>
          <w:szCs w:val="28"/>
          <w:lang w:eastAsia="ja-JP"/>
        </w:rPr>
        <w:t>tPARP</w:t>
      </w:r>
      <w:r w:rsidRPr="00107040">
        <w:rPr>
          <w:rFonts w:ascii="Times New Roman" w:eastAsia="MS Mincho" w:hAnsi="Times New Roman"/>
          <w:sz w:val="28"/>
          <w:szCs w:val="28"/>
          <w:lang w:val="ru-RU" w:eastAsia="ja-JP"/>
        </w:rPr>
        <w:t>1 и А</w:t>
      </w:r>
      <w:r w:rsidRPr="00107040">
        <w:rPr>
          <w:rFonts w:ascii="Times New Roman" w:eastAsia="MS Mincho" w:hAnsi="Times New Roman"/>
          <w:sz w:val="28"/>
          <w:szCs w:val="28"/>
          <w:lang w:eastAsia="ja-JP"/>
        </w:rPr>
        <w:t>tPARP</w:t>
      </w:r>
      <w:r w:rsidRPr="00107040">
        <w:rPr>
          <w:rFonts w:ascii="Times New Roman" w:eastAsia="MS Mincho" w:hAnsi="Times New Roman"/>
          <w:sz w:val="28"/>
          <w:szCs w:val="28"/>
          <w:lang w:val="ru-RU" w:eastAsia="ja-JP"/>
        </w:rPr>
        <w:t>2 в присутствии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меченых ДНК дуплексов и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а затем обрабатывали продукты реакции различными ферментами, включая: </w:t>
      </w:r>
    </w:p>
    <w:p w14:paraId="315A5401" w14:textId="76C2C2CB" w:rsidR="00AA69DA" w:rsidRPr="00107040" w:rsidRDefault="00AA69DA" w:rsidP="00347CA9">
      <w:pPr>
        <w:numPr>
          <w:ilvl w:val="0"/>
          <w:numId w:val="2"/>
        </w:numPr>
        <w:spacing w:after="0" w:line="240" w:lineRule="auto"/>
        <w:ind w:left="567" w:firstLine="567"/>
        <w:contextualSpacing/>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 ПАР гликогидролаза (</w:t>
      </w:r>
      <w:bookmarkStart w:id="81" w:name="_Hlk78409193"/>
      <w:r w:rsidRPr="00107040">
        <w:rPr>
          <w:rFonts w:ascii="Times New Roman" w:eastAsia="MS Mincho" w:hAnsi="Times New Roman"/>
          <w:sz w:val="28"/>
          <w:szCs w:val="28"/>
          <w:lang w:eastAsia="ja-JP"/>
        </w:rPr>
        <w:t>PARG</w:t>
      </w:r>
      <w:r w:rsidRPr="00107040">
        <w:rPr>
          <w:rFonts w:ascii="Times New Roman" w:eastAsia="MS Mincho" w:hAnsi="Times New Roman"/>
          <w:sz w:val="28"/>
          <w:szCs w:val="28"/>
          <w:lang w:val="ru-RU" w:eastAsia="ja-JP"/>
        </w:rPr>
        <w:t>)</w:t>
      </w:r>
      <w:bookmarkEnd w:id="81"/>
      <w:r w:rsidRPr="00107040">
        <w:rPr>
          <w:rFonts w:ascii="Times New Roman" w:eastAsia="MS Mincho" w:hAnsi="Times New Roman"/>
          <w:sz w:val="28"/>
          <w:szCs w:val="28"/>
          <w:lang w:val="ru-RU" w:eastAsia="ja-JP"/>
        </w:rPr>
        <w:t xml:space="preserve">, которая гидролизует </w:t>
      </w:r>
      <w:r w:rsidRPr="00107040">
        <w:rPr>
          <w:rFonts w:ascii="Times New Roman" w:eastAsia="MS Mincho" w:hAnsi="Times New Roman"/>
          <w:sz w:val="28"/>
          <w:szCs w:val="28"/>
          <w:lang w:eastAsia="ja-JP"/>
        </w:rPr>
        <w:t>O</w:t>
      </w:r>
      <w:r w:rsidRPr="00107040">
        <w:rPr>
          <w:rFonts w:ascii="Times New Roman" w:eastAsia="MS Mincho" w:hAnsi="Times New Roman"/>
          <w:sz w:val="28"/>
          <w:szCs w:val="28"/>
          <w:lang w:val="ru-RU" w:eastAsia="ja-JP"/>
        </w:rPr>
        <w:t xml:space="preserve">-гликозидные (1″→2′) связи рибоза-рибоза в полимерах ПАР с образованием мономерной </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ДФ-рибозы (рисунок 3</w:t>
      </w:r>
      <w:r w:rsidR="00371014">
        <w:rPr>
          <w:rFonts w:ascii="Times New Roman" w:eastAsia="MS Mincho" w:hAnsi="Times New Roman"/>
          <w:sz w:val="28"/>
          <w:szCs w:val="28"/>
          <w:lang w:val="ru-RU" w:eastAsia="ja-JP"/>
        </w:rPr>
        <w:t>1</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  </w:t>
      </w:r>
    </w:p>
    <w:p w14:paraId="715575BD" w14:textId="77777777" w:rsidR="00AA69DA" w:rsidRPr="00107040" w:rsidRDefault="00AA69DA" w:rsidP="00347CA9">
      <w:pPr>
        <w:numPr>
          <w:ilvl w:val="0"/>
          <w:numId w:val="2"/>
        </w:numPr>
        <w:spacing w:after="0" w:line="240" w:lineRule="auto"/>
        <w:ind w:left="567" w:firstLine="567"/>
        <w:contextualSpacing/>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щелочная фосфатаза из кишечника теленка (</w:t>
      </w:r>
      <w:r w:rsidRPr="00107040">
        <w:rPr>
          <w:rFonts w:ascii="Times New Roman" w:eastAsia="MS Mincho" w:hAnsi="Times New Roman"/>
          <w:sz w:val="28"/>
          <w:szCs w:val="28"/>
          <w:lang w:eastAsia="ja-JP"/>
        </w:rPr>
        <w:t>CIP</w:t>
      </w:r>
      <w:r w:rsidRPr="00107040">
        <w:rPr>
          <w:rFonts w:ascii="Times New Roman" w:eastAsia="MS Mincho" w:hAnsi="Times New Roman"/>
          <w:sz w:val="28"/>
          <w:szCs w:val="28"/>
          <w:lang w:val="ru-RU" w:eastAsia="ja-JP"/>
        </w:rPr>
        <w:t xml:space="preserve">), которая удаляет фосфатные группы с 5′ и 3′ концов разрывов цепи ДНК; </w:t>
      </w:r>
    </w:p>
    <w:p w14:paraId="7692C985" w14:textId="30D55A45" w:rsidR="00AA69DA" w:rsidRPr="00107040" w:rsidRDefault="00AA69DA" w:rsidP="00347CA9">
      <w:pPr>
        <w:numPr>
          <w:ilvl w:val="0"/>
          <w:numId w:val="2"/>
        </w:numPr>
        <w:spacing w:after="0" w:line="240" w:lineRule="auto"/>
        <w:ind w:left="567" w:firstLine="567"/>
        <w:contextualSpacing/>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фосфодиэстераза 1 змеиного яда (</w:t>
      </w:r>
      <w:r w:rsidRPr="00107040">
        <w:rPr>
          <w:rFonts w:ascii="Times New Roman" w:eastAsia="MS Mincho" w:hAnsi="Times New Roman"/>
          <w:sz w:val="28"/>
          <w:szCs w:val="28"/>
          <w:lang w:eastAsia="ja-JP"/>
        </w:rPr>
        <w:t>SVPDE</w:t>
      </w:r>
      <w:r w:rsidRPr="00107040">
        <w:rPr>
          <w:rFonts w:ascii="Times New Roman" w:eastAsia="MS Mincho" w:hAnsi="Times New Roman"/>
          <w:sz w:val="28"/>
          <w:szCs w:val="28"/>
          <w:lang w:val="ru-RU" w:eastAsia="ja-JP"/>
        </w:rPr>
        <w:t xml:space="preserve">1), которая расщепляет ДНК в направлении 3'→5' с образованием </w:t>
      </w:r>
      <w:r w:rsidRPr="00107040">
        <w:rPr>
          <w:rFonts w:ascii="Times New Roman" w:eastAsia="MS Mincho" w:hAnsi="Times New Roman"/>
          <w:sz w:val="28"/>
          <w:szCs w:val="28"/>
          <w:lang w:eastAsia="ja-JP"/>
        </w:rPr>
        <w:t>dNMP</w:t>
      </w:r>
      <w:r w:rsidRPr="00107040">
        <w:rPr>
          <w:rFonts w:ascii="Times New Roman" w:eastAsia="MS Mincho" w:hAnsi="Times New Roman"/>
          <w:sz w:val="28"/>
          <w:szCs w:val="28"/>
          <w:lang w:val="ru-RU" w:eastAsia="ja-JP"/>
        </w:rPr>
        <w:t xml:space="preserve"> и расщепляет пирофосфатные связи в полимере ПАР с образованием 2'-(5''-фосфорибозил)-5'-аденозин монофосфатное (</w:t>
      </w:r>
      <w:r w:rsidRPr="00107040">
        <w:rPr>
          <w:rFonts w:ascii="Times New Roman" w:eastAsia="MS Mincho" w:hAnsi="Times New Roman"/>
          <w:sz w:val="28"/>
          <w:szCs w:val="28"/>
          <w:lang w:eastAsia="ja-JP"/>
        </w:rPr>
        <w:t>pRib</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AMP</w:t>
      </w:r>
      <w:r w:rsidRPr="00107040">
        <w:rPr>
          <w:rFonts w:ascii="Times New Roman" w:eastAsia="MS Mincho" w:hAnsi="Times New Roman"/>
          <w:sz w:val="28"/>
          <w:szCs w:val="28"/>
          <w:lang w:val="ru-RU" w:eastAsia="ja-JP"/>
        </w:rPr>
        <w:t>) соединение в качестве конечного продукта (рисунок 3</w:t>
      </w:r>
      <w:r w:rsidR="00371014">
        <w:rPr>
          <w:rFonts w:ascii="Times New Roman" w:eastAsia="MS Mincho" w:hAnsi="Times New Roman"/>
          <w:sz w:val="28"/>
          <w:szCs w:val="28"/>
          <w:lang w:val="ru-RU" w:eastAsia="ja-JP"/>
        </w:rPr>
        <w:t>1</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  </w:t>
      </w:r>
    </w:p>
    <w:p w14:paraId="7849E8E0" w14:textId="77777777" w:rsidR="00AA69DA" w:rsidRPr="00107040" w:rsidRDefault="00AA69DA" w:rsidP="00347CA9">
      <w:pPr>
        <w:numPr>
          <w:ilvl w:val="0"/>
          <w:numId w:val="2"/>
        </w:numPr>
        <w:spacing w:after="0" w:line="240" w:lineRule="auto"/>
        <w:ind w:left="567" w:firstLine="567"/>
        <w:contextualSpacing/>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дезоксирибонуклеаза </w:t>
      </w:r>
      <w:r w:rsidRPr="00107040">
        <w:rPr>
          <w:rFonts w:ascii="Times New Roman" w:eastAsia="MS Mincho" w:hAnsi="Times New Roman"/>
          <w:sz w:val="28"/>
          <w:szCs w:val="28"/>
          <w:lang w:eastAsia="ja-JP"/>
        </w:rPr>
        <w:t>I</w:t>
      </w:r>
      <w:r w:rsidRPr="00107040">
        <w:rPr>
          <w:rFonts w:ascii="Times New Roman" w:eastAsia="MS Mincho" w:hAnsi="Times New Roman"/>
          <w:sz w:val="28"/>
          <w:szCs w:val="28"/>
          <w:lang w:val="ru-RU" w:eastAsia="ja-JP"/>
        </w:rPr>
        <w:t xml:space="preserve"> из поджелудочной железы крупного рогатого скота (ДНКаза </w:t>
      </w:r>
      <w:r w:rsidRPr="00107040">
        <w:rPr>
          <w:rFonts w:ascii="Times New Roman" w:eastAsia="MS Mincho" w:hAnsi="Times New Roman"/>
          <w:sz w:val="28"/>
          <w:szCs w:val="28"/>
          <w:lang w:eastAsia="ja-JP"/>
        </w:rPr>
        <w:t>I</w:t>
      </w:r>
      <w:r w:rsidRPr="00107040">
        <w:rPr>
          <w:rFonts w:ascii="Times New Roman" w:eastAsia="MS Mincho" w:hAnsi="Times New Roman"/>
          <w:sz w:val="28"/>
          <w:szCs w:val="28"/>
          <w:lang w:val="ru-RU" w:eastAsia="ja-JP"/>
        </w:rPr>
        <w:t xml:space="preserve">), которая неспецифически расщепляет оцДНК и дцДНК с образованием ди-, три- и олигомерных фрагментов ДНК; и </w:t>
      </w:r>
    </w:p>
    <w:p w14:paraId="4677D96D" w14:textId="307A2063" w:rsidR="00AA69DA" w:rsidRPr="00107040" w:rsidRDefault="00AA69DA" w:rsidP="00347CA9">
      <w:pPr>
        <w:numPr>
          <w:ilvl w:val="0"/>
          <w:numId w:val="2"/>
        </w:numPr>
        <w:spacing w:after="0" w:line="240" w:lineRule="auto"/>
        <w:ind w:left="567" w:firstLine="567"/>
        <w:contextualSpacing/>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протеиназа К - высокоэффективная неспецифическая сериновая протеаза, которая может эффективно переваривать большинство белков. </w:t>
      </w:r>
    </w:p>
    <w:p w14:paraId="7EDD14C4" w14:textId="03F4E4EF"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Инкубация 5'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]-меченного дуплекса </w:t>
      </w:r>
      <w:r w:rsidRPr="00107040">
        <w:rPr>
          <w:rFonts w:ascii="Times New Roman" w:eastAsia="MS Mincho" w:hAnsi="Times New Roman"/>
          <w:sz w:val="28"/>
          <w:szCs w:val="28"/>
          <w:lang w:val="en-US"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RexT</w:t>
      </w:r>
      <w:r w:rsidRPr="00107040">
        <w:rPr>
          <w:rFonts w:ascii="Times New Roman" w:eastAsia="MS Mincho" w:hAnsi="Times New Roman"/>
          <w:sz w:val="28"/>
          <w:szCs w:val="28"/>
          <w:vertAlign w:val="superscript"/>
          <w:lang w:val="en-US" w:eastAsia="ja-JP"/>
        </w:rPr>
        <w:t>nick</w:t>
      </w:r>
      <w:r w:rsidRPr="00107040">
        <w:rPr>
          <w:rFonts w:ascii="Times New Roman" w:eastAsia="MS Mincho" w:hAnsi="Times New Roman"/>
          <w:sz w:val="28"/>
          <w:szCs w:val="28"/>
          <w:lang w:val="ru-RU" w:eastAsia="ja-JP"/>
        </w:rPr>
        <w:t xml:space="preserve"> с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приводила к образованию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-комплексов ПАР-ДНК (рисунок </w:t>
      </w:r>
      <w:r w:rsidR="002A568C">
        <w:rPr>
          <w:rFonts w:ascii="Times New Roman" w:eastAsia="MS Mincho" w:hAnsi="Times New Roman"/>
          <w:sz w:val="28"/>
          <w:szCs w:val="28"/>
          <w:lang w:val="ru-RU" w:eastAsia="ja-JP"/>
        </w:rPr>
        <w:t>31</w:t>
      </w:r>
      <w:r w:rsidRPr="00107040">
        <w:rPr>
          <w:rFonts w:ascii="Times New Roman" w:eastAsia="MS Mincho" w:hAnsi="Times New Roman"/>
          <w:sz w:val="28"/>
          <w:szCs w:val="28"/>
          <w:lang w:val="en-US" w:eastAsia="ja-JP"/>
        </w:rPr>
        <w:t>B</w:t>
      </w:r>
      <w:r w:rsidRPr="00107040">
        <w:rPr>
          <w:rFonts w:ascii="Times New Roman" w:eastAsia="MS Mincho" w:hAnsi="Times New Roman"/>
          <w:sz w:val="28"/>
          <w:szCs w:val="28"/>
          <w:lang w:val="ru-RU" w:eastAsia="ja-JP"/>
        </w:rPr>
        <w:t xml:space="preserve">, дорожки 4 и 9). Как и ожидалось, обработка комплексов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с помощью </w:t>
      </w:r>
      <w:r w:rsidRPr="00107040">
        <w:rPr>
          <w:rFonts w:ascii="Times New Roman" w:eastAsia="MS Mincho" w:hAnsi="Times New Roman"/>
          <w:sz w:val="28"/>
          <w:szCs w:val="28"/>
          <w:lang w:val="en-US" w:eastAsia="ja-JP"/>
        </w:rPr>
        <w:t>PARG</w:t>
      </w:r>
      <w:r w:rsidRPr="00107040">
        <w:rPr>
          <w:rFonts w:ascii="Times New Roman" w:eastAsia="MS Mincho" w:hAnsi="Times New Roman"/>
          <w:sz w:val="28"/>
          <w:szCs w:val="28"/>
          <w:lang w:val="ru-RU" w:eastAsia="ja-JP"/>
        </w:rPr>
        <w:t xml:space="preserve"> привела к полному исчезновению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-рибозилированной ДНК и восстановлению исходного 21-мерного фрагмента (дорожка 6), что указывает на то, что </w:t>
      </w:r>
      <w:r w:rsidRPr="00107040">
        <w:rPr>
          <w:rFonts w:ascii="Times New Roman" w:eastAsia="MS Mincho" w:hAnsi="Times New Roman"/>
          <w:sz w:val="28"/>
          <w:szCs w:val="28"/>
          <w:lang w:val="en-US" w:eastAsia="ja-JP"/>
        </w:rPr>
        <w:t>PARG</w:t>
      </w:r>
      <w:r w:rsidRPr="00107040">
        <w:rPr>
          <w:rFonts w:ascii="Times New Roman" w:eastAsia="MS Mincho" w:hAnsi="Times New Roman"/>
          <w:sz w:val="28"/>
          <w:szCs w:val="28"/>
          <w:lang w:val="ru-RU" w:eastAsia="ja-JP"/>
        </w:rPr>
        <w:t xml:space="preserve"> может полностью удалить фрагменты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-рибозы, прикрепленные к ДНК. Однако эти комплексы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были устойчивы к протеиназе </w:t>
      </w:r>
      <w:r w:rsidRPr="00107040">
        <w:rPr>
          <w:rFonts w:ascii="Times New Roman" w:eastAsia="MS Mincho" w:hAnsi="Times New Roman"/>
          <w:sz w:val="28"/>
          <w:szCs w:val="28"/>
          <w:lang w:val="en-US" w:eastAsia="ja-JP"/>
        </w:rPr>
        <w:t>K</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SDS</w:t>
      </w:r>
      <w:r w:rsidRPr="00107040">
        <w:rPr>
          <w:rFonts w:ascii="Times New Roman" w:eastAsia="MS Mincho" w:hAnsi="Times New Roman"/>
          <w:sz w:val="28"/>
          <w:szCs w:val="28"/>
          <w:lang w:val="ru-RU" w:eastAsia="ja-JP"/>
        </w:rPr>
        <w:t xml:space="preserve"> и термообработке (дорожка 10), что позволяет предположить, что полимер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не присоединен к белку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Действительно, обработка комплексов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ДНКазой </w:t>
      </w:r>
      <w:r w:rsidRPr="00107040">
        <w:rPr>
          <w:rFonts w:ascii="Times New Roman" w:eastAsia="MS Mincho" w:hAnsi="Times New Roman"/>
          <w:sz w:val="28"/>
          <w:szCs w:val="28"/>
          <w:lang w:val="en-US" w:eastAsia="ja-JP"/>
        </w:rPr>
        <w:t>I</w:t>
      </w:r>
      <w:r w:rsidRPr="00107040">
        <w:rPr>
          <w:rFonts w:ascii="Times New Roman" w:eastAsia="MS Mincho" w:hAnsi="Times New Roman"/>
          <w:sz w:val="28"/>
          <w:szCs w:val="28"/>
          <w:lang w:val="ru-RU" w:eastAsia="ja-JP"/>
        </w:rPr>
        <w:t xml:space="preserve"> привела к более быстрой подвижности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 продуктов (рисунок </w:t>
      </w:r>
      <w:r w:rsidR="002A568C">
        <w:rPr>
          <w:rFonts w:ascii="Times New Roman" w:eastAsia="MS Mincho" w:hAnsi="Times New Roman"/>
          <w:sz w:val="28"/>
          <w:szCs w:val="28"/>
          <w:lang w:val="ru-RU" w:eastAsia="ja-JP"/>
        </w:rPr>
        <w:t>31</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 дорожка 10), что указывает на то, что полимеры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связаны с меченым 21-мерным фрагментом. Примечательно, что </w:t>
      </w:r>
      <w:r w:rsidRPr="00107040">
        <w:rPr>
          <w:rFonts w:ascii="Times New Roman" w:eastAsia="MS Mincho" w:hAnsi="Times New Roman"/>
          <w:sz w:val="28"/>
          <w:szCs w:val="28"/>
          <w:lang w:eastAsia="ja-JP"/>
        </w:rPr>
        <w:t>CIP</w:t>
      </w:r>
      <w:r w:rsidRPr="00107040">
        <w:rPr>
          <w:rFonts w:ascii="Times New Roman" w:eastAsia="MS Mincho" w:hAnsi="Times New Roman"/>
          <w:sz w:val="28"/>
          <w:szCs w:val="28"/>
          <w:lang w:val="ru-RU" w:eastAsia="ja-JP"/>
        </w:rPr>
        <w:t xml:space="preserve"> дефосфорилирует свободный 5'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xml:space="preserve">] -меченный дуплекс </w:t>
      </w:r>
      <w:r w:rsidRPr="00107040">
        <w:rPr>
          <w:rFonts w:ascii="Times New Roman" w:eastAsia="MS Mincho" w:hAnsi="Times New Roman"/>
          <w:sz w:val="28"/>
          <w:szCs w:val="28"/>
          <w:lang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RexT</w:t>
      </w:r>
      <w:r w:rsidRPr="00107040">
        <w:rPr>
          <w:rFonts w:ascii="Times New Roman" w:eastAsia="MS Mincho" w:hAnsi="Times New Roman"/>
          <w:sz w:val="28"/>
          <w:szCs w:val="28"/>
          <w:vertAlign w:val="superscript"/>
          <w:lang w:eastAsia="ja-JP"/>
        </w:rPr>
        <w:t>nick</w:t>
      </w:r>
      <w:r w:rsidRPr="00107040">
        <w:rPr>
          <w:rFonts w:ascii="Times New Roman" w:eastAsia="MS Mincho" w:hAnsi="Times New Roman"/>
          <w:sz w:val="28"/>
          <w:szCs w:val="28"/>
          <w:lang w:val="ru-RU" w:eastAsia="ja-JP"/>
        </w:rPr>
        <w:t xml:space="preserve"> (рисунок </w:t>
      </w:r>
      <w:r w:rsidR="002A568C">
        <w:rPr>
          <w:rFonts w:ascii="Times New Roman" w:eastAsia="MS Mincho" w:hAnsi="Times New Roman"/>
          <w:sz w:val="28"/>
          <w:szCs w:val="28"/>
          <w:lang w:val="ru-RU" w:eastAsia="ja-JP"/>
        </w:rPr>
        <w:t>30</w:t>
      </w:r>
      <w:r w:rsidRPr="00107040">
        <w:rPr>
          <w:rFonts w:ascii="Times New Roman" w:eastAsia="MS Mincho" w:hAnsi="Times New Roman"/>
          <w:sz w:val="28"/>
          <w:szCs w:val="28"/>
          <w:lang w:eastAsia="ja-JP"/>
        </w:rPr>
        <w:t>B</w:t>
      </w:r>
      <w:r w:rsidRPr="00107040">
        <w:rPr>
          <w:rFonts w:ascii="Times New Roman" w:eastAsia="MS Mincho" w:hAnsi="Times New Roman"/>
          <w:sz w:val="28"/>
          <w:szCs w:val="28"/>
          <w:lang w:val="ru-RU" w:eastAsia="ja-JP"/>
        </w:rPr>
        <w:t xml:space="preserve">, дорожка 2 и рисунок </w:t>
      </w:r>
      <w:r w:rsidR="002A568C">
        <w:rPr>
          <w:rFonts w:ascii="Times New Roman" w:eastAsia="MS Mincho" w:hAnsi="Times New Roman"/>
          <w:sz w:val="28"/>
          <w:szCs w:val="28"/>
          <w:lang w:val="ru-RU" w:eastAsia="ja-JP"/>
        </w:rPr>
        <w:t>31</w:t>
      </w:r>
      <w:r w:rsidRPr="00107040">
        <w:rPr>
          <w:rFonts w:ascii="Times New Roman" w:eastAsia="MS Mincho" w:hAnsi="Times New Roman"/>
          <w:sz w:val="28"/>
          <w:szCs w:val="28"/>
          <w:lang w:eastAsia="ja-JP"/>
        </w:rPr>
        <w:t>C</w:t>
      </w:r>
      <w:r w:rsidRPr="00107040">
        <w:rPr>
          <w:rFonts w:ascii="Times New Roman" w:eastAsia="MS Mincho" w:hAnsi="Times New Roman"/>
          <w:sz w:val="28"/>
          <w:szCs w:val="28"/>
          <w:lang w:val="ru-RU" w:eastAsia="ja-JP"/>
        </w:rPr>
        <w:t>, дорожка 3), но не меченные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kk-KZ" w:eastAsia="ja-JP"/>
        </w:rPr>
        <w:t xml:space="preserve"> и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kk-KZ" w:eastAsia="ja-JP"/>
        </w:rPr>
        <w:t xml:space="preserve"> </w:t>
      </w:r>
      <w:r w:rsidRPr="00107040">
        <w:rPr>
          <w:rFonts w:ascii="Times New Roman" w:eastAsia="MS Mincho" w:hAnsi="Times New Roman"/>
          <w:sz w:val="28"/>
          <w:szCs w:val="28"/>
          <w:lang w:val="ru-RU" w:eastAsia="ja-JP"/>
        </w:rPr>
        <w:t xml:space="preserve">аддукты ПАР-ДНК, генерируемые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(рисунок </w:t>
      </w:r>
      <w:r w:rsidR="002A568C">
        <w:rPr>
          <w:rFonts w:ascii="Times New Roman" w:eastAsia="MS Mincho" w:hAnsi="Times New Roman"/>
          <w:sz w:val="28"/>
          <w:szCs w:val="28"/>
          <w:lang w:val="ru-RU" w:eastAsia="ja-JP"/>
        </w:rPr>
        <w:t>31</w:t>
      </w:r>
      <w:r w:rsidRPr="00107040">
        <w:rPr>
          <w:rFonts w:ascii="Times New Roman" w:eastAsia="MS Mincho" w:hAnsi="Times New Roman"/>
          <w:sz w:val="28"/>
          <w:szCs w:val="28"/>
          <w:lang w:eastAsia="ja-JP"/>
        </w:rPr>
        <w:t>B</w:t>
      </w:r>
      <w:r w:rsidRPr="00107040">
        <w:rPr>
          <w:rFonts w:ascii="Times New Roman" w:eastAsia="MS Mincho" w:hAnsi="Times New Roman"/>
          <w:sz w:val="28"/>
          <w:szCs w:val="28"/>
          <w:lang w:val="ru-RU" w:eastAsia="ja-JP"/>
        </w:rPr>
        <w:t xml:space="preserve">, дорожка 5 и рисунок </w:t>
      </w:r>
      <w:r w:rsidR="002A568C">
        <w:rPr>
          <w:rFonts w:ascii="Times New Roman" w:eastAsia="MS Mincho" w:hAnsi="Times New Roman"/>
          <w:sz w:val="28"/>
          <w:szCs w:val="28"/>
          <w:lang w:val="ru-RU" w:eastAsia="ja-JP"/>
        </w:rPr>
        <w:t>30</w:t>
      </w:r>
      <w:r w:rsidRPr="00107040">
        <w:rPr>
          <w:rFonts w:ascii="Times New Roman" w:eastAsia="MS Mincho" w:hAnsi="Times New Roman"/>
          <w:sz w:val="28"/>
          <w:szCs w:val="28"/>
          <w:lang w:eastAsia="ja-JP"/>
        </w:rPr>
        <w:t>C</w:t>
      </w:r>
      <w:r w:rsidRPr="00107040">
        <w:rPr>
          <w:rFonts w:ascii="Times New Roman" w:eastAsia="MS Mincho" w:hAnsi="Times New Roman"/>
          <w:sz w:val="28"/>
          <w:szCs w:val="28"/>
          <w:lang w:val="ru-RU" w:eastAsia="ja-JP"/>
        </w:rPr>
        <w:t xml:space="preserve">, дорожка 6), что указывает на то, что 5'-концевой </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xml:space="preserve"> ПАРилированных олигонуклеотидов недоступен для фосфатазы. Более того, эффективная защита 5'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xml:space="preserve">] групп от </w:t>
      </w:r>
      <w:r w:rsidRPr="00107040">
        <w:rPr>
          <w:rFonts w:ascii="Times New Roman" w:eastAsia="MS Mincho" w:hAnsi="Times New Roman"/>
          <w:sz w:val="28"/>
          <w:szCs w:val="28"/>
          <w:lang w:eastAsia="ja-JP"/>
        </w:rPr>
        <w:t>CIP</w:t>
      </w:r>
      <w:r w:rsidRPr="00107040">
        <w:rPr>
          <w:rFonts w:ascii="Times New Roman" w:eastAsia="MS Mincho" w:hAnsi="Times New Roman"/>
          <w:sz w:val="28"/>
          <w:szCs w:val="28"/>
          <w:lang w:val="ru-RU" w:eastAsia="ja-JP"/>
        </w:rPr>
        <w:t xml:space="preserve"> короткими олигомерами </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ДФ-рибозы, присоединенными к олигонуклеотиду </w:t>
      </w:r>
      <w:r w:rsidRPr="00107040">
        <w:rPr>
          <w:rFonts w:ascii="Times New Roman" w:eastAsia="MS Mincho" w:hAnsi="Times New Roman"/>
          <w:sz w:val="28"/>
          <w:szCs w:val="28"/>
          <w:lang w:eastAsia="ja-JP"/>
        </w:rPr>
        <w:t>ExoA</w:t>
      </w:r>
      <w:r w:rsidRPr="00107040">
        <w:rPr>
          <w:rFonts w:ascii="Times New Roman" w:eastAsia="MS Mincho" w:hAnsi="Times New Roman"/>
          <w:sz w:val="28"/>
          <w:szCs w:val="28"/>
          <w:lang w:val="ru-RU" w:eastAsia="ja-JP"/>
        </w:rPr>
        <w:t xml:space="preserve"> в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продуктах ПАР-ДНК (рисунок </w:t>
      </w:r>
      <w:r w:rsidR="002A568C">
        <w:rPr>
          <w:rFonts w:ascii="Times New Roman" w:eastAsia="MS Mincho" w:hAnsi="Times New Roman"/>
          <w:sz w:val="28"/>
          <w:szCs w:val="28"/>
          <w:lang w:val="ru-RU" w:eastAsia="ja-JP"/>
        </w:rPr>
        <w:t>31</w:t>
      </w:r>
      <w:r w:rsidRPr="00107040">
        <w:rPr>
          <w:rFonts w:ascii="Times New Roman" w:eastAsia="MS Mincho" w:hAnsi="Times New Roman"/>
          <w:sz w:val="28"/>
          <w:szCs w:val="28"/>
          <w:lang w:eastAsia="ja-JP"/>
        </w:rPr>
        <w:t>B</w:t>
      </w:r>
      <w:r w:rsidRPr="00107040">
        <w:rPr>
          <w:rFonts w:ascii="Times New Roman" w:eastAsia="MS Mincho" w:hAnsi="Times New Roman"/>
          <w:sz w:val="28"/>
          <w:szCs w:val="28"/>
          <w:lang w:val="ru-RU" w:eastAsia="ja-JP"/>
        </w:rPr>
        <w:t xml:space="preserve">, дорожка 5 и рисунок </w:t>
      </w:r>
      <w:r w:rsidR="002A568C">
        <w:rPr>
          <w:rFonts w:ascii="Times New Roman" w:eastAsia="MS Mincho" w:hAnsi="Times New Roman"/>
          <w:sz w:val="28"/>
          <w:szCs w:val="28"/>
          <w:lang w:val="ru-RU" w:eastAsia="ja-JP"/>
        </w:rPr>
        <w:t>31</w:t>
      </w:r>
      <w:r w:rsidRPr="00107040">
        <w:rPr>
          <w:rFonts w:ascii="Times New Roman" w:eastAsia="MS Mincho" w:hAnsi="Times New Roman"/>
          <w:sz w:val="28"/>
          <w:szCs w:val="28"/>
          <w:lang w:eastAsia="ja-JP"/>
        </w:rPr>
        <w:t>C</w:t>
      </w:r>
      <w:r w:rsidRPr="00107040">
        <w:rPr>
          <w:rFonts w:ascii="Times New Roman" w:eastAsia="MS Mincho" w:hAnsi="Times New Roman"/>
          <w:sz w:val="28"/>
          <w:szCs w:val="28"/>
          <w:lang w:val="ru-RU" w:eastAsia="ja-JP"/>
        </w:rPr>
        <w:t>, дорожка 6), предполагает, что эти 5'-фосфаты ДНК защищены ковалентной фосфодиэфирной связью между 5'</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eastAsia="ja-JP"/>
        </w:rPr>
        <w:t>C</w:t>
      </w:r>
      <w:r w:rsidRPr="00107040">
        <w:rPr>
          <w:rFonts w:ascii="Times New Roman" w:eastAsia="MS Mincho" w:hAnsi="Times New Roman"/>
          <w:sz w:val="28"/>
          <w:szCs w:val="28"/>
          <w:lang w:val="ru-RU" w:eastAsia="ja-JP"/>
        </w:rPr>
        <w:t xml:space="preserve">1' АДФ-рибозы. </w:t>
      </w:r>
    </w:p>
    <w:p w14:paraId="0272B22C" w14:textId="6A707862"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Далее для исследования выяснения присутствия пирофосфатной связи между АДФ-рибозами, прикрепленных к ДНК, мы </w:t>
      </w:r>
      <w:r w:rsidR="001B5B70" w:rsidRPr="00107040">
        <w:rPr>
          <w:rFonts w:ascii="Times New Roman" w:eastAsia="MS Mincho" w:hAnsi="Times New Roman"/>
          <w:sz w:val="28"/>
          <w:szCs w:val="28"/>
          <w:lang w:val="ru-RU" w:eastAsia="ja-JP"/>
        </w:rPr>
        <w:t xml:space="preserve">инкубировали </w:t>
      </w:r>
      <w:r w:rsidRPr="00107040">
        <w:rPr>
          <w:rFonts w:ascii="Times New Roman" w:eastAsia="MS Mincho" w:hAnsi="Times New Roman"/>
          <w:sz w:val="28"/>
          <w:szCs w:val="28"/>
          <w:lang w:val="ru-RU" w:eastAsia="ja-JP"/>
        </w:rPr>
        <w:t>А</w:t>
      </w:r>
      <w:r w:rsidRPr="00107040">
        <w:rPr>
          <w:rFonts w:ascii="Times New Roman" w:eastAsia="MS Mincho" w:hAnsi="Times New Roman"/>
          <w:sz w:val="28"/>
          <w:szCs w:val="28"/>
          <w:lang w:eastAsia="ja-JP"/>
        </w:rPr>
        <w:t>tPARP</w:t>
      </w:r>
      <w:r w:rsidRPr="00107040">
        <w:rPr>
          <w:rFonts w:ascii="Times New Roman" w:eastAsia="MS Mincho" w:hAnsi="Times New Roman"/>
          <w:sz w:val="28"/>
          <w:szCs w:val="28"/>
          <w:lang w:val="ru-RU" w:eastAsia="ja-JP"/>
        </w:rPr>
        <w:t>2 в присутствии 5'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]-меченный дуплекс </w:t>
      </w:r>
      <w:r w:rsidRPr="00107040">
        <w:rPr>
          <w:rFonts w:ascii="Times New Roman" w:eastAsia="MS Mincho" w:hAnsi="Times New Roman"/>
          <w:sz w:val="28"/>
          <w:szCs w:val="28"/>
          <w:lang w:val="en-GB" w:eastAsia="ja-JP"/>
        </w:rPr>
        <w:t>ExoA</w:t>
      </w:r>
      <w:r w:rsidRPr="00107040">
        <w:rPr>
          <w:rFonts w:ascii="Times New Roman" w:eastAsia="MS Mincho" w:hAnsi="Times New Roman"/>
          <w:sz w:val="28"/>
          <w:szCs w:val="28"/>
          <w:lang w:val="ru-RU" w:eastAsia="ja-JP"/>
        </w:rPr>
        <w:t>р</w:t>
      </w:r>
      <w:r w:rsidRPr="00107040">
        <w:rPr>
          <w:rFonts w:ascii="Times New Roman" w:eastAsia="MS Mincho" w:hAnsi="Times New Roman"/>
          <w:sz w:val="28"/>
          <w:szCs w:val="28"/>
          <w:lang w:val="en-GB" w:eastAsia="ja-JP"/>
        </w:rPr>
        <w:t>Exo</w:t>
      </w:r>
      <w:r w:rsidRPr="00107040">
        <w:rPr>
          <w:rFonts w:ascii="Times New Roman" w:eastAsia="MS Mincho" w:hAnsi="Times New Roman"/>
          <w:sz w:val="28"/>
          <w:szCs w:val="28"/>
          <w:lang w:val="ru-RU" w:eastAsia="ja-JP"/>
        </w:rPr>
        <w:t>19•</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vertAlign w:val="superscript"/>
          <w:lang w:val="en-GB" w:eastAsia="ja-JP"/>
        </w:rPr>
        <w:t>nick</w:t>
      </w:r>
      <w:r w:rsidRPr="00107040">
        <w:rPr>
          <w:rFonts w:ascii="Times New Roman" w:eastAsia="MS Mincho" w:hAnsi="Times New Roman"/>
          <w:sz w:val="28"/>
          <w:szCs w:val="28"/>
          <w:lang w:val="ru-RU" w:eastAsia="ja-JP"/>
        </w:rPr>
        <w:t xml:space="preserve"> дуплекса и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lastRenderedPageBreak/>
        <w:t>затем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xml:space="preserve">] меченые поли-АДФ-рибозилированные ДНК-дуплексы обработали </w:t>
      </w:r>
      <w:r w:rsidRPr="00107040">
        <w:rPr>
          <w:rFonts w:ascii="Times New Roman" w:eastAsia="MS Mincho" w:hAnsi="Times New Roman"/>
          <w:sz w:val="28"/>
          <w:szCs w:val="28"/>
          <w:lang w:eastAsia="ja-JP"/>
        </w:rPr>
        <w:t>SVPDE</w:t>
      </w:r>
      <w:r w:rsidRPr="00107040">
        <w:rPr>
          <w:rFonts w:ascii="Times New Roman" w:eastAsia="MS Mincho" w:hAnsi="Times New Roman"/>
          <w:sz w:val="28"/>
          <w:szCs w:val="28"/>
          <w:lang w:val="ru-RU" w:eastAsia="ja-JP"/>
        </w:rPr>
        <w:t xml:space="preserve">1 ферментом (рисунок </w:t>
      </w:r>
      <w:r w:rsidR="002A568C">
        <w:rPr>
          <w:rFonts w:ascii="Times New Roman" w:eastAsia="MS Mincho" w:hAnsi="Times New Roman"/>
          <w:sz w:val="28"/>
          <w:szCs w:val="28"/>
          <w:lang w:val="ru-RU" w:eastAsia="ja-JP"/>
        </w:rPr>
        <w:t>31</w:t>
      </w:r>
      <w:r w:rsidRPr="00107040">
        <w:rPr>
          <w:rFonts w:ascii="Times New Roman" w:eastAsia="MS Mincho" w:hAnsi="Times New Roman"/>
          <w:sz w:val="28"/>
          <w:szCs w:val="28"/>
          <w:lang w:val="en-GB" w:eastAsia="ja-JP"/>
        </w:rPr>
        <w:t>C</w:t>
      </w:r>
      <w:r w:rsidRPr="00107040">
        <w:rPr>
          <w:rFonts w:ascii="Times New Roman" w:eastAsia="MS Mincho" w:hAnsi="Times New Roman"/>
          <w:sz w:val="28"/>
          <w:szCs w:val="28"/>
          <w:lang w:val="ru-RU" w:eastAsia="ja-JP"/>
        </w:rPr>
        <w:t xml:space="preserve">, дорожка 2). Инкубация </w:t>
      </w:r>
      <w:r w:rsidRPr="00107040">
        <w:rPr>
          <w:rFonts w:ascii="Times New Roman" w:eastAsia="MS Mincho" w:hAnsi="Times New Roman"/>
          <w:sz w:val="28"/>
          <w:szCs w:val="28"/>
          <w:lang w:val="kk-KZ" w:eastAsia="ja-JP"/>
        </w:rPr>
        <w:t>ПАРилированного</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GB" w:eastAsia="ja-JP"/>
        </w:rPr>
        <w:t>ExoA</w:t>
      </w:r>
      <w:r w:rsidRPr="00107040">
        <w:rPr>
          <w:rFonts w:ascii="Times New Roman" w:eastAsia="MS Mincho" w:hAnsi="Times New Roman"/>
          <w:sz w:val="28"/>
          <w:szCs w:val="28"/>
          <w:lang w:val="ru-RU" w:eastAsia="ja-JP"/>
        </w:rPr>
        <w:t>р</w:t>
      </w:r>
      <w:r w:rsidRPr="00107040">
        <w:rPr>
          <w:rFonts w:ascii="Times New Roman" w:eastAsia="MS Mincho" w:hAnsi="Times New Roman"/>
          <w:sz w:val="28"/>
          <w:szCs w:val="28"/>
          <w:lang w:val="en-GB" w:eastAsia="ja-JP"/>
        </w:rPr>
        <w:t>Exo</w:t>
      </w:r>
      <w:r w:rsidRPr="00107040">
        <w:rPr>
          <w:rFonts w:ascii="Times New Roman" w:eastAsia="MS Mincho" w:hAnsi="Times New Roman"/>
          <w:sz w:val="28"/>
          <w:szCs w:val="28"/>
          <w:lang w:val="ru-RU" w:eastAsia="ja-JP"/>
        </w:rPr>
        <w:t>19•</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vertAlign w:val="superscript"/>
          <w:lang w:val="en-GB" w:eastAsia="ja-JP"/>
        </w:rPr>
        <w:t>nick</w:t>
      </w:r>
      <w:r w:rsidRPr="00107040">
        <w:rPr>
          <w:rFonts w:ascii="Times New Roman" w:eastAsia="MS Mincho" w:hAnsi="Times New Roman"/>
          <w:sz w:val="28"/>
          <w:szCs w:val="28"/>
          <w:lang w:val="ru-RU" w:eastAsia="ja-JP"/>
        </w:rPr>
        <w:t xml:space="preserve"> дуплекса с </w:t>
      </w:r>
      <w:r w:rsidRPr="00107040">
        <w:rPr>
          <w:rFonts w:ascii="Times New Roman" w:eastAsia="MS Mincho" w:hAnsi="Times New Roman"/>
          <w:sz w:val="28"/>
          <w:szCs w:val="28"/>
          <w:lang w:val="en-GB" w:eastAsia="ja-JP"/>
        </w:rPr>
        <w:t>SVPDE</w:t>
      </w:r>
      <w:r w:rsidRPr="00107040">
        <w:rPr>
          <w:rFonts w:ascii="Times New Roman" w:eastAsia="MS Mincho" w:hAnsi="Times New Roman"/>
          <w:sz w:val="28"/>
          <w:szCs w:val="28"/>
          <w:lang w:val="ru-RU" w:eastAsia="ja-JP"/>
        </w:rPr>
        <w:t xml:space="preserve">1 привела к исчезновению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 комплексов ПАР-ДНК (дорожка 5), что указывает на то, что фермент разрушает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расщепляя пирофосфатные связи в полимерной цепи. </w:t>
      </w:r>
    </w:p>
    <w:p w14:paraId="0529E4FB" w14:textId="4952C228" w:rsidR="00AA69DA" w:rsidRPr="00107040" w:rsidRDefault="00AA69DA" w:rsidP="000C16BB">
      <w:pPr>
        <w:spacing w:after="0" w:line="240" w:lineRule="auto"/>
        <w:ind w:firstLine="567"/>
        <w:jc w:val="center"/>
        <w:rPr>
          <w:rFonts w:ascii="Times New Roman" w:eastAsia="MS Mincho" w:hAnsi="Times New Roman"/>
          <w:sz w:val="28"/>
          <w:szCs w:val="28"/>
          <w:lang w:val="ru-RU" w:eastAsia="ja-JP"/>
        </w:rPr>
      </w:pPr>
    </w:p>
    <w:p w14:paraId="06EF470F" w14:textId="34AAAFC9" w:rsidR="00B668F8" w:rsidRPr="00107040" w:rsidRDefault="00B668F8"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noProof/>
          <w:sz w:val="28"/>
          <w:szCs w:val="28"/>
          <w:lang w:val="ru-RU" w:eastAsia="ru-RU"/>
        </w:rPr>
        <w:drawing>
          <wp:inline distT="0" distB="0" distL="0" distR="0" wp14:anchorId="577DC0D6" wp14:editId="76882D06">
            <wp:extent cx="5753100" cy="5753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3BE4E6F9" w14:textId="77777777" w:rsidR="00B668F8" w:rsidRPr="00107040" w:rsidRDefault="00B668F8" w:rsidP="000C16BB">
      <w:pPr>
        <w:spacing w:after="0" w:line="240" w:lineRule="auto"/>
        <w:ind w:firstLine="567"/>
        <w:jc w:val="center"/>
        <w:rPr>
          <w:rFonts w:ascii="Times New Roman" w:eastAsia="MS Mincho" w:hAnsi="Times New Roman"/>
          <w:sz w:val="28"/>
          <w:szCs w:val="28"/>
          <w:lang w:val="ru-RU" w:eastAsia="ja-JP"/>
        </w:rPr>
      </w:pPr>
    </w:p>
    <w:p w14:paraId="33421DFF" w14:textId="09894111" w:rsidR="00AA69DA" w:rsidRPr="00107040" w:rsidRDefault="00AA69DA" w:rsidP="000C16BB">
      <w:pPr>
        <w:spacing w:after="0" w:line="240" w:lineRule="auto"/>
        <w:ind w:firstLine="1134"/>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А) Графическое изображение образования полимера поли (АДФ-рибозы) и сайтов расщепления ферментами. </w:t>
      </w:r>
      <w:r w:rsidRPr="00107040">
        <w:rPr>
          <w:rFonts w:ascii="Times New Roman" w:eastAsia="MS Mincho" w:hAnsi="Times New Roman"/>
          <w:sz w:val="28"/>
          <w:szCs w:val="28"/>
          <w:lang w:val="en-GB" w:eastAsia="ja-JP"/>
        </w:rPr>
        <w:t>B</w:t>
      </w:r>
      <w:r w:rsidRPr="00107040">
        <w:rPr>
          <w:rFonts w:ascii="Times New Roman" w:eastAsia="MS Mincho" w:hAnsi="Times New Roman"/>
          <w:sz w:val="28"/>
          <w:szCs w:val="28"/>
          <w:lang w:val="ru-RU" w:eastAsia="ja-JP"/>
        </w:rPr>
        <w:t xml:space="preserve">) Денатурирующий анализ в ПААГ продуктов расщепления, катализируемого </w:t>
      </w:r>
      <w:r w:rsidRPr="00107040">
        <w:rPr>
          <w:rFonts w:ascii="Times New Roman" w:eastAsia="MS Mincho" w:hAnsi="Times New Roman"/>
          <w:sz w:val="28"/>
          <w:szCs w:val="28"/>
          <w:lang w:val="en-GB" w:eastAsia="ja-JP"/>
        </w:rPr>
        <w:t>PARG</w:t>
      </w:r>
      <w:r w:rsidRPr="00107040">
        <w:rPr>
          <w:rFonts w:ascii="Times New Roman" w:eastAsia="MS Mincho" w:hAnsi="Times New Roman"/>
          <w:sz w:val="28"/>
          <w:szCs w:val="28"/>
          <w:lang w:val="ru-RU" w:eastAsia="ja-JP"/>
        </w:rPr>
        <w:t xml:space="preserve"> и протеиназой,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xml:space="preserve">] меченных продуктов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w:t>
      </w:r>
      <w:r w:rsidRPr="00107040">
        <w:rPr>
          <w:rFonts w:ascii="Times New Roman" w:eastAsia="MS Mincho" w:hAnsi="Times New Roman"/>
          <w:sz w:val="28"/>
          <w:szCs w:val="28"/>
          <w:lang w:val="en-GB" w:eastAsia="ja-JP"/>
        </w:rPr>
        <w:t>C</w:t>
      </w:r>
      <w:r w:rsidRPr="00107040">
        <w:rPr>
          <w:rFonts w:ascii="Times New Roman" w:eastAsia="MS Mincho" w:hAnsi="Times New Roman"/>
          <w:sz w:val="28"/>
          <w:szCs w:val="28"/>
          <w:lang w:val="ru-RU" w:eastAsia="ja-JP"/>
        </w:rPr>
        <w:t xml:space="preserve">) Денатурирующий анализ в ПААГ продуктов расщепления, катализируемого </w:t>
      </w:r>
      <w:r w:rsidRPr="00107040">
        <w:rPr>
          <w:rFonts w:ascii="Times New Roman" w:eastAsia="MS Mincho" w:hAnsi="Times New Roman"/>
          <w:sz w:val="28"/>
          <w:szCs w:val="28"/>
          <w:lang w:val="en-GB" w:eastAsia="ja-JP"/>
        </w:rPr>
        <w:t>SVPDE</w:t>
      </w:r>
      <w:r w:rsidRPr="00107040">
        <w:rPr>
          <w:rFonts w:ascii="Times New Roman" w:eastAsia="MS Mincho" w:hAnsi="Times New Roman"/>
          <w:sz w:val="28"/>
          <w:szCs w:val="28"/>
          <w:lang w:val="kk-KZ" w:eastAsia="ja-JP"/>
        </w:rPr>
        <w:t>1</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GB" w:eastAsia="ja-JP"/>
        </w:rPr>
        <w:t>CIP</w:t>
      </w:r>
      <w:r w:rsidRPr="00107040">
        <w:rPr>
          <w:rFonts w:ascii="Times New Roman" w:eastAsia="MS Mincho" w:hAnsi="Times New Roman"/>
          <w:sz w:val="28"/>
          <w:szCs w:val="28"/>
          <w:lang w:val="ru-RU" w:eastAsia="ja-JP"/>
        </w:rPr>
        <w:t xml:space="preserve"> и ДНКазой,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xml:space="preserve">] меченных продуктов ПАР-ДНК. Стрелки указывают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 продукты ПАР-ДНК и 21-мерный свободный олигонуклеотид. </w:t>
      </w:r>
    </w:p>
    <w:p w14:paraId="0A857B93" w14:textId="77777777" w:rsidR="00AA69DA" w:rsidRPr="00107040" w:rsidRDefault="00AA69DA" w:rsidP="000C16BB">
      <w:pPr>
        <w:spacing w:after="0" w:line="240" w:lineRule="auto"/>
        <w:ind w:firstLine="1134"/>
        <w:jc w:val="center"/>
        <w:rPr>
          <w:rFonts w:ascii="Times New Roman" w:eastAsia="MS Mincho" w:hAnsi="Times New Roman"/>
          <w:sz w:val="28"/>
          <w:szCs w:val="28"/>
          <w:lang w:val="ru-RU" w:eastAsia="ja-JP"/>
        </w:rPr>
      </w:pPr>
    </w:p>
    <w:p w14:paraId="3DE2669F" w14:textId="44FF19B0" w:rsidR="00903387" w:rsidRPr="00107040" w:rsidRDefault="00AA69DA"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Рисунок </w:t>
      </w:r>
      <w:r w:rsidR="002A568C">
        <w:rPr>
          <w:rFonts w:ascii="Times New Roman" w:eastAsia="MS Mincho" w:hAnsi="Times New Roman"/>
          <w:sz w:val="28"/>
          <w:szCs w:val="28"/>
          <w:lang w:val="ru-RU" w:eastAsia="ja-JP"/>
        </w:rPr>
        <w:t>31</w:t>
      </w:r>
      <w:r w:rsidRPr="00107040">
        <w:rPr>
          <w:rFonts w:ascii="Times New Roman" w:eastAsia="MS Mincho" w:hAnsi="Times New Roman"/>
          <w:sz w:val="28"/>
          <w:szCs w:val="28"/>
          <w:lang w:val="ru-RU" w:eastAsia="ja-JP"/>
        </w:rPr>
        <w:t xml:space="preserve"> – Анализ продуктов ферментативного расщепления аддуктов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–ДНК</w:t>
      </w:r>
    </w:p>
    <w:p w14:paraId="3187A409" w14:textId="4597A2B7" w:rsidR="00AA69DA" w:rsidRPr="00107040" w:rsidRDefault="00E7297B"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lastRenderedPageBreak/>
        <w:t xml:space="preserve">Катализируемый </w:t>
      </w:r>
      <w:r w:rsidRPr="00107040">
        <w:rPr>
          <w:rFonts w:ascii="Times New Roman" w:eastAsia="MS Mincho" w:hAnsi="Times New Roman"/>
          <w:sz w:val="28"/>
          <w:szCs w:val="28"/>
          <w:lang w:val="en-GB" w:eastAsia="ja-JP"/>
        </w:rPr>
        <w:t>SVPDE</w:t>
      </w:r>
      <w:r w:rsidRPr="00107040">
        <w:rPr>
          <w:rFonts w:ascii="Times New Roman" w:eastAsia="MS Mincho" w:hAnsi="Times New Roman"/>
          <w:sz w:val="28"/>
          <w:szCs w:val="28"/>
          <w:lang w:val="ru-RU" w:eastAsia="ja-JP"/>
        </w:rPr>
        <w:t xml:space="preserve">1 гидролиз продуктов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-ДНК, меченных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превращает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-комплексы обратно в свободный фрагмент ДНК, который мигрирует подобно свободному 21-меру (дорожка 5).</w:t>
      </w:r>
    </w:p>
    <w:p w14:paraId="3BACCD54" w14:textId="77777777" w:rsidR="00AA69DA" w:rsidRPr="00107040" w:rsidRDefault="004E4B1F"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Мы предполагаем, что этот 21-мерный фрагмент, образованный </w:t>
      </w:r>
      <w:r w:rsidRPr="00107040">
        <w:rPr>
          <w:rFonts w:ascii="Times New Roman" w:eastAsia="MS Mincho" w:hAnsi="Times New Roman"/>
          <w:sz w:val="28"/>
          <w:szCs w:val="28"/>
          <w:lang w:val="en-US" w:eastAsia="ja-JP"/>
        </w:rPr>
        <w:t>SVPDE</w:t>
      </w:r>
      <w:r w:rsidRPr="00107040">
        <w:rPr>
          <w:rFonts w:ascii="Times New Roman" w:eastAsia="MS Mincho" w:hAnsi="Times New Roman"/>
          <w:sz w:val="28"/>
          <w:szCs w:val="28"/>
          <w:lang w:val="ru-RU" w:eastAsia="ja-JP"/>
        </w:rPr>
        <w:t xml:space="preserve">1, все еще содержит фосфорибозильный фрагмент, оставшийся после гидролиза последнего мономера АДФ-рибозы, связанного с концевым фосфатным остатком ДНК на 5’-конце </w:t>
      </w:r>
      <w:r w:rsidRPr="00107040">
        <w:rPr>
          <w:rFonts w:ascii="Times New Roman" w:eastAsia="MS Mincho" w:hAnsi="Times New Roman"/>
          <w:sz w:val="28"/>
          <w:szCs w:val="28"/>
          <w:lang w:val="en-US" w:eastAsia="ja-JP"/>
        </w:rPr>
        <w:t>ExoA</w:t>
      </w:r>
      <w:r w:rsidRPr="00107040">
        <w:rPr>
          <w:rFonts w:ascii="Times New Roman" w:eastAsia="MS Mincho" w:hAnsi="Times New Roman"/>
          <w:sz w:val="28"/>
          <w:szCs w:val="28"/>
          <w:lang w:val="ru-RU" w:eastAsia="ja-JP"/>
        </w:rPr>
        <w:t>. В соответствии с этим комбинированная обработка продуктов ПАР-ДНК, меченных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SVPDE</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CIP</w:t>
      </w:r>
      <w:r w:rsidRPr="00107040">
        <w:rPr>
          <w:rFonts w:ascii="Times New Roman" w:eastAsia="MS Mincho" w:hAnsi="Times New Roman"/>
          <w:sz w:val="28"/>
          <w:szCs w:val="28"/>
          <w:lang w:val="ru-RU" w:eastAsia="ja-JP"/>
        </w:rPr>
        <w:t xml:space="preserve"> привела к появлению полосы (дорожка 7), которая мигрировала медленнее, чем свободный 21 мер 5'-</w:t>
      </w:r>
      <w:r w:rsidRPr="00107040">
        <w:rPr>
          <w:rFonts w:ascii="Times New Roman" w:eastAsia="MS Mincho" w:hAnsi="Times New Roman"/>
          <w:sz w:val="28"/>
          <w:szCs w:val="28"/>
          <w:lang w:val="en-US" w:eastAsia="ja-JP"/>
        </w:rPr>
        <w:sym w:font="Symbol" w:char="F05B"/>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en-US" w:eastAsia="ja-JP"/>
        </w:rPr>
        <w:sym w:font="Symbol" w:char="F05D"/>
      </w:r>
      <w:r w:rsidRPr="00107040">
        <w:rPr>
          <w:rFonts w:ascii="Times New Roman" w:eastAsia="MS Mincho" w:hAnsi="Times New Roman"/>
          <w:sz w:val="28"/>
          <w:szCs w:val="28"/>
          <w:lang w:val="ru-RU" w:eastAsia="ja-JP"/>
        </w:rPr>
        <w:t xml:space="preserve">- меченный </w:t>
      </w:r>
      <w:r w:rsidRPr="00107040">
        <w:rPr>
          <w:rFonts w:ascii="Times New Roman" w:eastAsia="MS Mincho" w:hAnsi="Times New Roman"/>
          <w:sz w:val="28"/>
          <w:szCs w:val="28"/>
          <w:lang w:val="en-US" w:eastAsia="ja-JP"/>
        </w:rPr>
        <w:t>ExoA</w:t>
      </w:r>
      <w:r w:rsidRPr="00107040">
        <w:rPr>
          <w:rFonts w:ascii="Times New Roman" w:eastAsia="MS Mincho" w:hAnsi="Times New Roman"/>
          <w:sz w:val="28"/>
          <w:szCs w:val="28"/>
          <w:lang w:val="ru-RU" w:eastAsia="ja-JP"/>
        </w:rPr>
        <w:t xml:space="preserve"> (дорожка 1). Этот результат убедительно свидетельствует о наличии защитного фрагмента рибозы на 5' конце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-рибозилированного </w:t>
      </w:r>
      <w:r w:rsidRPr="00107040">
        <w:rPr>
          <w:rFonts w:ascii="Times New Roman" w:eastAsia="MS Mincho" w:hAnsi="Times New Roman"/>
          <w:sz w:val="28"/>
          <w:szCs w:val="28"/>
          <w:lang w:val="en-US" w:eastAsia="ja-JP"/>
        </w:rPr>
        <w:t>ExoA</w:t>
      </w:r>
      <w:r w:rsidRPr="00107040">
        <w:rPr>
          <w:rFonts w:ascii="Times New Roman" w:eastAsia="MS Mincho" w:hAnsi="Times New Roman"/>
          <w:sz w:val="28"/>
          <w:szCs w:val="28"/>
          <w:lang w:val="ru-RU" w:eastAsia="ja-JP"/>
        </w:rPr>
        <w:t xml:space="preserve">, который остается после удаления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и фосфатного остатка </w:t>
      </w:r>
      <w:r w:rsidRPr="00107040">
        <w:rPr>
          <w:rFonts w:ascii="Times New Roman" w:eastAsia="MS Mincho" w:hAnsi="Times New Roman"/>
          <w:sz w:val="28"/>
          <w:szCs w:val="28"/>
          <w:lang w:val="en-US" w:eastAsia="ja-JP"/>
        </w:rPr>
        <w:t>SVPDE</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US" w:eastAsia="ja-JP"/>
        </w:rPr>
        <w:t>CIP</w:t>
      </w:r>
      <w:r w:rsidRPr="00107040">
        <w:rPr>
          <w:rFonts w:ascii="Times New Roman" w:eastAsia="MS Mincho" w:hAnsi="Times New Roman"/>
          <w:sz w:val="28"/>
          <w:szCs w:val="28"/>
          <w:lang w:val="ru-RU" w:eastAsia="ja-JP"/>
        </w:rPr>
        <w:t>, соответственно.</w:t>
      </w:r>
    </w:p>
    <w:p w14:paraId="6F4DE41B" w14:textId="3C64E2DF" w:rsidR="00E57C3D" w:rsidRPr="00107040" w:rsidRDefault="00E57C3D" w:rsidP="000C16BB">
      <w:pPr>
        <w:spacing w:after="0" w:line="240" w:lineRule="auto"/>
        <w:ind w:firstLine="567"/>
        <w:jc w:val="center"/>
        <w:rPr>
          <w:rFonts w:ascii="Times New Roman" w:eastAsia="MS Mincho" w:hAnsi="Times New Roman"/>
          <w:b/>
          <w:sz w:val="28"/>
          <w:szCs w:val="28"/>
          <w:lang w:val="ru-RU" w:eastAsia="ja-JP"/>
        </w:rPr>
      </w:pPr>
    </w:p>
    <w:p w14:paraId="05606BAB" w14:textId="0AF1E351" w:rsidR="00B668F8" w:rsidRPr="00107040" w:rsidRDefault="00B668F8" w:rsidP="000C16BB">
      <w:pPr>
        <w:spacing w:after="0" w:line="240" w:lineRule="auto"/>
        <w:ind w:firstLine="567"/>
        <w:jc w:val="center"/>
        <w:rPr>
          <w:rFonts w:ascii="Times New Roman" w:eastAsia="MS Mincho" w:hAnsi="Times New Roman"/>
          <w:b/>
          <w:sz w:val="28"/>
          <w:szCs w:val="28"/>
          <w:lang w:val="ru-RU" w:eastAsia="ja-JP"/>
        </w:rPr>
      </w:pPr>
      <w:r w:rsidRPr="00107040">
        <w:rPr>
          <w:rFonts w:ascii="Times New Roman" w:eastAsia="MS Mincho" w:hAnsi="Times New Roman"/>
          <w:b/>
          <w:noProof/>
          <w:sz w:val="28"/>
          <w:szCs w:val="28"/>
          <w:lang w:val="ru-RU" w:eastAsia="ru-RU"/>
        </w:rPr>
        <w:drawing>
          <wp:inline distT="0" distB="0" distL="0" distR="0" wp14:anchorId="54D0F888" wp14:editId="689082AC">
            <wp:extent cx="3371850" cy="4191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6434B357" w14:textId="77777777" w:rsidR="00B668F8" w:rsidRPr="00107040" w:rsidRDefault="00B668F8" w:rsidP="000C16BB">
      <w:pPr>
        <w:spacing w:after="0" w:line="240" w:lineRule="auto"/>
        <w:ind w:firstLine="567"/>
        <w:jc w:val="center"/>
        <w:rPr>
          <w:rFonts w:ascii="Times New Roman" w:eastAsia="MS Mincho" w:hAnsi="Times New Roman"/>
          <w:b/>
          <w:sz w:val="28"/>
          <w:szCs w:val="28"/>
          <w:lang w:val="ru-RU" w:eastAsia="ja-JP"/>
        </w:rPr>
      </w:pPr>
    </w:p>
    <w:p w14:paraId="1A34E2C9" w14:textId="77777777" w:rsidR="00E57C3D" w:rsidRPr="00107040" w:rsidRDefault="00E57C3D" w:rsidP="000C16BB">
      <w:pPr>
        <w:spacing w:after="0" w:line="240" w:lineRule="auto"/>
        <w:ind w:firstLine="1134"/>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Стрелки указывают продукты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HMW</w:t>
      </w:r>
      <w:r w:rsidRPr="00107040">
        <w:rPr>
          <w:rFonts w:ascii="Times New Roman" w:eastAsia="MS Mincho" w:hAnsi="Times New Roman"/>
          <w:sz w:val="28"/>
          <w:szCs w:val="28"/>
          <w:lang w:val="ru-RU" w:eastAsia="ja-JP"/>
        </w:rPr>
        <w:t xml:space="preserve"> ПАР-ДНК и свободный 15-мерный олигонуклеотид. Звездочкой обозначен продукт неспецифического лигирования, продуцируемый 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-зависимой ДНК-лигазой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i/>
          <w:sz w:val="28"/>
          <w:szCs w:val="28"/>
          <w:lang w:val="en-US" w:eastAsia="ja-JP"/>
        </w:rPr>
        <w:t>E</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coli</w:t>
      </w:r>
      <w:r w:rsidRPr="00107040">
        <w:rPr>
          <w:rFonts w:ascii="Times New Roman" w:eastAsia="MS Mincho" w:hAnsi="Times New Roman"/>
          <w:sz w:val="28"/>
          <w:szCs w:val="28"/>
          <w:lang w:val="ru-RU" w:eastAsia="ja-JP"/>
        </w:rPr>
        <w:t xml:space="preserve">. </w:t>
      </w:r>
    </w:p>
    <w:p w14:paraId="79ECFFF9" w14:textId="77777777" w:rsidR="00AA69DA" w:rsidRPr="00107040" w:rsidRDefault="00AA69DA" w:rsidP="000C16BB">
      <w:pPr>
        <w:spacing w:after="0" w:line="240" w:lineRule="auto"/>
        <w:ind w:firstLine="567"/>
        <w:jc w:val="center"/>
        <w:rPr>
          <w:rFonts w:ascii="Times New Roman" w:eastAsia="MS Mincho" w:hAnsi="Times New Roman"/>
          <w:b/>
          <w:sz w:val="28"/>
          <w:szCs w:val="28"/>
          <w:lang w:val="ru-RU" w:eastAsia="ja-JP"/>
        </w:rPr>
      </w:pPr>
    </w:p>
    <w:p w14:paraId="1424F430" w14:textId="334E392E" w:rsidR="00903387" w:rsidRPr="00107040" w:rsidRDefault="00AA69DA" w:rsidP="000C16BB">
      <w:pPr>
        <w:spacing w:after="0" w:line="240" w:lineRule="auto"/>
        <w:ind w:firstLine="1134"/>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Рисунок </w:t>
      </w:r>
      <w:r w:rsidR="00B668F8" w:rsidRPr="00107040">
        <w:rPr>
          <w:rFonts w:ascii="Times New Roman" w:eastAsia="MS Mincho" w:hAnsi="Times New Roman"/>
          <w:sz w:val="28"/>
          <w:szCs w:val="28"/>
          <w:lang w:val="ru-RU" w:eastAsia="ja-JP"/>
        </w:rPr>
        <w:t>3</w:t>
      </w:r>
      <w:r w:rsidR="002A568C">
        <w:rPr>
          <w:rFonts w:ascii="Times New Roman" w:eastAsia="MS Mincho" w:hAnsi="Times New Roman"/>
          <w:sz w:val="28"/>
          <w:szCs w:val="28"/>
          <w:lang w:val="ru-RU" w:eastAsia="ja-JP"/>
        </w:rPr>
        <w:t>2</w:t>
      </w:r>
      <w:r w:rsidRPr="00107040">
        <w:rPr>
          <w:rFonts w:ascii="Times New Roman" w:eastAsia="MS Mincho" w:hAnsi="Times New Roman"/>
          <w:sz w:val="28"/>
          <w:szCs w:val="28"/>
          <w:lang w:val="ru-RU" w:eastAsia="ja-JP"/>
        </w:rPr>
        <w:t xml:space="preserve"> – Денатурирующий ПААГ анализ продуктов расщепления аддуктов ПАР-ДНК различными ферментами </w:t>
      </w:r>
    </w:p>
    <w:p w14:paraId="68B88B4F" w14:textId="77777777" w:rsidR="004E4B1F" w:rsidRPr="00107040" w:rsidRDefault="004E4B1F" w:rsidP="000C16BB">
      <w:pPr>
        <w:spacing w:after="0" w:line="240" w:lineRule="auto"/>
        <w:ind w:firstLine="567"/>
        <w:jc w:val="both"/>
        <w:rPr>
          <w:rFonts w:ascii="Times New Roman" w:eastAsia="MS Mincho" w:hAnsi="Times New Roman"/>
          <w:sz w:val="28"/>
          <w:szCs w:val="28"/>
          <w:lang w:val="ru-RU" w:eastAsia="ja-JP"/>
        </w:rPr>
      </w:pPr>
    </w:p>
    <w:p w14:paraId="0AC5468B" w14:textId="4F8B7B61" w:rsidR="00AA69DA" w:rsidRPr="00107040" w:rsidRDefault="004E4B1F"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Затем </w:t>
      </w:r>
      <w:r w:rsidR="001B5B70" w:rsidRPr="00107040">
        <w:rPr>
          <w:rFonts w:ascii="Times New Roman" w:eastAsia="MS Mincho" w:hAnsi="Times New Roman"/>
          <w:sz w:val="28"/>
          <w:szCs w:val="28"/>
          <w:lang w:val="ru-RU" w:eastAsia="ja-JP"/>
        </w:rPr>
        <w:t>были</w:t>
      </w:r>
      <w:r w:rsidRPr="00107040">
        <w:rPr>
          <w:rFonts w:ascii="Times New Roman" w:eastAsia="MS Mincho" w:hAnsi="Times New Roman"/>
          <w:sz w:val="28"/>
          <w:szCs w:val="28"/>
          <w:lang w:val="ru-RU" w:eastAsia="ja-JP"/>
        </w:rPr>
        <w:t xml:space="preserve"> исследова</w:t>
      </w:r>
      <w:r w:rsidR="001B5B70" w:rsidRPr="00107040">
        <w:rPr>
          <w:rFonts w:ascii="Times New Roman" w:eastAsia="MS Mincho" w:hAnsi="Times New Roman"/>
          <w:sz w:val="28"/>
          <w:szCs w:val="28"/>
          <w:lang w:val="ru-RU" w:eastAsia="ja-JP"/>
        </w:rPr>
        <w:t>ны</w:t>
      </w:r>
      <w:r w:rsidRPr="00107040">
        <w:rPr>
          <w:rFonts w:ascii="Times New Roman" w:eastAsia="MS Mincho" w:hAnsi="Times New Roman"/>
          <w:sz w:val="28"/>
          <w:szCs w:val="28"/>
          <w:lang w:val="ru-RU" w:eastAsia="ja-JP"/>
        </w:rPr>
        <w:t xml:space="preserve"> структур</w:t>
      </w:r>
      <w:r w:rsidR="001B5B70" w:rsidRPr="00107040">
        <w:rPr>
          <w:rFonts w:ascii="Times New Roman" w:eastAsia="MS Mincho" w:hAnsi="Times New Roman"/>
          <w:sz w:val="28"/>
          <w:szCs w:val="28"/>
          <w:lang w:val="ru-RU" w:eastAsia="ja-JP"/>
        </w:rPr>
        <w:t>а</w:t>
      </w:r>
      <w:r w:rsidRPr="00107040">
        <w:rPr>
          <w:rFonts w:ascii="Times New Roman" w:eastAsia="MS Mincho" w:hAnsi="Times New Roman"/>
          <w:sz w:val="28"/>
          <w:szCs w:val="28"/>
          <w:lang w:val="ru-RU" w:eastAsia="ja-JP"/>
        </w:rPr>
        <w:t xml:space="preserve"> и состав аддуктов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генерируемых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1. Для этого меченые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US" w:eastAsia="ja-JP"/>
        </w:rPr>
        <w:t>P</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kk-KZ" w:eastAsia="ja-JP"/>
        </w:rPr>
        <w:t>ПАРилированные</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lastRenderedPageBreak/>
        <w:t xml:space="preserve">олигонуклеотидные дуплексы </w:t>
      </w:r>
      <w:r w:rsidRPr="00107040">
        <w:rPr>
          <w:rFonts w:ascii="Times New Roman" w:eastAsia="MS Mincho" w:hAnsi="Times New Roman"/>
          <w:sz w:val="28"/>
          <w:szCs w:val="28"/>
          <w:lang w:val="en-US" w:eastAsia="ja-JP"/>
        </w:rPr>
        <w:t>Exo</w:t>
      </w:r>
      <w:r w:rsidRPr="00107040">
        <w:rPr>
          <w:rFonts w:ascii="Times New Roman" w:eastAsia="MS Mincho" w:hAnsi="Times New Roman"/>
          <w:sz w:val="28"/>
          <w:szCs w:val="28"/>
          <w:lang w:val="ru-RU" w:eastAsia="ja-JP"/>
        </w:rPr>
        <w:t>15•</w:t>
      </w:r>
      <w:r w:rsidRPr="00107040">
        <w:rPr>
          <w:rFonts w:ascii="Times New Roman" w:eastAsia="MS Mincho" w:hAnsi="Times New Roman"/>
          <w:sz w:val="28"/>
          <w:szCs w:val="28"/>
          <w:lang w:val="en-US" w:eastAsia="ja-JP"/>
        </w:rPr>
        <w:t>RexT</w:t>
      </w:r>
      <w:r w:rsidRPr="00107040">
        <w:rPr>
          <w:rFonts w:ascii="Times New Roman" w:eastAsia="MS Mincho" w:hAnsi="Times New Roman"/>
          <w:sz w:val="28"/>
          <w:szCs w:val="28"/>
          <w:lang w:val="ru-RU" w:eastAsia="ja-JP"/>
        </w:rPr>
        <w:t>-12</w:t>
      </w:r>
      <w:r w:rsidRPr="00107040">
        <w:rPr>
          <w:rFonts w:ascii="Times New Roman" w:eastAsia="MS Mincho" w:hAnsi="Times New Roman"/>
          <w:sz w:val="28"/>
          <w:szCs w:val="28"/>
          <w:vertAlign w:val="superscript"/>
          <w:lang w:val="en-US" w:eastAsia="ja-JP"/>
        </w:rPr>
        <w:t>rec</w:t>
      </w:r>
      <w:r w:rsidRPr="00107040">
        <w:rPr>
          <w:rFonts w:ascii="Times New Roman" w:eastAsia="MS Mincho" w:hAnsi="Times New Roman"/>
          <w:sz w:val="28"/>
          <w:szCs w:val="28"/>
          <w:lang w:val="ru-RU" w:eastAsia="ja-JP"/>
        </w:rPr>
        <w:t xml:space="preserve"> инкубировали с </w:t>
      </w:r>
      <w:r w:rsidRPr="00107040">
        <w:rPr>
          <w:rFonts w:ascii="Times New Roman" w:eastAsia="MS Mincho" w:hAnsi="Times New Roman"/>
          <w:sz w:val="28"/>
          <w:szCs w:val="28"/>
          <w:lang w:val="en-US" w:eastAsia="ja-JP"/>
        </w:rPr>
        <w:t>PARG</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CIP</w:t>
      </w:r>
      <w:r w:rsidRPr="00107040">
        <w:rPr>
          <w:rFonts w:ascii="Times New Roman" w:eastAsia="MS Mincho" w:hAnsi="Times New Roman"/>
          <w:sz w:val="28"/>
          <w:szCs w:val="28"/>
          <w:lang w:val="ru-RU" w:eastAsia="ja-JP"/>
        </w:rPr>
        <w:t xml:space="preserve">, ДНКазой </w:t>
      </w:r>
      <w:r w:rsidRPr="00107040">
        <w:rPr>
          <w:rFonts w:ascii="Times New Roman" w:eastAsia="MS Mincho" w:hAnsi="Times New Roman"/>
          <w:sz w:val="28"/>
          <w:szCs w:val="28"/>
          <w:lang w:val="en-US" w:eastAsia="ja-JP"/>
        </w:rPr>
        <w:t>I</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US" w:eastAsia="ja-JP"/>
        </w:rPr>
        <w:t>PRK</w:t>
      </w:r>
      <w:r w:rsidRPr="00107040">
        <w:rPr>
          <w:rFonts w:ascii="Times New Roman" w:eastAsia="MS Mincho" w:hAnsi="Times New Roman"/>
          <w:sz w:val="28"/>
          <w:szCs w:val="28"/>
          <w:lang w:val="ru-RU" w:eastAsia="ja-JP"/>
        </w:rPr>
        <w:t xml:space="preserve">. Как и ожидалось, обработка </w:t>
      </w:r>
      <w:r w:rsidRPr="00107040">
        <w:rPr>
          <w:rFonts w:ascii="Times New Roman" w:eastAsia="MS Mincho" w:hAnsi="Times New Roman"/>
          <w:sz w:val="28"/>
          <w:szCs w:val="28"/>
          <w:lang w:val="en-US" w:eastAsia="ja-JP"/>
        </w:rPr>
        <w:t>PARG</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илированной ДНК, но не </w:t>
      </w:r>
      <w:r w:rsidRPr="00107040">
        <w:rPr>
          <w:rFonts w:ascii="Times New Roman" w:eastAsia="MS Mincho" w:hAnsi="Times New Roman"/>
          <w:sz w:val="28"/>
          <w:szCs w:val="28"/>
          <w:lang w:val="en-US" w:eastAsia="ja-JP"/>
        </w:rPr>
        <w:t>PRK</w:t>
      </w:r>
      <w:r w:rsidRPr="00107040">
        <w:rPr>
          <w:rFonts w:ascii="Times New Roman" w:eastAsia="MS Mincho" w:hAnsi="Times New Roman"/>
          <w:sz w:val="28"/>
          <w:szCs w:val="28"/>
          <w:lang w:val="ru-RU" w:eastAsia="ja-JP"/>
        </w:rPr>
        <w:t xml:space="preserve">, полностью восстанавливала нативную структуру 15-мерного олигонуклеотида (рисунок </w:t>
      </w:r>
      <w:r w:rsidR="00A0082D" w:rsidRPr="00107040">
        <w:rPr>
          <w:rFonts w:ascii="Times New Roman" w:eastAsia="MS Mincho" w:hAnsi="Times New Roman"/>
          <w:sz w:val="28"/>
          <w:szCs w:val="28"/>
          <w:lang w:val="ru-RU" w:eastAsia="ja-JP"/>
        </w:rPr>
        <w:t>3</w:t>
      </w:r>
      <w:r w:rsidR="002A568C">
        <w:rPr>
          <w:rFonts w:ascii="Times New Roman" w:eastAsia="MS Mincho" w:hAnsi="Times New Roman"/>
          <w:sz w:val="28"/>
          <w:szCs w:val="28"/>
          <w:lang w:val="ru-RU" w:eastAsia="ja-JP"/>
        </w:rPr>
        <w:t>2</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kk-KZ" w:eastAsia="ja-JP"/>
        </w:rPr>
        <w:t>ПАРилированные</w:t>
      </w:r>
      <w:r w:rsidRPr="00107040">
        <w:rPr>
          <w:rFonts w:ascii="Times New Roman" w:eastAsia="MS Mincho" w:hAnsi="Times New Roman"/>
          <w:sz w:val="28"/>
          <w:szCs w:val="28"/>
          <w:lang w:val="ru-RU" w:eastAsia="ja-JP"/>
        </w:rPr>
        <w:t xml:space="preserve"> дуплексы </w:t>
      </w:r>
      <w:r w:rsidRPr="00107040">
        <w:rPr>
          <w:rFonts w:ascii="Times New Roman" w:eastAsia="MS Mincho" w:hAnsi="Times New Roman"/>
          <w:sz w:val="28"/>
          <w:szCs w:val="28"/>
          <w:lang w:val="en-US" w:eastAsia="ja-JP"/>
        </w:rPr>
        <w:t>Exo</w:t>
      </w:r>
      <w:r w:rsidRPr="00107040">
        <w:rPr>
          <w:rFonts w:ascii="Times New Roman" w:eastAsia="MS Mincho" w:hAnsi="Times New Roman"/>
          <w:sz w:val="28"/>
          <w:szCs w:val="28"/>
          <w:lang w:val="ru-RU" w:eastAsia="ja-JP"/>
        </w:rPr>
        <w:t>15•</w:t>
      </w:r>
      <w:r w:rsidRPr="00107040">
        <w:rPr>
          <w:rFonts w:ascii="Times New Roman" w:eastAsia="MS Mincho" w:hAnsi="Times New Roman"/>
          <w:sz w:val="28"/>
          <w:szCs w:val="28"/>
          <w:lang w:val="en-US" w:eastAsia="ja-JP"/>
        </w:rPr>
        <w:t>RexT</w:t>
      </w:r>
      <w:r w:rsidRPr="00107040">
        <w:rPr>
          <w:rFonts w:ascii="Times New Roman" w:eastAsia="MS Mincho" w:hAnsi="Times New Roman"/>
          <w:sz w:val="28"/>
          <w:szCs w:val="28"/>
          <w:lang w:val="ru-RU" w:eastAsia="ja-JP"/>
        </w:rPr>
        <w:t>-12</w:t>
      </w:r>
      <w:r w:rsidRPr="00107040">
        <w:rPr>
          <w:rFonts w:ascii="Times New Roman" w:eastAsia="MS Mincho" w:hAnsi="Times New Roman"/>
          <w:sz w:val="28"/>
          <w:szCs w:val="28"/>
          <w:vertAlign w:val="superscript"/>
          <w:lang w:val="en-US" w:eastAsia="ja-JP"/>
        </w:rPr>
        <w:t>rec</w:t>
      </w:r>
      <w:r w:rsidRPr="00107040">
        <w:rPr>
          <w:rFonts w:ascii="Times New Roman" w:eastAsia="MS Mincho" w:hAnsi="Times New Roman"/>
          <w:sz w:val="28"/>
          <w:szCs w:val="28"/>
          <w:lang w:val="ru-RU" w:eastAsia="ja-JP"/>
        </w:rPr>
        <w:t xml:space="preserve">, в отличие от свободных олигонуклеотидов, были устойчивы к обработкам </w:t>
      </w:r>
      <w:r w:rsidRPr="00107040">
        <w:rPr>
          <w:rFonts w:ascii="Times New Roman" w:eastAsia="MS Mincho" w:hAnsi="Times New Roman"/>
          <w:sz w:val="28"/>
          <w:szCs w:val="28"/>
          <w:lang w:val="en-US" w:eastAsia="ja-JP"/>
        </w:rPr>
        <w:t>CIP</w:t>
      </w:r>
      <w:r w:rsidRPr="00107040">
        <w:rPr>
          <w:rFonts w:ascii="Times New Roman" w:eastAsia="MS Mincho" w:hAnsi="Times New Roman"/>
          <w:sz w:val="28"/>
          <w:szCs w:val="28"/>
          <w:lang w:val="ru-RU" w:eastAsia="ja-JP"/>
        </w:rPr>
        <w:t xml:space="preserve"> и ДНКазой </w:t>
      </w:r>
      <w:r w:rsidRPr="00107040">
        <w:rPr>
          <w:rFonts w:ascii="Times New Roman" w:eastAsia="MS Mincho" w:hAnsi="Times New Roman"/>
          <w:sz w:val="28"/>
          <w:szCs w:val="28"/>
          <w:lang w:val="en-US" w:eastAsia="ja-JP"/>
        </w:rPr>
        <w:t>I</w:t>
      </w:r>
      <w:r w:rsidRPr="00107040">
        <w:rPr>
          <w:rFonts w:ascii="Times New Roman" w:eastAsia="MS Mincho" w:hAnsi="Times New Roman"/>
          <w:sz w:val="28"/>
          <w:szCs w:val="28"/>
          <w:lang w:val="ru-RU" w:eastAsia="ja-JP"/>
        </w:rPr>
        <w:t xml:space="preserve"> (рисунок </w:t>
      </w:r>
      <w:r w:rsidR="00A0082D" w:rsidRPr="00107040">
        <w:rPr>
          <w:rFonts w:ascii="Times New Roman" w:eastAsia="MS Mincho" w:hAnsi="Times New Roman"/>
          <w:sz w:val="28"/>
          <w:szCs w:val="28"/>
          <w:lang w:val="ru-RU" w:eastAsia="ja-JP"/>
        </w:rPr>
        <w:t>3</w:t>
      </w:r>
      <w:r w:rsidR="002A568C">
        <w:rPr>
          <w:rFonts w:ascii="Times New Roman" w:eastAsia="MS Mincho" w:hAnsi="Times New Roman"/>
          <w:sz w:val="28"/>
          <w:szCs w:val="28"/>
          <w:lang w:val="ru-RU" w:eastAsia="ja-JP"/>
        </w:rPr>
        <w:t>2</w:t>
      </w:r>
      <w:r w:rsidRPr="00107040">
        <w:rPr>
          <w:rFonts w:ascii="Times New Roman" w:eastAsia="MS Mincho" w:hAnsi="Times New Roman"/>
          <w:sz w:val="28"/>
          <w:szCs w:val="28"/>
          <w:lang w:val="ru-RU" w:eastAsia="ja-JP"/>
        </w:rPr>
        <w:t xml:space="preserve">). Эти результаты показывают, что оба олигонуклеотида ДНК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-рибозилируют сходным образом, генерируя структурно сходные аддукты ПАР-ДНК. Таким образом, мы можем заключить, что </w:t>
      </w:r>
      <w:r w:rsidRPr="00107040">
        <w:rPr>
          <w:rFonts w:ascii="Times New Roman" w:eastAsia="MS Mincho" w:hAnsi="Times New Roman"/>
          <w:sz w:val="28"/>
          <w:szCs w:val="28"/>
          <w:lang w:val="en-US" w:eastAsia="ja-JP"/>
        </w:rPr>
        <w:t>PARP</w:t>
      </w:r>
      <w:r w:rsidRPr="00107040">
        <w:rPr>
          <w:rFonts w:ascii="Times New Roman" w:eastAsia="MS Mincho" w:hAnsi="Times New Roman"/>
          <w:sz w:val="28"/>
          <w:szCs w:val="28"/>
          <w:lang w:val="ru-RU" w:eastAsia="ja-JP"/>
        </w:rPr>
        <w:t xml:space="preserve"> растений, подобно своим аналогам у млекопитающих, катализируют ковалентное присоединение единицы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-рибозы к концам ДНК через фосфодиэфирную связь между концевым фосфатным остатком ДНК и </w:t>
      </w:r>
      <w:r w:rsidRPr="00107040">
        <w:rPr>
          <w:rFonts w:ascii="Times New Roman" w:eastAsia="MS Mincho" w:hAnsi="Times New Roman"/>
          <w:sz w:val="28"/>
          <w:szCs w:val="28"/>
          <w:lang w:val="en-US" w:eastAsia="ja-JP"/>
        </w:rPr>
        <w:t>C</w:t>
      </w:r>
      <w:r w:rsidRPr="00107040">
        <w:rPr>
          <w:rFonts w:ascii="Times New Roman" w:eastAsia="MS Mincho" w:hAnsi="Times New Roman"/>
          <w:sz w:val="28"/>
          <w:szCs w:val="28"/>
          <w:lang w:val="ru-RU" w:eastAsia="ja-JP"/>
        </w:rPr>
        <w:t xml:space="preserve">1’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-рибозы. </w:t>
      </w:r>
    </w:p>
    <w:p w14:paraId="4D300B1A" w14:textId="47A47D18" w:rsidR="00AA69DA" w:rsidRPr="00107040" w:rsidRDefault="00AA69DA" w:rsidP="000C16BB">
      <w:pPr>
        <w:spacing w:after="0" w:line="240" w:lineRule="auto"/>
        <w:ind w:firstLine="567"/>
        <w:jc w:val="center"/>
        <w:rPr>
          <w:rFonts w:ascii="Times New Roman" w:eastAsia="MS Mincho" w:hAnsi="Times New Roman"/>
          <w:sz w:val="28"/>
          <w:szCs w:val="28"/>
          <w:lang w:val="ru-RU" w:eastAsia="ja-JP"/>
        </w:rPr>
      </w:pPr>
    </w:p>
    <w:p w14:paraId="0C5FD890" w14:textId="105B3E92" w:rsidR="00A0082D" w:rsidRPr="00107040" w:rsidRDefault="00A0082D"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noProof/>
          <w:sz w:val="28"/>
          <w:szCs w:val="28"/>
          <w:lang w:val="ru-RU" w:eastAsia="ru-RU"/>
        </w:rPr>
        <w:drawing>
          <wp:inline distT="0" distB="0" distL="0" distR="0" wp14:anchorId="1E84B549" wp14:editId="668B7D85">
            <wp:extent cx="4133850" cy="4057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33850" cy="4057650"/>
                    </a:xfrm>
                    <a:prstGeom prst="rect">
                      <a:avLst/>
                    </a:prstGeom>
                    <a:noFill/>
                    <a:ln>
                      <a:noFill/>
                    </a:ln>
                  </pic:spPr>
                </pic:pic>
              </a:graphicData>
            </a:graphic>
          </wp:inline>
        </w:drawing>
      </w:r>
    </w:p>
    <w:p w14:paraId="31E0F787" w14:textId="77777777" w:rsidR="00A0082D" w:rsidRPr="00107040" w:rsidRDefault="00A0082D" w:rsidP="000C16BB">
      <w:pPr>
        <w:spacing w:after="0" w:line="240" w:lineRule="auto"/>
        <w:ind w:firstLine="567"/>
        <w:jc w:val="center"/>
        <w:rPr>
          <w:rFonts w:ascii="Times New Roman" w:eastAsia="MS Mincho" w:hAnsi="Times New Roman"/>
          <w:sz w:val="28"/>
          <w:szCs w:val="28"/>
          <w:lang w:val="ru-RU" w:eastAsia="ja-JP"/>
        </w:rPr>
      </w:pPr>
    </w:p>
    <w:p w14:paraId="4726BEA9" w14:textId="77777777" w:rsidR="00E57C3D" w:rsidRPr="00107040" w:rsidRDefault="00E57C3D"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Стрелки указывают на фосфорибозилированные (</w:t>
      </w:r>
      <w:r w:rsidRPr="00107040">
        <w:rPr>
          <w:rFonts w:ascii="Times New Roman" w:eastAsia="MS Mincho" w:hAnsi="Times New Roman"/>
          <w:sz w:val="28"/>
          <w:szCs w:val="28"/>
          <w:lang w:val="en-GB" w:eastAsia="ja-JP"/>
        </w:rPr>
        <w:t>Rib</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рибозилированные (</w:t>
      </w:r>
      <w:r w:rsidRPr="00107040">
        <w:rPr>
          <w:rFonts w:ascii="Times New Roman" w:eastAsia="MS Mincho" w:hAnsi="Times New Roman"/>
          <w:sz w:val="28"/>
          <w:szCs w:val="28"/>
          <w:lang w:val="en-GB" w:eastAsia="ja-JP"/>
        </w:rPr>
        <w:t>Rib</w:t>
      </w:r>
      <w:r w:rsidRPr="00107040">
        <w:rPr>
          <w:rFonts w:ascii="Times New Roman" w:eastAsia="MS Mincho" w:hAnsi="Times New Roman"/>
          <w:sz w:val="28"/>
          <w:szCs w:val="28"/>
          <w:lang w:val="ru-RU" w:eastAsia="ja-JP"/>
        </w:rPr>
        <w:t>) и нативные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]-меченные 21-мерные и 15-мерные олигонуклеотиды, «*</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обозначает меченый фосфатный остаток. Звездочкой обозначен продукт неспецифического лигирования, продуцируемый </w:t>
      </w:r>
      <w:r w:rsidRPr="00107040">
        <w:rPr>
          <w:rFonts w:ascii="Times New Roman" w:eastAsia="MS Mincho" w:hAnsi="Times New Roman"/>
          <w:sz w:val="28"/>
          <w:szCs w:val="28"/>
          <w:lang w:val="kk-KZ" w:eastAsia="ja-JP"/>
        </w:rPr>
        <w:t>НАД</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-зависимой ДНК-лигазой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kk-KZ" w:eastAsia="ja-JP"/>
        </w:rPr>
        <w:t xml:space="preserve"> </w:t>
      </w:r>
      <w:r w:rsidRPr="00107040">
        <w:rPr>
          <w:rFonts w:ascii="Times New Roman" w:eastAsia="MS Mincho" w:hAnsi="Times New Roman"/>
          <w:i/>
          <w:sz w:val="28"/>
          <w:szCs w:val="28"/>
          <w:lang w:val="kk-KZ" w:eastAsia="ja-JP"/>
        </w:rPr>
        <w:t>Е</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GB" w:eastAsia="ja-JP"/>
        </w:rPr>
        <w:t>coli</w:t>
      </w:r>
      <w:r w:rsidRPr="00107040">
        <w:rPr>
          <w:rFonts w:ascii="Times New Roman" w:eastAsia="MS Mincho" w:hAnsi="Times New Roman"/>
          <w:sz w:val="28"/>
          <w:szCs w:val="28"/>
          <w:lang w:val="ru-RU" w:eastAsia="ja-JP"/>
        </w:rPr>
        <w:t xml:space="preserve">. </w:t>
      </w:r>
    </w:p>
    <w:p w14:paraId="346D278C" w14:textId="77777777" w:rsidR="00E57C3D" w:rsidRPr="00107040" w:rsidRDefault="00E57C3D" w:rsidP="000C16BB">
      <w:pPr>
        <w:spacing w:after="0" w:line="240" w:lineRule="auto"/>
        <w:ind w:firstLine="567"/>
        <w:jc w:val="center"/>
        <w:rPr>
          <w:rFonts w:ascii="Times New Roman" w:eastAsia="MS Mincho" w:hAnsi="Times New Roman"/>
          <w:sz w:val="28"/>
          <w:szCs w:val="28"/>
          <w:lang w:val="ru-RU" w:eastAsia="ja-JP"/>
        </w:rPr>
      </w:pPr>
    </w:p>
    <w:p w14:paraId="5A92EAA4" w14:textId="6F523645" w:rsidR="00903387" w:rsidRPr="00107040" w:rsidRDefault="00AA69DA"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Рисунок 3</w:t>
      </w:r>
      <w:r w:rsidR="002A568C">
        <w:rPr>
          <w:rFonts w:ascii="Times New Roman" w:eastAsia="MS Mincho" w:hAnsi="Times New Roman"/>
          <w:sz w:val="28"/>
          <w:szCs w:val="28"/>
          <w:lang w:val="ru-RU" w:eastAsia="ja-JP"/>
        </w:rPr>
        <w:t>3</w:t>
      </w:r>
      <w:r w:rsidRPr="00107040">
        <w:rPr>
          <w:rFonts w:ascii="Times New Roman" w:eastAsia="MS Mincho" w:hAnsi="Times New Roman"/>
          <w:sz w:val="28"/>
          <w:szCs w:val="28"/>
          <w:lang w:val="ru-RU" w:eastAsia="ja-JP"/>
        </w:rPr>
        <w:t xml:space="preserve"> – Денатурирующий анализ в ПААГ продуктов катализируемого </w:t>
      </w:r>
      <w:r w:rsidRPr="00107040">
        <w:rPr>
          <w:rFonts w:ascii="Times New Roman" w:eastAsia="MS Mincho" w:hAnsi="Times New Roman"/>
          <w:sz w:val="28"/>
          <w:szCs w:val="28"/>
          <w:lang w:val="en-GB" w:eastAsia="ja-JP"/>
        </w:rPr>
        <w:t>NUDT</w:t>
      </w:r>
      <w:r w:rsidRPr="00107040">
        <w:rPr>
          <w:rFonts w:ascii="Times New Roman" w:eastAsia="MS Mincho" w:hAnsi="Times New Roman"/>
          <w:sz w:val="28"/>
          <w:szCs w:val="28"/>
          <w:lang w:val="ru-RU" w:eastAsia="ja-JP"/>
        </w:rPr>
        <w:t xml:space="preserve">16 и </w:t>
      </w:r>
      <w:r w:rsidRPr="00107040">
        <w:rPr>
          <w:rFonts w:ascii="Times New Roman" w:eastAsia="MS Mincho" w:hAnsi="Times New Roman"/>
          <w:sz w:val="28"/>
          <w:szCs w:val="28"/>
          <w:lang w:val="en-GB" w:eastAsia="ja-JP"/>
        </w:rPr>
        <w:t>CIP</w:t>
      </w:r>
      <w:r w:rsidRPr="00107040">
        <w:rPr>
          <w:rFonts w:ascii="Times New Roman" w:eastAsia="MS Mincho" w:hAnsi="Times New Roman"/>
          <w:sz w:val="28"/>
          <w:szCs w:val="28"/>
          <w:lang w:val="ru-RU" w:eastAsia="ja-JP"/>
        </w:rPr>
        <w:t xml:space="preserve"> гидролиза аддуктов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генерируемых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2. </w:t>
      </w:r>
    </w:p>
    <w:p w14:paraId="51408C0A" w14:textId="77777777" w:rsidR="000D3A25" w:rsidRPr="00107040" w:rsidRDefault="000D3A25" w:rsidP="000C16BB">
      <w:pPr>
        <w:tabs>
          <w:tab w:val="left" w:pos="0"/>
          <w:tab w:val="left" w:pos="851"/>
        </w:tabs>
        <w:autoSpaceDE w:val="0"/>
        <w:autoSpaceDN w:val="0"/>
        <w:adjustRightInd w:val="0"/>
        <w:spacing w:after="0" w:line="240" w:lineRule="auto"/>
        <w:ind w:firstLine="567"/>
        <w:jc w:val="both"/>
        <w:rPr>
          <w:rFonts w:ascii="Times New Roman" w:eastAsia="MS Mincho" w:hAnsi="Times New Roman"/>
          <w:sz w:val="28"/>
          <w:szCs w:val="28"/>
          <w:lang w:val="ru-RU" w:eastAsia="ja-JP"/>
        </w:rPr>
      </w:pPr>
    </w:p>
    <w:p w14:paraId="34493C24" w14:textId="30FD4A82" w:rsidR="000D3A25" w:rsidRPr="00107040" w:rsidRDefault="001B5B70" w:rsidP="000C16BB">
      <w:pPr>
        <w:tabs>
          <w:tab w:val="left" w:pos="0"/>
          <w:tab w:val="left" w:pos="851"/>
        </w:tabs>
        <w:autoSpaceDE w:val="0"/>
        <w:autoSpaceDN w:val="0"/>
        <w:adjustRightInd w:val="0"/>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lastRenderedPageBreak/>
        <w:t>В результате проведения исследования было показано,</w:t>
      </w:r>
      <w:r w:rsidR="00AB6D29" w:rsidRPr="00107040">
        <w:rPr>
          <w:rFonts w:ascii="Times New Roman" w:eastAsia="MS Mincho" w:hAnsi="Times New Roman"/>
          <w:sz w:val="28"/>
          <w:szCs w:val="28"/>
          <w:lang w:val="ru-RU" w:eastAsia="ja-JP"/>
        </w:rPr>
        <w:t xml:space="preserve"> что 5ʹ-дезоксирибозофосфатные остатки в различных позициях ДНК способны образовывать основания Шиффа 5ʹ-</w:t>
      </w:r>
      <w:r w:rsidR="00AB6D29" w:rsidRPr="00107040">
        <w:rPr>
          <w:rFonts w:ascii="Times New Roman" w:eastAsia="MS Mincho" w:hAnsi="Times New Roman"/>
          <w:sz w:val="28"/>
          <w:szCs w:val="28"/>
          <w:lang w:eastAsia="ja-JP"/>
        </w:rPr>
        <w:t>dRP</w:t>
      </w:r>
      <w:r w:rsidR="00AB6D29" w:rsidRPr="00107040">
        <w:rPr>
          <w:rFonts w:ascii="Times New Roman" w:eastAsia="MS Mincho" w:hAnsi="Times New Roman"/>
          <w:sz w:val="28"/>
          <w:szCs w:val="28"/>
          <w:lang w:val="ru-RU" w:eastAsia="ja-JP"/>
        </w:rPr>
        <w:t xml:space="preserve"> группами, расположенными не только в разрывах цепи, но в других типах повреждений, в частности, на концах двухцепочечных разрывов с несколькоми белками репарации (</w:t>
      </w:r>
      <w:r w:rsidR="00AB6D29" w:rsidRPr="00107040">
        <w:rPr>
          <w:rFonts w:ascii="Times New Roman" w:eastAsia="MS Mincho" w:hAnsi="Times New Roman"/>
          <w:sz w:val="28"/>
          <w:szCs w:val="28"/>
          <w:lang w:eastAsia="ja-JP"/>
        </w:rPr>
        <w:t>PARP</w:t>
      </w:r>
      <w:r w:rsidR="00AB6D29" w:rsidRPr="00107040">
        <w:rPr>
          <w:rFonts w:ascii="Times New Roman" w:eastAsia="MS Mincho" w:hAnsi="Times New Roman"/>
          <w:sz w:val="28"/>
          <w:szCs w:val="28"/>
          <w:lang w:val="ru-RU" w:eastAsia="ja-JP"/>
        </w:rPr>
        <w:t xml:space="preserve">1, </w:t>
      </w:r>
      <w:r w:rsidR="00AB6D29" w:rsidRPr="00107040">
        <w:rPr>
          <w:rFonts w:ascii="Times New Roman" w:eastAsia="MS Mincho" w:hAnsi="Times New Roman"/>
          <w:sz w:val="28"/>
          <w:szCs w:val="28"/>
          <w:lang w:eastAsia="ja-JP"/>
        </w:rPr>
        <w:t>PARP</w:t>
      </w:r>
      <w:r w:rsidR="00AB6D29" w:rsidRPr="00107040">
        <w:rPr>
          <w:rFonts w:ascii="Times New Roman" w:eastAsia="MS Mincho" w:hAnsi="Times New Roman"/>
          <w:sz w:val="28"/>
          <w:szCs w:val="28"/>
          <w:lang w:val="ru-RU" w:eastAsia="ja-JP"/>
        </w:rPr>
        <w:t xml:space="preserve">2, ДНК-полимераза </w:t>
      </w:r>
      <w:r w:rsidR="00AB6D29" w:rsidRPr="00107040">
        <w:rPr>
          <w:rFonts w:ascii="Times New Roman" w:eastAsia="MS Mincho" w:hAnsi="Times New Roman"/>
          <w:sz w:val="28"/>
          <w:szCs w:val="28"/>
          <w:lang w:eastAsia="ja-JP"/>
        </w:rPr>
        <w:t>β</w:t>
      </w:r>
      <w:r w:rsidR="00AB6D29" w:rsidRPr="00107040">
        <w:rPr>
          <w:rFonts w:ascii="Times New Roman" w:eastAsia="MS Mincho" w:hAnsi="Times New Roman"/>
          <w:sz w:val="28"/>
          <w:szCs w:val="28"/>
          <w:lang w:val="ru-RU" w:eastAsia="ja-JP"/>
        </w:rPr>
        <w:t xml:space="preserve">, </w:t>
      </w:r>
      <w:r w:rsidR="00AB6D29" w:rsidRPr="00107040">
        <w:rPr>
          <w:rFonts w:ascii="Times New Roman" w:eastAsia="MS Mincho" w:hAnsi="Times New Roman"/>
          <w:sz w:val="28"/>
          <w:szCs w:val="28"/>
          <w:lang w:eastAsia="ja-JP"/>
        </w:rPr>
        <w:t>Ku</w:t>
      </w:r>
      <w:r w:rsidR="00AB6D29" w:rsidRPr="00107040">
        <w:rPr>
          <w:rFonts w:ascii="Times New Roman" w:eastAsia="MS Mincho" w:hAnsi="Times New Roman"/>
          <w:sz w:val="28"/>
          <w:szCs w:val="28"/>
          <w:lang w:val="ru-RU" w:eastAsia="ja-JP"/>
        </w:rPr>
        <w:t>-антиген и АРЕ1). Специфичность взаимодействия белков с этими ДНК определяется расположением 5ʹ-</w:t>
      </w:r>
      <w:r w:rsidR="00AB6D29" w:rsidRPr="00107040">
        <w:rPr>
          <w:rFonts w:ascii="Times New Roman" w:eastAsia="MS Mincho" w:hAnsi="Times New Roman"/>
          <w:sz w:val="28"/>
          <w:szCs w:val="28"/>
          <w:lang w:eastAsia="ja-JP"/>
        </w:rPr>
        <w:t>dRP</w:t>
      </w:r>
      <w:r w:rsidR="00AB6D29" w:rsidRPr="00107040">
        <w:rPr>
          <w:rFonts w:ascii="Times New Roman" w:eastAsia="MS Mincho" w:hAnsi="Times New Roman"/>
          <w:sz w:val="28"/>
          <w:szCs w:val="28"/>
          <w:lang w:val="ru-RU" w:eastAsia="ja-JP"/>
        </w:rPr>
        <w:t xml:space="preserve"> остатка в структуре ДНК. Предполагается возможную роль этих белков в удалении 5ʹ-</w:t>
      </w:r>
      <w:r w:rsidR="00AB6D29" w:rsidRPr="00107040">
        <w:rPr>
          <w:rFonts w:ascii="Times New Roman" w:eastAsia="MS Mincho" w:hAnsi="Times New Roman"/>
          <w:sz w:val="28"/>
          <w:szCs w:val="28"/>
          <w:lang w:eastAsia="ja-JP"/>
        </w:rPr>
        <w:t>dRP</w:t>
      </w:r>
      <w:r w:rsidR="00AB6D29" w:rsidRPr="00107040">
        <w:rPr>
          <w:rFonts w:ascii="Times New Roman" w:eastAsia="MS Mincho" w:hAnsi="Times New Roman"/>
          <w:sz w:val="28"/>
          <w:szCs w:val="28"/>
          <w:lang w:val="ru-RU" w:eastAsia="ja-JP"/>
        </w:rPr>
        <w:t xml:space="preserve"> групп, которые блокируют последующие стадии различных путей репарации ДНК.</w:t>
      </w:r>
    </w:p>
    <w:p w14:paraId="7895091E" w14:textId="4E59DFE1"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Ранее было продемонстрировано, что гидролазы нуклеозид дифосфат-связанного фрагмента </w:t>
      </w:r>
      <w:r w:rsidRPr="00107040">
        <w:rPr>
          <w:rFonts w:ascii="Times New Roman" w:eastAsia="MS Mincho" w:hAnsi="Times New Roman"/>
          <w:sz w:val="28"/>
          <w:szCs w:val="28"/>
          <w:lang w:val="en-GB" w:eastAsia="ja-JP"/>
        </w:rPr>
        <w:t>X</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GB" w:eastAsia="ja-JP"/>
        </w:rPr>
        <w:t>Nudix</w:t>
      </w:r>
      <w:r w:rsidRPr="00107040">
        <w:rPr>
          <w:rFonts w:ascii="Times New Roman" w:eastAsia="MS Mincho" w:hAnsi="Times New Roman"/>
          <w:sz w:val="28"/>
          <w:szCs w:val="28"/>
          <w:lang w:val="ru-RU" w:eastAsia="ja-JP"/>
        </w:rPr>
        <w:t xml:space="preserve">) могут действовать на свободный остаток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-рибозы (и на полимер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присоединенный к белку) путем гидролиза пирофосфатных связей </w:t>
      </w:r>
      <w:r w:rsidRPr="00107040">
        <w:rPr>
          <w:rFonts w:ascii="Times New Roman" w:eastAsia="MS Mincho" w:hAnsi="Times New Roman"/>
          <w:sz w:val="28"/>
          <w:szCs w:val="28"/>
          <w:lang w:eastAsia="ja-JP"/>
        </w:rPr>
        <w:fldChar w:fldCharType="begin"/>
      </w:r>
      <w:r w:rsidR="00FB5E68">
        <w:rPr>
          <w:rFonts w:ascii="Times New Roman" w:eastAsia="MS Mincho" w:hAnsi="Times New Roman"/>
          <w:sz w:val="28"/>
          <w:szCs w:val="28"/>
          <w:lang w:val="ru-RU" w:eastAsia="ja-JP"/>
        </w:rPr>
        <w:instrText xml:space="preserve"> ADDIN ZOTERO_ITEM CSL_CITATION {"citationID":"vrD5qmVG","properties":{"formattedCitation":"[463]","plainCitation":"[463]","noteIndex":0},"citationItems":[{"id":1340,"uris":["http://zotero.org/users/9078202/items/ZD42GE8G"],"itemData":{"id":1340,"type":"article-journal","abstract":"Nudix hydrolases catalyze the hydrolysis of nucleoside diphosphates linked to other moieties, X, and contain the sequence motif or Nudix box, GX(5)EX(7)REUXEEXGU. The mechanisms of Nudix hydrolases are highly diverse in the position on the substrate at which nucleophilic substitution occurs, and in the number of required divalent cations. While most proceed by associative nucleophilic substitutions by water at specific internal phosphorus atoms of a diphosphate or polyphosphate chain, members of the GDP-mannose hydrolase sub-family catalyze dissociative nucleophilic substitutions, by water, at carbon. The site of substitution is likely determined by the positions of the general base and the entering water. The rate accelerations or catalytic powers of Nudix hydrolases range from 10(9)- to 10(12)-fold. The reactions are accelerated 10(3)-10(5)-fold by general base catalysis by a glutamate residue within, or beyond the Nudix box, or by a histidine beyond the Nudix box. Lewis acid catalysis, which contributes 10(3)-10(5)-fold to the rate acceleration, is provided by one, two, or three divalent cations. One divalent cation is coordinated by two or three conserved residues of the Nudix box, the initial glycine and one or two glutamate residues, together with a remote glutamate or glutamine ligand from beyond the Nudix box. Some Nudix enzymes require one (MutT) or two additional divalent cations (Ap(4)AP), to neutralize the charge of the polyphosphate chain, to help orient the attacking hydroxide or oxide nucleophile, and/or to facilitate the departure of the anionic leaving group. Additional catalysis (10-10(3)-fold) is provided by the cationic side chains of lysine and arginine residues and by H-bond donation by tyrosine residues, to orient the general base, or to promote the departure of the leaving group. The overall rate accelerations can be explained by both independent and cooperative effects of these catalytic components.","container-title":"Archives of Biochemistry and Biophysics","DOI":"10.1016/j.abb.2004.08.017","ISSN":"0003-9861","issue":"1","journalAbbreviation":"Arch Biochem Biophys","language":"eng","note":"PMID: 15581572","page":"129-143","source":"PubMed","title":"Structures and mechanisms of Nudix hydrolases","volume":"433","author":[{"family":"Mildvan","given":"A. S."},{"family":"Xia","given":"Z."},{"family":"Azurmendi","given":"H. F."},{"family":"Saraswat","given":"V."},{"family":"Legler","given":"P. M."},{"family":"Massiah","given":"M. A."},{"family":"Gabelli","given":"S. B."},{"family":"Bianchet","given":"M. A."},{"family":"Kang","given":"L.-W."},{"family":"Amzel","given":"L. M."}],"issued":{"date-parts":[["2005",1,1]]}}}],"schema":"https://github.com/citation-style-language/schema/raw/master/csl-citation.json"} </w:instrText>
      </w:r>
      <w:r w:rsidRPr="00107040">
        <w:rPr>
          <w:rFonts w:ascii="Times New Roman" w:eastAsia="MS Mincho" w:hAnsi="Times New Roman"/>
          <w:sz w:val="28"/>
          <w:szCs w:val="28"/>
          <w:lang w:eastAsia="ja-JP"/>
        </w:rPr>
        <w:fldChar w:fldCharType="separate"/>
      </w:r>
      <w:r w:rsidR="00FB5E68" w:rsidRPr="00FB5E68">
        <w:rPr>
          <w:rFonts w:ascii="Times New Roman" w:hAnsi="Times New Roman"/>
          <w:sz w:val="28"/>
        </w:rPr>
        <w:t>[463]</w:t>
      </w:r>
      <w:r w:rsidRPr="00107040">
        <w:rPr>
          <w:rFonts w:ascii="Times New Roman" w:eastAsia="MS Mincho" w:hAnsi="Times New Roman"/>
          <w:sz w:val="28"/>
          <w:szCs w:val="28"/>
          <w:lang w:eastAsia="ja-JP"/>
        </w:rPr>
        <w:fldChar w:fldCharType="end"/>
      </w:r>
      <w:r w:rsidRPr="00107040">
        <w:rPr>
          <w:rFonts w:ascii="Times New Roman" w:eastAsia="MS Mincho" w:hAnsi="Times New Roman"/>
          <w:sz w:val="28"/>
          <w:szCs w:val="28"/>
          <w:lang w:val="ru-RU" w:eastAsia="ja-JP"/>
        </w:rPr>
        <w:t xml:space="preserve">. Кроме того, гидролазы </w:t>
      </w:r>
      <w:r w:rsidRPr="00107040">
        <w:rPr>
          <w:rFonts w:ascii="Times New Roman" w:eastAsia="MS Mincho" w:hAnsi="Times New Roman"/>
          <w:sz w:val="28"/>
          <w:szCs w:val="28"/>
          <w:lang w:val="en-GB" w:eastAsia="ja-JP"/>
        </w:rPr>
        <w:t>nudix</w:t>
      </w:r>
      <w:r w:rsidRPr="00107040">
        <w:rPr>
          <w:rFonts w:ascii="Times New Roman" w:eastAsia="MS Mincho" w:hAnsi="Times New Roman"/>
          <w:sz w:val="28"/>
          <w:szCs w:val="28"/>
          <w:lang w:val="ru-RU" w:eastAsia="ja-JP"/>
        </w:rPr>
        <w:t xml:space="preserve"> могут расщеплять длинный полимер ПАР, прикрепленный к ДНК </w:t>
      </w:r>
      <w:r w:rsidRPr="00107040">
        <w:rPr>
          <w:rFonts w:ascii="Times New Roman" w:eastAsia="MS Mincho" w:hAnsi="Times New Roman"/>
          <w:sz w:val="28"/>
          <w:szCs w:val="28"/>
          <w:lang w:eastAsia="ja-JP"/>
        </w:rPr>
        <w:fldChar w:fldCharType="begin"/>
      </w:r>
      <w:r w:rsidR="00FB5E68">
        <w:rPr>
          <w:rFonts w:ascii="Times New Roman" w:eastAsia="MS Mincho" w:hAnsi="Times New Roman"/>
          <w:sz w:val="28"/>
          <w:szCs w:val="28"/>
          <w:lang w:val="ru-RU" w:eastAsia="ja-JP"/>
        </w:rPr>
        <w:instrText xml:space="preserve"> ADDIN ZOTERO_ITEM CSL_CITATION {"citationID":"ZUDUwXip","properties":{"formattedCitation":"[264,464]","plainCitation":"[264,464]","noteIndex":0},"citationItems":[{"id":312,"uris":["http://zotero.org/users/9078202/items/KM39D739"],"itemData":{"id":312,"type":"article-journal","abstract":"ADP-ribosylation is a post-translational modification (PTM) of proteins found in organisms from all kingdoms of life which regulates many important biological functions including DNA repair, chromatin structure, unfolded protein response and apoptosis. Several cellular enzymes, such as macrodomain containing proteins PARG [poly(ADP-ribose) glycohydrolase] and TARG1 [terminal ADP-ribose (ADPr) protein glycohydrolase], reverse protein ADP-ribosylation. In the present study, we show that human Nudix (nucleoside diphosphate-linked moiety X)-type motif 16 (hNUDT16) represents a new enzyme class that can process protein ADP-ribosylation in vitro, converting it into ribose-5'-phosphate (R5P) tags covalently attached to the modified proteins. Furthermore, our data show that hNUDT16 enzymatic activity can be used to trim ADP-ribosylation on proteins in order to facilitate analysis of ADP-ribosylation sites on proteins by MS.","container-title":"The Biochemical Journal","DOI":"10.1042/BJ20141554","ISSN":"1470-8728","issue":"2","journalAbbreviation":"Biochem J","language":"eng","note":"PMID: 25789582\nPMCID: PMC6057610","page":"293-301","source":"PubMed","title":"Processing of protein ADP-ribosylation by Nudix hydrolases","volume":"468","author":[{"family":"Palazzo","given":"Luca"},{"family":"Thomas","given":"Benjamin"},{"family":"Jemth","given":"Ann-Sofie"},{"family":"Colby","given":"Thomas"},{"family":"Leidecker","given":"Orsolya"},{"family":"Feijs","given":"Karla L. H."},{"family":"Zaja","given":"Roko"},{"family":"Loseva","given":"Olga"},{"family":"Puigvert","given":"Jordi Carreras"},{"family":"Matic","given":"Ivan"},{"family":"Helleday","given":"Thomas"},{"family":"Ahel","given":"Ivan"}],"issued":{"date-parts":[["2015",6,1]]}}},{"id":1337,"uris":["http://zotero.org/users/9078202/items/VSG3XY64"],"itemData":{"id":1337,"type":"article-journal","abstract":"DNA-dependent poly(ADP-ribose) polymerases (PARPs) PARP1, PARP2 and PARP3 act as DNA break sensors signalling DNA damage. Upon detecting DNA damage, these PARPs use nicotine adenine dinucleotide as a substrate to synthesise a monomer or polymer of ADP-ribose (MAR or PAR, respectively) covalently attached to the acceptor residue of target proteins. Recently, it was demonstrated that PARP1-3 proteins can directly ADP-ribosylate DNA breaks by attaching MAR and PAR moieties to terminal phosphates. Nevertheless, little is still known about the mechanisms governing substrate recognition and specificity of PARP1, which accounts for most of cellular PARylation activity. Here, we characterised PARP1-mediated DNA PARylation of DNA duplexes containing various types of breaks at different positions. The 3'-terminal phosphate residue at double-strand DNA break ends served as a major acceptor site for PARP1-catalysed PARylation depending on the orientation and distance between DNA strand breaks in a single DNA molecule. A preference for ADP-ribosylation of DNA molecules containing 3'-terminal phosphate over PARP1 auto-ADP-ribosylation was observed, and a model of DNA modification by PARP1 was proposed. Similar results were obtained with purified recombinant PARP1 and HeLa cell-free extracts. Thus, the biological effects of PARP-mediated ADP-ribosylation may strongly depend on the configuration of complex DNA strand breaks.","container-title":"Scientific Reports","DOI":"10.1038/s41598-020-60631-0","ISSN":"2045-2322","issue":"1","journalAbbreviation":"Sci Rep","language":"eng","note":"PMID: 32111879\nPMCID: PMC7048826","page":"3699","source":"PubMed","title":"Insight into DNA substrate specificity of PARP1-catalysed DNA poly(ADP-ribosyl)ation","volume":"10","author":[{"family":"Matta","given":"Elie"},{"family":"Kiribayeva","given":"Assel"},{"family":"Khassenov","given":"Bekbolat"},{"family":"Matkarimov","given":"Bakhyt T."},{"family":"Ishchenko","given":"Alexander A."}],"issued":{"date-parts":[["2020",2,28]]}}}],"schema":"https://github.com/citation-style-language/schema/raw/master/csl-citation.json"} </w:instrText>
      </w:r>
      <w:r w:rsidRPr="00107040">
        <w:rPr>
          <w:rFonts w:ascii="Times New Roman" w:eastAsia="MS Mincho" w:hAnsi="Times New Roman"/>
          <w:sz w:val="28"/>
          <w:szCs w:val="28"/>
          <w:lang w:eastAsia="ja-JP"/>
        </w:rPr>
        <w:fldChar w:fldCharType="separate"/>
      </w:r>
      <w:r w:rsidR="00FB5E68" w:rsidRPr="00FB5E68">
        <w:rPr>
          <w:rFonts w:ascii="Times New Roman" w:hAnsi="Times New Roman"/>
          <w:sz w:val="28"/>
        </w:rPr>
        <w:t>[264,464]</w:t>
      </w:r>
      <w:r w:rsidRPr="00107040">
        <w:rPr>
          <w:rFonts w:ascii="Times New Roman" w:eastAsia="MS Mincho" w:hAnsi="Times New Roman"/>
          <w:sz w:val="28"/>
          <w:szCs w:val="28"/>
          <w:lang w:eastAsia="ja-JP"/>
        </w:rPr>
        <w:fldChar w:fldCharType="end"/>
      </w:r>
      <w:r w:rsidRPr="00107040">
        <w:rPr>
          <w:rFonts w:ascii="Times New Roman" w:eastAsia="MS Mincho" w:hAnsi="Times New Roman"/>
          <w:sz w:val="28"/>
          <w:szCs w:val="28"/>
          <w:lang w:eastAsia="ja-JP"/>
        </w:rPr>
        <w:t>, здесь это свойство было использовано для дальнейшей характеристики ДНК, катализируемой 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eastAsia="ja-JP"/>
        </w:rPr>
        <w:t xml:space="preserve">-рибозилированием PARP растений. </w:t>
      </w:r>
      <w:r w:rsidRPr="00107040">
        <w:rPr>
          <w:rFonts w:ascii="Times New Roman" w:eastAsia="MS Mincho" w:hAnsi="Times New Roman"/>
          <w:sz w:val="28"/>
          <w:szCs w:val="28"/>
          <w:lang w:val="ru-RU" w:eastAsia="ja-JP"/>
        </w:rPr>
        <w:t xml:space="preserve">Для этого дуплексы </w:t>
      </w:r>
      <w:r w:rsidRPr="00107040">
        <w:rPr>
          <w:rFonts w:ascii="Times New Roman" w:eastAsia="MS Mincho" w:hAnsi="Times New Roman"/>
          <w:sz w:val="28"/>
          <w:szCs w:val="28"/>
          <w:lang w:val="en-GB"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vertAlign w:val="superscript"/>
          <w:lang w:val="en-GB" w:eastAsia="ja-JP"/>
        </w:rPr>
        <w:t>nick</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GB" w:eastAsia="ja-JP"/>
        </w:rPr>
        <w:t>Exo</w:t>
      </w:r>
      <w:r w:rsidRPr="00107040">
        <w:rPr>
          <w:rFonts w:ascii="Times New Roman" w:eastAsia="MS Mincho" w:hAnsi="Times New Roman"/>
          <w:sz w:val="28"/>
          <w:szCs w:val="28"/>
          <w:lang w:val="ru-RU" w:eastAsia="ja-JP"/>
        </w:rPr>
        <w:t>15•</w:t>
      </w:r>
      <w:r w:rsidRPr="00107040">
        <w:rPr>
          <w:rFonts w:ascii="Times New Roman" w:eastAsia="MS Mincho" w:hAnsi="Times New Roman"/>
          <w:sz w:val="28"/>
          <w:szCs w:val="28"/>
          <w:lang w:val="en-GB" w:eastAsia="ja-JP"/>
        </w:rPr>
        <w:t>RexT</w:t>
      </w:r>
      <w:r w:rsidRPr="00107040">
        <w:rPr>
          <w:rFonts w:ascii="Times New Roman" w:eastAsia="MS Mincho" w:hAnsi="Times New Roman"/>
          <w:sz w:val="28"/>
          <w:szCs w:val="28"/>
          <w:lang w:val="ru-RU" w:eastAsia="ja-JP"/>
        </w:rPr>
        <w:t>-12</w:t>
      </w:r>
      <w:r w:rsidRPr="00107040">
        <w:rPr>
          <w:rFonts w:ascii="Times New Roman" w:eastAsia="MS Mincho" w:hAnsi="Times New Roman"/>
          <w:sz w:val="28"/>
          <w:szCs w:val="28"/>
          <w:vertAlign w:val="superscript"/>
          <w:lang w:val="en-GB" w:eastAsia="ja-JP"/>
        </w:rPr>
        <w:t>rec</w:t>
      </w:r>
      <w:r w:rsidRPr="00107040">
        <w:rPr>
          <w:rFonts w:ascii="Times New Roman" w:eastAsia="MS Mincho" w:hAnsi="Times New Roman"/>
          <w:sz w:val="28"/>
          <w:szCs w:val="28"/>
          <w:lang w:val="ru-RU" w:eastAsia="ja-JP"/>
        </w:rPr>
        <w:t>, меченные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подвергали АДФ-рибозилированию с помощью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1 и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2, соответственно, и полученные комплексы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инкубировали с избыточным количеством гидролазы человеческого </w:t>
      </w:r>
      <w:r w:rsidRPr="00107040">
        <w:rPr>
          <w:rFonts w:ascii="Times New Roman" w:eastAsia="MS Mincho" w:hAnsi="Times New Roman"/>
          <w:sz w:val="28"/>
          <w:szCs w:val="28"/>
          <w:lang w:val="en-GB" w:eastAsia="ja-JP"/>
        </w:rPr>
        <w:t>Nudix</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GB" w:eastAsia="ja-JP"/>
        </w:rPr>
        <w:t>NUDT</w:t>
      </w:r>
      <w:r w:rsidRPr="00107040">
        <w:rPr>
          <w:rFonts w:ascii="Times New Roman" w:eastAsia="MS Mincho" w:hAnsi="Times New Roman"/>
          <w:sz w:val="28"/>
          <w:szCs w:val="28"/>
          <w:lang w:val="ru-RU" w:eastAsia="ja-JP"/>
        </w:rPr>
        <w:t>16 и продукты реакции анализировали денатурирующим ПААГ.</w:t>
      </w:r>
    </w:p>
    <w:p w14:paraId="088BAE27" w14:textId="4CC96B1B"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Инкубация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]-меченых свободных олигонуклеотидных дуплексов с избыточным количеством </w:t>
      </w:r>
      <w:r w:rsidRPr="00107040">
        <w:rPr>
          <w:rFonts w:ascii="Times New Roman" w:eastAsia="MS Mincho" w:hAnsi="Times New Roman"/>
          <w:sz w:val="28"/>
          <w:szCs w:val="28"/>
          <w:lang w:val="en-GB" w:eastAsia="ja-JP"/>
        </w:rPr>
        <w:t>NUDT</w:t>
      </w:r>
      <w:r w:rsidRPr="00107040">
        <w:rPr>
          <w:rFonts w:ascii="Times New Roman" w:eastAsia="MS Mincho" w:hAnsi="Times New Roman"/>
          <w:sz w:val="28"/>
          <w:szCs w:val="28"/>
          <w:lang w:val="ru-RU" w:eastAsia="ja-JP"/>
        </w:rPr>
        <w:t>16 приводила только к незначительной деградации 21-мерного олигонуклеотида, тогда как более короткий 15-мерный олигонуклеотид разлагался сильнее (рис</w:t>
      </w:r>
      <w:r w:rsidRPr="00107040">
        <w:rPr>
          <w:rFonts w:ascii="Times New Roman" w:eastAsia="MS Mincho" w:hAnsi="Times New Roman"/>
          <w:sz w:val="28"/>
          <w:szCs w:val="28"/>
          <w:lang w:val="kk-KZ" w:eastAsia="ja-JP"/>
        </w:rPr>
        <w:t>унок</w:t>
      </w:r>
      <w:r w:rsidRPr="00107040">
        <w:rPr>
          <w:rFonts w:ascii="Times New Roman" w:eastAsia="MS Mincho" w:hAnsi="Times New Roman"/>
          <w:sz w:val="28"/>
          <w:szCs w:val="28"/>
          <w:lang w:val="ru-RU" w:eastAsia="ja-JP"/>
        </w:rPr>
        <w:t xml:space="preserve"> 3</w:t>
      </w:r>
      <w:r w:rsidR="002A568C">
        <w:rPr>
          <w:rFonts w:ascii="Times New Roman" w:eastAsia="MS Mincho" w:hAnsi="Times New Roman"/>
          <w:sz w:val="28"/>
          <w:szCs w:val="28"/>
          <w:lang w:val="ru-RU" w:eastAsia="ja-JP"/>
        </w:rPr>
        <w:t>3</w:t>
      </w:r>
      <w:r w:rsidRPr="00107040">
        <w:rPr>
          <w:rFonts w:ascii="Times New Roman" w:eastAsia="MS Mincho" w:hAnsi="Times New Roman"/>
          <w:sz w:val="28"/>
          <w:szCs w:val="28"/>
          <w:lang w:val="ru-RU" w:eastAsia="ja-JP"/>
        </w:rPr>
        <w:t xml:space="preserve">, дорожки 2 и 9, соответственно), что позволяет предположить, что гидролаза </w:t>
      </w:r>
      <w:r w:rsidRPr="00107040">
        <w:rPr>
          <w:rFonts w:ascii="Times New Roman" w:eastAsia="MS Mincho" w:hAnsi="Times New Roman"/>
          <w:sz w:val="28"/>
          <w:szCs w:val="28"/>
          <w:lang w:val="en-GB" w:eastAsia="ja-JP"/>
        </w:rPr>
        <w:t>Nudix</w:t>
      </w:r>
      <w:r w:rsidRPr="00107040">
        <w:rPr>
          <w:rFonts w:ascii="Times New Roman" w:eastAsia="MS Mincho" w:hAnsi="Times New Roman"/>
          <w:sz w:val="28"/>
          <w:szCs w:val="28"/>
          <w:lang w:val="ru-RU" w:eastAsia="ja-JP"/>
        </w:rPr>
        <w:t xml:space="preserve"> человека обладает слабой неспецифической активностью нуклеолитического расщепления. </w:t>
      </w:r>
      <w:r w:rsidRPr="00107040">
        <w:rPr>
          <w:rFonts w:ascii="Times New Roman" w:eastAsia="MS Mincho" w:hAnsi="Times New Roman"/>
          <w:sz w:val="28"/>
          <w:szCs w:val="28"/>
          <w:lang w:val="en-GB" w:eastAsia="ja-JP"/>
        </w:rPr>
        <w:t>NUDT</w:t>
      </w:r>
      <w:r w:rsidRPr="00107040">
        <w:rPr>
          <w:rFonts w:ascii="Times New Roman" w:eastAsia="MS Mincho" w:hAnsi="Times New Roman"/>
          <w:sz w:val="28"/>
          <w:szCs w:val="28"/>
          <w:lang w:val="ru-RU" w:eastAsia="ja-JP"/>
        </w:rPr>
        <w:t xml:space="preserve">16 полностью разрушал аддукты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и генерировал отдельные фрагменты ДНК, которые мигрировали подобно свободным 21-мерным и 15-мерным олигонуклеотидам (дорожки 5 и 12). Механизм действия </w:t>
      </w:r>
      <w:r w:rsidRPr="00107040">
        <w:rPr>
          <w:rFonts w:ascii="Times New Roman" w:eastAsia="MS Mincho" w:hAnsi="Times New Roman"/>
          <w:sz w:val="28"/>
          <w:szCs w:val="28"/>
          <w:lang w:val="en-GB" w:eastAsia="ja-JP"/>
        </w:rPr>
        <w:t>NUDT</w:t>
      </w:r>
      <w:r w:rsidRPr="00107040">
        <w:rPr>
          <w:rFonts w:ascii="Times New Roman" w:eastAsia="MS Mincho" w:hAnsi="Times New Roman"/>
          <w:sz w:val="28"/>
          <w:szCs w:val="28"/>
          <w:lang w:val="ru-RU" w:eastAsia="ja-JP"/>
        </w:rPr>
        <w:t xml:space="preserve">16 на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предполагает, что фрагмент фосфорибозила (</w:t>
      </w:r>
      <w:r w:rsidRPr="00107040">
        <w:rPr>
          <w:rFonts w:ascii="Times New Roman" w:eastAsia="MS Mincho" w:hAnsi="Times New Roman"/>
          <w:sz w:val="28"/>
          <w:szCs w:val="28"/>
          <w:lang w:val="en-GB" w:eastAsia="ja-JP"/>
        </w:rPr>
        <w:t>pRib</w:t>
      </w:r>
      <w:r w:rsidRPr="00107040">
        <w:rPr>
          <w:rFonts w:ascii="Times New Roman" w:eastAsia="MS Mincho" w:hAnsi="Times New Roman"/>
          <w:sz w:val="28"/>
          <w:szCs w:val="28"/>
          <w:lang w:val="ru-RU" w:eastAsia="ja-JP"/>
        </w:rPr>
        <w:t>) присоединен к 5'-концевому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остатку на концах ДНК (21-*</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Rib</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и 15-*</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Rib</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где звездочка обозначает радиоактивный остаток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должен оставаться после катализируемого </w:t>
      </w:r>
      <w:r w:rsidRPr="00107040">
        <w:rPr>
          <w:rFonts w:ascii="Times New Roman" w:eastAsia="MS Mincho" w:hAnsi="Times New Roman"/>
          <w:sz w:val="28"/>
          <w:szCs w:val="28"/>
          <w:lang w:val="en-GB" w:eastAsia="ja-JP"/>
        </w:rPr>
        <w:t>NUDT</w:t>
      </w:r>
      <w:r w:rsidRPr="00107040">
        <w:rPr>
          <w:rFonts w:ascii="Times New Roman" w:eastAsia="MS Mincho" w:hAnsi="Times New Roman"/>
          <w:sz w:val="28"/>
          <w:szCs w:val="28"/>
          <w:lang w:val="ru-RU" w:eastAsia="ja-JP"/>
        </w:rPr>
        <w:t xml:space="preserve">16 гидролиза пирофосфатных связей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-рибозной единицы, ковалентно связанной с ДНК. Как и ожидалось, обработка ДНК-олигонуклеотидов, полученных после обработки с </w:t>
      </w:r>
      <w:r w:rsidRPr="00107040">
        <w:rPr>
          <w:rFonts w:ascii="Times New Roman" w:eastAsia="MS Mincho" w:hAnsi="Times New Roman"/>
          <w:sz w:val="28"/>
          <w:szCs w:val="28"/>
          <w:lang w:val="en-GB" w:eastAsia="ja-JP"/>
        </w:rPr>
        <w:t>NUDT</w:t>
      </w:r>
      <w:r w:rsidRPr="00107040">
        <w:rPr>
          <w:rFonts w:ascii="Times New Roman" w:eastAsia="MS Mincho" w:hAnsi="Times New Roman"/>
          <w:sz w:val="28"/>
          <w:szCs w:val="28"/>
          <w:lang w:val="ru-RU" w:eastAsia="ja-JP"/>
        </w:rPr>
        <w:t xml:space="preserve">16, с помощью </w:t>
      </w:r>
      <w:r w:rsidRPr="00107040">
        <w:rPr>
          <w:rFonts w:ascii="Times New Roman" w:eastAsia="MS Mincho" w:hAnsi="Times New Roman"/>
          <w:sz w:val="28"/>
          <w:szCs w:val="28"/>
          <w:lang w:val="en-GB" w:eastAsia="ja-JP"/>
        </w:rPr>
        <w:t>CIP</w:t>
      </w:r>
      <w:r w:rsidRPr="00107040">
        <w:rPr>
          <w:rFonts w:ascii="Times New Roman" w:eastAsia="MS Mincho" w:hAnsi="Times New Roman"/>
          <w:sz w:val="28"/>
          <w:szCs w:val="28"/>
          <w:lang w:val="ru-RU" w:eastAsia="ja-JP"/>
        </w:rPr>
        <w:t xml:space="preserve"> приводила к появлению отдельных 5'-монорибозилированных 21 и 15-мерных фрагментов ДНК (дорожки 7 и 14 соответственно), которые мигрировали медленнее, чем свободные 21 и 15-мерные олигонуклеотиды ДНК (дорожки 1 и 8 соответственно) и 5'-монофосфорибозилированные 21 и 15-мерные продукты </w:t>
      </w:r>
      <w:r w:rsidRPr="00107040">
        <w:rPr>
          <w:rFonts w:ascii="Times New Roman" w:eastAsia="MS Mincho" w:hAnsi="Times New Roman"/>
          <w:sz w:val="28"/>
          <w:szCs w:val="28"/>
          <w:lang w:val="en-GB" w:eastAsia="ja-JP"/>
        </w:rPr>
        <w:t>NUTD</w:t>
      </w:r>
      <w:r w:rsidRPr="00107040">
        <w:rPr>
          <w:rFonts w:ascii="Times New Roman" w:eastAsia="MS Mincho" w:hAnsi="Times New Roman"/>
          <w:sz w:val="28"/>
          <w:szCs w:val="28"/>
          <w:lang w:val="ru-RU" w:eastAsia="ja-JP"/>
        </w:rPr>
        <w:t xml:space="preserve">16 (дорожки 5 и 12 соответственно). Эти результаты предполагают, что </w:t>
      </w:r>
      <w:r w:rsidRPr="00107040">
        <w:rPr>
          <w:rFonts w:ascii="Times New Roman" w:eastAsia="MS Mincho" w:hAnsi="Times New Roman"/>
          <w:sz w:val="28"/>
          <w:szCs w:val="28"/>
          <w:lang w:val="en-GB" w:eastAsia="ja-JP"/>
        </w:rPr>
        <w:t>NUTD</w:t>
      </w:r>
      <w:r w:rsidRPr="00107040">
        <w:rPr>
          <w:rFonts w:ascii="Times New Roman" w:eastAsia="MS Mincho" w:hAnsi="Times New Roman"/>
          <w:sz w:val="28"/>
          <w:szCs w:val="28"/>
          <w:lang w:val="ru-RU" w:eastAsia="ja-JP"/>
        </w:rPr>
        <w:t>16 генерировал фрагменты 21-*</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Rib</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и 15-*</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Rib</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путем гидролиза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илированных 21 и 15-мерных олигонуклеотидов, соответственно. После этого </w:t>
      </w:r>
      <w:r w:rsidRPr="00107040">
        <w:rPr>
          <w:rFonts w:ascii="Times New Roman" w:eastAsia="MS Mincho" w:hAnsi="Times New Roman"/>
          <w:sz w:val="28"/>
          <w:szCs w:val="28"/>
          <w:lang w:val="en-GB" w:eastAsia="ja-JP"/>
        </w:rPr>
        <w:t>CIP</w:t>
      </w:r>
      <w:r w:rsidRPr="00107040">
        <w:rPr>
          <w:rFonts w:ascii="Times New Roman" w:eastAsia="MS Mincho" w:hAnsi="Times New Roman"/>
          <w:sz w:val="28"/>
          <w:szCs w:val="28"/>
          <w:lang w:val="ru-RU" w:eastAsia="ja-JP"/>
        </w:rPr>
        <w:t xml:space="preserve"> дефосфорилировал продукты </w:t>
      </w:r>
      <w:r w:rsidRPr="00107040">
        <w:rPr>
          <w:rFonts w:ascii="Times New Roman" w:eastAsia="MS Mincho" w:hAnsi="Times New Roman"/>
          <w:sz w:val="28"/>
          <w:szCs w:val="28"/>
          <w:lang w:val="en-GB" w:eastAsia="ja-JP"/>
        </w:rPr>
        <w:t>NUTD</w:t>
      </w:r>
      <w:r w:rsidRPr="00107040">
        <w:rPr>
          <w:rFonts w:ascii="Times New Roman" w:eastAsia="MS Mincho" w:hAnsi="Times New Roman"/>
          <w:sz w:val="28"/>
          <w:szCs w:val="28"/>
          <w:lang w:val="ru-RU" w:eastAsia="ja-JP"/>
        </w:rPr>
        <w:t>16 с образованием монорибозилированных фрагментов 21-*</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Rib</w:t>
      </w:r>
      <w:r w:rsidRPr="00107040">
        <w:rPr>
          <w:rFonts w:ascii="Times New Roman" w:eastAsia="MS Mincho" w:hAnsi="Times New Roman"/>
          <w:sz w:val="28"/>
          <w:szCs w:val="28"/>
          <w:lang w:val="ru-RU" w:eastAsia="ja-JP"/>
        </w:rPr>
        <w:t xml:space="preserve"> и 15-*</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Rib</w:t>
      </w:r>
      <w:r w:rsidRPr="00107040">
        <w:rPr>
          <w:rFonts w:ascii="Times New Roman" w:eastAsia="MS Mincho" w:hAnsi="Times New Roman"/>
          <w:sz w:val="28"/>
          <w:szCs w:val="28"/>
          <w:lang w:val="ru-RU" w:eastAsia="ja-JP"/>
        </w:rPr>
        <w:t xml:space="preserve">, которые все еще содержат остаток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Примечательно, что </w:t>
      </w:r>
      <w:r w:rsidRPr="00107040">
        <w:rPr>
          <w:rFonts w:ascii="Times New Roman" w:eastAsia="MS Mincho" w:hAnsi="Times New Roman"/>
          <w:sz w:val="28"/>
          <w:szCs w:val="28"/>
          <w:lang w:val="en-GB" w:eastAsia="ja-JP"/>
        </w:rPr>
        <w:t>CIP</w:t>
      </w:r>
      <w:r w:rsidRPr="00107040">
        <w:rPr>
          <w:rFonts w:ascii="Times New Roman" w:eastAsia="MS Mincho" w:hAnsi="Times New Roman"/>
          <w:sz w:val="28"/>
          <w:szCs w:val="28"/>
          <w:lang w:val="ru-RU" w:eastAsia="ja-JP"/>
        </w:rPr>
        <w:t xml:space="preserve"> не удаляет остаток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в </w:t>
      </w:r>
      <w:r w:rsidRPr="00107040">
        <w:rPr>
          <w:rFonts w:ascii="Times New Roman" w:eastAsia="MS Mincho" w:hAnsi="Times New Roman"/>
          <w:sz w:val="28"/>
          <w:szCs w:val="28"/>
          <w:lang w:val="kk-KZ" w:eastAsia="ja-JP"/>
        </w:rPr>
        <w:lastRenderedPageBreak/>
        <w:t>ПАР</w:t>
      </w:r>
      <w:r w:rsidRPr="00107040">
        <w:rPr>
          <w:rFonts w:ascii="Times New Roman" w:eastAsia="MS Mincho" w:hAnsi="Times New Roman"/>
          <w:sz w:val="28"/>
          <w:szCs w:val="28"/>
          <w:lang w:val="ru-RU" w:eastAsia="ja-JP"/>
        </w:rPr>
        <w:t xml:space="preserve">илированных фрагментах ДНК даже после гидролиза полимера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с помощью </w:t>
      </w:r>
      <w:r w:rsidRPr="00107040">
        <w:rPr>
          <w:rFonts w:ascii="Times New Roman" w:eastAsia="MS Mincho" w:hAnsi="Times New Roman"/>
          <w:sz w:val="28"/>
          <w:szCs w:val="28"/>
          <w:lang w:val="en-GB" w:eastAsia="ja-JP"/>
        </w:rPr>
        <w:t>NUDT</w:t>
      </w:r>
      <w:r w:rsidRPr="00107040">
        <w:rPr>
          <w:rFonts w:ascii="Times New Roman" w:eastAsia="MS Mincho" w:hAnsi="Times New Roman"/>
          <w:sz w:val="28"/>
          <w:szCs w:val="28"/>
          <w:lang w:val="ru-RU" w:eastAsia="ja-JP"/>
        </w:rPr>
        <w:t>16 (дорожки 5-12), что указывает на то, что оставшаяся часть сахара рибозы защищает 5'</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в 5'-[</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Exo</w:t>
      </w:r>
      <w:r w:rsidRPr="00107040">
        <w:rPr>
          <w:rFonts w:ascii="Times New Roman" w:eastAsia="MS Mincho" w:hAnsi="Times New Roman"/>
          <w:sz w:val="28"/>
          <w:szCs w:val="28"/>
          <w:lang w:val="ru-RU" w:eastAsia="ja-JP"/>
        </w:rPr>
        <w:t>15)-</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Rib</w:t>
      </w:r>
      <w:r w:rsidRPr="00107040">
        <w:rPr>
          <w:rFonts w:ascii="Times New Roman" w:eastAsia="MS Mincho" w:hAnsi="Times New Roman"/>
          <w:sz w:val="28"/>
          <w:szCs w:val="28"/>
          <w:lang w:val="ru-RU" w:eastAsia="ja-JP"/>
        </w:rPr>
        <w:t xml:space="preserve"> олигонуклеотиде. Эти результаты дополнительно подтверждают, что </w:t>
      </w:r>
      <w:r w:rsidRPr="00107040">
        <w:rPr>
          <w:rFonts w:ascii="Times New Roman" w:eastAsia="MS Mincho" w:hAnsi="Times New Roman"/>
          <w:sz w:val="28"/>
          <w:szCs w:val="28"/>
          <w:lang w:val="en-GB" w:eastAsia="ja-JP"/>
        </w:rPr>
        <w:t>PARP</w:t>
      </w:r>
      <w:r w:rsidRPr="00107040">
        <w:rPr>
          <w:rFonts w:ascii="Times New Roman" w:eastAsia="MS Mincho" w:hAnsi="Times New Roman"/>
          <w:sz w:val="28"/>
          <w:szCs w:val="28"/>
          <w:lang w:val="ru-RU" w:eastAsia="ja-JP"/>
        </w:rPr>
        <w:t xml:space="preserve"> растений катализируют ковалентное присоединение звена АДФ-рибозы к ДНК через фосфодиэфирную связь между ДНК 5'</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val="en-GB" w:eastAsia="ja-JP"/>
        </w:rPr>
        <w:t>C</w:t>
      </w:r>
      <w:r w:rsidRPr="00107040">
        <w:rPr>
          <w:rFonts w:ascii="Times New Roman" w:eastAsia="MS Mincho" w:hAnsi="Times New Roman"/>
          <w:sz w:val="28"/>
          <w:szCs w:val="28"/>
          <w:lang w:val="ru-RU" w:eastAsia="ja-JP"/>
        </w:rPr>
        <w:t>1' АДФ-рибозы.</w:t>
      </w:r>
    </w:p>
    <w:p w14:paraId="71A4B128"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В приведенных выше данных предполагаемый молекулярный механизм ПАРилирования ДНК, катализируемого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 арабидопсиса, выявляется из рисунков миграции фрагментов ДНК с меченными концами в денатурирующем ПААГ. Чтобы дополнительно обосновать механизм действия ферментов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 на дуплексные олигонуклеотиды, мы охарактеризовали природу аддуктов ПАР-ДНК с помощью </w:t>
      </w:r>
      <w:r w:rsidRPr="00107040">
        <w:rPr>
          <w:rFonts w:ascii="Times New Roman" w:eastAsia="MS Mincho" w:hAnsi="Times New Roman"/>
          <w:sz w:val="28"/>
          <w:szCs w:val="28"/>
          <w:lang w:eastAsia="ja-JP"/>
        </w:rPr>
        <w:t>MALDI</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TOF</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t>MS</w:t>
      </w:r>
      <w:r w:rsidRPr="00107040">
        <w:rPr>
          <w:rFonts w:ascii="Times New Roman" w:eastAsia="MS Mincho" w:hAnsi="Times New Roman"/>
          <w:sz w:val="28"/>
          <w:szCs w:val="28"/>
          <w:lang w:val="ru-RU" w:eastAsia="ja-JP"/>
        </w:rPr>
        <w:t xml:space="preserve">-анализа продуктов ПАРилированных ДНК. </w:t>
      </w:r>
    </w:p>
    <w:p w14:paraId="562D4510" w14:textId="4D8C76EC" w:rsidR="00E57C3D" w:rsidRPr="00107040" w:rsidRDefault="00E57C3D" w:rsidP="000C16BB">
      <w:pPr>
        <w:spacing w:after="0" w:line="240" w:lineRule="auto"/>
        <w:ind w:firstLine="567"/>
        <w:jc w:val="center"/>
        <w:rPr>
          <w:rFonts w:ascii="Times New Roman" w:eastAsia="MS Mincho" w:hAnsi="Times New Roman"/>
          <w:b/>
          <w:noProof/>
          <w:sz w:val="28"/>
          <w:szCs w:val="28"/>
          <w:lang w:eastAsia="ru-RU"/>
        </w:rPr>
      </w:pPr>
    </w:p>
    <w:p w14:paraId="20BB1C65" w14:textId="7A3422FA" w:rsidR="00A0082D" w:rsidRPr="00107040" w:rsidRDefault="00A0082D" w:rsidP="000C16BB">
      <w:pPr>
        <w:spacing w:after="0" w:line="240" w:lineRule="auto"/>
        <w:ind w:firstLine="567"/>
        <w:jc w:val="center"/>
        <w:rPr>
          <w:rFonts w:ascii="Times New Roman" w:eastAsia="MS Mincho" w:hAnsi="Times New Roman"/>
          <w:b/>
          <w:noProof/>
          <w:sz w:val="28"/>
          <w:szCs w:val="28"/>
          <w:lang w:eastAsia="ru-RU"/>
        </w:rPr>
      </w:pPr>
      <w:r w:rsidRPr="00107040">
        <w:rPr>
          <w:rFonts w:ascii="Times New Roman" w:eastAsia="MS Mincho" w:hAnsi="Times New Roman"/>
          <w:b/>
          <w:noProof/>
          <w:sz w:val="28"/>
          <w:szCs w:val="28"/>
          <w:lang w:val="ru-RU" w:eastAsia="ru-RU"/>
        </w:rPr>
        <w:drawing>
          <wp:inline distT="0" distB="0" distL="0" distR="0" wp14:anchorId="7AF901EB" wp14:editId="0BCE6315">
            <wp:extent cx="2133600" cy="4484914"/>
            <wp:effectExtent l="0" t="0" r="0"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Изображение выглядит как текст&#10;&#10;Автоматически созданное описание"/>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34959" cy="4487771"/>
                    </a:xfrm>
                    <a:prstGeom prst="rect">
                      <a:avLst/>
                    </a:prstGeom>
                    <a:noFill/>
                    <a:ln>
                      <a:noFill/>
                    </a:ln>
                  </pic:spPr>
                </pic:pic>
              </a:graphicData>
            </a:graphic>
          </wp:inline>
        </w:drawing>
      </w:r>
    </w:p>
    <w:p w14:paraId="525AA857" w14:textId="77777777" w:rsidR="00A0082D" w:rsidRPr="00107040" w:rsidRDefault="00A0082D" w:rsidP="000C16BB">
      <w:pPr>
        <w:spacing w:after="0" w:line="240" w:lineRule="auto"/>
        <w:ind w:firstLine="567"/>
        <w:jc w:val="center"/>
        <w:rPr>
          <w:rFonts w:ascii="Times New Roman" w:eastAsia="MS Mincho" w:hAnsi="Times New Roman"/>
          <w:b/>
          <w:noProof/>
          <w:sz w:val="28"/>
          <w:szCs w:val="28"/>
          <w:lang w:eastAsia="ru-RU"/>
        </w:rPr>
      </w:pPr>
    </w:p>
    <w:p w14:paraId="21BF68A1" w14:textId="77777777" w:rsidR="00E57C3D" w:rsidRPr="00107040" w:rsidRDefault="00E57C3D"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Стрелка указывает свободный 10-мерный олигонуклеотид. </w:t>
      </w:r>
    </w:p>
    <w:p w14:paraId="471DBEF5" w14:textId="77777777" w:rsidR="00E57C3D" w:rsidRPr="00107040" w:rsidRDefault="00E57C3D" w:rsidP="000C16BB">
      <w:pPr>
        <w:spacing w:after="0" w:line="240" w:lineRule="auto"/>
        <w:ind w:firstLine="567"/>
        <w:jc w:val="center"/>
        <w:rPr>
          <w:rFonts w:ascii="Times New Roman" w:eastAsia="MS Mincho" w:hAnsi="Times New Roman"/>
          <w:b/>
          <w:sz w:val="28"/>
          <w:szCs w:val="28"/>
          <w:lang w:val="ru-RU" w:eastAsia="ja-JP"/>
        </w:rPr>
      </w:pPr>
    </w:p>
    <w:p w14:paraId="5B338801" w14:textId="577DEC30" w:rsidR="00AA69DA" w:rsidRPr="00107040" w:rsidRDefault="00AA69DA"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Рисунок </w:t>
      </w:r>
      <w:r w:rsidRPr="00107040">
        <w:rPr>
          <w:rFonts w:ascii="Times New Roman" w:eastAsia="MS Mincho" w:hAnsi="Times New Roman"/>
          <w:sz w:val="28"/>
          <w:szCs w:val="28"/>
          <w:lang w:val="kk-KZ" w:eastAsia="ja-JP"/>
        </w:rPr>
        <w:t>3</w:t>
      </w:r>
      <w:r w:rsidR="002A568C">
        <w:rPr>
          <w:rFonts w:ascii="Times New Roman" w:eastAsia="MS Mincho" w:hAnsi="Times New Roman"/>
          <w:sz w:val="28"/>
          <w:szCs w:val="28"/>
          <w:lang w:val="ru-RU" w:eastAsia="ja-JP"/>
        </w:rPr>
        <w:t>4</w:t>
      </w:r>
      <w:r w:rsidRPr="00107040">
        <w:rPr>
          <w:rFonts w:ascii="Times New Roman" w:eastAsia="MS Mincho" w:hAnsi="Times New Roman"/>
          <w:sz w:val="28"/>
          <w:szCs w:val="28"/>
          <w:lang w:val="ru-RU" w:eastAsia="ja-JP"/>
        </w:rPr>
        <w:t xml:space="preserve"> – </w:t>
      </w:r>
      <w:r w:rsidR="00903387" w:rsidRPr="00107040">
        <w:rPr>
          <w:rFonts w:ascii="Times New Roman" w:eastAsia="MS Mincho" w:hAnsi="Times New Roman"/>
          <w:sz w:val="28"/>
          <w:szCs w:val="28"/>
          <w:lang w:val="ru-RU" w:eastAsia="ja-JP"/>
        </w:rPr>
        <w:t>Подготовка</w:t>
      </w:r>
      <w:r w:rsidRPr="00107040">
        <w:rPr>
          <w:rFonts w:ascii="Times New Roman" w:eastAsia="MS Mincho" w:hAnsi="Times New Roman"/>
          <w:sz w:val="28"/>
          <w:szCs w:val="28"/>
          <w:lang w:val="ru-RU" w:eastAsia="ja-JP"/>
        </w:rPr>
        <w:t xml:space="preserve"> продуктов ПАР-ДНК </w:t>
      </w:r>
      <w:r w:rsidR="00903387" w:rsidRPr="00107040">
        <w:rPr>
          <w:rFonts w:ascii="Times New Roman" w:eastAsia="MS Mincho" w:hAnsi="Times New Roman"/>
          <w:sz w:val="28"/>
          <w:szCs w:val="28"/>
          <w:lang w:val="ru-RU" w:eastAsia="ja-JP"/>
        </w:rPr>
        <w:t>катализируемого</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для анализа </w:t>
      </w:r>
      <w:r w:rsidRPr="00107040">
        <w:rPr>
          <w:rFonts w:ascii="Times New Roman" w:eastAsia="MS Mincho" w:hAnsi="Times New Roman"/>
          <w:sz w:val="28"/>
          <w:szCs w:val="28"/>
          <w:lang w:val="en-US" w:eastAsia="ja-JP"/>
        </w:rPr>
        <w:t>MALDI</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US" w:eastAsia="ja-JP"/>
        </w:rPr>
        <w:t>TOF</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US" w:eastAsia="ja-JP"/>
        </w:rPr>
        <w:t>MS</w:t>
      </w:r>
    </w:p>
    <w:p w14:paraId="62F587BF" w14:textId="77777777" w:rsidR="000D3A25" w:rsidRPr="00107040" w:rsidRDefault="000D3A25" w:rsidP="000C16BB">
      <w:pPr>
        <w:spacing w:after="0" w:line="240" w:lineRule="auto"/>
        <w:ind w:firstLine="567"/>
        <w:jc w:val="center"/>
        <w:rPr>
          <w:rFonts w:ascii="Times New Roman" w:eastAsia="MS Mincho" w:hAnsi="Times New Roman"/>
          <w:sz w:val="28"/>
          <w:szCs w:val="28"/>
          <w:lang w:val="ru-RU" w:eastAsia="ja-JP"/>
        </w:rPr>
      </w:pPr>
    </w:p>
    <w:p w14:paraId="00658E1F" w14:textId="31252814" w:rsidR="00AA69DA" w:rsidRPr="00107040" w:rsidRDefault="000D3A25"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Для этой цели </w:t>
      </w:r>
      <w:r w:rsidR="002161A1" w:rsidRPr="00107040">
        <w:rPr>
          <w:rFonts w:ascii="Times New Roman" w:eastAsia="MS Mincho" w:hAnsi="Times New Roman"/>
          <w:sz w:val="28"/>
          <w:szCs w:val="28"/>
          <w:lang w:val="ru-RU" w:eastAsia="ja-JP"/>
        </w:rPr>
        <w:t>как наиболее эффективный фермент был</w:t>
      </w:r>
      <w:r w:rsidRPr="00107040">
        <w:rPr>
          <w:rFonts w:ascii="Times New Roman" w:eastAsia="MS Mincho" w:hAnsi="Times New Roman"/>
          <w:sz w:val="28"/>
          <w:szCs w:val="28"/>
          <w:lang w:val="ru-RU" w:eastAsia="ja-JP"/>
        </w:rPr>
        <w:t xml:space="preserve"> выбра</w:t>
      </w:r>
      <w:r w:rsidR="002161A1" w:rsidRPr="00107040">
        <w:rPr>
          <w:rFonts w:ascii="Times New Roman" w:eastAsia="MS Mincho" w:hAnsi="Times New Roman"/>
          <w:sz w:val="28"/>
          <w:szCs w:val="28"/>
          <w:lang w:val="ru-RU" w:eastAsia="ja-JP"/>
        </w:rPr>
        <w:t>н</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2 и сконструирова</w:t>
      </w:r>
      <w:r w:rsidR="002161A1" w:rsidRPr="00107040">
        <w:rPr>
          <w:rFonts w:ascii="Times New Roman" w:eastAsia="MS Mincho" w:hAnsi="Times New Roman"/>
          <w:sz w:val="28"/>
          <w:szCs w:val="28"/>
          <w:lang w:val="ru-RU" w:eastAsia="ja-JP"/>
        </w:rPr>
        <w:t>н</w:t>
      </w:r>
      <w:r w:rsidRPr="00107040">
        <w:rPr>
          <w:rFonts w:ascii="Times New Roman" w:eastAsia="MS Mincho" w:hAnsi="Times New Roman"/>
          <w:sz w:val="28"/>
          <w:szCs w:val="28"/>
          <w:lang w:val="ru-RU" w:eastAsia="ja-JP"/>
        </w:rPr>
        <w:t xml:space="preserve"> холодный нерадиоактивный 30-мерный дуплексный олигонуклеотид (называемый здесь </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10•</w:t>
      </w:r>
      <w:r w:rsidRPr="00107040">
        <w:rPr>
          <w:rFonts w:ascii="Times New Roman" w:eastAsia="MS Mincho" w:hAnsi="Times New Roman"/>
          <w:sz w:val="28"/>
          <w:szCs w:val="28"/>
          <w:lang w:eastAsia="ja-JP"/>
        </w:rPr>
        <w:t>RT</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vertAlign w:val="superscript"/>
          <w:lang w:eastAsia="ja-JP"/>
        </w:rPr>
        <w:t>nick</w:t>
      </w:r>
      <w:r w:rsidRPr="00107040">
        <w:rPr>
          <w:rFonts w:ascii="Times New Roman" w:eastAsia="MS Mincho" w:hAnsi="Times New Roman"/>
          <w:sz w:val="28"/>
          <w:szCs w:val="28"/>
          <w:lang w:val="ru-RU" w:eastAsia="ja-JP"/>
        </w:rPr>
        <w:t xml:space="preserve"> или </w:t>
      </w:r>
      <w:r w:rsidRPr="00107040">
        <w:rPr>
          <w:rFonts w:ascii="Times New Roman" w:eastAsia="MS Mincho" w:hAnsi="Times New Roman"/>
          <w:sz w:val="28"/>
          <w:szCs w:val="28"/>
          <w:lang w:eastAsia="ja-JP"/>
        </w:rPr>
        <w:t>S</w:t>
      </w:r>
      <w:r w:rsidRPr="00107040">
        <w:rPr>
          <w:rFonts w:ascii="Times New Roman" w:eastAsia="MS Mincho" w:hAnsi="Times New Roman"/>
          <w:sz w:val="28"/>
          <w:szCs w:val="28"/>
          <w:lang w:val="ru-RU" w:eastAsia="ja-JP"/>
        </w:rPr>
        <w:t>18), состоящий из 30-</w:t>
      </w:r>
      <w:r w:rsidRPr="00107040">
        <w:rPr>
          <w:rFonts w:ascii="Times New Roman" w:eastAsia="MS Mincho" w:hAnsi="Times New Roman"/>
          <w:sz w:val="28"/>
          <w:szCs w:val="28"/>
          <w:lang w:val="ru-RU" w:eastAsia="ja-JP"/>
        </w:rPr>
        <w:lastRenderedPageBreak/>
        <w:t>мерной (</w:t>
      </w:r>
      <w:r w:rsidRPr="00107040">
        <w:rPr>
          <w:rFonts w:ascii="Times New Roman" w:eastAsia="MS Mincho" w:hAnsi="Times New Roman"/>
          <w:sz w:val="28"/>
          <w:szCs w:val="28"/>
          <w:lang w:eastAsia="ja-JP"/>
        </w:rPr>
        <w:t>RT</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 матричной цепи и двух 5'-фосфорилированных комплементарных цепей: 10-мер (р10) и 19-мер (р19) в качестве ДНК-субстрата (таблица </w:t>
      </w:r>
      <w:r w:rsidR="002A568C">
        <w:rPr>
          <w:rFonts w:ascii="Times New Roman" w:eastAsia="MS Mincho" w:hAnsi="Times New Roman"/>
          <w:sz w:val="28"/>
          <w:szCs w:val="28"/>
          <w:lang w:val="kk-KZ" w:eastAsia="ja-JP"/>
        </w:rPr>
        <w:t>4</w:t>
      </w:r>
      <w:r w:rsidRPr="00107040">
        <w:rPr>
          <w:rFonts w:ascii="Times New Roman" w:eastAsia="MS Mincho" w:hAnsi="Times New Roman"/>
          <w:sz w:val="28"/>
          <w:szCs w:val="28"/>
          <w:lang w:val="ru-RU" w:eastAsia="ja-JP"/>
        </w:rPr>
        <w:t xml:space="preserve">). Следует отметить, что при воздействии на </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10•</w:t>
      </w:r>
      <w:r w:rsidRPr="00107040">
        <w:rPr>
          <w:rFonts w:ascii="Times New Roman" w:eastAsia="MS Mincho" w:hAnsi="Times New Roman"/>
          <w:sz w:val="28"/>
          <w:szCs w:val="28"/>
          <w:lang w:eastAsia="ja-JP"/>
        </w:rPr>
        <w:t>RT</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vertAlign w:val="superscript"/>
          <w:lang w:eastAsia="ja-JP"/>
        </w:rPr>
        <w:t>nick</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генерирует в основном </w:t>
      </w:r>
      <w:r w:rsidRPr="00107040">
        <w:rPr>
          <w:rFonts w:ascii="Times New Roman" w:eastAsia="MS Mincho" w:hAnsi="Times New Roman"/>
          <w:sz w:val="28"/>
          <w:szCs w:val="28"/>
          <w:lang w:val="en-US" w:eastAsia="ja-JP"/>
        </w:rPr>
        <w:t>LMW</w:t>
      </w:r>
      <w:r w:rsidRPr="00107040">
        <w:rPr>
          <w:rFonts w:ascii="Times New Roman" w:eastAsia="MS Mincho" w:hAnsi="Times New Roman"/>
          <w:sz w:val="28"/>
          <w:szCs w:val="28"/>
          <w:lang w:val="ru-RU" w:eastAsia="ja-JP"/>
        </w:rPr>
        <w:t xml:space="preserve"> продукты ПАР-ДНК, которые мигрируют как лестницы ДНК в денатурирующем геле, что указывает на присутствие коротких олигомеров </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ДФ-рибозы (1–20 единиц), связанных с 10-мерным фрагментом (рисунок 3</w:t>
      </w:r>
      <w:r w:rsidR="00371014">
        <w:rPr>
          <w:rFonts w:ascii="Times New Roman" w:eastAsia="MS Mincho" w:hAnsi="Times New Roman"/>
          <w:sz w:val="28"/>
          <w:szCs w:val="28"/>
          <w:lang w:val="ru-RU" w:eastAsia="ja-JP"/>
        </w:rPr>
        <w:t>4</w:t>
      </w:r>
      <w:r w:rsidRPr="00107040">
        <w:rPr>
          <w:rFonts w:ascii="Times New Roman" w:eastAsia="MS Mincho" w:hAnsi="Times New Roman"/>
          <w:sz w:val="28"/>
          <w:szCs w:val="28"/>
          <w:lang w:val="ru-RU" w:eastAsia="ja-JP"/>
        </w:rPr>
        <w:t xml:space="preserve">). </w:t>
      </w:r>
    </w:p>
    <w:p w14:paraId="5309E5AC" w14:textId="638671F5" w:rsidR="00AA69DA" w:rsidRPr="00107040" w:rsidRDefault="00AA69DA" w:rsidP="000C16BB">
      <w:pPr>
        <w:spacing w:after="0" w:line="240" w:lineRule="auto"/>
        <w:ind w:firstLine="567"/>
        <w:jc w:val="both"/>
        <w:rPr>
          <w:rFonts w:ascii="Times New Roman" w:eastAsia="MS Mincho" w:hAnsi="Times New Roman"/>
          <w:bCs/>
          <w:sz w:val="28"/>
          <w:szCs w:val="28"/>
          <w:lang w:val="ru-RU" w:eastAsia="ja-JP"/>
        </w:rPr>
      </w:pPr>
    </w:p>
    <w:p w14:paraId="37CEB752" w14:textId="1DBAEB99" w:rsidR="00A0082D" w:rsidRPr="00107040" w:rsidRDefault="00A0082D" w:rsidP="000C16BB">
      <w:pPr>
        <w:spacing w:after="0" w:line="240" w:lineRule="auto"/>
        <w:ind w:firstLine="567"/>
        <w:jc w:val="center"/>
        <w:rPr>
          <w:rFonts w:ascii="Times New Roman" w:eastAsia="MS Mincho" w:hAnsi="Times New Roman"/>
          <w:bCs/>
          <w:sz w:val="28"/>
          <w:szCs w:val="28"/>
          <w:lang w:val="ru-RU" w:eastAsia="ja-JP"/>
        </w:rPr>
      </w:pPr>
      <w:r w:rsidRPr="00107040">
        <w:rPr>
          <w:rFonts w:ascii="Times New Roman" w:eastAsia="MS Mincho" w:hAnsi="Times New Roman"/>
          <w:noProof/>
          <w:sz w:val="28"/>
          <w:szCs w:val="28"/>
          <w:lang w:val="ru-RU" w:eastAsia="ru-RU"/>
        </w:rPr>
        <w:drawing>
          <wp:inline distT="0" distB="0" distL="0" distR="0" wp14:anchorId="72E995C2" wp14:editId="53101908">
            <wp:extent cx="5257800" cy="501273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7494" cy="5021975"/>
                    </a:xfrm>
                    <a:prstGeom prst="rect">
                      <a:avLst/>
                    </a:prstGeom>
                    <a:noFill/>
                    <a:ln>
                      <a:noFill/>
                    </a:ln>
                  </pic:spPr>
                </pic:pic>
              </a:graphicData>
            </a:graphic>
          </wp:inline>
        </w:drawing>
      </w:r>
    </w:p>
    <w:p w14:paraId="2343964C" w14:textId="77777777" w:rsidR="00A0082D" w:rsidRPr="00107040" w:rsidRDefault="00A0082D" w:rsidP="000C16BB">
      <w:pPr>
        <w:spacing w:after="0" w:line="240" w:lineRule="auto"/>
        <w:ind w:firstLine="567"/>
        <w:jc w:val="both"/>
        <w:rPr>
          <w:rFonts w:ascii="Times New Roman" w:eastAsia="MS Mincho" w:hAnsi="Times New Roman"/>
          <w:bCs/>
          <w:sz w:val="28"/>
          <w:szCs w:val="28"/>
          <w:lang w:val="ru-RU" w:eastAsia="ja-JP"/>
        </w:rPr>
      </w:pPr>
    </w:p>
    <w:p w14:paraId="3DBCC9FB" w14:textId="77777777" w:rsidR="00AA69DA" w:rsidRPr="00107040" w:rsidRDefault="00AA69DA" w:rsidP="000C16BB">
      <w:pPr>
        <w:spacing w:after="0" w:line="240" w:lineRule="auto"/>
        <w:ind w:firstLine="567"/>
        <w:jc w:val="center"/>
        <w:rPr>
          <w:rFonts w:ascii="Times New Roman" w:hAnsi="Times New Roman"/>
          <w:bCs/>
          <w:sz w:val="28"/>
          <w:szCs w:val="28"/>
          <w:lang w:val="ru-RU"/>
        </w:rPr>
      </w:pPr>
      <w:r w:rsidRPr="00107040">
        <w:rPr>
          <w:rFonts w:ascii="Times New Roman" w:eastAsia="MS Mincho" w:hAnsi="Times New Roman"/>
          <w:bCs/>
          <w:sz w:val="28"/>
          <w:szCs w:val="28"/>
          <w:lang w:val="ru-RU" w:eastAsia="ja-JP"/>
        </w:rPr>
        <w:t>(A</w:t>
      </w:r>
      <w:r w:rsidRPr="00107040">
        <w:rPr>
          <w:rFonts w:ascii="Times New Roman" w:hAnsi="Times New Roman"/>
          <w:bCs/>
          <w:sz w:val="28"/>
          <w:szCs w:val="28"/>
          <w:lang w:val="ru-RU"/>
        </w:rPr>
        <w:t xml:space="preserve">) </w:t>
      </w:r>
      <w:r w:rsidRPr="00107040">
        <w:rPr>
          <w:rFonts w:ascii="Times New Roman" w:hAnsi="Times New Roman"/>
          <w:bCs/>
          <w:sz w:val="28"/>
          <w:szCs w:val="28"/>
          <w:lang w:val="en-US"/>
        </w:rPr>
        <w:t>MALDI</w:t>
      </w:r>
      <w:r w:rsidRPr="00107040">
        <w:rPr>
          <w:rFonts w:ascii="Times New Roman" w:hAnsi="Times New Roman"/>
          <w:bCs/>
          <w:sz w:val="28"/>
          <w:szCs w:val="28"/>
          <w:lang w:val="ru-RU"/>
        </w:rPr>
        <w:t>-</w:t>
      </w:r>
      <w:r w:rsidRPr="00107040">
        <w:rPr>
          <w:rFonts w:ascii="Times New Roman" w:hAnsi="Times New Roman"/>
          <w:bCs/>
          <w:sz w:val="28"/>
          <w:szCs w:val="28"/>
          <w:lang w:val="en-US"/>
        </w:rPr>
        <w:t>TOF</w:t>
      </w:r>
      <w:r w:rsidRPr="00107040">
        <w:rPr>
          <w:rFonts w:ascii="Times New Roman" w:hAnsi="Times New Roman"/>
          <w:bCs/>
          <w:sz w:val="28"/>
          <w:szCs w:val="28"/>
          <w:lang w:val="ru-RU"/>
        </w:rPr>
        <w:t xml:space="preserve"> спектр контрольного ложно обработанного холодного 5</w:t>
      </w:r>
      <w:r w:rsidRPr="00107040">
        <w:rPr>
          <w:rFonts w:ascii="Times New Roman" w:hAnsi="Times New Roman"/>
          <w:sz w:val="28"/>
          <w:szCs w:val="28"/>
          <w:lang w:val="ru-RU"/>
        </w:rPr>
        <w:t>'</w:t>
      </w:r>
      <w:r w:rsidRPr="00107040">
        <w:rPr>
          <w:rFonts w:ascii="Times New Roman" w:hAnsi="Times New Roman"/>
          <w:bCs/>
          <w:sz w:val="28"/>
          <w:szCs w:val="28"/>
          <w:lang w:val="ru-RU"/>
        </w:rPr>
        <w:t xml:space="preserve">-фосфорилированного дуплекса </w:t>
      </w:r>
      <w:r w:rsidRPr="00107040">
        <w:rPr>
          <w:rFonts w:ascii="Times New Roman" w:hAnsi="Times New Roman"/>
          <w:bCs/>
          <w:sz w:val="28"/>
          <w:szCs w:val="28"/>
          <w:lang w:val="en-US"/>
        </w:rPr>
        <w:t>RT</w:t>
      </w:r>
      <w:r w:rsidRPr="00107040">
        <w:rPr>
          <w:rFonts w:ascii="Times New Roman" w:hAnsi="Times New Roman"/>
          <w:bCs/>
          <w:sz w:val="28"/>
          <w:szCs w:val="28"/>
          <w:vertAlign w:val="superscript"/>
          <w:lang w:val="en-US"/>
        </w:rPr>
        <w:t>nick</w:t>
      </w:r>
      <w:r w:rsidRPr="00107040">
        <w:rPr>
          <w:rFonts w:ascii="Times New Roman" w:hAnsi="Times New Roman"/>
          <w:bCs/>
          <w:sz w:val="28"/>
          <w:szCs w:val="28"/>
          <w:lang w:val="ru-RU"/>
        </w:rPr>
        <w:t>; (</w:t>
      </w:r>
      <w:r w:rsidRPr="00107040">
        <w:rPr>
          <w:rFonts w:ascii="Times New Roman" w:hAnsi="Times New Roman"/>
          <w:bCs/>
          <w:sz w:val="28"/>
          <w:szCs w:val="28"/>
          <w:lang w:val="en-US"/>
        </w:rPr>
        <w:t>B</w:t>
      </w:r>
      <w:r w:rsidRPr="00107040">
        <w:rPr>
          <w:rFonts w:ascii="Times New Roman" w:hAnsi="Times New Roman"/>
          <w:bCs/>
          <w:sz w:val="28"/>
          <w:szCs w:val="28"/>
          <w:lang w:val="ru-RU"/>
        </w:rPr>
        <w:t xml:space="preserve">) </w:t>
      </w:r>
      <w:r w:rsidRPr="00107040">
        <w:rPr>
          <w:rFonts w:ascii="Times New Roman" w:hAnsi="Times New Roman"/>
          <w:bCs/>
          <w:sz w:val="28"/>
          <w:szCs w:val="28"/>
          <w:lang w:val="en-US"/>
        </w:rPr>
        <w:t>MALDI</w:t>
      </w:r>
      <w:r w:rsidRPr="00107040">
        <w:rPr>
          <w:rFonts w:ascii="Times New Roman" w:hAnsi="Times New Roman"/>
          <w:bCs/>
          <w:sz w:val="28"/>
          <w:szCs w:val="28"/>
          <w:lang w:val="ru-RU"/>
        </w:rPr>
        <w:t>-</w:t>
      </w:r>
      <w:r w:rsidRPr="00107040">
        <w:rPr>
          <w:rFonts w:ascii="Times New Roman" w:hAnsi="Times New Roman"/>
          <w:bCs/>
          <w:sz w:val="28"/>
          <w:szCs w:val="28"/>
          <w:lang w:val="en-US"/>
        </w:rPr>
        <w:t>TOF</w:t>
      </w:r>
      <w:r w:rsidRPr="00107040">
        <w:rPr>
          <w:rFonts w:ascii="Times New Roman" w:hAnsi="Times New Roman"/>
          <w:bCs/>
          <w:sz w:val="28"/>
          <w:szCs w:val="28"/>
          <w:lang w:val="ru-RU"/>
        </w:rPr>
        <w:t xml:space="preserve"> спектр неочищенных продуктов реакции </w:t>
      </w:r>
      <w:r w:rsidRPr="00107040">
        <w:rPr>
          <w:rFonts w:ascii="Times New Roman" w:hAnsi="Times New Roman"/>
          <w:bCs/>
          <w:sz w:val="28"/>
          <w:szCs w:val="28"/>
          <w:lang w:val="en-US"/>
        </w:rPr>
        <w:t>AtPARP</w:t>
      </w:r>
      <w:r w:rsidRPr="00107040">
        <w:rPr>
          <w:rFonts w:ascii="Times New Roman" w:hAnsi="Times New Roman"/>
          <w:bCs/>
          <w:sz w:val="28"/>
          <w:szCs w:val="28"/>
          <w:lang w:val="ru-RU"/>
        </w:rPr>
        <w:t xml:space="preserve">2, дополненных очищенным 10-мерным фрагментом </w:t>
      </w:r>
      <w:r w:rsidRPr="00107040">
        <w:rPr>
          <w:rFonts w:ascii="Times New Roman" w:hAnsi="Times New Roman"/>
          <w:bCs/>
          <w:sz w:val="28"/>
          <w:szCs w:val="28"/>
          <w:lang w:val="en-US"/>
        </w:rPr>
        <w:t>p</w:t>
      </w:r>
      <w:r w:rsidRPr="00107040">
        <w:rPr>
          <w:rFonts w:ascii="Times New Roman" w:hAnsi="Times New Roman"/>
          <w:bCs/>
          <w:sz w:val="28"/>
          <w:szCs w:val="28"/>
          <w:lang w:val="ru-RU"/>
        </w:rPr>
        <w:t>-10-</w:t>
      </w:r>
      <w:r w:rsidRPr="00107040">
        <w:rPr>
          <w:rFonts w:ascii="Times New Roman" w:hAnsi="Times New Roman"/>
          <w:bCs/>
          <w:sz w:val="28"/>
          <w:szCs w:val="28"/>
          <w:lang w:val="en-US"/>
        </w:rPr>
        <w:t>RT</w:t>
      </w:r>
      <w:r w:rsidRPr="00107040">
        <w:rPr>
          <w:rFonts w:ascii="Times New Roman" w:hAnsi="Times New Roman"/>
          <w:bCs/>
          <w:sz w:val="28"/>
          <w:szCs w:val="28"/>
          <w:lang w:val="ru-RU"/>
        </w:rPr>
        <w:t>-поли-</w:t>
      </w:r>
      <w:r w:rsidRPr="00107040">
        <w:rPr>
          <w:rFonts w:ascii="Times New Roman" w:hAnsi="Times New Roman"/>
          <w:bCs/>
          <w:sz w:val="28"/>
          <w:szCs w:val="28"/>
          <w:lang w:val="en-US"/>
        </w:rPr>
        <w:t>A</w:t>
      </w:r>
      <w:r w:rsidRPr="00107040">
        <w:rPr>
          <w:rFonts w:ascii="Times New Roman" w:hAnsi="Times New Roman"/>
          <w:bCs/>
          <w:sz w:val="28"/>
          <w:szCs w:val="28"/>
          <w:lang w:val="ru-RU"/>
        </w:rPr>
        <w:t xml:space="preserve">ДФ-рибозы в качестве маркера размера. </w:t>
      </w:r>
    </w:p>
    <w:p w14:paraId="0E9D89E3" w14:textId="77777777" w:rsidR="00AA69DA" w:rsidRPr="00107040" w:rsidRDefault="00AA69DA" w:rsidP="000C16BB">
      <w:pPr>
        <w:spacing w:after="0" w:line="240" w:lineRule="auto"/>
        <w:ind w:firstLine="567"/>
        <w:jc w:val="center"/>
        <w:rPr>
          <w:rFonts w:ascii="Times New Roman" w:hAnsi="Times New Roman"/>
          <w:sz w:val="28"/>
          <w:szCs w:val="28"/>
          <w:highlight w:val="yellow"/>
          <w:lang w:val="ru-RU"/>
        </w:rPr>
      </w:pPr>
    </w:p>
    <w:p w14:paraId="4CBF8BED" w14:textId="55DA05DF" w:rsidR="00903387" w:rsidRPr="00107040" w:rsidRDefault="00AA69DA" w:rsidP="000C16BB">
      <w:pPr>
        <w:spacing w:after="0" w:line="240" w:lineRule="auto"/>
        <w:ind w:firstLine="567"/>
        <w:jc w:val="center"/>
        <w:rPr>
          <w:rFonts w:ascii="Times New Roman" w:hAnsi="Times New Roman"/>
          <w:sz w:val="28"/>
          <w:szCs w:val="28"/>
          <w:lang w:val="ru-RU"/>
        </w:rPr>
      </w:pPr>
      <w:r w:rsidRPr="00107040">
        <w:rPr>
          <w:rFonts w:ascii="Times New Roman" w:hAnsi="Times New Roman"/>
          <w:sz w:val="28"/>
          <w:szCs w:val="28"/>
          <w:lang w:val="ru-RU"/>
        </w:rPr>
        <w:t xml:space="preserve">Рисунок </w:t>
      </w:r>
      <w:r w:rsidRPr="00107040">
        <w:rPr>
          <w:rFonts w:ascii="Times New Roman" w:hAnsi="Times New Roman"/>
          <w:sz w:val="28"/>
          <w:szCs w:val="28"/>
          <w:lang w:val="kk-KZ"/>
        </w:rPr>
        <w:t>3</w:t>
      </w:r>
      <w:r w:rsidR="006137DB">
        <w:rPr>
          <w:rFonts w:ascii="Times New Roman" w:hAnsi="Times New Roman"/>
          <w:sz w:val="28"/>
          <w:szCs w:val="28"/>
          <w:lang w:val="kk-KZ"/>
        </w:rPr>
        <w:t>5</w:t>
      </w:r>
      <w:r w:rsidRPr="00107040">
        <w:rPr>
          <w:rFonts w:ascii="Times New Roman" w:hAnsi="Times New Roman"/>
          <w:sz w:val="28"/>
          <w:szCs w:val="28"/>
          <w:lang w:val="ru-RU"/>
        </w:rPr>
        <w:t xml:space="preserve"> – </w:t>
      </w:r>
      <w:r w:rsidRPr="00107040">
        <w:rPr>
          <w:rFonts w:ascii="Times New Roman" w:hAnsi="Times New Roman"/>
          <w:sz w:val="28"/>
          <w:szCs w:val="28"/>
          <w:lang w:val="en-US"/>
        </w:rPr>
        <w:t>MALDI</w:t>
      </w:r>
      <w:r w:rsidRPr="00107040">
        <w:rPr>
          <w:rFonts w:ascii="Times New Roman" w:hAnsi="Times New Roman"/>
          <w:sz w:val="28"/>
          <w:szCs w:val="28"/>
          <w:lang w:val="ru-RU"/>
        </w:rPr>
        <w:t>-</w:t>
      </w:r>
      <w:r w:rsidRPr="00107040">
        <w:rPr>
          <w:rFonts w:ascii="Times New Roman" w:hAnsi="Times New Roman"/>
          <w:sz w:val="28"/>
          <w:szCs w:val="28"/>
          <w:lang w:val="en-US"/>
        </w:rPr>
        <w:t>TOF</w:t>
      </w:r>
      <w:r w:rsidRPr="00107040">
        <w:rPr>
          <w:rFonts w:ascii="Times New Roman" w:hAnsi="Times New Roman"/>
          <w:sz w:val="28"/>
          <w:szCs w:val="28"/>
          <w:lang w:val="ru-RU"/>
        </w:rPr>
        <w:t xml:space="preserve"> </w:t>
      </w:r>
      <w:r w:rsidRPr="00107040">
        <w:rPr>
          <w:rFonts w:ascii="Times New Roman" w:hAnsi="Times New Roman"/>
          <w:sz w:val="28"/>
          <w:szCs w:val="28"/>
          <w:lang w:val="en-US"/>
        </w:rPr>
        <w:t>MS</w:t>
      </w:r>
      <w:r w:rsidRPr="00107040">
        <w:rPr>
          <w:rFonts w:ascii="Times New Roman" w:hAnsi="Times New Roman"/>
          <w:sz w:val="28"/>
          <w:szCs w:val="28"/>
          <w:lang w:val="ru-RU"/>
        </w:rPr>
        <w:t xml:space="preserve">-анализ моно- и поли-АДФ-рибозилированных олигонуклеотидов, генерируемых </w:t>
      </w:r>
      <w:r w:rsidRPr="00107040">
        <w:rPr>
          <w:rFonts w:ascii="Times New Roman" w:hAnsi="Times New Roman"/>
          <w:sz w:val="28"/>
          <w:szCs w:val="28"/>
          <w:lang w:val="en-US"/>
        </w:rPr>
        <w:t>AtPARP</w:t>
      </w:r>
      <w:r w:rsidRPr="00107040">
        <w:rPr>
          <w:rFonts w:ascii="Times New Roman" w:hAnsi="Times New Roman"/>
          <w:sz w:val="28"/>
          <w:szCs w:val="28"/>
          <w:lang w:val="ru-RU"/>
        </w:rPr>
        <w:t xml:space="preserve">2. </w:t>
      </w:r>
    </w:p>
    <w:p w14:paraId="0B5C5530" w14:textId="77777777" w:rsidR="00E7297B" w:rsidRPr="00107040" w:rsidRDefault="00E7297B" w:rsidP="000C16BB">
      <w:pPr>
        <w:spacing w:after="0" w:line="240" w:lineRule="auto"/>
        <w:ind w:firstLine="567"/>
        <w:jc w:val="center"/>
        <w:rPr>
          <w:rFonts w:ascii="Times New Roman" w:hAnsi="Times New Roman"/>
          <w:sz w:val="28"/>
          <w:szCs w:val="28"/>
          <w:lang w:val="ru-RU"/>
        </w:rPr>
      </w:pPr>
    </w:p>
    <w:p w14:paraId="6B67E15B" w14:textId="1F3793A0" w:rsidR="007D1CB7" w:rsidRPr="00107040" w:rsidRDefault="00E7297B" w:rsidP="000C16BB">
      <w:pPr>
        <w:spacing w:after="0" w:line="240" w:lineRule="auto"/>
        <w:ind w:firstLine="567"/>
        <w:jc w:val="both"/>
        <w:rPr>
          <w:rFonts w:ascii="Times New Roman" w:hAnsi="Times New Roman"/>
          <w:sz w:val="28"/>
          <w:szCs w:val="28"/>
          <w:lang w:val="ru-RU"/>
        </w:rPr>
      </w:pPr>
      <w:r w:rsidRPr="00107040">
        <w:rPr>
          <w:rFonts w:ascii="Times New Roman" w:eastAsia="MS Mincho" w:hAnsi="Times New Roman"/>
          <w:sz w:val="28"/>
          <w:szCs w:val="28"/>
          <w:lang w:val="ru-RU" w:eastAsia="ja-JP"/>
        </w:rPr>
        <w:t xml:space="preserve">Кроме того, короткие низкомолекулярные олигонуклеотиды (такие как 10 мер в </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10•</w:t>
      </w:r>
      <w:r w:rsidRPr="00107040">
        <w:rPr>
          <w:rFonts w:ascii="Times New Roman" w:eastAsia="MS Mincho" w:hAnsi="Times New Roman"/>
          <w:sz w:val="28"/>
          <w:szCs w:val="28"/>
          <w:lang w:eastAsia="ja-JP"/>
        </w:rPr>
        <w:t>RT</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vertAlign w:val="superscript"/>
          <w:lang w:eastAsia="ja-JP"/>
        </w:rPr>
        <w:t>nick</w:t>
      </w:r>
      <w:r w:rsidRPr="00107040">
        <w:rPr>
          <w:rFonts w:ascii="Times New Roman" w:eastAsia="MS Mincho" w:hAnsi="Times New Roman"/>
          <w:sz w:val="28"/>
          <w:szCs w:val="28"/>
          <w:lang w:val="ru-RU" w:eastAsia="ja-JP"/>
        </w:rPr>
        <w:t xml:space="preserve">) в целом имеют более высокую вероятность обнаружения с помощью </w:t>
      </w:r>
      <w:r w:rsidRPr="00107040">
        <w:rPr>
          <w:rFonts w:ascii="Times New Roman" w:eastAsia="MS Mincho" w:hAnsi="Times New Roman"/>
          <w:sz w:val="28"/>
          <w:szCs w:val="28"/>
          <w:lang w:eastAsia="ja-JP"/>
        </w:rPr>
        <w:t>MALDI</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TOF</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t>MS</w:t>
      </w:r>
      <w:r w:rsidRPr="00107040">
        <w:rPr>
          <w:rFonts w:ascii="Times New Roman" w:eastAsia="MS Mincho" w:hAnsi="Times New Roman"/>
          <w:sz w:val="28"/>
          <w:szCs w:val="28"/>
          <w:lang w:val="ru-RU" w:eastAsia="ja-JP"/>
        </w:rPr>
        <w:t xml:space="preserve"> по сравнению с их длинными аналогами </w:t>
      </w:r>
      <w:r w:rsidRPr="00107040">
        <w:rPr>
          <w:rFonts w:ascii="Times New Roman" w:eastAsia="MS Mincho" w:hAnsi="Times New Roman"/>
          <w:sz w:val="28"/>
          <w:szCs w:val="28"/>
          <w:lang w:val="ru-RU" w:eastAsia="ja-JP"/>
        </w:rPr>
        <w:lastRenderedPageBreak/>
        <w:t xml:space="preserve">олигонуклеотидов с высокой молекулярной массой (такими как 21 мер в </w:t>
      </w:r>
      <w:r w:rsidRPr="00107040">
        <w:rPr>
          <w:rFonts w:ascii="Times New Roman" w:eastAsia="MS Mincho" w:hAnsi="Times New Roman"/>
          <w:sz w:val="28"/>
          <w:szCs w:val="28"/>
          <w:lang w:eastAsia="ja-JP"/>
        </w:rPr>
        <w:t>ExoA</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RexT</w:t>
      </w:r>
      <w:r w:rsidRPr="00107040">
        <w:rPr>
          <w:rFonts w:ascii="Times New Roman" w:eastAsia="MS Mincho" w:hAnsi="Times New Roman"/>
          <w:sz w:val="28"/>
          <w:szCs w:val="28"/>
          <w:vertAlign w:val="superscript"/>
          <w:lang w:eastAsia="ja-JP"/>
        </w:rPr>
        <w:t>nick</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fldChar w:fldCharType="begin"/>
      </w:r>
      <w:r w:rsidR="00FB5E68">
        <w:rPr>
          <w:rFonts w:ascii="Times New Roman" w:eastAsia="MS Mincho" w:hAnsi="Times New Roman"/>
          <w:sz w:val="28"/>
          <w:szCs w:val="28"/>
          <w:lang w:val="ru-RU" w:eastAsia="ja-JP"/>
        </w:rPr>
        <w:instrText xml:space="preserve"> ADDIN ZOTERO_ITEM CSL_CITATION {"citationID":"EU9NyJ3S","properties":{"formattedCitation":"[444]","plainCitation":"[444]","noteIndex":0},"citationItems":[{"id":1345,"uris":["http://zotero.org/users/9078202/items/Q82S5MI8"],"itemData":{"id":1345,"type":"article-journal","abstract":"The present article is a survey of ESI and MALDI mass spectrometric analysis of nucleic acid oligomers and polymers. In order to limit the extent of the review, mass spectrometry of mononucleotides is generally not considered, except where such data are important for an understanding of the analysis of larger nucleic acids. The first part of the review is a condensed description of the structure and the acid-base properties of nucleic acids. The remaining part is divided into three main sections, dealing with the practical aspects of the two ionization techniques, fragmentation, and applications, respectively. The first section includes an extensive discussion of experimental parameters and problems, which are important for the analysis of different types of nucleic acid samples, including noncovalent complexes and mixtures. At the end of this section, as well as the following one, a comparison between MALDI and ESI as ionization techniques for nucleic acid is given. In addition to a detailed discussion of ion fragmentation, the fragmentation section includes an overview of the direct mass spectrometric sequencing of nucleic acids performed with either technique. The fragmentation reactions occurring upon MALDI and ESI are compared. The last section describes the life science applications of ESI-MS and MALDI-MS of nucleic acids; an account of experiments demonstrating the potential of a method, and of the bona fide solving of problems by ESI and MALDI is given. © 1997 John Wiley &amp; Sons, Inc.","container-title":"Mass Spectrometry Reviews","DOI":"10.1002/(SICI)1098-2787(1996)15:2&lt;67::AID-MAS1&gt;3.0.CO;2-8","ISSN":"0277-7037","issue":"2","journalAbbreviation":"Mass Spectrom Rev","language":"eng","note":"PMID: 27082318","page":"67-138","source":"PubMed","title":"Mass spectrometry of nucleic acids","volume":"15","author":[{"family":"Nordhoff","given":"E."},{"family":"Kirpekar","given":"F."},{"family":"Roepstorff","given":"P."}],"issued":{"date-parts":[["1996"]]}}}],"schema":"https://github.com/citation-style-language/schema/raw/master/csl-citation.json"} </w:instrText>
      </w:r>
      <w:r w:rsidRPr="00107040">
        <w:rPr>
          <w:rFonts w:ascii="Times New Roman" w:eastAsia="MS Mincho" w:hAnsi="Times New Roman"/>
          <w:sz w:val="28"/>
          <w:szCs w:val="28"/>
          <w:lang w:eastAsia="ja-JP"/>
        </w:rPr>
        <w:fldChar w:fldCharType="separate"/>
      </w:r>
      <w:r w:rsidR="00FB5E68" w:rsidRPr="00FB5E68">
        <w:rPr>
          <w:rFonts w:ascii="Times New Roman" w:hAnsi="Times New Roman"/>
          <w:sz w:val="28"/>
        </w:rPr>
        <w:t>[444]</w:t>
      </w:r>
      <w:r w:rsidRPr="00107040">
        <w:rPr>
          <w:rFonts w:ascii="Times New Roman" w:eastAsia="MS Mincho" w:hAnsi="Times New Roman"/>
          <w:sz w:val="28"/>
          <w:szCs w:val="28"/>
          <w:lang w:eastAsia="ja-JP"/>
        </w:rPr>
        <w:fldChar w:fldCharType="end"/>
      </w:r>
      <w:r w:rsidRPr="00107040">
        <w:rPr>
          <w:rFonts w:ascii="Times New Roman" w:eastAsia="MS Mincho" w:hAnsi="Times New Roman"/>
          <w:sz w:val="28"/>
          <w:szCs w:val="28"/>
          <w:lang w:val="ru-RU" w:eastAsia="ja-JP"/>
        </w:rPr>
        <w:t xml:space="preserve"> таким образом, использование </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10•</w:t>
      </w:r>
      <w:r w:rsidRPr="00107040">
        <w:rPr>
          <w:rFonts w:ascii="Times New Roman" w:eastAsia="MS Mincho" w:hAnsi="Times New Roman"/>
          <w:sz w:val="28"/>
          <w:szCs w:val="28"/>
          <w:lang w:eastAsia="ja-JP"/>
        </w:rPr>
        <w:t>RT</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vertAlign w:val="superscript"/>
          <w:lang w:eastAsia="ja-JP"/>
        </w:rPr>
        <w:t>nick</w:t>
      </w:r>
      <w:r w:rsidRPr="00107040">
        <w:rPr>
          <w:rFonts w:ascii="Times New Roman" w:eastAsia="MS Mincho" w:hAnsi="Times New Roman"/>
          <w:sz w:val="28"/>
          <w:szCs w:val="28"/>
          <w:lang w:val="ru-RU" w:eastAsia="ja-JP"/>
        </w:rPr>
        <w:t xml:space="preserve"> позволило нам значительно повысить чувствительность масс-спектрометрии.</w:t>
      </w:r>
    </w:p>
    <w:p w14:paraId="0B3D4D3C" w14:textId="6AD95C91" w:rsidR="000D3A25" w:rsidRPr="00107040" w:rsidRDefault="000D3A25"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en-GB" w:eastAsia="ja-JP"/>
        </w:rPr>
        <w:t>MALDI</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GB" w:eastAsia="ja-JP"/>
        </w:rPr>
        <w:t>TOF</w:t>
      </w:r>
      <w:r w:rsidRPr="00107040">
        <w:rPr>
          <w:rFonts w:ascii="Times New Roman" w:eastAsia="MS Mincho" w:hAnsi="Times New Roman"/>
          <w:sz w:val="28"/>
          <w:szCs w:val="28"/>
          <w:lang w:val="ru-RU" w:eastAsia="ja-JP"/>
        </w:rPr>
        <w:t xml:space="preserve">-анализ ложно обработанного дуплекса </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10•</w:t>
      </w:r>
      <w:r w:rsidRPr="00107040">
        <w:rPr>
          <w:rFonts w:ascii="Times New Roman" w:eastAsia="MS Mincho" w:hAnsi="Times New Roman"/>
          <w:sz w:val="28"/>
          <w:szCs w:val="28"/>
          <w:lang w:val="en-GB" w:eastAsia="ja-JP"/>
        </w:rPr>
        <w:t>RT</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vertAlign w:val="superscript"/>
          <w:lang w:val="en-GB" w:eastAsia="ja-JP"/>
        </w:rPr>
        <w:t>nick</w:t>
      </w:r>
      <w:r w:rsidRPr="00107040">
        <w:rPr>
          <w:rFonts w:ascii="Times New Roman" w:eastAsia="MS Mincho" w:hAnsi="Times New Roman"/>
          <w:sz w:val="28"/>
          <w:szCs w:val="28"/>
          <w:lang w:val="ru-RU" w:eastAsia="ja-JP"/>
        </w:rPr>
        <w:t xml:space="preserve"> показал наличие двух основных пиков при [</w:t>
      </w:r>
      <w:r w:rsidRPr="00107040">
        <w:rPr>
          <w:rFonts w:ascii="Times New Roman" w:eastAsia="MS Mincho" w:hAnsi="Times New Roman"/>
          <w:sz w:val="28"/>
          <w:szCs w:val="28"/>
          <w:lang w:eastAsia="ja-JP"/>
        </w:rPr>
        <w:t>M</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H</w:t>
      </w:r>
      <w:r w:rsidRPr="00107040">
        <w:rPr>
          <w:rFonts w:ascii="Times New Roman" w:eastAsia="MS Mincho" w:hAnsi="Times New Roman"/>
          <w:sz w:val="28"/>
          <w:szCs w:val="28"/>
          <w:lang w:val="ru-RU" w:eastAsia="ja-JP"/>
        </w:rPr>
        <w:t>]‾ = 3105,6 Да и [</w:t>
      </w:r>
      <w:r w:rsidRPr="00107040">
        <w:rPr>
          <w:rFonts w:ascii="Times New Roman" w:eastAsia="MS Mincho" w:hAnsi="Times New Roman"/>
          <w:sz w:val="28"/>
          <w:szCs w:val="28"/>
          <w:lang w:eastAsia="ja-JP"/>
        </w:rPr>
        <w:t>M</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H</w:t>
      </w:r>
      <w:r w:rsidRPr="00107040">
        <w:rPr>
          <w:rFonts w:ascii="Times New Roman" w:eastAsia="MS Mincho" w:hAnsi="Times New Roman"/>
          <w:sz w:val="28"/>
          <w:szCs w:val="28"/>
          <w:lang w:val="ru-RU" w:eastAsia="ja-JP"/>
        </w:rPr>
        <w:t xml:space="preserve">]‾ = 5949,5 Да, соответствующих фосфорилированным 10-мерным и 20-мерным олигонуклеотидам, а также как минорный пик, соответствующий 30-мерному олигонуклеотиду </w:t>
      </w:r>
      <w:r w:rsidRPr="00107040">
        <w:rPr>
          <w:rFonts w:ascii="Times New Roman" w:eastAsia="MS Mincho" w:hAnsi="Times New Roman"/>
          <w:sz w:val="28"/>
          <w:szCs w:val="28"/>
          <w:lang w:val="en-GB" w:eastAsia="ja-JP"/>
        </w:rPr>
        <w:t>RT</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ru-RU" w:eastAsia="ja-JP"/>
        </w:rPr>
        <w:t xml:space="preserve"> (рисунок 3</w:t>
      </w:r>
      <w:r w:rsidR="006137DB">
        <w:rPr>
          <w:rFonts w:ascii="Times New Roman" w:eastAsia="MS Mincho" w:hAnsi="Times New Roman"/>
          <w:sz w:val="28"/>
          <w:szCs w:val="28"/>
          <w:lang w:val="ru-RU" w:eastAsia="ja-JP"/>
        </w:rPr>
        <w:t>5</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ru-RU" w:eastAsia="ja-JP"/>
        </w:rPr>
        <w:t xml:space="preserve">). Анализ масс-спектров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2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ru-RU" w:eastAsia="ja-JP"/>
        </w:rPr>
        <w:t xml:space="preserve">ДФ-рибозилированного дуплексного олигонуклеотида </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10•</w:t>
      </w:r>
      <w:r w:rsidRPr="00107040">
        <w:rPr>
          <w:rFonts w:ascii="Times New Roman" w:eastAsia="MS Mincho" w:hAnsi="Times New Roman"/>
          <w:sz w:val="28"/>
          <w:szCs w:val="28"/>
          <w:lang w:val="en-GB" w:eastAsia="ja-JP"/>
        </w:rPr>
        <w:t>RT</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vertAlign w:val="superscript"/>
          <w:lang w:val="en-GB" w:eastAsia="ja-JP"/>
        </w:rPr>
        <w:t>nick</w:t>
      </w:r>
      <w:r w:rsidRPr="00107040">
        <w:rPr>
          <w:rFonts w:ascii="Times New Roman" w:eastAsia="MS Mincho" w:hAnsi="Times New Roman"/>
          <w:sz w:val="28"/>
          <w:szCs w:val="28"/>
          <w:lang w:val="ru-RU" w:eastAsia="ja-JP"/>
        </w:rPr>
        <w:t xml:space="preserve"> показал два монозарядных пика при [</w:t>
      </w:r>
      <w:r w:rsidRPr="00107040">
        <w:rPr>
          <w:rFonts w:ascii="Times New Roman" w:eastAsia="MS Mincho" w:hAnsi="Times New Roman"/>
          <w:sz w:val="28"/>
          <w:szCs w:val="28"/>
          <w:lang w:eastAsia="ja-JP"/>
        </w:rPr>
        <w:t>M</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H</w:t>
      </w:r>
      <w:r w:rsidRPr="00107040">
        <w:rPr>
          <w:rFonts w:ascii="Times New Roman" w:eastAsia="MS Mincho" w:hAnsi="Times New Roman"/>
          <w:sz w:val="28"/>
          <w:szCs w:val="28"/>
          <w:lang w:val="ru-RU" w:eastAsia="ja-JP"/>
        </w:rPr>
        <w:t>]‾  = 3647,9 Да и 4189,5 Да, соответствующих 5</w:t>
      </w:r>
      <w:r w:rsidRPr="00107040">
        <w:rPr>
          <w:rFonts w:ascii="Times New Roman" w:eastAsia="MS Mincho" w:hAnsi="Times New Roman"/>
          <w:sz w:val="28"/>
          <w:szCs w:val="28"/>
          <w:lang w:val="en-GB" w:eastAsia="ja-JP"/>
        </w:rPr>
        <w:sym w:font="Symbol" w:char="F0A2"/>
      </w:r>
      <w:r w:rsidRPr="00107040">
        <w:rPr>
          <w:rFonts w:ascii="Times New Roman" w:eastAsia="MS Mincho" w:hAnsi="Times New Roman"/>
          <w:sz w:val="28"/>
          <w:szCs w:val="28"/>
          <w:lang w:val="ru-RU" w:eastAsia="ja-JP"/>
        </w:rPr>
        <w:t xml:space="preserve">-фосфорилированным 10-мерам, содержащим один и два остатки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ru-RU" w:eastAsia="ja-JP"/>
        </w:rPr>
        <w:t>ДФ-рибозы, соответственно (расчетная масса, 3647 и 4187 Да) (рисунок 3</w:t>
      </w:r>
      <w:r w:rsidR="006137DB">
        <w:rPr>
          <w:rFonts w:ascii="Times New Roman" w:eastAsia="MS Mincho" w:hAnsi="Times New Roman"/>
          <w:sz w:val="28"/>
          <w:szCs w:val="28"/>
          <w:lang w:val="ru-RU" w:eastAsia="ja-JP"/>
        </w:rPr>
        <w:t>5</w:t>
      </w:r>
      <w:r w:rsidRPr="00107040">
        <w:rPr>
          <w:rFonts w:ascii="Times New Roman" w:eastAsia="MS Mincho" w:hAnsi="Times New Roman"/>
          <w:sz w:val="28"/>
          <w:szCs w:val="28"/>
          <w:lang w:val="en-GB" w:eastAsia="ja-JP"/>
        </w:rPr>
        <w:t>B</w:t>
      </w:r>
      <w:r w:rsidRPr="00107040">
        <w:rPr>
          <w:rFonts w:ascii="Times New Roman" w:eastAsia="MS Mincho" w:hAnsi="Times New Roman"/>
          <w:sz w:val="28"/>
          <w:szCs w:val="28"/>
          <w:lang w:val="ru-RU" w:eastAsia="ja-JP"/>
        </w:rPr>
        <w:t xml:space="preserve">). Эти результаты показывают, что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2 катализирует ковалентное присоединение остатков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ru-RU" w:eastAsia="ja-JP"/>
        </w:rPr>
        <w:t>ДФ-рибозы к 5'-фосфорилированному 10-мерному (</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10) олигонуклеотиду. В заключение эти данные хорошо согласуются с данными, полученными при анализе продуктов ПАР-ДНК на денатурирующем ПААГ (рисунки </w:t>
      </w:r>
      <w:r w:rsidR="006137DB">
        <w:rPr>
          <w:rFonts w:ascii="Times New Roman" w:eastAsia="MS Mincho" w:hAnsi="Times New Roman"/>
          <w:sz w:val="28"/>
          <w:szCs w:val="28"/>
          <w:lang w:val="ru-RU" w:eastAsia="ja-JP"/>
        </w:rPr>
        <w:t>31-33</w:t>
      </w:r>
      <w:r w:rsidRPr="00107040">
        <w:rPr>
          <w:rFonts w:ascii="Times New Roman" w:eastAsia="MS Mincho" w:hAnsi="Times New Roman"/>
          <w:sz w:val="28"/>
          <w:szCs w:val="28"/>
          <w:lang w:val="ru-RU" w:eastAsia="ja-JP"/>
        </w:rPr>
        <w:t xml:space="preserve">), и однозначно подтверждают образование ковалентных аддуктов ПАР-ДНК растительными </w:t>
      </w:r>
      <w:r w:rsidRPr="00107040">
        <w:rPr>
          <w:rFonts w:ascii="Times New Roman" w:eastAsia="MS Mincho" w:hAnsi="Times New Roman"/>
          <w:sz w:val="28"/>
          <w:szCs w:val="28"/>
          <w:lang w:val="en-GB" w:eastAsia="ja-JP"/>
        </w:rPr>
        <w:t>PARP</w:t>
      </w:r>
      <w:r w:rsidRPr="00107040">
        <w:rPr>
          <w:rFonts w:ascii="Times New Roman" w:eastAsia="MS Mincho" w:hAnsi="Times New Roman"/>
          <w:sz w:val="28"/>
          <w:szCs w:val="28"/>
          <w:lang w:val="ru-RU" w:eastAsia="ja-JP"/>
        </w:rPr>
        <w:t xml:space="preserve">. </w:t>
      </w:r>
    </w:p>
    <w:p w14:paraId="49C89CEF" w14:textId="77777777"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bookmarkStart w:id="82" w:name="_Hlk69206210"/>
      <w:r w:rsidRPr="00107040">
        <w:rPr>
          <w:rFonts w:ascii="Times New Roman" w:eastAsia="MS Mincho" w:hAnsi="Times New Roman"/>
          <w:sz w:val="28"/>
          <w:szCs w:val="28"/>
          <w:lang w:val="ru-RU" w:eastAsia="ja-JP"/>
        </w:rPr>
        <w:t xml:space="preserve">Таким образом, биохимический анализ структуры и состава аддуктов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генерируемых </w:t>
      </w:r>
      <w:r w:rsidRPr="00107040">
        <w:rPr>
          <w:rFonts w:ascii="Times New Roman" w:eastAsia="MS Mincho" w:hAnsi="Times New Roman"/>
          <w:sz w:val="28"/>
          <w:szCs w:val="28"/>
          <w:lang w:val="en-GB" w:eastAsia="ja-JP"/>
        </w:rPr>
        <w:t>PARP</w:t>
      </w:r>
      <w:r w:rsidRPr="00107040">
        <w:rPr>
          <w:rFonts w:ascii="Times New Roman" w:eastAsia="MS Mincho" w:hAnsi="Times New Roman"/>
          <w:sz w:val="28"/>
          <w:szCs w:val="28"/>
          <w:lang w:val="ru-RU" w:eastAsia="ja-JP"/>
        </w:rPr>
        <w:t xml:space="preserve"> растений, показал, что, как и их аналоги у млекопитающих,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 используют 5'-концевые фосфаты ДНК в качестве акцепторного остатка для ковалентного присоединения звена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-рибозы для синтеза </w:t>
      </w:r>
      <w:bookmarkEnd w:id="82"/>
      <w:r w:rsidRPr="00107040">
        <w:rPr>
          <w:rFonts w:ascii="Times New Roman" w:eastAsia="MS Mincho" w:hAnsi="Times New Roman"/>
          <w:sz w:val="28"/>
          <w:szCs w:val="28"/>
          <w:lang w:val="ru-RU" w:eastAsia="ja-JP"/>
        </w:rPr>
        <w:t xml:space="preserve">поли-АДФ-рибозы. Мы также подтвердили молекулярный механизм растительного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lang w:val="ru-RU" w:eastAsia="ja-JP"/>
        </w:rPr>
        <w:t xml:space="preserve">, катализирующего АДФ-рибозилирование ДНК, путем идентификации продуктов деградации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с помощью </w:t>
      </w:r>
      <w:r w:rsidRPr="00107040">
        <w:rPr>
          <w:rFonts w:ascii="Times New Roman" w:eastAsia="MS Mincho" w:hAnsi="Times New Roman"/>
          <w:sz w:val="28"/>
          <w:szCs w:val="28"/>
          <w:lang w:val="en-GB" w:eastAsia="ja-JP"/>
        </w:rPr>
        <w:t>Nudix</w:t>
      </w:r>
      <w:r w:rsidRPr="00107040">
        <w:rPr>
          <w:rFonts w:ascii="Times New Roman" w:eastAsia="MS Mincho" w:hAnsi="Times New Roman"/>
          <w:sz w:val="28"/>
          <w:szCs w:val="28"/>
          <w:lang w:val="kk-KZ" w:eastAsia="ja-JP"/>
        </w:rPr>
        <w:t>,</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en-GB" w:eastAsia="ja-JP"/>
        </w:rPr>
        <w:t>NUDT</w:t>
      </w:r>
      <w:r w:rsidRPr="00107040">
        <w:rPr>
          <w:rFonts w:ascii="Times New Roman" w:eastAsia="MS Mincho" w:hAnsi="Times New Roman"/>
          <w:sz w:val="28"/>
          <w:szCs w:val="28"/>
          <w:lang w:val="ru-RU" w:eastAsia="ja-JP"/>
        </w:rPr>
        <w:t xml:space="preserve">16 гидролазы человека. </w:t>
      </w:r>
      <w:r w:rsidRPr="00107040">
        <w:rPr>
          <w:rFonts w:ascii="Times New Roman" w:eastAsia="MS Mincho" w:hAnsi="Times New Roman"/>
          <w:sz w:val="28"/>
          <w:szCs w:val="28"/>
          <w:lang w:val="en-GB" w:eastAsia="ja-JP"/>
        </w:rPr>
        <w:t>NUDT</w:t>
      </w:r>
      <w:r w:rsidRPr="00107040">
        <w:rPr>
          <w:rFonts w:ascii="Times New Roman" w:eastAsia="MS Mincho" w:hAnsi="Times New Roman"/>
          <w:sz w:val="28"/>
          <w:szCs w:val="28"/>
          <w:lang w:val="ru-RU" w:eastAsia="ja-JP"/>
        </w:rPr>
        <w:t xml:space="preserve">16 расщепляет полимер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присоединенный к меченному [</w:t>
      </w:r>
      <w:r w:rsidRPr="00107040">
        <w:rPr>
          <w:rFonts w:ascii="Times New Roman" w:eastAsia="MS Mincho" w:hAnsi="Times New Roman"/>
          <w:sz w:val="28"/>
          <w:szCs w:val="28"/>
          <w:vertAlign w:val="superscript"/>
          <w:lang w:val="ru-RU" w:eastAsia="ja-JP"/>
        </w:rPr>
        <w:t>32</w:t>
      </w:r>
      <w:r w:rsidRPr="00107040">
        <w:rPr>
          <w:rFonts w:ascii="Times New Roman" w:eastAsia="MS Mincho" w:hAnsi="Times New Roman"/>
          <w:sz w:val="28"/>
          <w:szCs w:val="28"/>
          <w:lang w:val="en-GB" w:eastAsia="ja-JP"/>
        </w:rPr>
        <w:t>P</w:t>
      </w:r>
      <w:r w:rsidRPr="00107040">
        <w:rPr>
          <w:rFonts w:ascii="Times New Roman" w:eastAsia="MS Mincho" w:hAnsi="Times New Roman"/>
          <w:sz w:val="28"/>
          <w:szCs w:val="28"/>
          <w:lang w:val="ru-RU" w:eastAsia="ja-JP"/>
        </w:rPr>
        <w:t xml:space="preserve">] олигонуклеотидному дуплексу, и генерирует рибозилированный фрагмент ДНК, в котором концевой фосфатный остаток защищен от дефосфорилирования посредством </w:t>
      </w:r>
      <w:r w:rsidRPr="00107040">
        <w:rPr>
          <w:rFonts w:ascii="Times New Roman" w:eastAsia="MS Mincho" w:hAnsi="Times New Roman"/>
          <w:sz w:val="28"/>
          <w:szCs w:val="28"/>
          <w:lang w:val="en-GB" w:eastAsia="ja-JP"/>
        </w:rPr>
        <w:t>CIP</w:t>
      </w:r>
      <w:r w:rsidRPr="00107040">
        <w:rPr>
          <w:rFonts w:ascii="Times New Roman" w:eastAsia="MS Mincho" w:hAnsi="Times New Roman"/>
          <w:sz w:val="28"/>
          <w:szCs w:val="28"/>
          <w:lang w:val="ru-RU" w:eastAsia="ja-JP"/>
        </w:rPr>
        <w:t xml:space="preserve">. Эти результаты показывают, что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 переносят звено АДФ-рибозы к концевому фосфатному остатку ДНК на концах разрыва цепи для образования фосфодиэфирной связи между 5'</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xml:space="preserve"> и </w:t>
      </w:r>
      <w:r w:rsidRPr="00107040">
        <w:rPr>
          <w:rFonts w:ascii="Times New Roman" w:eastAsia="MS Mincho" w:hAnsi="Times New Roman"/>
          <w:sz w:val="28"/>
          <w:szCs w:val="28"/>
          <w:lang w:eastAsia="ja-JP"/>
        </w:rPr>
        <w:t>C</w:t>
      </w:r>
      <w:r w:rsidRPr="00107040">
        <w:rPr>
          <w:rFonts w:ascii="Times New Roman" w:eastAsia="MS Mincho" w:hAnsi="Times New Roman"/>
          <w:sz w:val="28"/>
          <w:szCs w:val="28"/>
          <w:lang w:val="ru-RU" w:eastAsia="ja-JP"/>
        </w:rPr>
        <w:t>1' ДНК АДФ-рибозы. Предполагаемая молекулярная структура аддукта АДФ-рибоза-</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 xml:space="preserve">-ДНК была дополнительно подтверждена с помощью </w:t>
      </w:r>
      <w:r w:rsidRPr="00107040">
        <w:rPr>
          <w:rFonts w:ascii="Times New Roman" w:eastAsia="MS Mincho" w:hAnsi="Times New Roman"/>
          <w:sz w:val="28"/>
          <w:szCs w:val="28"/>
          <w:lang w:eastAsia="ja-JP"/>
        </w:rPr>
        <w:t>MALDI</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TOF</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t>MS</w:t>
      </w:r>
      <w:r w:rsidRPr="00107040">
        <w:rPr>
          <w:rFonts w:ascii="Times New Roman" w:eastAsia="MS Mincho" w:hAnsi="Times New Roman"/>
          <w:sz w:val="28"/>
          <w:szCs w:val="28"/>
          <w:lang w:val="ru-RU" w:eastAsia="ja-JP"/>
        </w:rPr>
        <w:t xml:space="preserve">-анализа </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ДФ-рибозилированных фрагментов ДНК. Масс-спектры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зависимого </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ДФ-рибозилированного дуплексного олигонуклеотида </w:t>
      </w:r>
      <w:r w:rsidRPr="00107040">
        <w:rPr>
          <w:rFonts w:ascii="Times New Roman" w:eastAsia="MS Mincho" w:hAnsi="Times New Roman"/>
          <w:sz w:val="28"/>
          <w:szCs w:val="28"/>
          <w:lang w:eastAsia="ja-JP"/>
        </w:rPr>
        <w:t>p</w:t>
      </w:r>
      <w:r w:rsidRPr="00107040">
        <w:rPr>
          <w:rFonts w:ascii="Times New Roman" w:eastAsia="MS Mincho" w:hAnsi="Times New Roman"/>
          <w:sz w:val="28"/>
          <w:szCs w:val="28"/>
          <w:lang w:val="ru-RU" w:eastAsia="ja-JP"/>
        </w:rPr>
        <w:t>10•</w:t>
      </w:r>
      <w:r w:rsidRPr="00107040">
        <w:rPr>
          <w:rFonts w:ascii="Times New Roman" w:eastAsia="MS Mincho" w:hAnsi="Times New Roman"/>
          <w:sz w:val="28"/>
          <w:szCs w:val="28"/>
          <w:lang w:eastAsia="ja-JP"/>
        </w:rPr>
        <w:t>RT</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vertAlign w:val="superscript"/>
          <w:lang w:eastAsia="ja-JP"/>
        </w:rPr>
        <w:t>nick</w:t>
      </w:r>
      <w:r w:rsidRPr="00107040">
        <w:rPr>
          <w:rFonts w:ascii="Times New Roman" w:eastAsia="MS Mincho" w:hAnsi="Times New Roman"/>
          <w:sz w:val="28"/>
          <w:szCs w:val="28"/>
          <w:lang w:val="ru-RU" w:eastAsia="ja-JP"/>
        </w:rPr>
        <w:t xml:space="preserve"> показали присутствие двух новых пиков, соответствующих 5'-фосфорилированным 10-мерам, содержащим один и два остатка </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-рибозы. Следовательно, данные масс-спектрометрии и биохимический анализ демонстрируют, что структура ковалентных аддуктов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генерируемых растительными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 такая же, как и структура, синтезируемая ферментами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 млекопитающих.</w:t>
      </w:r>
    </w:p>
    <w:p w14:paraId="3039681F" w14:textId="680B41F6" w:rsidR="00AA69DA" w:rsidRPr="00107040" w:rsidRDefault="00AA69DA" w:rsidP="000C16BB">
      <w:pPr>
        <w:spacing w:after="0" w:line="240" w:lineRule="auto"/>
        <w:ind w:firstLine="567"/>
        <w:jc w:val="both"/>
        <w:rPr>
          <w:rFonts w:ascii="Times New Roman" w:eastAsia="MS Mincho" w:hAnsi="Times New Roman"/>
          <w:bCs/>
          <w:sz w:val="28"/>
          <w:szCs w:val="28"/>
          <w:lang w:val="ru-RU" w:eastAsia="ja-JP"/>
        </w:rPr>
      </w:pPr>
    </w:p>
    <w:p w14:paraId="12EE5EB3" w14:textId="18092506" w:rsidR="00E7297B" w:rsidRPr="00107040" w:rsidRDefault="00E7297B" w:rsidP="000C16BB">
      <w:pPr>
        <w:spacing w:after="0" w:line="240" w:lineRule="auto"/>
        <w:ind w:firstLine="567"/>
        <w:jc w:val="both"/>
        <w:rPr>
          <w:rFonts w:ascii="Times New Roman" w:eastAsia="MS Mincho" w:hAnsi="Times New Roman"/>
          <w:bCs/>
          <w:sz w:val="28"/>
          <w:szCs w:val="28"/>
          <w:lang w:val="ru-RU" w:eastAsia="ja-JP"/>
        </w:rPr>
      </w:pPr>
    </w:p>
    <w:p w14:paraId="31DE28A1" w14:textId="77777777" w:rsidR="00E7297B" w:rsidRPr="00107040" w:rsidRDefault="00E7297B" w:rsidP="000C16BB">
      <w:pPr>
        <w:spacing w:after="0" w:line="240" w:lineRule="auto"/>
        <w:ind w:firstLine="567"/>
        <w:jc w:val="both"/>
        <w:rPr>
          <w:rFonts w:ascii="Times New Roman" w:eastAsia="MS Mincho" w:hAnsi="Times New Roman"/>
          <w:bCs/>
          <w:sz w:val="28"/>
          <w:szCs w:val="28"/>
          <w:lang w:val="ru-RU" w:eastAsia="ja-JP"/>
        </w:rPr>
      </w:pPr>
    </w:p>
    <w:p w14:paraId="255C4B4C" w14:textId="4B99F32D" w:rsidR="00AA69DA" w:rsidRPr="00107040" w:rsidRDefault="00AA69DA" w:rsidP="000C16BB">
      <w:pPr>
        <w:spacing w:after="0" w:line="240" w:lineRule="auto"/>
        <w:ind w:firstLine="567"/>
        <w:jc w:val="both"/>
        <w:rPr>
          <w:rFonts w:ascii="Times New Roman" w:eastAsia="MS Mincho" w:hAnsi="Times New Roman"/>
          <w:b/>
          <w:bCs/>
          <w:sz w:val="28"/>
          <w:szCs w:val="28"/>
          <w:lang w:val="ru-RU" w:eastAsia="ja-JP"/>
        </w:rPr>
      </w:pPr>
      <w:r w:rsidRPr="00107040">
        <w:rPr>
          <w:rFonts w:ascii="Times New Roman" w:eastAsia="MS Mincho" w:hAnsi="Times New Roman"/>
          <w:b/>
          <w:bCs/>
          <w:sz w:val="28"/>
          <w:szCs w:val="28"/>
          <w:lang w:val="ru-RU" w:eastAsia="ja-JP"/>
        </w:rPr>
        <w:lastRenderedPageBreak/>
        <w:t>3.6</w:t>
      </w:r>
      <w:r w:rsidRPr="00107040">
        <w:rPr>
          <w:rFonts w:ascii="Times New Roman" w:eastAsia="MS Mincho" w:hAnsi="Times New Roman"/>
          <w:b/>
          <w:bCs/>
          <w:i/>
          <w:sz w:val="28"/>
          <w:szCs w:val="28"/>
          <w:lang w:val="ru-RU" w:eastAsia="ja-JP"/>
        </w:rPr>
        <w:t xml:space="preserve"> </w:t>
      </w:r>
      <w:r w:rsidR="0059193B">
        <w:rPr>
          <w:rFonts w:ascii="Times New Roman" w:eastAsia="MS Mincho" w:hAnsi="Times New Roman"/>
          <w:b/>
          <w:bCs/>
          <w:sz w:val="28"/>
          <w:szCs w:val="28"/>
          <w:lang w:val="ru-RU" w:eastAsia="ja-JP"/>
        </w:rPr>
        <w:t>А</w:t>
      </w:r>
      <w:r w:rsidRPr="00107040">
        <w:rPr>
          <w:rFonts w:ascii="Times New Roman" w:eastAsia="MS Mincho" w:hAnsi="Times New Roman"/>
          <w:b/>
          <w:bCs/>
          <w:sz w:val="28"/>
          <w:szCs w:val="28"/>
          <w:lang w:val="ru-RU" w:eastAsia="ja-JP"/>
        </w:rPr>
        <w:t>ддукт</w:t>
      </w:r>
      <w:r w:rsidR="0059193B">
        <w:rPr>
          <w:rFonts w:ascii="Times New Roman" w:eastAsia="MS Mincho" w:hAnsi="Times New Roman"/>
          <w:b/>
          <w:bCs/>
          <w:sz w:val="28"/>
          <w:szCs w:val="28"/>
          <w:lang w:val="ru-RU" w:eastAsia="ja-JP"/>
        </w:rPr>
        <w:t>ы</w:t>
      </w:r>
      <w:r w:rsidRPr="00107040">
        <w:rPr>
          <w:rFonts w:ascii="Times New Roman" w:eastAsia="MS Mincho" w:hAnsi="Times New Roman"/>
          <w:b/>
          <w:bCs/>
          <w:sz w:val="28"/>
          <w:szCs w:val="28"/>
          <w:lang w:val="ru-RU" w:eastAsia="ja-JP"/>
        </w:rPr>
        <w:t xml:space="preserve"> ПАР-ДНК в геномной ДНК растений после генотоксической обработки</w:t>
      </w:r>
    </w:p>
    <w:p w14:paraId="60C17AE0" w14:textId="623F8710"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Для измерения </w:t>
      </w:r>
      <w:r w:rsidRPr="00107040">
        <w:rPr>
          <w:rFonts w:ascii="Times New Roman" w:eastAsia="MS Mincho" w:hAnsi="Times New Roman"/>
          <w:sz w:val="28"/>
          <w:szCs w:val="28"/>
          <w:lang w:eastAsia="ja-JP"/>
        </w:rPr>
        <w:t>A</w:t>
      </w:r>
      <w:r w:rsidRPr="00107040">
        <w:rPr>
          <w:rFonts w:ascii="Times New Roman" w:eastAsia="MS Mincho" w:hAnsi="Times New Roman"/>
          <w:sz w:val="28"/>
          <w:szCs w:val="28"/>
          <w:lang w:val="ru-RU" w:eastAsia="ja-JP"/>
        </w:rPr>
        <w:t xml:space="preserve">ДФ-рибозилирования </w:t>
      </w:r>
      <w:r w:rsidRPr="00107040">
        <w:rPr>
          <w:rFonts w:ascii="Times New Roman" w:eastAsia="MS Mincho" w:hAnsi="Times New Roman"/>
          <w:i/>
          <w:sz w:val="28"/>
          <w:szCs w:val="28"/>
          <w:lang w:eastAsia="ja-JP"/>
        </w:rPr>
        <w:t>in</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eastAsia="ja-JP"/>
        </w:rPr>
        <w:t>vivo</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sz w:val="28"/>
          <w:szCs w:val="28"/>
          <w:lang w:val="ru-RU" w:eastAsia="ja-JP"/>
        </w:rPr>
        <w:t xml:space="preserve">внеклеточные экстракты и клеточная ДНК из </w:t>
      </w:r>
      <w:r w:rsidRPr="00107040">
        <w:rPr>
          <w:rFonts w:ascii="Times New Roman" w:eastAsia="MS Mincho" w:hAnsi="Times New Roman"/>
          <w:i/>
          <w:sz w:val="28"/>
          <w:szCs w:val="28"/>
          <w:lang w:eastAsia="ja-JP"/>
        </w:rPr>
        <w:t>Arabidopsis</w:t>
      </w:r>
      <w:r w:rsidRPr="00107040">
        <w:rPr>
          <w:rFonts w:ascii="Times New Roman" w:eastAsia="MS Mincho" w:hAnsi="Times New Roman"/>
          <w:sz w:val="28"/>
          <w:szCs w:val="28"/>
          <w:lang w:val="ru-RU" w:eastAsia="ja-JP"/>
        </w:rPr>
        <w:t xml:space="preserve"> были проанализированы иммуноблоттингом с использованием поликлональных кроличьих антител против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и коммерческих моноклональных антител против поли-АДФ-рибозы.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 арабидопсиса активировали воздействием на растения блеомицина (10 мкг/мл</w:t>
      </w:r>
      <w:r w:rsidRPr="00107040">
        <w:rPr>
          <w:rFonts w:ascii="Times New Roman" w:eastAsia="MS Mincho" w:hAnsi="Times New Roman"/>
          <w:sz w:val="28"/>
          <w:szCs w:val="28"/>
          <w:vertAlign w:val="superscript"/>
          <w:lang w:val="ru-RU" w:eastAsia="ja-JP"/>
        </w:rPr>
        <w:t>-1</w:t>
      </w:r>
      <w:r w:rsidRPr="00107040">
        <w:rPr>
          <w:rFonts w:ascii="Times New Roman" w:eastAsia="MS Mincho" w:hAnsi="Times New Roman"/>
          <w:sz w:val="28"/>
          <w:szCs w:val="28"/>
          <w:lang w:val="ru-RU" w:eastAsia="ja-JP"/>
        </w:rPr>
        <w:t xml:space="preserve">). Для измерения АДФ-рибозилирования белка растворимые бесклеточные экстракты из </w:t>
      </w:r>
      <w:r w:rsidRPr="00107040">
        <w:rPr>
          <w:rFonts w:ascii="Times New Roman" w:eastAsia="MS Mincho" w:hAnsi="Times New Roman"/>
          <w:i/>
          <w:sz w:val="28"/>
          <w:szCs w:val="28"/>
          <w:lang w:eastAsia="ja-JP"/>
        </w:rPr>
        <w:t>A</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eastAsia="ja-JP"/>
        </w:rPr>
        <w:t>thaliana</w:t>
      </w:r>
      <w:r w:rsidRPr="00107040">
        <w:rPr>
          <w:rFonts w:ascii="Times New Roman" w:eastAsia="MS Mincho" w:hAnsi="Times New Roman"/>
          <w:sz w:val="28"/>
          <w:szCs w:val="28"/>
          <w:lang w:val="ru-RU" w:eastAsia="ja-JP"/>
        </w:rPr>
        <w:t xml:space="preserve"> дикого типа (</w:t>
      </w:r>
      <w:r w:rsidRPr="00107040">
        <w:rPr>
          <w:rFonts w:ascii="Times New Roman" w:eastAsia="MS Mincho" w:hAnsi="Times New Roman"/>
          <w:sz w:val="28"/>
          <w:szCs w:val="28"/>
          <w:lang w:eastAsia="ja-JP"/>
        </w:rPr>
        <w:t>WT</w:t>
      </w:r>
      <w:r w:rsidRPr="00107040">
        <w:rPr>
          <w:rFonts w:ascii="Times New Roman" w:eastAsia="MS Mincho" w:hAnsi="Times New Roman"/>
          <w:sz w:val="28"/>
          <w:szCs w:val="28"/>
          <w:lang w:val="ru-RU" w:eastAsia="ja-JP"/>
        </w:rPr>
        <w:t xml:space="preserve">) и мутанта </w:t>
      </w:r>
      <w:r w:rsidRPr="00107040">
        <w:rPr>
          <w:rFonts w:ascii="Times New Roman" w:eastAsia="MS Mincho" w:hAnsi="Times New Roman"/>
          <w:sz w:val="28"/>
          <w:szCs w:val="28"/>
          <w:lang w:eastAsia="ja-JP"/>
        </w:rPr>
        <w:t>arp</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eastAsia="ja-JP"/>
        </w:rPr>
        <w:t>AP</w:t>
      </w:r>
      <w:r w:rsidRPr="00107040">
        <w:rPr>
          <w:rFonts w:ascii="Times New Roman" w:eastAsia="MS Mincho" w:hAnsi="Times New Roman"/>
          <w:sz w:val="28"/>
          <w:szCs w:val="28"/>
          <w:lang w:val="ru-RU" w:eastAsia="ja-JP"/>
        </w:rPr>
        <w:t xml:space="preserve">-эндонуклеаза-дефицитный) разделяли на геле </w:t>
      </w:r>
      <w:r w:rsidRPr="00107040">
        <w:rPr>
          <w:rFonts w:ascii="Times New Roman" w:eastAsia="MS Mincho" w:hAnsi="Times New Roman"/>
          <w:sz w:val="28"/>
          <w:szCs w:val="28"/>
          <w:lang w:val="en-US" w:eastAsia="ja-JP"/>
        </w:rPr>
        <w:t>SDS</w:t>
      </w:r>
      <w:r w:rsidRPr="00107040">
        <w:rPr>
          <w:rFonts w:ascii="Times New Roman" w:eastAsia="MS Mincho" w:hAnsi="Times New Roman"/>
          <w:sz w:val="28"/>
          <w:szCs w:val="28"/>
          <w:lang w:val="ru-RU" w:eastAsia="ja-JP"/>
        </w:rPr>
        <w:t xml:space="preserve"> ПААГ, а затем проводили вестерн-блоттинг с использованием антител против поли-АДФ-рибозы и </w:t>
      </w:r>
      <w:r w:rsidRPr="00107040">
        <w:rPr>
          <w:rFonts w:ascii="Times New Roman" w:eastAsia="MS Mincho" w:hAnsi="Times New Roman"/>
          <w:sz w:val="28"/>
          <w:szCs w:val="28"/>
          <w:lang w:eastAsia="ja-JP"/>
        </w:rPr>
        <w:t>AtPARP</w:t>
      </w:r>
      <w:r w:rsidRPr="00107040">
        <w:rPr>
          <w:rFonts w:ascii="Times New Roman" w:eastAsia="MS Mincho" w:hAnsi="Times New Roman"/>
          <w:sz w:val="28"/>
          <w:szCs w:val="28"/>
          <w:lang w:val="ru-RU" w:eastAsia="ja-JP"/>
        </w:rPr>
        <w:t xml:space="preserve">2 (рисунок </w:t>
      </w:r>
      <w:r w:rsidRPr="00107040">
        <w:rPr>
          <w:rFonts w:ascii="Times New Roman" w:eastAsia="MS Mincho" w:hAnsi="Times New Roman"/>
          <w:sz w:val="28"/>
          <w:szCs w:val="28"/>
          <w:lang w:val="kk-KZ" w:eastAsia="ja-JP"/>
        </w:rPr>
        <w:t>3</w:t>
      </w:r>
      <w:r w:rsidR="006137DB">
        <w:rPr>
          <w:rFonts w:ascii="Times New Roman" w:eastAsia="MS Mincho" w:hAnsi="Times New Roman"/>
          <w:sz w:val="28"/>
          <w:szCs w:val="28"/>
          <w:lang w:val="kk-KZ" w:eastAsia="ja-JP"/>
        </w:rPr>
        <w:t>6</w:t>
      </w:r>
      <w:r w:rsidRPr="00107040">
        <w:rPr>
          <w:rFonts w:ascii="Times New Roman" w:eastAsia="MS Mincho" w:hAnsi="Times New Roman"/>
          <w:sz w:val="28"/>
          <w:szCs w:val="28"/>
          <w:lang w:val="ru-RU" w:eastAsia="ja-JP"/>
        </w:rPr>
        <w:t xml:space="preserve">). Антитело против поли-АДФ-рибозы обнаружило слабую активность ПАРилирования у необработанных растений дикого типа, которая сильно увеличивалась после воздействия на растения блеомицина (дорожки 1 и 2, соответственно), что позволяет предположить, что разрывы цепи ДНК, индуцированные блеомицином, активируют </w:t>
      </w:r>
      <w:r w:rsidRPr="00107040">
        <w:rPr>
          <w:rFonts w:ascii="Times New Roman" w:eastAsia="MS Mincho" w:hAnsi="Times New Roman"/>
          <w:sz w:val="28"/>
          <w:szCs w:val="28"/>
          <w:lang w:eastAsia="ja-JP"/>
        </w:rPr>
        <w:t>PARP</w:t>
      </w:r>
      <w:r w:rsidRPr="00107040">
        <w:rPr>
          <w:rFonts w:ascii="Times New Roman" w:eastAsia="MS Mincho" w:hAnsi="Times New Roman"/>
          <w:sz w:val="28"/>
          <w:szCs w:val="28"/>
          <w:lang w:val="ru-RU" w:eastAsia="ja-JP"/>
        </w:rPr>
        <w:t xml:space="preserve"> катализированное АДФ-рибозилирование. Интересно, что уровень ПАРилирования в необработанных мутантных растениях </w:t>
      </w:r>
      <w:r w:rsidRPr="00107040">
        <w:rPr>
          <w:rFonts w:ascii="Times New Roman" w:eastAsia="MS Mincho" w:hAnsi="Times New Roman"/>
          <w:sz w:val="28"/>
          <w:szCs w:val="28"/>
          <w:lang w:eastAsia="ja-JP"/>
        </w:rPr>
        <w:t>arp</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(дорожка 3) был значительно выше по сравнению с диким типом (дорожка 1), что указывает на накопление нерепарированных разрывов цепей ДНК в отсутствие основной </w:t>
      </w:r>
      <w:r w:rsidRPr="00107040">
        <w:rPr>
          <w:rFonts w:ascii="Times New Roman" w:eastAsia="MS Mincho" w:hAnsi="Times New Roman"/>
          <w:sz w:val="28"/>
          <w:szCs w:val="28"/>
          <w:lang w:eastAsia="ja-JP"/>
        </w:rPr>
        <w:t>AP</w:t>
      </w:r>
      <w:r w:rsidRPr="00107040">
        <w:rPr>
          <w:rFonts w:ascii="Times New Roman" w:eastAsia="MS Mincho" w:hAnsi="Times New Roman"/>
          <w:sz w:val="28"/>
          <w:szCs w:val="28"/>
          <w:lang w:val="ru-RU" w:eastAsia="ja-JP"/>
        </w:rPr>
        <w:t xml:space="preserve">-эндонуклеазы растения и активации сигнального пути повреждения ДНК. Как и ожидалось, воздействие блеомицина на мутантные растения </w:t>
      </w:r>
      <w:r w:rsidRPr="00107040">
        <w:rPr>
          <w:rFonts w:ascii="Times New Roman" w:eastAsia="MS Mincho" w:hAnsi="Times New Roman"/>
          <w:sz w:val="28"/>
          <w:szCs w:val="28"/>
          <w:lang w:val="en-US" w:eastAsia="ja-JP"/>
        </w:rPr>
        <w:t>arp</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привело к значительно более высокому уровню ПАРилирования (дорожка 4) по сравнению с контрольными необработанными </w:t>
      </w:r>
      <w:r w:rsidRPr="00107040">
        <w:rPr>
          <w:rFonts w:ascii="Times New Roman" w:eastAsia="MS Mincho" w:hAnsi="Times New Roman"/>
          <w:sz w:val="28"/>
          <w:szCs w:val="28"/>
          <w:lang w:val="en-US" w:eastAsia="ja-JP"/>
        </w:rPr>
        <w:t>arp</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растениями (дорожка 3) и даже обработанными растениями </w:t>
      </w:r>
      <w:r w:rsidRPr="00107040">
        <w:rPr>
          <w:rFonts w:ascii="Times New Roman" w:eastAsia="MS Mincho" w:hAnsi="Times New Roman"/>
          <w:sz w:val="28"/>
          <w:szCs w:val="28"/>
          <w:lang w:val="kk-KZ" w:eastAsia="ja-JP"/>
        </w:rPr>
        <w:t>дикого типа</w:t>
      </w:r>
      <w:r w:rsidRPr="00107040">
        <w:rPr>
          <w:rFonts w:ascii="Times New Roman" w:eastAsia="MS Mincho" w:hAnsi="Times New Roman"/>
          <w:sz w:val="28"/>
          <w:szCs w:val="28"/>
          <w:lang w:val="ru-RU" w:eastAsia="ja-JP"/>
        </w:rPr>
        <w:t xml:space="preserve"> (дорожка 2) предполагая, что </w:t>
      </w:r>
      <w:r w:rsidRPr="00107040">
        <w:rPr>
          <w:rFonts w:ascii="Times New Roman" w:eastAsia="MS Mincho" w:hAnsi="Times New Roman"/>
          <w:sz w:val="28"/>
          <w:szCs w:val="28"/>
          <w:lang w:val="en-US" w:eastAsia="ja-JP"/>
        </w:rPr>
        <w:t>ARP</w:t>
      </w:r>
      <w:r w:rsidRPr="00107040">
        <w:rPr>
          <w:rFonts w:ascii="Times New Roman" w:eastAsia="MS Mincho" w:hAnsi="Times New Roman"/>
          <w:sz w:val="28"/>
          <w:szCs w:val="28"/>
          <w:lang w:val="ru-RU" w:eastAsia="ja-JP"/>
        </w:rPr>
        <w:t xml:space="preserve"> участвует в репарации разрывов цепи ДНК, вызванных блеомицином. </w:t>
      </w:r>
    </w:p>
    <w:p w14:paraId="7993BC29" w14:textId="412AAF09" w:rsidR="00123F73" w:rsidRPr="00107040" w:rsidRDefault="00123F73" w:rsidP="000C16BB">
      <w:pPr>
        <w:spacing w:after="0" w:line="240" w:lineRule="auto"/>
        <w:ind w:firstLine="567"/>
        <w:jc w:val="center"/>
        <w:rPr>
          <w:rFonts w:ascii="Times New Roman" w:eastAsia="MS Mincho" w:hAnsi="Times New Roman"/>
          <w:sz w:val="28"/>
          <w:szCs w:val="28"/>
          <w:lang w:val="ru-RU" w:eastAsia="ja-JP"/>
        </w:rPr>
      </w:pPr>
    </w:p>
    <w:p w14:paraId="1D89D240" w14:textId="1408760A" w:rsidR="00D10300" w:rsidRPr="00107040" w:rsidRDefault="00D10300"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noProof/>
          <w:sz w:val="28"/>
          <w:szCs w:val="28"/>
          <w:lang w:val="ru-RU" w:eastAsia="ru-RU"/>
        </w:rPr>
        <w:drawing>
          <wp:inline distT="0" distB="0" distL="0" distR="0" wp14:anchorId="3C02BAFF" wp14:editId="379CC398">
            <wp:extent cx="3067050" cy="2190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67050" cy="2190750"/>
                    </a:xfrm>
                    <a:prstGeom prst="rect">
                      <a:avLst/>
                    </a:prstGeom>
                    <a:noFill/>
                    <a:ln>
                      <a:noFill/>
                    </a:ln>
                  </pic:spPr>
                </pic:pic>
              </a:graphicData>
            </a:graphic>
          </wp:inline>
        </w:drawing>
      </w:r>
    </w:p>
    <w:p w14:paraId="61B6C725" w14:textId="77777777" w:rsidR="00D10300" w:rsidRPr="00107040" w:rsidRDefault="00D10300" w:rsidP="000C16BB">
      <w:pPr>
        <w:spacing w:after="0" w:line="240" w:lineRule="auto"/>
        <w:ind w:firstLine="567"/>
        <w:jc w:val="center"/>
        <w:rPr>
          <w:rFonts w:ascii="Times New Roman" w:eastAsia="MS Mincho" w:hAnsi="Times New Roman"/>
          <w:sz w:val="28"/>
          <w:szCs w:val="28"/>
          <w:lang w:val="ru-RU" w:eastAsia="ja-JP"/>
        </w:rPr>
      </w:pPr>
    </w:p>
    <w:p w14:paraId="33A67A77" w14:textId="77777777" w:rsidR="00E57C3D" w:rsidRPr="00107040" w:rsidRDefault="00E57C3D"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Стрелки указывают на </w:t>
      </w:r>
      <w:r w:rsidRPr="00107040">
        <w:rPr>
          <w:rFonts w:ascii="Times New Roman" w:eastAsia="MS Mincho" w:hAnsi="Times New Roman"/>
          <w:sz w:val="28"/>
          <w:szCs w:val="28"/>
          <w:lang w:val="kk-KZ" w:eastAsia="ja-JP"/>
        </w:rPr>
        <w:t>ПАРилированные</w:t>
      </w:r>
      <w:r w:rsidRPr="00107040">
        <w:rPr>
          <w:rFonts w:ascii="Times New Roman" w:eastAsia="MS Mincho" w:hAnsi="Times New Roman"/>
          <w:sz w:val="28"/>
          <w:szCs w:val="28"/>
          <w:lang w:val="ru-RU" w:eastAsia="ja-JP"/>
        </w:rPr>
        <w:t xml:space="preserve"> белки и на белок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w:t>
      </w:r>
    </w:p>
    <w:p w14:paraId="14B4ED97" w14:textId="77777777" w:rsidR="00E57C3D" w:rsidRPr="00107040" w:rsidRDefault="00E57C3D" w:rsidP="000C16BB">
      <w:pPr>
        <w:spacing w:after="0" w:line="240" w:lineRule="auto"/>
        <w:ind w:firstLine="567"/>
        <w:jc w:val="center"/>
        <w:rPr>
          <w:rFonts w:ascii="Times New Roman" w:eastAsia="MS Mincho" w:hAnsi="Times New Roman"/>
          <w:sz w:val="28"/>
          <w:szCs w:val="28"/>
          <w:lang w:val="ru-RU" w:eastAsia="ja-JP"/>
        </w:rPr>
      </w:pPr>
    </w:p>
    <w:p w14:paraId="7C0B82D5" w14:textId="1C4BA21C" w:rsidR="00903387" w:rsidRPr="00107040" w:rsidRDefault="00AA69DA"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Рисунок </w:t>
      </w:r>
      <w:r w:rsidRPr="00107040">
        <w:rPr>
          <w:rFonts w:ascii="Times New Roman" w:eastAsia="MS Mincho" w:hAnsi="Times New Roman"/>
          <w:sz w:val="28"/>
          <w:szCs w:val="28"/>
          <w:lang w:val="kk-KZ" w:eastAsia="ja-JP"/>
        </w:rPr>
        <w:t>3</w:t>
      </w:r>
      <w:r w:rsidR="006137DB">
        <w:rPr>
          <w:rFonts w:ascii="Times New Roman" w:eastAsia="MS Mincho" w:hAnsi="Times New Roman"/>
          <w:sz w:val="28"/>
          <w:szCs w:val="28"/>
          <w:lang w:val="kk-KZ" w:eastAsia="ja-JP"/>
        </w:rPr>
        <w:t>6</w:t>
      </w:r>
      <w:r w:rsidRPr="00107040">
        <w:rPr>
          <w:rFonts w:ascii="Times New Roman" w:eastAsia="MS Mincho" w:hAnsi="Times New Roman"/>
          <w:sz w:val="28"/>
          <w:szCs w:val="28"/>
          <w:lang w:val="ru-RU" w:eastAsia="ja-JP"/>
        </w:rPr>
        <w:t xml:space="preserve"> – Вестерн-блот-анализ АДФ-рибозилирования белка в экстрактах растений дикого типа и мутантных растений </w:t>
      </w:r>
    </w:p>
    <w:p w14:paraId="608859D6" w14:textId="77777777" w:rsidR="00E7297B" w:rsidRPr="00107040" w:rsidRDefault="00E7297B" w:rsidP="000C16BB">
      <w:pPr>
        <w:spacing w:after="0" w:line="240" w:lineRule="auto"/>
        <w:ind w:firstLine="567"/>
        <w:jc w:val="both"/>
        <w:rPr>
          <w:rFonts w:ascii="Times New Roman" w:eastAsia="MS Mincho" w:hAnsi="Times New Roman"/>
          <w:sz w:val="28"/>
          <w:szCs w:val="28"/>
          <w:lang w:val="ru-RU" w:eastAsia="ja-JP"/>
        </w:rPr>
      </w:pPr>
    </w:p>
    <w:p w14:paraId="60A7226F" w14:textId="77BE43B1" w:rsidR="00AA69DA" w:rsidRPr="00107040" w:rsidRDefault="00E7297B"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lastRenderedPageBreak/>
        <w:t xml:space="preserve">Вестерн-блоттинг с использованием антител против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показал индуцированную блеомицином сверхэкспрессию белка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в </w:t>
      </w:r>
      <w:r w:rsidRPr="00107040">
        <w:rPr>
          <w:rFonts w:ascii="Times New Roman" w:eastAsia="MS Mincho" w:hAnsi="Times New Roman"/>
          <w:sz w:val="28"/>
          <w:szCs w:val="28"/>
          <w:lang w:val="en-US" w:eastAsia="ja-JP"/>
        </w:rPr>
        <w:t>WT</w:t>
      </w:r>
      <w:r w:rsidRPr="00107040">
        <w:rPr>
          <w:rFonts w:ascii="Times New Roman" w:eastAsia="MS Mincho" w:hAnsi="Times New Roman"/>
          <w:sz w:val="28"/>
          <w:szCs w:val="28"/>
          <w:lang w:val="ru-RU" w:eastAsia="ja-JP"/>
        </w:rPr>
        <w:t xml:space="preserve"> и мутантных растениях </w:t>
      </w:r>
      <w:r w:rsidRPr="00107040">
        <w:rPr>
          <w:rFonts w:ascii="Times New Roman" w:eastAsia="MS Mincho" w:hAnsi="Times New Roman"/>
          <w:sz w:val="28"/>
          <w:szCs w:val="28"/>
          <w:lang w:val="en-US" w:eastAsia="ja-JP"/>
        </w:rPr>
        <w:t>arp</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(дорожки 8 и 10) по сравнению с необработанными контролями (дорожки 7 и 9). Опять же, сверхэкспрессия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в ответ на повреждение ДНК была значительно выше у мутантных </w:t>
      </w:r>
      <w:r w:rsidRPr="00107040">
        <w:rPr>
          <w:rFonts w:ascii="Times New Roman" w:eastAsia="MS Mincho" w:hAnsi="Times New Roman"/>
          <w:sz w:val="28"/>
          <w:szCs w:val="28"/>
          <w:lang w:val="en-US" w:eastAsia="ja-JP"/>
        </w:rPr>
        <w:t>arp</w:t>
      </w:r>
      <w:r w:rsidRPr="00107040">
        <w:rPr>
          <w:rFonts w:ascii="Times New Roman" w:eastAsia="MS Mincho" w:hAnsi="Times New Roman"/>
          <w:sz w:val="28"/>
          <w:szCs w:val="28"/>
          <w:vertAlign w:val="superscript"/>
          <w:lang w:val="ru-RU" w:eastAsia="ja-JP"/>
        </w:rPr>
        <w:t xml:space="preserve">-/- </w:t>
      </w:r>
      <w:r w:rsidRPr="00107040">
        <w:rPr>
          <w:rFonts w:ascii="Times New Roman" w:eastAsia="MS Mincho" w:hAnsi="Times New Roman"/>
          <w:sz w:val="28"/>
          <w:szCs w:val="28"/>
          <w:lang w:val="ru-RU" w:eastAsia="ja-JP"/>
        </w:rPr>
        <w:t xml:space="preserve">растений по сравнению с дикими растениями (дорожка 10 против 8). В целом эти результаты предполагают, что в ответ на повреждение ДНК растения активируют </w:t>
      </w:r>
      <w:r w:rsidRPr="00107040">
        <w:rPr>
          <w:rFonts w:ascii="Times New Roman" w:eastAsia="MS Mincho" w:hAnsi="Times New Roman"/>
          <w:sz w:val="28"/>
          <w:szCs w:val="28"/>
          <w:lang w:val="en-US"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-рибозилирование белка и сверхэкспрессируют белок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 xml:space="preserve">2.  </w:t>
      </w:r>
    </w:p>
    <w:p w14:paraId="06E0DC50" w14:textId="7B7DE1D2" w:rsidR="00AA69DA" w:rsidRPr="00107040" w:rsidRDefault="00AA69DA"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В последующих экспериментах для изучения АДФ-рибозилирования геномной ДНК в живых клетках, </w:t>
      </w:r>
      <w:r w:rsidR="002161A1" w:rsidRPr="00107040">
        <w:rPr>
          <w:rFonts w:ascii="Times New Roman" w:eastAsia="MS Mincho" w:hAnsi="Times New Roman"/>
          <w:sz w:val="28"/>
          <w:szCs w:val="28"/>
          <w:lang w:val="ru-RU" w:eastAsia="ja-JP"/>
        </w:rPr>
        <w:t xml:space="preserve">из растений дикого типа были выделены </w:t>
      </w:r>
      <w:r w:rsidRPr="00107040">
        <w:rPr>
          <w:rFonts w:ascii="Times New Roman" w:eastAsia="MS Mincho" w:hAnsi="Times New Roman"/>
          <w:sz w:val="28"/>
          <w:szCs w:val="28"/>
          <w:lang w:val="ru-RU" w:eastAsia="ja-JP"/>
        </w:rPr>
        <w:t>геномн</w:t>
      </w:r>
      <w:r w:rsidR="002161A1" w:rsidRPr="00107040">
        <w:rPr>
          <w:rFonts w:ascii="Times New Roman" w:eastAsia="MS Mincho" w:hAnsi="Times New Roman"/>
          <w:sz w:val="28"/>
          <w:szCs w:val="28"/>
          <w:lang w:val="ru-RU" w:eastAsia="ja-JP"/>
        </w:rPr>
        <w:t>ая</w:t>
      </w:r>
      <w:r w:rsidRPr="00107040">
        <w:rPr>
          <w:rFonts w:ascii="Times New Roman" w:eastAsia="MS Mincho" w:hAnsi="Times New Roman"/>
          <w:sz w:val="28"/>
          <w:szCs w:val="28"/>
          <w:lang w:val="ru-RU" w:eastAsia="ja-JP"/>
        </w:rPr>
        <w:t xml:space="preserve"> ДНК (гДНК) и </w:t>
      </w:r>
      <w:r w:rsidRPr="00107040">
        <w:rPr>
          <w:rFonts w:ascii="Times New Roman" w:eastAsia="MS Mincho" w:hAnsi="Times New Roman"/>
          <w:sz w:val="28"/>
          <w:szCs w:val="28"/>
          <w:lang w:val="en-US" w:eastAsia="ja-JP"/>
        </w:rPr>
        <w:t>AtPARP</w:t>
      </w:r>
      <w:r w:rsidRPr="00107040">
        <w:rPr>
          <w:rFonts w:ascii="Times New Roman" w:eastAsia="MS Mincho" w:hAnsi="Times New Roman"/>
          <w:sz w:val="28"/>
          <w:szCs w:val="28"/>
          <w:lang w:val="ru-RU" w:eastAsia="ja-JP"/>
        </w:rPr>
        <w:t>-дефицитных растений, обработанны</w:t>
      </w:r>
      <w:r w:rsidR="002161A1" w:rsidRPr="00107040">
        <w:rPr>
          <w:rFonts w:ascii="Times New Roman" w:eastAsia="MS Mincho" w:hAnsi="Times New Roman"/>
          <w:sz w:val="28"/>
          <w:szCs w:val="28"/>
          <w:lang w:val="ru-RU" w:eastAsia="ja-JP"/>
        </w:rPr>
        <w:t>е</w:t>
      </w:r>
      <w:r w:rsidRPr="00107040">
        <w:rPr>
          <w:rFonts w:ascii="Times New Roman" w:eastAsia="MS Mincho" w:hAnsi="Times New Roman"/>
          <w:sz w:val="28"/>
          <w:szCs w:val="28"/>
          <w:lang w:val="ru-RU" w:eastAsia="ja-JP"/>
        </w:rPr>
        <w:t xml:space="preserve"> или не обработанны</w:t>
      </w:r>
      <w:r w:rsidR="002161A1" w:rsidRPr="00107040">
        <w:rPr>
          <w:rFonts w:ascii="Times New Roman" w:eastAsia="MS Mincho" w:hAnsi="Times New Roman"/>
          <w:sz w:val="28"/>
          <w:szCs w:val="28"/>
          <w:lang w:val="ru-RU" w:eastAsia="ja-JP"/>
        </w:rPr>
        <w:t>е</w:t>
      </w:r>
      <w:r w:rsidRPr="00107040">
        <w:rPr>
          <w:rFonts w:ascii="Times New Roman" w:eastAsia="MS Mincho" w:hAnsi="Times New Roman"/>
          <w:sz w:val="28"/>
          <w:szCs w:val="28"/>
          <w:lang w:val="ru-RU" w:eastAsia="ja-JP"/>
        </w:rPr>
        <w:t xml:space="preserve"> блеомицином, и исследова</w:t>
      </w:r>
      <w:r w:rsidR="002161A1" w:rsidRPr="00107040">
        <w:rPr>
          <w:rFonts w:ascii="Times New Roman" w:eastAsia="MS Mincho" w:hAnsi="Times New Roman"/>
          <w:sz w:val="28"/>
          <w:szCs w:val="28"/>
          <w:lang w:val="ru-RU" w:eastAsia="ja-JP"/>
        </w:rPr>
        <w:t>ны</w:t>
      </w:r>
      <w:r w:rsidRPr="00107040">
        <w:rPr>
          <w:rFonts w:ascii="Times New Roman" w:eastAsia="MS Mincho" w:hAnsi="Times New Roman"/>
          <w:sz w:val="28"/>
          <w:szCs w:val="28"/>
          <w:lang w:val="ru-RU" w:eastAsia="ja-JP"/>
        </w:rPr>
        <w:t xml:space="preserve"> на наличие поли</w:t>
      </w:r>
      <w:r w:rsidR="00160D00"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ru-RU" w:eastAsia="ja-JP"/>
        </w:rPr>
        <w:t>АДФ-рибозы</w:t>
      </w:r>
      <w:r w:rsidR="00160D00"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ru-RU" w:eastAsia="ja-JP"/>
        </w:rPr>
        <w:t xml:space="preserve">. Геномную ДНК повторно очищали, включая обширную обработку РНКазой А и протеиназой К с последующей экстракцией фенолом/хлороформом, а затем анализировали методом дот-блоттинга с использованием моноклонального антитела против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Иммуно дот-блоттинг 0,9 и 0,6 мкг гДНК, выделенной из контрольных необработанных </w:t>
      </w:r>
      <w:r w:rsidRPr="00107040">
        <w:rPr>
          <w:rFonts w:ascii="Times New Roman" w:eastAsia="MS Mincho" w:hAnsi="Times New Roman"/>
          <w:i/>
          <w:sz w:val="28"/>
          <w:szCs w:val="28"/>
          <w:lang w:val="en-US" w:eastAsia="ja-JP"/>
        </w:rPr>
        <w:t>WT</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i/>
          <w:sz w:val="28"/>
          <w:szCs w:val="28"/>
          <w:lang w:val="en-US" w:eastAsia="ja-JP"/>
        </w:rPr>
        <w:t>atPARP</w:t>
      </w:r>
      <w:r w:rsidRPr="00107040">
        <w:rPr>
          <w:rFonts w:ascii="Times New Roman" w:eastAsia="MS Mincho" w:hAnsi="Times New Roman"/>
          <w:i/>
          <w:sz w:val="28"/>
          <w:szCs w:val="28"/>
          <w:lang w:val="ru-RU" w:eastAsia="ja-JP"/>
        </w:rPr>
        <w:t>1</w:t>
      </w:r>
      <w:r w:rsidRPr="00107040">
        <w:rPr>
          <w:rFonts w:ascii="Times New Roman" w:eastAsia="MS Mincho" w:hAnsi="Times New Roman"/>
          <w:i/>
          <w:sz w:val="28"/>
          <w:szCs w:val="28"/>
          <w:vertAlign w:val="superscript"/>
          <w:lang w:val="ru-RU" w:eastAsia="ja-JP"/>
        </w:rPr>
        <w:t>-/-</w:t>
      </w:r>
      <w:r w:rsidRPr="00107040">
        <w:rPr>
          <w:rFonts w:ascii="Times New Roman" w:eastAsia="MS Mincho" w:hAnsi="Times New Roman"/>
          <w:sz w:val="28"/>
          <w:szCs w:val="28"/>
          <w:lang w:val="ru-RU" w:eastAsia="ja-JP"/>
        </w:rPr>
        <w:t xml:space="preserve">, </w:t>
      </w:r>
      <w:r w:rsidRPr="00107040">
        <w:rPr>
          <w:rFonts w:ascii="Times New Roman" w:eastAsia="MS Mincho" w:hAnsi="Times New Roman"/>
          <w:i/>
          <w:sz w:val="28"/>
          <w:szCs w:val="28"/>
          <w:lang w:val="en-US" w:eastAsia="ja-JP"/>
        </w:rPr>
        <w:t>atPARP</w:t>
      </w:r>
      <w:r w:rsidRPr="00107040">
        <w:rPr>
          <w:rFonts w:ascii="Times New Roman" w:eastAsia="MS Mincho" w:hAnsi="Times New Roman"/>
          <w:i/>
          <w:sz w:val="28"/>
          <w:szCs w:val="28"/>
          <w:lang w:val="ru-RU" w:eastAsia="ja-JP"/>
        </w:rPr>
        <w:t>2</w:t>
      </w:r>
      <w:r w:rsidRPr="00107040">
        <w:rPr>
          <w:rFonts w:ascii="Times New Roman" w:eastAsia="MS Mincho" w:hAnsi="Times New Roman"/>
          <w:i/>
          <w:sz w:val="28"/>
          <w:szCs w:val="28"/>
          <w:vertAlign w:val="superscript"/>
          <w:lang w:val="ru-RU" w:eastAsia="ja-JP"/>
        </w:rPr>
        <w:t>-/-</w:t>
      </w:r>
      <w:r w:rsidRPr="00107040">
        <w:rPr>
          <w:rFonts w:ascii="Times New Roman" w:eastAsia="MS Mincho" w:hAnsi="Times New Roman"/>
          <w:sz w:val="28"/>
          <w:szCs w:val="28"/>
          <w:lang w:val="ru-RU" w:eastAsia="ja-JP"/>
        </w:rPr>
        <w:t xml:space="preserve"> и двойного мутанта </w:t>
      </w:r>
      <w:r w:rsidRPr="00107040">
        <w:rPr>
          <w:rFonts w:ascii="Times New Roman" w:eastAsia="MS Mincho" w:hAnsi="Times New Roman"/>
          <w:i/>
          <w:sz w:val="28"/>
          <w:szCs w:val="28"/>
          <w:lang w:val="en-US" w:eastAsia="ja-JP"/>
        </w:rPr>
        <w:t>atPARP</w:t>
      </w:r>
      <w:r w:rsidRPr="00107040">
        <w:rPr>
          <w:rFonts w:ascii="Times New Roman" w:eastAsia="MS Mincho" w:hAnsi="Times New Roman"/>
          <w:i/>
          <w:sz w:val="28"/>
          <w:szCs w:val="28"/>
          <w:lang w:val="ru-RU" w:eastAsia="ja-JP"/>
        </w:rPr>
        <w:t>1</w:t>
      </w:r>
      <w:r w:rsidRPr="00107040">
        <w:rPr>
          <w:rFonts w:ascii="Times New Roman" w:eastAsia="MS Mincho" w:hAnsi="Times New Roman"/>
          <w:i/>
          <w:sz w:val="28"/>
          <w:szCs w:val="28"/>
          <w:vertAlign w:val="superscript"/>
          <w:lang w:val="ru-RU" w:eastAsia="ja-JP"/>
        </w:rPr>
        <w:t>-/-</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i/>
          <w:sz w:val="28"/>
          <w:szCs w:val="28"/>
          <w:lang w:val="en-US" w:eastAsia="ja-JP"/>
        </w:rPr>
        <w:t>atPARP</w:t>
      </w:r>
      <w:r w:rsidRPr="00107040">
        <w:rPr>
          <w:rFonts w:ascii="Times New Roman" w:eastAsia="MS Mincho" w:hAnsi="Times New Roman"/>
          <w:i/>
          <w:sz w:val="28"/>
          <w:szCs w:val="28"/>
          <w:lang w:val="ru-RU" w:eastAsia="ja-JP"/>
        </w:rPr>
        <w:t>2</w:t>
      </w:r>
      <w:r w:rsidRPr="00107040">
        <w:rPr>
          <w:rFonts w:ascii="Times New Roman" w:eastAsia="MS Mincho" w:hAnsi="Times New Roman"/>
          <w:i/>
          <w:sz w:val="28"/>
          <w:szCs w:val="28"/>
          <w:vertAlign w:val="superscript"/>
          <w:lang w:val="ru-RU" w:eastAsia="ja-JP"/>
        </w:rPr>
        <w:t>-/-</w:t>
      </w:r>
      <w:r w:rsidRPr="00107040">
        <w:rPr>
          <w:rFonts w:ascii="Times New Roman" w:eastAsia="MS Mincho" w:hAnsi="Times New Roman"/>
          <w:i/>
          <w:sz w:val="28"/>
          <w:szCs w:val="28"/>
          <w:lang w:val="ru-RU" w:eastAsia="ja-JP"/>
        </w:rPr>
        <w:t xml:space="preserve"> </w:t>
      </w:r>
      <w:r w:rsidRPr="00107040">
        <w:rPr>
          <w:rFonts w:ascii="Times New Roman" w:eastAsia="MS Mincho" w:hAnsi="Times New Roman"/>
          <w:sz w:val="28"/>
          <w:szCs w:val="28"/>
          <w:lang w:val="ru-RU" w:eastAsia="ja-JP"/>
        </w:rPr>
        <w:t xml:space="preserve">выявил присутствие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во всех образцах (рисунок 3</w:t>
      </w:r>
      <w:r w:rsidR="006137DB">
        <w:rPr>
          <w:rFonts w:ascii="Times New Roman" w:eastAsia="MS Mincho" w:hAnsi="Times New Roman"/>
          <w:sz w:val="28"/>
          <w:szCs w:val="28"/>
          <w:lang w:val="ru-RU" w:eastAsia="ja-JP"/>
        </w:rPr>
        <w:t>7</w:t>
      </w:r>
      <w:r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kk-KZ" w:eastAsia="ja-JP"/>
        </w:rPr>
        <w:t xml:space="preserve"> </w:t>
      </w:r>
      <w:r w:rsidRPr="00107040">
        <w:rPr>
          <w:rFonts w:ascii="Times New Roman" w:eastAsia="MS Mincho" w:hAnsi="Times New Roman"/>
          <w:sz w:val="28"/>
          <w:szCs w:val="28"/>
          <w:lang w:val="ru-RU" w:eastAsia="ja-JP"/>
        </w:rPr>
        <w:t xml:space="preserve">Очищенная гДНК из растений, обработанных блеомицином, показала повышенное присутствие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по сравнению с необработанными контролями. Тем не менее, присутствие гДНК-ассоциированного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в контрольном необработанном </w:t>
      </w:r>
      <w:r w:rsidRPr="00107040">
        <w:rPr>
          <w:rFonts w:ascii="Times New Roman" w:eastAsia="MS Mincho" w:hAnsi="Times New Roman"/>
          <w:sz w:val="28"/>
          <w:szCs w:val="28"/>
          <w:lang w:val="en-GB" w:eastAsia="ja-JP"/>
        </w:rPr>
        <w:t>WT</w:t>
      </w:r>
      <w:r w:rsidRPr="00107040">
        <w:rPr>
          <w:rFonts w:ascii="Times New Roman" w:eastAsia="MS Mincho" w:hAnsi="Times New Roman"/>
          <w:sz w:val="28"/>
          <w:szCs w:val="28"/>
          <w:lang w:val="ru-RU" w:eastAsia="ja-JP"/>
        </w:rPr>
        <w:t xml:space="preserve"> и мутантном </w:t>
      </w:r>
      <w:r w:rsidRPr="00107040">
        <w:rPr>
          <w:rFonts w:ascii="Times New Roman" w:eastAsia="MS Mincho" w:hAnsi="Times New Roman"/>
          <w:sz w:val="28"/>
          <w:szCs w:val="28"/>
          <w:lang w:val="en-GB" w:eastAsia="ja-JP"/>
        </w:rPr>
        <w:t>atPARP</w:t>
      </w:r>
      <w:r w:rsidRPr="00107040">
        <w:rPr>
          <w:rFonts w:ascii="Times New Roman" w:eastAsia="MS Mincho" w:hAnsi="Times New Roman"/>
          <w:sz w:val="28"/>
          <w:szCs w:val="28"/>
          <w:vertAlign w:val="superscript"/>
          <w:lang w:val="ru-RU" w:eastAsia="ja-JP"/>
        </w:rPr>
        <w:t>-/-</w:t>
      </w:r>
      <w:r w:rsidRPr="00107040">
        <w:rPr>
          <w:rFonts w:ascii="Times New Roman" w:eastAsia="MS Mincho" w:hAnsi="Times New Roman"/>
          <w:sz w:val="28"/>
          <w:szCs w:val="28"/>
          <w:lang w:val="ru-RU" w:eastAsia="ja-JP"/>
        </w:rPr>
        <w:t xml:space="preserve"> растении предполагает две возможности: (</w:t>
      </w:r>
      <w:r w:rsidRPr="00107040">
        <w:rPr>
          <w:rFonts w:ascii="Times New Roman" w:eastAsia="MS Mincho" w:hAnsi="Times New Roman"/>
          <w:sz w:val="28"/>
          <w:szCs w:val="28"/>
          <w:lang w:val="en-GB" w:eastAsia="ja-JP"/>
        </w:rPr>
        <w:t>i</w:t>
      </w:r>
      <w:r w:rsidRPr="00107040">
        <w:rPr>
          <w:rFonts w:ascii="Times New Roman" w:eastAsia="MS Mincho" w:hAnsi="Times New Roman"/>
          <w:sz w:val="28"/>
          <w:szCs w:val="28"/>
          <w:lang w:val="ru-RU" w:eastAsia="ja-JP"/>
        </w:rPr>
        <w:t xml:space="preserve">) загрязнение очищенной гДНК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илированными пептидами, которые прочно связаны или перекрестно связаны с ДНК и обладают высокой устойчивостью к обработке протеиназой К или свободными олигомерами АДФ-рибозы, которые могут существовать в нековалентных переплетенных комплексах с гДНК; и (</w:t>
      </w:r>
      <w:r w:rsidRPr="00107040">
        <w:rPr>
          <w:rFonts w:ascii="Times New Roman" w:eastAsia="MS Mincho" w:hAnsi="Times New Roman"/>
          <w:sz w:val="28"/>
          <w:szCs w:val="28"/>
          <w:lang w:val="en-GB" w:eastAsia="ja-JP"/>
        </w:rPr>
        <w:t>ii</w:t>
      </w:r>
      <w:r w:rsidRPr="00107040">
        <w:rPr>
          <w:rFonts w:ascii="Times New Roman" w:eastAsia="MS Mincho" w:hAnsi="Times New Roman"/>
          <w:sz w:val="28"/>
          <w:szCs w:val="28"/>
          <w:lang w:val="ru-RU" w:eastAsia="ja-JP"/>
        </w:rPr>
        <w:t>) перекрестная реактивность или неспецифическое распознавание некоторых структур ДНК, присутствующих в растительной гДНК, моноклональными антителами против поли</w:t>
      </w:r>
      <w:r w:rsidR="00160D0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АДФ-рибозы</w:t>
      </w:r>
      <w:r w:rsidR="00160D00"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ru-RU" w:eastAsia="ja-JP"/>
        </w:rPr>
        <w:t>. Взятые вместе, эти результаты демонстрируют, что поли</w:t>
      </w:r>
      <w:r w:rsidR="00160D00" w:rsidRPr="00107040">
        <w:rPr>
          <w:rFonts w:ascii="Times New Roman" w:eastAsia="MS Mincho" w:hAnsi="Times New Roman"/>
          <w:sz w:val="28"/>
          <w:szCs w:val="28"/>
          <w:lang w:val="ru-RU" w:eastAsia="ja-JP"/>
        </w:rPr>
        <w:t xml:space="preserve"> (</w:t>
      </w:r>
      <w:r w:rsidRPr="00107040">
        <w:rPr>
          <w:rFonts w:ascii="Times New Roman" w:eastAsia="MS Mincho" w:hAnsi="Times New Roman"/>
          <w:sz w:val="28"/>
          <w:szCs w:val="28"/>
          <w:lang w:val="ru-RU" w:eastAsia="ja-JP"/>
        </w:rPr>
        <w:t>АДФ-рибозы</w:t>
      </w:r>
      <w:r w:rsidR="00160D00" w:rsidRPr="00107040">
        <w:rPr>
          <w:rFonts w:ascii="Times New Roman" w:eastAsia="MS Mincho" w:hAnsi="Times New Roman"/>
          <w:sz w:val="28"/>
          <w:szCs w:val="28"/>
          <w:lang w:val="ru-RU" w:eastAsia="ja-JP"/>
        </w:rPr>
        <w:t>)</w:t>
      </w:r>
      <w:r w:rsidRPr="00107040">
        <w:rPr>
          <w:rFonts w:ascii="Times New Roman" w:eastAsia="MS Mincho" w:hAnsi="Times New Roman"/>
          <w:sz w:val="28"/>
          <w:szCs w:val="28"/>
          <w:lang w:val="ru-RU" w:eastAsia="ja-JP"/>
        </w:rPr>
        <w:t xml:space="preserve">-специфические антитела, хотя и хороши для обнаружения ПАРилированных белков, имеют очень ограниченное применение для обнаружения ковалентных аддуктов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поскольку они не способны специфически распознавать нуклеотид ДНК, связанный с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-рибозой. </w:t>
      </w:r>
    </w:p>
    <w:p w14:paraId="2FE06FFB" w14:textId="77777777" w:rsidR="00E7297B" w:rsidRPr="00107040" w:rsidRDefault="00E7297B"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Таким образом, для обнаружения АДФ-рибозилированной ДНК в живых клетках необходимы новые типы антител с высокой специфичностью, которые могут распознавать как АДФ-рибозу, так и нуклеотид.</w:t>
      </w:r>
    </w:p>
    <w:p w14:paraId="3A60D537" w14:textId="77777777" w:rsidR="00E7297B" w:rsidRPr="00107040" w:rsidRDefault="00E7297B" w:rsidP="000C16BB">
      <w:pPr>
        <w:spacing w:after="0" w:line="240" w:lineRule="auto"/>
        <w:ind w:firstLine="567"/>
        <w:jc w:val="center"/>
        <w:rPr>
          <w:rFonts w:ascii="Times New Roman" w:eastAsia="MS Mincho" w:hAnsi="Times New Roman"/>
          <w:b/>
          <w:sz w:val="28"/>
          <w:szCs w:val="28"/>
          <w:lang w:val="ru-RU" w:eastAsia="ja-JP"/>
        </w:rPr>
      </w:pPr>
    </w:p>
    <w:p w14:paraId="2915B151" w14:textId="135825BA" w:rsidR="00D10300" w:rsidRPr="00107040" w:rsidRDefault="00D10300" w:rsidP="000C16BB">
      <w:pPr>
        <w:spacing w:after="0" w:line="240" w:lineRule="auto"/>
        <w:ind w:firstLine="567"/>
        <w:jc w:val="center"/>
        <w:rPr>
          <w:rFonts w:ascii="Times New Roman" w:eastAsia="MS Mincho" w:hAnsi="Times New Roman"/>
          <w:b/>
          <w:sz w:val="28"/>
          <w:szCs w:val="28"/>
          <w:lang w:val="ru-RU" w:eastAsia="ja-JP"/>
        </w:rPr>
      </w:pPr>
      <w:r w:rsidRPr="00107040">
        <w:rPr>
          <w:rFonts w:ascii="Times New Roman" w:eastAsia="MS Mincho" w:hAnsi="Times New Roman"/>
          <w:b/>
          <w:noProof/>
          <w:sz w:val="28"/>
          <w:szCs w:val="28"/>
          <w:lang w:val="ru-RU" w:eastAsia="ru-RU"/>
        </w:rPr>
        <w:lastRenderedPageBreak/>
        <w:drawing>
          <wp:inline distT="0" distB="0" distL="0" distR="0" wp14:anchorId="272C06F4" wp14:editId="6AE94DBC">
            <wp:extent cx="2743200" cy="3657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7D9062D2" w14:textId="77777777" w:rsidR="00D10300" w:rsidRPr="00107040" w:rsidRDefault="00D10300" w:rsidP="000C16BB">
      <w:pPr>
        <w:spacing w:after="0" w:line="240" w:lineRule="auto"/>
        <w:ind w:firstLine="567"/>
        <w:jc w:val="center"/>
        <w:rPr>
          <w:rFonts w:ascii="Times New Roman" w:eastAsia="MS Mincho" w:hAnsi="Times New Roman"/>
          <w:b/>
          <w:sz w:val="28"/>
          <w:szCs w:val="28"/>
          <w:lang w:val="ru-RU" w:eastAsia="ja-JP"/>
        </w:rPr>
      </w:pPr>
    </w:p>
    <w:p w14:paraId="285DA0E3" w14:textId="584C119F" w:rsidR="0014763E" w:rsidRPr="00107040" w:rsidRDefault="00AA69DA" w:rsidP="000C16BB">
      <w:pPr>
        <w:spacing w:after="0" w:line="240" w:lineRule="auto"/>
        <w:ind w:firstLine="567"/>
        <w:jc w:val="center"/>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Рисунок </w:t>
      </w:r>
      <w:r w:rsidRPr="00107040">
        <w:rPr>
          <w:rFonts w:ascii="Times New Roman" w:eastAsia="MS Mincho" w:hAnsi="Times New Roman"/>
          <w:sz w:val="28"/>
          <w:szCs w:val="28"/>
          <w:lang w:val="kk-KZ" w:eastAsia="ja-JP"/>
        </w:rPr>
        <w:t>3</w:t>
      </w:r>
      <w:r w:rsidR="006137DB">
        <w:rPr>
          <w:rFonts w:ascii="Times New Roman" w:eastAsia="MS Mincho" w:hAnsi="Times New Roman"/>
          <w:sz w:val="28"/>
          <w:szCs w:val="28"/>
          <w:lang w:val="kk-KZ" w:eastAsia="ja-JP"/>
        </w:rPr>
        <w:t>7</w:t>
      </w:r>
      <w:r w:rsidRPr="00107040">
        <w:rPr>
          <w:rFonts w:ascii="Times New Roman" w:eastAsia="MS Mincho" w:hAnsi="Times New Roman"/>
          <w:sz w:val="28"/>
          <w:szCs w:val="28"/>
          <w:lang w:val="ru-RU" w:eastAsia="ja-JP"/>
        </w:rPr>
        <w:t xml:space="preserve"> – Обнаружение аддуктов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-ДНК в г</w:t>
      </w:r>
      <w:r w:rsidR="0014763E" w:rsidRPr="00107040">
        <w:rPr>
          <w:rFonts w:ascii="Times New Roman" w:eastAsia="MS Mincho" w:hAnsi="Times New Roman"/>
          <w:sz w:val="28"/>
          <w:szCs w:val="28"/>
          <w:lang w:val="ru-RU" w:eastAsia="ja-JP"/>
        </w:rPr>
        <w:t xml:space="preserve">еномной </w:t>
      </w:r>
      <w:r w:rsidRPr="00107040">
        <w:rPr>
          <w:rFonts w:ascii="Times New Roman" w:eastAsia="MS Mincho" w:hAnsi="Times New Roman"/>
          <w:sz w:val="28"/>
          <w:szCs w:val="28"/>
          <w:lang w:val="ru-RU" w:eastAsia="ja-JP"/>
        </w:rPr>
        <w:t xml:space="preserve">ДНК, экстрагированной из 14-дневных проростков, </w:t>
      </w:r>
      <w:r w:rsidR="00557526" w:rsidRPr="00107040">
        <w:rPr>
          <w:rFonts w:ascii="Times New Roman" w:eastAsia="MS Mincho" w:hAnsi="Times New Roman"/>
          <w:sz w:val="28"/>
          <w:szCs w:val="28"/>
          <w:lang w:val="ru-RU" w:eastAsia="ja-JP"/>
        </w:rPr>
        <w:t>в присутствии</w:t>
      </w:r>
      <w:r w:rsidR="0014763E" w:rsidRPr="00107040">
        <w:rPr>
          <w:rFonts w:ascii="Times New Roman" w:eastAsia="MS Mincho" w:hAnsi="Times New Roman"/>
          <w:sz w:val="28"/>
          <w:szCs w:val="28"/>
          <w:lang w:val="ru-RU" w:eastAsia="ja-JP"/>
        </w:rPr>
        <w:t xml:space="preserve"> и в отсутвие </w:t>
      </w:r>
      <w:r w:rsidRPr="00107040">
        <w:rPr>
          <w:rFonts w:ascii="Times New Roman" w:eastAsia="MS Mincho" w:hAnsi="Times New Roman"/>
          <w:sz w:val="28"/>
          <w:szCs w:val="28"/>
          <w:lang w:val="ru-RU" w:eastAsia="ja-JP"/>
        </w:rPr>
        <w:t>генотоксическ</w:t>
      </w:r>
      <w:r w:rsidR="0014763E" w:rsidRPr="00107040">
        <w:rPr>
          <w:rFonts w:ascii="Times New Roman" w:eastAsia="MS Mincho" w:hAnsi="Times New Roman"/>
          <w:sz w:val="28"/>
          <w:szCs w:val="28"/>
          <w:lang w:val="ru-RU" w:eastAsia="ja-JP"/>
        </w:rPr>
        <w:t>ого</w:t>
      </w:r>
      <w:r w:rsidRPr="00107040">
        <w:rPr>
          <w:rFonts w:ascii="Times New Roman" w:eastAsia="MS Mincho" w:hAnsi="Times New Roman"/>
          <w:sz w:val="28"/>
          <w:szCs w:val="28"/>
          <w:lang w:val="ru-RU" w:eastAsia="ja-JP"/>
        </w:rPr>
        <w:t xml:space="preserve"> </w:t>
      </w:r>
      <w:r w:rsidR="0014763E" w:rsidRPr="00107040">
        <w:rPr>
          <w:rFonts w:ascii="Times New Roman" w:eastAsia="MS Mincho" w:hAnsi="Times New Roman"/>
          <w:sz w:val="28"/>
          <w:szCs w:val="28"/>
          <w:lang w:val="ru-RU" w:eastAsia="ja-JP"/>
        </w:rPr>
        <w:t>агента</w:t>
      </w:r>
    </w:p>
    <w:p w14:paraId="5F127BC9" w14:textId="77777777" w:rsidR="00D10300" w:rsidRPr="00107040" w:rsidRDefault="00D10300" w:rsidP="000C16BB">
      <w:pPr>
        <w:spacing w:after="0" w:line="240" w:lineRule="auto"/>
        <w:ind w:firstLine="567"/>
        <w:jc w:val="center"/>
        <w:rPr>
          <w:rFonts w:ascii="Times New Roman" w:eastAsia="MS Mincho" w:hAnsi="Times New Roman"/>
          <w:sz w:val="28"/>
          <w:szCs w:val="28"/>
          <w:lang w:val="ru-RU" w:eastAsia="ja-JP"/>
        </w:rPr>
      </w:pPr>
    </w:p>
    <w:p w14:paraId="1DD5E91E" w14:textId="13BBBF82" w:rsidR="00160D00" w:rsidRPr="00107040" w:rsidRDefault="00160D00" w:rsidP="000C16BB">
      <w:pPr>
        <w:spacing w:after="0" w:line="240" w:lineRule="auto"/>
        <w:ind w:firstLine="567"/>
        <w:jc w:val="both"/>
        <w:rPr>
          <w:rFonts w:ascii="Times New Roman" w:eastAsia="MS Mincho" w:hAnsi="Times New Roman"/>
          <w:sz w:val="28"/>
          <w:szCs w:val="28"/>
          <w:lang w:val="ru-RU" w:eastAsia="ja-JP"/>
        </w:rPr>
      </w:pPr>
      <w:r w:rsidRPr="00107040">
        <w:rPr>
          <w:rFonts w:ascii="Times New Roman" w:eastAsia="MS Mincho" w:hAnsi="Times New Roman"/>
          <w:sz w:val="28"/>
          <w:szCs w:val="28"/>
          <w:lang w:val="ru-RU" w:eastAsia="ja-JP"/>
        </w:rPr>
        <w:t xml:space="preserve">Результаты наших исследований показали, что коммерческие моноклональные антитела против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распознают гДНК, выделенную как из контрольных необработанных, так и из обработанных блеомицином растений, а также растений дикого типа и растений мутантными по генам </w:t>
      </w:r>
      <w:r w:rsidRPr="00107040">
        <w:rPr>
          <w:rFonts w:ascii="Times New Roman" w:eastAsia="MS Mincho" w:hAnsi="Times New Roman"/>
          <w:sz w:val="28"/>
          <w:szCs w:val="28"/>
          <w:lang w:val="en-GB" w:eastAsia="ja-JP"/>
        </w:rPr>
        <w:t>PARP</w:t>
      </w:r>
      <w:r w:rsidRPr="00107040">
        <w:rPr>
          <w:rFonts w:ascii="Times New Roman" w:eastAsia="MS Mincho" w:hAnsi="Times New Roman"/>
          <w:sz w:val="28"/>
          <w:szCs w:val="28"/>
          <w:lang w:val="ru-RU" w:eastAsia="ja-JP"/>
        </w:rPr>
        <w:t xml:space="preserve"> (рисунок </w:t>
      </w:r>
      <w:r w:rsidRPr="00107040">
        <w:rPr>
          <w:rFonts w:ascii="Times New Roman" w:eastAsia="MS Mincho" w:hAnsi="Times New Roman"/>
          <w:sz w:val="28"/>
          <w:szCs w:val="28"/>
          <w:lang w:val="kk-KZ" w:eastAsia="ja-JP"/>
        </w:rPr>
        <w:t>3</w:t>
      </w:r>
      <w:r w:rsidR="006137DB">
        <w:rPr>
          <w:rFonts w:ascii="Times New Roman" w:eastAsia="MS Mincho" w:hAnsi="Times New Roman"/>
          <w:sz w:val="28"/>
          <w:szCs w:val="28"/>
          <w:lang w:val="kk-KZ" w:eastAsia="ja-JP"/>
        </w:rPr>
        <w:t>7</w:t>
      </w:r>
      <w:r w:rsidRPr="00107040">
        <w:rPr>
          <w:rFonts w:ascii="Times New Roman" w:eastAsia="MS Mincho" w:hAnsi="Times New Roman"/>
          <w:sz w:val="28"/>
          <w:szCs w:val="28"/>
          <w:lang w:val="ru-RU" w:eastAsia="ja-JP"/>
        </w:rPr>
        <w:t xml:space="preserve">), что позволяет предположить, что подход, использованный в настоящем исследовании отсутствует достаточная специфичность для обнаружения аддуктов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-ДНК в гДНК. Требуются новые более совершенные инструменты, чтобы надежно отличить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-рибозилированные продукты ДНК от </w:t>
      </w:r>
      <w:r w:rsidRPr="00107040">
        <w:rPr>
          <w:rFonts w:ascii="Times New Roman" w:eastAsia="MS Mincho" w:hAnsi="Times New Roman"/>
          <w:sz w:val="28"/>
          <w:szCs w:val="28"/>
          <w:lang w:val="en-GB" w:eastAsia="ja-JP"/>
        </w:rPr>
        <w:t>A</w:t>
      </w:r>
      <w:r w:rsidRPr="00107040">
        <w:rPr>
          <w:rFonts w:ascii="Times New Roman" w:eastAsia="MS Mincho" w:hAnsi="Times New Roman"/>
          <w:sz w:val="28"/>
          <w:szCs w:val="28"/>
          <w:lang w:val="kk-KZ" w:eastAsia="ja-JP"/>
        </w:rPr>
        <w:t>ДФ</w:t>
      </w:r>
      <w:r w:rsidRPr="00107040">
        <w:rPr>
          <w:rFonts w:ascii="Times New Roman" w:eastAsia="MS Mincho" w:hAnsi="Times New Roman"/>
          <w:sz w:val="28"/>
          <w:szCs w:val="28"/>
          <w:lang w:val="ru-RU" w:eastAsia="ja-JP"/>
        </w:rPr>
        <w:t xml:space="preserve">-рибозилированных белков и свободных полимеров поли-АДФ-рибозы в живых клетках. </w:t>
      </w:r>
    </w:p>
    <w:p w14:paraId="325CEA1B" w14:textId="107FA4A9" w:rsidR="00E7297B" w:rsidRPr="00107040" w:rsidRDefault="00E7297B" w:rsidP="000C16BB">
      <w:pPr>
        <w:spacing w:after="0" w:line="240" w:lineRule="auto"/>
        <w:jc w:val="both"/>
        <w:rPr>
          <w:rFonts w:ascii="Times New Roman" w:eastAsia="MS Mincho" w:hAnsi="Times New Roman"/>
          <w:bCs/>
          <w:sz w:val="28"/>
          <w:szCs w:val="28"/>
          <w:lang w:val="ru-RU"/>
        </w:rPr>
      </w:pPr>
      <w:r w:rsidRPr="00107040">
        <w:rPr>
          <w:rFonts w:ascii="Times New Roman" w:eastAsia="MS Mincho" w:hAnsi="Times New Roman"/>
          <w:bCs/>
          <w:sz w:val="28"/>
          <w:szCs w:val="28"/>
          <w:lang w:val="ru-RU"/>
        </w:rPr>
        <w:br w:type="page"/>
      </w:r>
    </w:p>
    <w:p w14:paraId="318DEF37" w14:textId="77777777" w:rsidR="00AA69DA" w:rsidRPr="00107040" w:rsidRDefault="00AA69DA" w:rsidP="000C16BB">
      <w:pPr>
        <w:spacing w:after="0" w:line="240" w:lineRule="auto"/>
        <w:jc w:val="center"/>
        <w:rPr>
          <w:rFonts w:ascii="Times New Roman" w:eastAsia="MS Mincho" w:hAnsi="Times New Roman"/>
          <w:b/>
          <w:bCs/>
          <w:sz w:val="28"/>
          <w:szCs w:val="28"/>
          <w:lang w:val="ru-RU"/>
        </w:rPr>
      </w:pPr>
      <w:r w:rsidRPr="00107040">
        <w:rPr>
          <w:rFonts w:ascii="Times New Roman" w:eastAsia="MS Mincho" w:hAnsi="Times New Roman"/>
          <w:b/>
          <w:sz w:val="28"/>
          <w:szCs w:val="28"/>
          <w:lang w:val="ru-RU"/>
        </w:rPr>
        <w:lastRenderedPageBreak/>
        <w:t>ВЫВОДЫ</w:t>
      </w:r>
    </w:p>
    <w:p w14:paraId="2D1EEFEB" w14:textId="77777777" w:rsidR="00AA69DA" w:rsidRPr="00107040" w:rsidRDefault="00AA69DA" w:rsidP="000C16BB">
      <w:pPr>
        <w:spacing w:after="0" w:line="240" w:lineRule="auto"/>
        <w:ind w:firstLine="567"/>
        <w:jc w:val="both"/>
        <w:rPr>
          <w:rFonts w:ascii="Times New Roman" w:eastAsia="MS Mincho" w:hAnsi="Times New Roman"/>
          <w:bCs/>
          <w:kern w:val="32"/>
          <w:sz w:val="28"/>
          <w:szCs w:val="28"/>
          <w:lang w:val="ru-RU" w:eastAsia="fr-FR"/>
        </w:rPr>
      </w:pPr>
      <w:bookmarkStart w:id="83" w:name="_Hlk106534637"/>
    </w:p>
    <w:p w14:paraId="16E6C32B" w14:textId="77777777" w:rsidR="00AA69DA" w:rsidRPr="00107040" w:rsidRDefault="00AA69DA" w:rsidP="000C16BB">
      <w:pPr>
        <w:spacing w:after="0" w:line="240" w:lineRule="auto"/>
        <w:ind w:firstLine="567"/>
        <w:jc w:val="both"/>
        <w:rPr>
          <w:rFonts w:ascii="Times New Roman" w:hAnsi="Times New Roman"/>
          <w:bCs/>
          <w:sz w:val="28"/>
          <w:szCs w:val="28"/>
          <w:lang w:val="ru-RU"/>
        </w:rPr>
      </w:pPr>
      <w:r w:rsidRPr="00107040">
        <w:rPr>
          <w:rFonts w:ascii="Times New Roman" w:hAnsi="Times New Roman"/>
          <w:sz w:val="28"/>
          <w:szCs w:val="28"/>
          <w:lang w:val="ru-RU"/>
        </w:rPr>
        <w:t xml:space="preserve">1. </w:t>
      </w:r>
      <w:r w:rsidR="00E57C3D" w:rsidRPr="00107040">
        <w:rPr>
          <w:rFonts w:ascii="Times New Roman" w:hAnsi="Times New Roman"/>
          <w:sz w:val="28"/>
          <w:szCs w:val="28"/>
          <w:lang w:val="ru-RU"/>
        </w:rPr>
        <w:t>Установлено, что продуктом экспрессии генов AtPARP1, AtPARP2 и AtPARP3 являются глобулярные белки с молекулярной массой 111,2 кДа, 70,2 кДа, и 91,5 кДа соответственно</w:t>
      </w:r>
      <w:r w:rsidRPr="00107040">
        <w:rPr>
          <w:rFonts w:ascii="Times New Roman" w:hAnsi="Times New Roman"/>
          <w:sz w:val="28"/>
          <w:szCs w:val="28"/>
          <w:lang w:val="kk-KZ"/>
        </w:rPr>
        <w:t xml:space="preserve">. </w:t>
      </w:r>
    </w:p>
    <w:p w14:paraId="1D05B73D" w14:textId="4C44226A" w:rsidR="00AA69DA" w:rsidRPr="00107040" w:rsidRDefault="00AA69DA" w:rsidP="005E2443">
      <w:pPr>
        <w:spacing w:after="0" w:line="240" w:lineRule="auto"/>
        <w:ind w:firstLine="567"/>
        <w:jc w:val="both"/>
        <w:rPr>
          <w:rFonts w:ascii="Times New Roman" w:hAnsi="Times New Roman"/>
          <w:sz w:val="28"/>
          <w:szCs w:val="28"/>
          <w:lang w:val="ru-RU"/>
        </w:rPr>
      </w:pPr>
      <w:r w:rsidRPr="00107040">
        <w:rPr>
          <w:rFonts w:ascii="Times New Roman" w:hAnsi="Times New Roman"/>
          <w:bCs/>
          <w:sz w:val="28"/>
          <w:szCs w:val="28"/>
          <w:lang w:val="ru-RU"/>
        </w:rPr>
        <w:t xml:space="preserve">2. </w:t>
      </w:r>
      <w:r w:rsidR="00822B55" w:rsidRPr="00107040">
        <w:rPr>
          <w:rFonts w:ascii="Times New Roman" w:hAnsi="Times New Roman"/>
          <w:sz w:val="28"/>
          <w:szCs w:val="28"/>
          <w:lang w:val="ru-RU"/>
        </w:rPr>
        <w:t xml:space="preserve">Впервые показано, что очищенные рекомбинантные AtPARP1 и AtPARP2 </w:t>
      </w:r>
      <w:r w:rsidR="00822B55" w:rsidRPr="00107040">
        <w:rPr>
          <w:rFonts w:ascii="Times New Roman" w:hAnsi="Times New Roman"/>
          <w:i/>
          <w:sz w:val="28"/>
          <w:szCs w:val="28"/>
          <w:lang w:val="ru-RU"/>
        </w:rPr>
        <w:t>A. thaliana</w:t>
      </w:r>
      <w:r w:rsidR="00822B55" w:rsidRPr="00107040">
        <w:rPr>
          <w:rFonts w:ascii="Times New Roman" w:hAnsi="Times New Roman"/>
          <w:sz w:val="28"/>
          <w:szCs w:val="28"/>
          <w:lang w:val="ru-RU"/>
        </w:rPr>
        <w:t xml:space="preserve"> превращают дуплексы олигонуклеотидов ДНК в высокомолекулярные продукты в присутствии НАД</w:t>
      </w:r>
      <w:r w:rsidR="00822B55" w:rsidRPr="00107040">
        <w:rPr>
          <w:rFonts w:ascii="Times New Roman" w:hAnsi="Times New Roman"/>
          <w:sz w:val="28"/>
          <w:szCs w:val="28"/>
          <w:vertAlign w:val="superscript"/>
          <w:lang w:val="ru-RU"/>
        </w:rPr>
        <w:t>+</w:t>
      </w:r>
      <w:r w:rsidR="00822B55" w:rsidRPr="00107040">
        <w:rPr>
          <w:rFonts w:ascii="Times New Roman" w:hAnsi="Times New Roman"/>
          <w:sz w:val="28"/>
          <w:szCs w:val="28"/>
          <w:lang w:val="ru-RU"/>
        </w:rPr>
        <w:t xml:space="preserve"> за счет АДФ-рибозил трансферазной активности; AtPARP2 обладает более высокой активностью АДФ-рибозилирования по сравнению с AtPARP1; установлена зависимость продуктов АДФ-рибозилирования ДНК от наличия и концентрации НАД</w:t>
      </w:r>
      <w:r w:rsidR="00822B55" w:rsidRPr="00107040">
        <w:rPr>
          <w:rFonts w:ascii="Times New Roman" w:hAnsi="Times New Roman"/>
          <w:sz w:val="28"/>
          <w:szCs w:val="28"/>
          <w:vertAlign w:val="superscript"/>
          <w:lang w:val="ru-RU"/>
        </w:rPr>
        <w:t>+</w:t>
      </w:r>
      <w:r w:rsidR="00822B55" w:rsidRPr="00107040">
        <w:rPr>
          <w:rFonts w:ascii="Times New Roman" w:hAnsi="Times New Roman"/>
          <w:sz w:val="28"/>
          <w:szCs w:val="28"/>
          <w:lang w:val="ru-RU"/>
        </w:rPr>
        <w:t>.</w:t>
      </w:r>
      <w:r w:rsidR="00B60717">
        <w:rPr>
          <w:rFonts w:ascii="Times New Roman" w:hAnsi="Times New Roman"/>
          <w:sz w:val="28"/>
          <w:szCs w:val="28"/>
          <w:lang w:val="ru-RU"/>
        </w:rPr>
        <w:t xml:space="preserve"> </w:t>
      </w:r>
      <w:r w:rsidRPr="00107040">
        <w:rPr>
          <w:rFonts w:ascii="Times New Roman" w:hAnsi="Times New Roman"/>
          <w:sz w:val="28"/>
          <w:szCs w:val="28"/>
          <w:lang w:val="ru-RU"/>
        </w:rPr>
        <w:t xml:space="preserve">Впервые </w:t>
      </w:r>
      <w:r w:rsidR="002161A1" w:rsidRPr="00107040">
        <w:rPr>
          <w:rFonts w:ascii="Times New Roman" w:hAnsi="Times New Roman"/>
          <w:sz w:val="28"/>
          <w:szCs w:val="28"/>
          <w:lang w:val="ru-RU"/>
        </w:rPr>
        <w:t>проедемонстрировано</w:t>
      </w:r>
      <w:r w:rsidRPr="00107040">
        <w:rPr>
          <w:rFonts w:ascii="Times New Roman" w:hAnsi="Times New Roman"/>
          <w:sz w:val="28"/>
          <w:szCs w:val="28"/>
          <w:lang w:val="ru-RU"/>
        </w:rPr>
        <w:t xml:space="preserve">, что эффективность катализируемого AtPARP1 и AtPARP2 образования продуктов ПАР-ДНК сильно зависят от структуры ДНК дуплекса. AtPARP1 предпочтительно модифицирует дуплексы с выступающей цепью, в меньшей степени, ДНК дуплексы с разрывом и брешью, тогда как AtPARP2 предпочитает дуплексы с разрывом и брешью по сравнению с ДНК субстратом c выступающей цепью. </w:t>
      </w:r>
      <w:r w:rsidR="005E2443" w:rsidRPr="00107040">
        <w:rPr>
          <w:rFonts w:ascii="Times New Roman" w:hAnsi="Times New Roman"/>
          <w:sz w:val="28"/>
          <w:szCs w:val="28"/>
          <w:lang w:val="ru-RU"/>
        </w:rPr>
        <w:t>Впервые проиллюстрировано, что AtPARP3 не проявляет типичный для PARP ферментов АДФ-рибозилирующую активность, несмотря на его структурное сходство с PARP3 и PARP1 млекопитающих. Удаление аутоингибиторного и N-концевого BRCT-доменов для конститутивной гиперактивации AtPARP3 не приводило к восстановлению АДФ-рибозил трансферазной активности, что предполагает, что AtPARP3 у растений мог эволюционировать для выполнения другой функций.</w:t>
      </w:r>
      <w:r w:rsidR="005E2443">
        <w:rPr>
          <w:rFonts w:ascii="Times New Roman" w:hAnsi="Times New Roman"/>
          <w:sz w:val="28"/>
          <w:szCs w:val="28"/>
          <w:lang w:val="ru-RU"/>
        </w:rPr>
        <w:t xml:space="preserve"> </w:t>
      </w:r>
    </w:p>
    <w:p w14:paraId="7F53570E" w14:textId="57E7988A" w:rsidR="00AA69DA" w:rsidRPr="00107040" w:rsidRDefault="005E2443" w:rsidP="000C16BB">
      <w:pPr>
        <w:spacing w:after="0" w:line="240" w:lineRule="auto"/>
        <w:ind w:firstLine="567"/>
        <w:jc w:val="both"/>
        <w:rPr>
          <w:rFonts w:ascii="Times New Roman" w:hAnsi="Times New Roman"/>
          <w:bCs/>
          <w:sz w:val="28"/>
          <w:szCs w:val="28"/>
          <w:lang w:val="ru-RU"/>
        </w:rPr>
      </w:pPr>
      <w:r>
        <w:rPr>
          <w:rFonts w:ascii="Times New Roman" w:hAnsi="Times New Roman"/>
          <w:bCs/>
          <w:sz w:val="28"/>
          <w:szCs w:val="28"/>
          <w:lang w:val="ru-RU"/>
        </w:rPr>
        <w:t>3</w:t>
      </w:r>
      <w:r w:rsidR="00AA69DA" w:rsidRPr="00107040">
        <w:rPr>
          <w:rFonts w:ascii="Times New Roman" w:hAnsi="Times New Roman"/>
          <w:bCs/>
          <w:sz w:val="28"/>
          <w:szCs w:val="28"/>
          <w:lang w:val="ru-RU"/>
        </w:rPr>
        <w:t xml:space="preserve">. </w:t>
      </w:r>
      <w:r w:rsidR="00E57C3D" w:rsidRPr="00107040">
        <w:rPr>
          <w:rFonts w:ascii="Times New Roman" w:hAnsi="Times New Roman"/>
          <w:bCs/>
          <w:sz w:val="28"/>
          <w:szCs w:val="28"/>
          <w:lang w:val="ru-RU"/>
        </w:rPr>
        <w:t xml:space="preserve">Установлено, что PARP человека и растений имеют общую консервативную каталитическую триаду H-Y-E: каталитическая триада PARP1 человека (H862-Y896-E988) соответствует таковой для AtPARP1 (H833-Y867-E960) и AtPARP2 (H486-Y520-E614) </w:t>
      </w:r>
      <w:r w:rsidR="00E57C3D" w:rsidRPr="00107040">
        <w:rPr>
          <w:rFonts w:ascii="Times New Roman" w:hAnsi="Times New Roman"/>
          <w:bCs/>
          <w:i/>
          <w:sz w:val="28"/>
          <w:szCs w:val="28"/>
          <w:lang w:val="ru-RU"/>
        </w:rPr>
        <w:t>Arabidopsis thaliana</w:t>
      </w:r>
      <w:r w:rsidR="00E57C3D" w:rsidRPr="00107040">
        <w:rPr>
          <w:rFonts w:ascii="Times New Roman" w:hAnsi="Times New Roman"/>
          <w:bCs/>
          <w:sz w:val="28"/>
          <w:szCs w:val="28"/>
          <w:lang w:val="ru-RU"/>
        </w:rPr>
        <w:t>. Полученные с помощью сайт-направленного мутагенеза мутантные формы ферментов АtPARP1</w:t>
      </w:r>
      <w:r w:rsidR="00E57C3D" w:rsidRPr="00107040">
        <w:rPr>
          <w:rFonts w:ascii="Times New Roman" w:hAnsi="Times New Roman"/>
          <w:bCs/>
          <w:sz w:val="28"/>
          <w:szCs w:val="28"/>
          <w:vertAlign w:val="superscript"/>
          <w:lang w:val="ru-RU"/>
        </w:rPr>
        <w:t xml:space="preserve">E960K, E960Q </w:t>
      </w:r>
      <w:r w:rsidR="00E57C3D" w:rsidRPr="00107040">
        <w:rPr>
          <w:rFonts w:ascii="Times New Roman" w:hAnsi="Times New Roman"/>
          <w:bCs/>
          <w:sz w:val="28"/>
          <w:szCs w:val="28"/>
          <w:lang w:val="ru-RU"/>
        </w:rPr>
        <w:t>и AtPARP2</w:t>
      </w:r>
      <w:r w:rsidR="00E57C3D" w:rsidRPr="00107040">
        <w:rPr>
          <w:rFonts w:ascii="Times New Roman" w:hAnsi="Times New Roman"/>
          <w:bCs/>
          <w:sz w:val="28"/>
          <w:szCs w:val="28"/>
          <w:vertAlign w:val="superscript"/>
          <w:lang w:val="ru-RU"/>
        </w:rPr>
        <w:t>E614K</w:t>
      </w:r>
      <w:r w:rsidR="00E57C3D" w:rsidRPr="00107040">
        <w:rPr>
          <w:rFonts w:ascii="Times New Roman" w:hAnsi="Times New Roman"/>
          <w:bCs/>
          <w:sz w:val="28"/>
          <w:szCs w:val="28"/>
          <w:lang w:val="ru-RU"/>
        </w:rPr>
        <w:t xml:space="preserve"> проявили сильно сниженную поли (АДФ)-рибозилирующую ДНК активность, как и соответствующие мутантные варианты фермента млекопитающих. Полученные неактивные формы ферментов растений проявили активность МАРилирования ДНК, что указывает на необходимость высококонсервативного остатка глутаминовой кислоты в каталитической триаде AtPARP1 и AtPARP2 для проявления поли (АДФ)-рибозилирующей ДНК активности</w:t>
      </w:r>
      <w:r w:rsidR="00AA69DA" w:rsidRPr="00107040">
        <w:rPr>
          <w:rFonts w:ascii="Times New Roman" w:hAnsi="Times New Roman"/>
          <w:bCs/>
          <w:sz w:val="28"/>
          <w:szCs w:val="28"/>
          <w:lang w:val="ru-RU"/>
        </w:rPr>
        <w:t>.</w:t>
      </w:r>
    </w:p>
    <w:p w14:paraId="3B3FA142" w14:textId="066BEC68" w:rsidR="00AA69DA" w:rsidRPr="00107040" w:rsidRDefault="005E2443" w:rsidP="000C16BB">
      <w:pPr>
        <w:spacing w:after="0" w:line="240" w:lineRule="auto"/>
        <w:ind w:firstLine="567"/>
        <w:jc w:val="both"/>
        <w:rPr>
          <w:rFonts w:ascii="Times New Roman" w:hAnsi="Times New Roman"/>
          <w:bCs/>
          <w:sz w:val="28"/>
          <w:szCs w:val="28"/>
          <w:lang w:val="ru-RU"/>
        </w:rPr>
      </w:pPr>
      <w:r>
        <w:rPr>
          <w:rFonts w:ascii="Times New Roman" w:hAnsi="Times New Roman"/>
          <w:bCs/>
          <w:sz w:val="28"/>
          <w:szCs w:val="28"/>
          <w:lang w:val="ru-RU"/>
        </w:rPr>
        <w:t>4</w:t>
      </w:r>
      <w:r w:rsidR="00AA69DA" w:rsidRPr="00107040">
        <w:rPr>
          <w:rFonts w:ascii="Times New Roman" w:hAnsi="Times New Roman"/>
          <w:bCs/>
          <w:sz w:val="28"/>
          <w:szCs w:val="28"/>
          <w:lang w:val="ru-RU"/>
        </w:rPr>
        <w:t xml:space="preserve">. Биохимический анализ структуры и состава аддуктов ПАР-ДНК, генерируемых AtPARP1 и AtPARP2, показал, что, как и их аналоги у млекопитающих, AtPARP ферменты используют 5'-концевые фосфаты ДНК в качестве акцепторного остатка для ковалентного присоединения звена AДФ-рибозы для синтеза поли(АДФ-рибозы). </w:t>
      </w:r>
    </w:p>
    <w:p w14:paraId="6E4F8C9D" w14:textId="481EC292" w:rsidR="00FE3479" w:rsidRPr="00E11A5F" w:rsidRDefault="005E2443" w:rsidP="000C16BB">
      <w:pPr>
        <w:spacing w:after="0" w:line="240" w:lineRule="auto"/>
        <w:ind w:firstLine="567"/>
        <w:jc w:val="both"/>
        <w:rPr>
          <w:rFonts w:ascii="Times New Roman" w:hAnsi="Times New Roman"/>
          <w:bCs/>
          <w:sz w:val="28"/>
          <w:szCs w:val="28"/>
          <w:lang w:val="ru-RU"/>
        </w:rPr>
      </w:pPr>
      <w:r>
        <w:rPr>
          <w:rFonts w:ascii="Times New Roman" w:hAnsi="Times New Roman"/>
          <w:bCs/>
          <w:sz w:val="28"/>
          <w:szCs w:val="28"/>
          <w:lang w:val="ru-RU"/>
        </w:rPr>
        <w:t>5</w:t>
      </w:r>
      <w:r w:rsidR="00AA69DA" w:rsidRPr="00107040">
        <w:rPr>
          <w:rFonts w:ascii="Times New Roman" w:hAnsi="Times New Roman"/>
          <w:bCs/>
          <w:sz w:val="28"/>
          <w:szCs w:val="28"/>
          <w:lang w:val="ru-RU"/>
        </w:rPr>
        <w:t>. Выявлен молекулярный механизм AtPARP катализируемого АДФ-рибозилирования ДНК, путем идентификации продуктов деградации ПАР-ДНК с помощью Nudix, NUDT16 гидролазы человека. Показано, что AtPARP ферменты переносят звено АДФ-рибозы к концевому фосфатному остатку ДНК на концах разрыва цепи для образования фосфодиэфирной связи между 5</w:t>
      </w:r>
      <w:r w:rsidR="00AA69DA" w:rsidRPr="00107040">
        <w:rPr>
          <w:rFonts w:ascii="Times New Roman" w:eastAsia="MS Mincho" w:hAnsi="Times New Roman"/>
          <w:sz w:val="28"/>
          <w:szCs w:val="28"/>
          <w:lang w:val="ru-RU" w:eastAsia="ja-JP"/>
        </w:rPr>
        <w:t>'</w:t>
      </w:r>
      <w:r w:rsidR="00AA69DA" w:rsidRPr="00107040">
        <w:rPr>
          <w:rFonts w:ascii="Times New Roman" w:hAnsi="Times New Roman"/>
          <w:bCs/>
          <w:sz w:val="28"/>
          <w:szCs w:val="28"/>
          <w:lang w:val="ru-RU"/>
        </w:rPr>
        <w:t xml:space="preserve">P ДНК </w:t>
      </w:r>
      <w:r w:rsidR="00AA69DA" w:rsidRPr="00107040">
        <w:rPr>
          <w:rFonts w:ascii="Times New Roman" w:hAnsi="Times New Roman"/>
          <w:bCs/>
          <w:sz w:val="28"/>
          <w:szCs w:val="28"/>
          <w:lang w:val="ru-RU"/>
        </w:rPr>
        <w:lastRenderedPageBreak/>
        <w:t>и C1</w:t>
      </w:r>
      <w:r w:rsidR="00AA69DA" w:rsidRPr="00107040">
        <w:rPr>
          <w:rFonts w:ascii="Times New Roman" w:eastAsia="MS Mincho" w:hAnsi="Times New Roman"/>
          <w:sz w:val="28"/>
          <w:szCs w:val="28"/>
          <w:lang w:val="ru-RU" w:eastAsia="ja-JP"/>
        </w:rPr>
        <w:t>'</w:t>
      </w:r>
      <w:r w:rsidR="00AA69DA" w:rsidRPr="00107040">
        <w:rPr>
          <w:rFonts w:ascii="Times New Roman" w:hAnsi="Times New Roman"/>
          <w:bCs/>
          <w:sz w:val="28"/>
          <w:szCs w:val="28"/>
          <w:lang w:val="ru-RU"/>
        </w:rPr>
        <w:t xml:space="preserve"> АДФ-рибозы. Предполагаемая молекулярная структура аддукта АДФ-рибоза-p-ДНК была дополнительно подтверждена с помощью </w:t>
      </w:r>
      <w:r w:rsidR="00AA69DA" w:rsidRPr="00107040">
        <w:rPr>
          <w:rFonts w:ascii="Times New Roman" w:hAnsi="Times New Roman"/>
          <w:bCs/>
          <w:sz w:val="28"/>
          <w:szCs w:val="28"/>
          <w:lang w:val="en-US"/>
        </w:rPr>
        <w:t>MALDI</w:t>
      </w:r>
      <w:r w:rsidR="00AA69DA" w:rsidRPr="00E11A5F">
        <w:rPr>
          <w:rFonts w:ascii="Times New Roman" w:hAnsi="Times New Roman"/>
          <w:bCs/>
          <w:sz w:val="28"/>
          <w:szCs w:val="28"/>
          <w:lang w:val="ru-RU"/>
        </w:rPr>
        <w:t>-</w:t>
      </w:r>
      <w:r w:rsidR="00AA69DA" w:rsidRPr="00107040">
        <w:rPr>
          <w:rFonts w:ascii="Times New Roman" w:hAnsi="Times New Roman"/>
          <w:bCs/>
          <w:sz w:val="28"/>
          <w:szCs w:val="28"/>
          <w:lang w:val="en-US"/>
        </w:rPr>
        <w:t>TOF</w:t>
      </w:r>
      <w:r w:rsidR="00AA69DA" w:rsidRPr="00E11A5F">
        <w:rPr>
          <w:rFonts w:ascii="Times New Roman" w:hAnsi="Times New Roman"/>
          <w:bCs/>
          <w:sz w:val="28"/>
          <w:szCs w:val="28"/>
          <w:lang w:val="ru-RU"/>
        </w:rPr>
        <w:t xml:space="preserve"> </w:t>
      </w:r>
      <w:r w:rsidR="00AA69DA" w:rsidRPr="00107040">
        <w:rPr>
          <w:rFonts w:ascii="Times New Roman" w:hAnsi="Times New Roman"/>
          <w:bCs/>
          <w:sz w:val="28"/>
          <w:szCs w:val="28"/>
          <w:lang w:val="en-US"/>
        </w:rPr>
        <w:t>MS</w:t>
      </w:r>
      <w:r w:rsidR="00AA69DA" w:rsidRPr="00E11A5F">
        <w:rPr>
          <w:rFonts w:ascii="Times New Roman" w:hAnsi="Times New Roman"/>
          <w:bCs/>
          <w:sz w:val="28"/>
          <w:szCs w:val="28"/>
          <w:lang w:val="ru-RU"/>
        </w:rPr>
        <w:t>-</w:t>
      </w:r>
      <w:r w:rsidR="00AA69DA" w:rsidRPr="00107040">
        <w:rPr>
          <w:rFonts w:ascii="Times New Roman" w:hAnsi="Times New Roman"/>
          <w:bCs/>
          <w:sz w:val="28"/>
          <w:szCs w:val="28"/>
          <w:lang w:val="ru-RU"/>
        </w:rPr>
        <w:t>анализа</w:t>
      </w:r>
      <w:r w:rsidR="00AA69DA" w:rsidRPr="00E11A5F">
        <w:rPr>
          <w:rFonts w:ascii="Times New Roman" w:hAnsi="Times New Roman"/>
          <w:bCs/>
          <w:sz w:val="28"/>
          <w:szCs w:val="28"/>
          <w:lang w:val="ru-RU"/>
        </w:rPr>
        <w:t xml:space="preserve"> </w:t>
      </w:r>
      <w:r w:rsidR="00AA69DA" w:rsidRPr="00107040">
        <w:rPr>
          <w:rFonts w:ascii="Times New Roman" w:hAnsi="Times New Roman"/>
          <w:bCs/>
          <w:sz w:val="28"/>
          <w:szCs w:val="28"/>
          <w:lang w:val="en-US"/>
        </w:rPr>
        <w:t>A</w:t>
      </w:r>
      <w:r w:rsidR="00AA69DA" w:rsidRPr="00107040">
        <w:rPr>
          <w:rFonts w:ascii="Times New Roman" w:hAnsi="Times New Roman"/>
          <w:bCs/>
          <w:sz w:val="28"/>
          <w:szCs w:val="28"/>
          <w:lang w:val="ru-RU"/>
        </w:rPr>
        <w:t>ДФ</w:t>
      </w:r>
      <w:r w:rsidR="00AA69DA" w:rsidRPr="00E11A5F">
        <w:rPr>
          <w:rFonts w:ascii="Times New Roman" w:hAnsi="Times New Roman"/>
          <w:bCs/>
          <w:sz w:val="28"/>
          <w:szCs w:val="28"/>
          <w:lang w:val="ru-RU"/>
        </w:rPr>
        <w:t>-</w:t>
      </w:r>
      <w:r w:rsidR="00AA69DA" w:rsidRPr="00107040">
        <w:rPr>
          <w:rFonts w:ascii="Times New Roman" w:hAnsi="Times New Roman"/>
          <w:bCs/>
          <w:sz w:val="28"/>
          <w:szCs w:val="28"/>
          <w:lang w:val="ru-RU"/>
        </w:rPr>
        <w:t>рибозилированных</w:t>
      </w:r>
      <w:r w:rsidR="00AA69DA" w:rsidRPr="00E11A5F">
        <w:rPr>
          <w:rFonts w:ascii="Times New Roman" w:hAnsi="Times New Roman"/>
          <w:bCs/>
          <w:sz w:val="28"/>
          <w:szCs w:val="28"/>
          <w:lang w:val="ru-RU"/>
        </w:rPr>
        <w:t xml:space="preserve"> </w:t>
      </w:r>
      <w:r w:rsidR="00AA69DA" w:rsidRPr="00107040">
        <w:rPr>
          <w:rFonts w:ascii="Times New Roman" w:hAnsi="Times New Roman"/>
          <w:bCs/>
          <w:sz w:val="28"/>
          <w:szCs w:val="28"/>
          <w:lang w:val="ru-RU"/>
        </w:rPr>
        <w:t>фрагментов</w:t>
      </w:r>
      <w:r w:rsidR="00AA69DA" w:rsidRPr="00E11A5F">
        <w:rPr>
          <w:rFonts w:ascii="Times New Roman" w:hAnsi="Times New Roman"/>
          <w:bCs/>
          <w:sz w:val="28"/>
          <w:szCs w:val="28"/>
          <w:lang w:val="ru-RU"/>
        </w:rPr>
        <w:t xml:space="preserve"> </w:t>
      </w:r>
      <w:r w:rsidR="00AA69DA" w:rsidRPr="00107040">
        <w:rPr>
          <w:rFonts w:ascii="Times New Roman" w:hAnsi="Times New Roman"/>
          <w:bCs/>
          <w:sz w:val="28"/>
          <w:szCs w:val="28"/>
          <w:lang w:val="ru-RU"/>
        </w:rPr>
        <w:t>ДНК</w:t>
      </w:r>
      <w:r w:rsidR="00AA69DA" w:rsidRPr="00E11A5F">
        <w:rPr>
          <w:rFonts w:ascii="Times New Roman" w:hAnsi="Times New Roman"/>
          <w:bCs/>
          <w:sz w:val="28"/>
          <w:szCs w:val="28"/>
          <w:lang w:val="ru-RU"/>
        </w:rPr>
        <w:t>.</w:t>
      </w:r>
      <w:bookmarkEnd w:id="0"/>
      <w:bookmarkEnd w:id="83"/>
    </w:p>
    <w:p w14:paraId="2C489BC3" w14:textId="6CCF5A88" w:rsidR="005E2443" w:rsidRPr="00107040" w:rsidRDefault="005E2443" w:rsidP="005E2443">
      <w:pPr>
        <w:spacing w:after="0" w:line="240" w:lineRule="auto"/>
        <w:ind w:firstLine="567"/>
        <w:jc w:val="both"/>
        <w:rPr>
          <w:rFonts w:ascii="Times New Roman" w:eastAsia="MS Mincho" w:hAnsi="Times New Roman"/>
          <w:sz w:val="28"/>
          <w:szCs w:val="28"/>
          <w:lang w:val="ru-RU" w:eastAsia="ja-JP"/>
        </w:rPr>
      </w:pPr>
      <w:r>
        <w:rPr>
          <w:rFonts w:ascii="Times New Roman" w:hAnsi="Times New Roman"/>
          <w:bCs/>
          <w:sz w:val="28"/>
          <w:szCs w:val="28"/>
          <w:lang w:val="ru-RU"/>
        </w:rPr>
        <w:t xml:space="preserve">6. </w:t>
      </w:r>
      <w:r w:rsidR="00836313">
        <w:rPr>
          <w:rFonts w:ascii="Times New Roman" w:eastAsia="MS Mincho" w:hAnsi="Times New Roman"/>
          <w:sz w:val="28"/>
          <w:szCs w:val="28"/>
          <w:lang w:val="ru-RU" w:eastAsia="ja-JP"/>
        </w:rPr>
        <w:t>К</w:t>
      </w:r>
      <w:r w:rsidRPr="00107040">
        <w:rPr>
          <w:rFonts w:ascii="Times New Roman" w:eastAsia="MS Mincho" w:hAnsi="Times New Roman"/>
          <w:sz w:val="28"/>
          <w:szCs w:val="28"/>
          <w:lang w:val="ru-RU" w:eastAsia="ja-JP"/>
        </w:rPr>
        <w:t xml:space="preserve">оммерческие моноклональные антитела против </w:t>
      </w:r>
      <w:r w:rsidRPr="00107040">
        <w:rPr>
          <w:rFonts w:ascii="Times New Roman" w:eastAsia="MS Mincho" w:hAnsi="Times New Roman"/>
          <w:sz w:val="28"/>
          <w:szCs w:val="28"/>
          <w:lang w:val="kk-KZ" w:eastAsia="ja-JP"/>
        </w:rPr>
        <w:t>ПАР</w:t>
      </w:r>
      <w:r w:rsidRPr="00107040">
        <w:rPr>
          <w:rFonts w:ascii="Times New Roman" w:eastAsia="MS Mincho" w:hAnsi="Times New Roman"/>
          <w:sz w:val="28"/>
          <w:szCs w:val="28"/>
          <w:lang w:val="ru-RU" w:eastAsia="ja-JP"/>
        </w:rPr>
        <w:t xml:space="preserve"> распознают гДНК, выделенную как из контрольных необработанных, так и из обработанных блеомицином растений, а также растений дикого типа и растений мутантными по генам </w:t>
      </w:r>
      <w:r w:rsidRPr="00107040">
        <w:rPr>
          <w:rFonts w:ascii="Times New Roman" w:eastAsia="MS Mincho" w:hAnsi="Times New Roman"/>
          <w:sz w:val="28"/>
          <w:szCs w:val="28"/>
          <w:lang w:val="en-GB" w:eastAsia="ja-JP"/>
        </w:rPr>
        <w:t>PARP</w:t>
      </w:r>
      <w:r w:rsidR="00836313">
        <w:rPr>
          <w:rFonts w:ascii="Times New Roman" w:eastAsia="MS Mincho" w:hAnsi="Times New Roman"/>
          <w:sz w:val="28"/>
          <w:szCs w:val="28"/>
          <w:lang w:val="ru-RU" w:eastAsia="ja-JP"/>
        </w:rPr>
        <w:t>.</w:t>
      </w:r>
    </w:p>
    <w:p w14:paraId="7B3B8EA2" w14:textId="5C94EB96" w:rsidR="005E2443" w:rsidRPr="00107040" w:rsidRDefault="005E2443" w:rsidP="005E2443">
      <w:pPr>
        <w:spacing w:after="0" w:line="240" w:lineRule="auto"/>
        <w:ind w:firstLine="567"/>
        <w:jc w:val="both"/>
        <w:rPr>
          <w:rFonts w:ascii="Times New Roman" w:eastAsia="MS Mincho" w:hAnsi="Times New Roman"/>
          <w:sz w:val="28"/>
          <w:szCs w:val="28"/>
          <w:lang w:val="ru-RU" w:eastAsia="ja-JP"/>
        </w:rPr>
      </w:pPr>
    </w:p>
    <w:p w14:paraId="069A5FD9" w14:textId="75313141" w:rsidR="00107040" w:rsidRPr="00E11A5F" w:rsidRDefault="00107040" w:rsidP="000C16BB">
      <w:pPr>
        <w:spacing w:after="0" w:line="240" w:lineRule="auto"/>
        <w:ind w:firstLine="567"/>
        <w:jc w:val="both"/>
        <w:rPr>
          <w:rFonts w:ascii="Times New Roman" w:hAnsi="Times New Roman"/>
          <w:bCs/>
          <w:sz w:val="28"/>
          <w:szCs w:val="28"/>
          <w:lang w:val="ru-RU"/>
        </w:rPr>
      </w:pPr>
    </w:p>
    <w:p w14:paraId="3BD3F8DA" w14:textId="4DFE8F3F" w:rsidR="00107040" w:rsidRPr="00E11A5F" w:rsidRDefault="00107040" w:rsidP="000C16BB">
      <w:pPr>
        <w:spacing w:after="0" w:line="240" w:lineRule="auto"/>
        <w:ind w:firstLine="567"/>
        <w:jc w:val="both"/>
        <w:rPr>
          <w:rFonts w:ascii="Times New Roman" w:hAnsi="Times New Roman"/>
          <w:bCs/>
          <w:sz w:val="28"/>
          <w:szCs w:val="28"/>
          <w:lang w:val="ru-RU"/>
        </w:rPr>
      </w:pPr>
    </w:p>
    <w:p w14:paraId="39CA4BBD" w14:textId="20C8620F" w:rsidR="00107040" w:rsidRPr="00E11A5F" w:rsidRDefault="00107040" w:rsidP="000C16BB">
      <w:pPr>
        <w:spacing w:after="0" w:line="240" w:lineRule="auto"/>
        <w:ind w:firstLine="567"/>
        <w:jc w:val="both"/>
        <w:rPr>
          <w:rFonts w:ascii="Times New Roman" w:hAnsi="Times New Roman"/>
          <w:bCs/>
          <w:sz w:val="28"/>
          <w:szCs w:val="28"/>
          <w:lang w:val="ru-RU"/>
        </w:rPr>
      </w:pPr>
    </w:p>
    <w:p w14:paraId="4266AF78" w14:textId="78665626" w:rsidR="00107040" w:rsidRPr="00E11A5F" w:rsidRDefault="00107040" w:rsidP="000C16BB">
      <w:pPr>
        <w:spacing w:after="0" w:line="240" w:lineRule="auto"/>
        <w:ind w:firstLine="567"/>
        <w:jc w:val="both"/>
        <w:rPr>
          <w:rFonts w:ascii="Times New Roman" w:hAnsi="Times New Roman"/>
          <w:bCs/>
          <w:sz w:val="28"/>
          <w:szCs w:val="28"/>
          <w:lang w:val="ru-RU"/>
        </w:rPr>
      </w:pPr>
    </w:p>
    <w:p w14:paraId="0903DB8E" w14:textId="740A91DA" w:rsidR="00107040" w:rsidRPr="00E11A5F" w:rsidRDefault="00107040" w:rsidP="000C16BB">
      <w:pPr>
        <w:spacing w:after="0" w:line="240" w:lineRule="auto"/>
        <w:ind w:firstLine="567"/>
        <w:jc w:val="both"/>
        <w:rPr>
          <w:rFonts w:ascii="Times New Roman" w:hAnsi="Times New Roman"/>
          <w:bCs/>
          <w:sz w:val="28"/>
          <w:szCs w:val="28"/>
          <w:lang w:val="ru-RU"/>
        </w:rPr>
      </w:pPr>
    </w:p>
    <w:p w14:paraId="548A4C09" w14:textId="5893C837" w:rsidR="00107040" w:rsidRPr="00E11A5F" w:rsidRDefault="00107040" w:rsidP="000C16BB">
      <w:pPr>
        <w:spacing w:after="0" w:line="240" w:lineRule="auto"/>
        <w:ind w:firstLine="567"/>
        <w:jc w:val="both"/>
        <w:rPr>
          <w:rFonts w:ascii="Times New Roman" w:hAnsi="Times New Roman"/>
          <w:bCs/>
          <w:sz w:val="28"/>
          <w:szCs w:val="28"/>
          <w:lang w:val="ru-RU"/>
        </w:rPr>
      </w:pPr>
    </w:p>
    <w:p w14:paraId="3874C2BE" w14:textId="725FC7EA" w:rsidR="00107040" w:rsidRPr="00E11A5F" w:rsidRDefault="00107040" w:rsidP="000C16BB">
      <w:pPr>
        <w:spacing w:after="0" w:line="240" w:lineRule="auto"/>
        <w:ind w:firstLine="567"/>
        <w:jc w:val="both"/>
        <w:rPr>
          <w:rFonts w:ascii="Times New Roman" w:hAnsi="Times New Roman"/>
          <w:bCs/>
          <w:sz w:val="28"/>
          <w:szCs w:val="28"/>
          <w:lang w:val="ru-RU"/>
        </w:rPr>
      </w:pPr>
    </w:p>
    <w:p w14:paraId="5F85547E" w14:textId="1907429D" w:rsidR="00107040" w:rsidRPr="00E11A5F" w:rsidRDefault="00107040" w:rsidP="000C16BB">
      <w:pPr>
        <w:spacing w:after="0" w:line="240" w:lineRule="auto"/>
        <w:ind w:firstLine="567"/>
        <w:jc w:val="both"/>
        <w:rPr>
          <w:rFonts w:ascii="Times New Roman" w:hAnsi="Times New Roman"/>
          <w:bCs/>
          <w:sz w:val="28"/>
          <w:szCs w:val="28"/>
          <w:lang w:val="ru-RU"/>
        </w:rPr>
      </w:pPr>
    </w:p>
    <w:p w14:paraId="46933689" w14:textId="189FF3C6" w:rsidR="00107040" w:rsidRPr="00E11A5F" w:rsidRDefault="00107040" w:rsidP="000C16BB">
      <w:pPr>
        <w:spacing w:after="0" w:line="240" w:lineRule="auto"/>
        <w:ind w:firstLine="567"/>
        <w:jc w:val="both"/>
        <w:rPr>
          <w:rFonts w:ascii="Times New Roman" w:hAnsi="Times New Roman"/>
          <w:bCs/>
          <w:sz w:val="28"/>
          <w:szCs w:val="28"/>
          <w:lang w:val="ru-RU"/>
        </w:rPr>
      </w:pPr>
    </w:p>
    <w:p w14:paraId="4B57A9C7" w14:textId="7D190FA1" w:rsidR="00107040" w:rsidRPr="00E11A5F" w:rsidRDefault="00107040" w:rsidP="000C16BB">
      <w:pPr>
        <w:spacing w:after="0" w:line="240" w:lineRule="auto"/>
        <w:ind w:firstLine="567"/>
        <w:jc w:val="both"/>
        <w:rPr>
          <w:rFonts w:ascii="Times New Roman" w:hAnsi="Times New Roman"/>
          <w:bCs/>
          <w:sz w:val="28"/>
          <w:szCs w:val="28"/>
          <w:lang w:val="ru-RU"/>
        </w:rPr>
      </w:pPr>
    </w:p>
    <w:p w14:paraId="4579999C" w14:textId="6506D4E7" w:rsidR="00107040" w:rsidRPr="00E11A5F" w:rsidRDefault="00107040" w:rsidP="000C16BB">
      <w:pPr>
        <w:spacing w:after="0" w:line="240" w:lineRule="auto"/>
        <w:ind w:firstLine="567"/>
        <w:jc w:val="both"/>
        <w:rPr>
          <w:rFonts w:ascii="Times New Roman" w:hAnsi="Times New Roman"/>
          <w:bCs/>
          <w:sz w:val="28"/>
          <w:szCs w:val="28"/>
          <w:lang w:val="ru-RU"/>
        </w:rPr>
      </w:pPr>
    </w:p>
    <w:p w14:paraId="52229CF3" w14:textId="14EBF9DC" w:rsidR="00107040" w:rsidRPr="00E11A5F" w:rsidRDefault="00107040" w:rsidP="000C16BB">
      <w:pPr>
        <w:spacing w:after="0" w:line="240" w:lineRule="auto"/>
        <w:ind w:firstLine="567"/>
        <w:jc w:val="both"/>
        <w:rPr>
          <w:rFonts w:ascii="Times New Roman" w:hAnsi="Times New Roman"/>
          <w:bCs/>
          <w:sz w:val="28"/>
          <w:szCs w:val="28"/>
          <w:lang w:val="ru-RU"/>
        </w:rPr>
      </w:pPr>
    </w:p>
    <w:p w14:paraId="3BDD2FC2" w14:textId="2F7E0037" w:rsidR="00107040" w:rsidRPr="00E11A5F" w:rsidRDefault="00107040" w:rsidP="000C16BB">
      <w:pPr>
        <w:spacing w:after="0" w:line="240" w:lineRule="auto"/>
        <w:ind w:firstLine="567"/>
        <w:jc w:val="both"/>
        <w:rPr>
          <w:rFonts w:ascii="Times New Roman" w:hAnsi="Times New Roman"/>
          <w:bCs/>
          <w:sz w:val="28"/>
          <w:szCs w:val="28"/>
          <w:lang w:val="ru-RU"/>
        </w:rPr>
      </w:pPr>
    </w:p>
    <w:p w14:paraId="0FDB168D" w14:textId="62FCC728" w:rsidR="00107040" w:rsidRPr="00E11A5F" w:rsidRDefault="00107040" w:rsidP="000C16BB">
      <w:pPr>
        <w:spacing w:after="0" w:line="240" w:lineRule="auto"/>
        <w:ind w:firstLine="567"/>
        <w:jc w:val="both"/>
        <w:rPr>
          <w:rFonts w:ascii="Times New Roman" w:hAnsi="Times New Roman"/>
          <w:bCs/>
          <w:sz w:val="28"/>
          <w:szCs w:val="28"/>
          <w:lang w:val="ru-RU"/>
        </w:rPr>
      </w:pPr>
    </w:p>
    <w:p w14:paraId="1671429E" w14:textId="12156F42" w:rsidR="00107040" w:rsidRPr="00E11A5F" w:rsidRDefault="00107040" w:rsidP="000C16BB">
      <w:pPr>
        <w:spacing w:after="0" w:line="240" w:lineRule="auto"/>
        <w:ind w:firstLine="567"/>
        <w:jc w:val="both"/>
        <w:rPr>
          <w:rFonts w:ascii="Times New Roman" w:hAnsi="Times New Roman"/>
          <w:bCs/>
          <w:sz w:val="28"/>
          <w:szCs w:val="28"/>
          <w:lang w:val="ru-RU"/>
        </w:rPr>
      </w:pPr>
    </w:p>
    <w:p w14:paraId="5B59F1DE" w14:textId="24A0C903" w:rsidR="00107040" w:rsidRPr="00E11A5F" w:rsidRDefault="00107040" w:rsidP="000C16BB">
      <w:pPr>
        <w:spacing w:after="0" w:line="240" w:lineRule="auto"/>
        <w:ind w:firstLine="567"/>
        <w:jc w:val="both"/>
        <w:rPr>
          <w:rFonts w:ascii="Times New Roman" w:hAnsi="Times New Roman"/>
          <w:bCs/>
          <w:sz w:val="28"/>
          <w:szCs w:val="28"/>
          <w:lang w:val="ru-RU"/>
        </w:rPr>
      </w:pPr>
    </w:p>
    <w:p w14:paraId="474C3921" w14:textId="523873F0" w:rsidR="00107040" w:rsidRPr="00E11A5F" w:rsidRDefault="00107040" w:rsidP="000C16BB">
      <w:pPr>
        <w:spacing w:after="0" w:line="240" w:lineRule="auto"/>
        <w:ind w:firstLine="567"/>
        <w:jc w:val="both"/>
        <w:rPr>
          <w:rFonts w:ascii="Times New Roman" w:hAnsi="Times New Roman"/>
          <w:bCs/>
          <w:sz w:val="28"/>
          <w:szCs w:val="28"/>
          <w:lang w:val="ru-RU"/>
        </w:rPr>
      </w:pPr>
    </w:p>
    <w:p w14:paraId="5AC4ACEE" w14:textId="462B1222" w:rsidR="00107040" w:rsidRPr="00E11A5F" w:rsidRDefault="00107040" w:rsidP="000C16BB">
      <w:pPr>
        <w:spacing w:after="0" w:line="240" w:lineRule="auto"/>
        <w:ind w:firstLine="567"/>
        <w:jc w:val="both"/>
        <w:rPr>
          <w:rFonts w:ascii="Times New Roman" w:hAnsi="Times New Roman"/>
          <w:bCs/>
          <w:sz w:val="28"/>
          <w:szCs w:val="28"/>
          <w:lang w:val="ru-RU"/>
        </w:rPr>
      </w:pPr>
    </w:p>
    <w:p w14:paraId="7D637CDD" w14:textId="6CBA144E" w:rsidR="00107040" w:rsidRPr="00E11A5F" w:rsidRDefault="00107040" w:rsidP="000C16BB">
      <w:pPr>
        <w:spacing w:after="0" w:line="240" w:lineRule="auto"/>
        <w:ind w:firstLine="567"/>
        <w:jc w:val="both"/>
        <w:rPr>
          <w:rFonts w:ascii="Times New Roman" w:hAnsi="Times New Roman"/>
          <w:bCs/>
          <w:sz w:val="28"/>
          <w:szCs w:val="28"/>
          <w:lang w:val="ru-RU"/>
        </w:rPr>
      </w:pPr>
    </w:p>
    <w:p w14:paraId="39A9F570" w14:textId="4839A254" w:rsidR="00107040" w:rsidRPr="00E11A5F" w:rsidRDefault="00107040" w:rsidP="000C16BB">
      <w:pPr>
        <w:spacing w:after="0" w:line="240" w:lineRule="auto"/>
        <w:ind w:firstLine="567"/>
        <w:jc w:val="both"/>
        <w:rPr>
          <w:rFonts w:ascii="Times New Roman" w:hAnsi="Times New Roman"/>
          <w:bCs/>
          <w:sz w:val="28"/>
          <w:szCs w:val="28"/>
          <w:lang w:val="ru-RU"/>
        </w:rPr>
      </w:pPr>
    </w:p>
    <w:p w14:paraId="661545C8" w14:textId="5922FE9E" w:rsidR="00107040" w:rsidRPr="00E11A5F" w:rsidRDefault="00107040" w:rsidP="000C16BB">
      <w:pPr>
        <w:spacing w:after="0" w:line="240" w:lineRule="auto"/>
        <w:ind w:firstLine="567"/>
        <w:jc w:val="both"/>
        <w:rPr>
          <w:rFonts w:ascii="Times New Roman" w:hAnsi="Times New Roman"/>
          <w:bCs/>
          <w:sz w:val="28"/>
          <w:szCs w:val="28"/>
          <w:lang w:val="ru-RU"/>
        </w:rPr>
      </w:pPr>
    </w:p>
    <w:p w14:paraId="2E8EE1FE" w14:textId="3A80AB02" w:rsidR="00107040" w:rsidRPr="00E11A5F" w:rsidRDefault="00107040" w:rsidP="000C16BB">
      <w:pPr>
        <w:spacing w:after="0" w:line="240" w:lineRule="auto"/>
        <w:ind w:firstLine="567"/>
        <w:jc w:val="both"/>
        <w:rPr>
          <w:rFonts w:ascii="Times New Roman" w:hAnsi="Times New Roman"/>
          <w:bCs/>
          <w:sz w:val="28"/>
          <w:szCs w:val="28"/>
          <w:lang w:val="ru-RU"/>
        </w:rPr>
      </w:pPr>
    </w:p>
    <w:p w14:paraId="752D4E7B" w14:textId="6628ADF5" w:rsidR="00107040" w:rsidRPr="00E11A5F" w:rsidRDefault="00107040" w:rsidP="000C16BB">
      <w:pPr>
        <w:spacing w:after="0" w:line="240" w:lineRule="auto"/>
        <w:ind w:firstLine="567"/>
        <w:jc w:val="both"/>
        <w:rPr>
          <w:rFonts w:ascii="Times New Roman" w:hAnsi="Times New Roman"/>
          <w:bCs/>
          <w:sz w:val="28"/>
          <w:szCs w:val="28"/>
          <w:lang w:val="ru-RU"/>
        </w:rPr>
      </w:pPr>
    </w:p>
    <w:p w14:paraId="41A671C9" w14:textId="2968076F" w:rsidR="00107040" w:rsidRPr="00E11A5F" w:rsidRDefault="00107040" w:rsidP="000C16BB">
      <w:pPr>
        <w:spacing w:after="0" w:line="240" w:lineRule="auto"/>
        <w:ind w:firstLine="567"/>
        <w:jc w:val="both"/>
        <w:rPr>
          <w:rFonts w:ascii="Times New Roman" w:hAnsi="Times New Roman"/>
          <w:bCs/>
          <w:sz w:val="28"/>
          <w:szCs w:val="28"/>
          <w:lang w:val="ru-RU"/>
        </w:rPr>
      </w:pPr>
    </w:p>
    <w:p w14:paraId="16F1F7E1" w14:textId="5BBF4250" w:rsidR="00107040" w:rsidRPr="00E11A5F" w:rsidRDefault="00107040" w:rsidP="000C16BB">
      <w:pPr>
        <w:spacing w:after="0" w:line="240" w:lineRule="auto"/>
        <w:ind w:firstLine="567"/>
        <w:jc w:val="both"/>
        <w:rPr>
          <w:rFonts w:ascii="Times New Roman" w:hAnsi="Times New Roman"/>
          <w:bCs/>
          <w:sz w:val="28"/>
          <w:szCs w:val="28"/>
          <w:lang w:val="ru-RU"/>
        </w:rPr>
      </w:pPr>
    </w:p>
    <w:p w14:paraId="535FCD27" w14:textId="1D4E460F" w:rsidR="00107040" w:rsidRPr="00E11A5F" w:rsidRDefault="00107040" w:rsidP="000C16BB">
      <w:pPr>
        <w:spacing w:after="0" w:line="240" w:lineRule="auto"/>
        <w:ind w:firstLine="567"/>
        <w:jc w:val="both"/>
        <w:rPr>
          <w:rFonts w:ascii="Times New Roman" w:hAnsi="Times New Roman"/>
          <w:bCs/>
          <w:sz w:val="28"/>
          <w:szCs w:val="28"/>
          <w:lang w:val="ru-RU"/>
        </w:rPr>
      </w:pPr>
    </w:p>
    <w:p w14:paraId="5EE26EB6" w14:textId="2FBE1DFA" w:rsidR="00107040" w:rsidRPr="00E11A5F" w:rsidRDefault="00107040" w:rsidP="000C16BB">
      <w:pPr>
        <w:spacing w:after="0" w:line="240" w:lineRule="auto"/>
        <w:ind w:firstLine="567"/>
        <w:jc w:val="both"/>
        <w:rPr>
          <w:rFonts w:ascii="Times New Roman" w:hAnsi="Times New Roman"/>
          <w:bCs/>
          <w:sz w:val="28"/>
          <w:szCs w:val="28"/>
          <w:lang w:val="ru-RU"/>
        </w:rPr>
      </w:pPr>
    </w:p>
    <w:p w14:paraId="2B90BBD7" w14:textId="6A82ED89" w:rsidR="00107040" w:rsidRPr="00E11A5F" w:rsidRDefault="00107040" w:rsidP="000C16BB">
      <w:pPr>
        <w:spacing w:after="0" w:line="240" w:lineRule="auto"/>
        <w:ind w:firstLine="567"/>
        <w:jc w:val="both"/>
        <w:rPr>
          <w:rFonts w:ascii="Times New Roman" w:hAnsi="Times New Roman"/>
          <w:bCs/>
          <w:sz w:val="28"/>
          <w:szCs w:val="28"/>
          <w:lang w:val="ru-RU"/>
        </w:rPr>
      </w:pPr>
    </w:p>
    <w:p w14:paraId="3BDF9715" w14:textId="0BB3D334" w:rsidR="00107040" w:rsidRPr="00E11A5F" w:rsidRDefault="00107040" w:rsidP="000C16BB">
      <w:pPr>
        <w:spacing w:after="0" w:line="240" w:lineRule="auto"/>
        <w:ind w:firstLine="567"/>
        <w:jc w:val="both"/>
        <w:rPr>
          <w:rFonts w:ascii="Times New Roman" w:hAnsi="Times New Roman"/>
          <w:bCs/>
          <w:sz w:val="28"/>
          <w:szCs w:val="28"/>
          <w:lang w:val="ru-RU"/>
        </w:rPr>
      </w:pPr>
    </w:p>
    <w:p w14:paraId="0CBA2BD0" w14:textId="5D2F8DB2" w:rsidR="00107040" w:rsidRPr="00E11A5F" w:rsidRDefault="00107040" w:rsidP="000C16BB">
      <w:pPr>
        <w:spacing w:after="0" w:line="240" w:lineRule="auto"/>
        <w:ind w:firstLine="567"/>
        <w:jc w:val="both"/>
        <w:rPr>
          <w:rFonts w:ascii="Times New Roman" w:hAnsi="Times New Roman"/>
          <w:bCs/>
          <w:sz w:val="28"/>
          <w:szCs w:val="28"/>
          <w:lang w:val="ru-RU"/>
        </w:rPr>
      </w:pPr>
    </w:p>
    <w:p w14:paraId="045BDC48" w14:textId="531E57E0" w:rsidR="00107040" w:rsidRPr="00E11A5F" w:rsidRDefault="00107040" w:rsidP="000C16BB">
      <w:pPr>
        <w:spacing w:after="0" w:line="240" w:lineRule="auto"/>
        <w:ind w:firstLine="567"/>
        <w:jc w:val="both"/>
        <w:rPr>
          <w:rFonts w:ascii="Times New Roman" w:hAnsi="Times New Roman"/>
          <w:bCs/>
          <w:sz w:val="28"/>
          <w:szCs w:val="28"/>
          <w:lang w:val="ru-RU"/>
        </w:rPr>
      </w:pPr>
    </w:p>
    <w:p w14:paraId="4E1DFC2C" w14:textId="6F600EFB" w:rsidR="00107040" w:rsidRPr="00E11A5F" w:rsidRDefault="00107040" w:rsidP="000C16BB">
      <w:pPr>
        <w:spacing w:after="0" w:line="240" w:lineRule="auto"/>
        <w:ind w:firstLine="567"/>
        <w:jc w:val="both"/>
        <w:rPr>
          <w:rFonts w:ascii="Times New Roman" w:hAnsi="Times New Roman"/>
          <w:bCs/>
          <w:sz w:val="28"/>
          <w:szCs w:val="28"/>
          <w:lang w:val="ru-RU"/>
        </w:rPr>
      </w:pPr>
    </w:p>
    <w:p w14:paraId="532B9BB5" w14:textId="4B015794" w:rsidR="00107040" w:rsidRPr="00E11A5F" w:rsidRDefault="00107040" w:rsidP="000C16BB">
      <w:pPr>
        <w:spacing w:after="0" w:line="240" w:lineRule="auto"/>
        <w:ind w:firstLine="567"/>
        <w:jc w:val="both"/>
        <w:rPr>
          <w:rFonts w:ascii="Times New Roman" w:hAnsi="Times New Roman"/>
          <w:bCs/>
          <w:sz w:val="28"/>
          <w:szCs w:val="28"/>
          <w:lang w:val="ru-RU"/>
        </w:rPr>
      </w:pPr>
    </w:p>
    <w:p w14:paraId="0D89A707" w14:textId="74D97E59" w:rsidR="00107040" w:rsidRPr="00E11A5F" w:rsidRDefault="00107040" w:rsidP="000C16BB">
      <w:pPr>
        <w:spacing w:after="0" w:line="240" w:lineRule="auto"/>
        <w:ind w:firstLine="567"/>
        <w:jc w:val="both"/>
        <w:rPr>
          <w:rFonts w:ascii="Times New Roman" w:hAnsi="Times New Roman"/>
          <w:bCs/>
          <w:sz w:val="28"/>
          <w:szCs w:val="28"/>
          <w:lang w:val="ru-RU"/>
        </w:rPr>
      </w:pPr>
    </w:p>
    <w:p w14:paraId="56D10F1F" w14:textId="2D3DFC98" w:rsidR="00107040" w:rsidRPr="00E11A5F" w:rsidRDefault="00107040" w:rsidP="000C16BB">
      <w:pPr>
        <w:spacing w:after="0" w:line="240" w:lineRule="auto"/>
        <w:ind w:firstLine="567"/>
        <w:jc w:val="both"/>
        <w:rPr>
          <w:rFonts w:ascii="Times New Roman" w:hAnsi="Times New Roman"/>
          <w:bCs/>
          <w:sz w:val="28"/>
          <w:szCs w:val="28"/>
          <w:lang w:val="ru-RU"/>
        </w:rPr>
      </w:pPr>
    </w:p>
    <w:p w14:paraId="3E100F03" w14:textId="091CBDFC" w:rsidR="00107040" w:rsidRPr="00E11A5F" w:rsidRDefault="00107040" w:rsidP="000C16BB">
      <w:pPr>
        <w:spacing w:after="0" w:line="240" w:lineRule="auto"/>
        <w:ind w:firstLine="567"/>
        <w:jc w:val="both"/>
        <w:rPr>
          <w:rFonts w:ascii="Times New Roman" w:hAnsi="Times New Roman"/>
          <w:bCs/>
          <w:sz w:val="28"/>
          <w:szCs w:val="28"/>
          <w:lang w:val="ru-RU"/>
        </w:rPr>
      </w:pPr>
    </w:p>
    <w:p w14:paraId="2EB1227F" w14:textId="5C853395" w:rsidR="00107040" w:rsidRPr="00E11A5F" w:rsidRDefault="00107040" w:rsidP="000C16BB">
      <w:pPr>
        <w:spacing w:after="0" w:line="240" w:lineRule="auto"/>
        <w:ind w:firstLine="567"/>
        <w:jc w:val="both"/>
        <w:rPr>
          <w:rFonts w:ascii="Times New Roman" w:hAnsi="Times New Roman"/>
          <w:bCs/>
          <w:sz w:val="28"/>
          <w:szCs w:val="28"/>
          <w:lang w:val="ru-RU"/>
        </w:rPr>
      </w:pPr>
    </w:p>
    <w:p w14:paraId="2B0F934E" w14:textId="1A0FDAF9" w:rsidR="00107040" w:rsidRPr="00AB3697" w:rsidRDefault="000D33B0" w:rsidP="000D33B0">
      <w:pPr>
        <w:spacing w:after="0" w:line="240" w:lineRule="auto"/>
        <w:ind w:firstLine="567"/>
        <w:jc w:val="center"/>
        <w:rPr>
          <w:rFonts w:ascii="Times New Roman" w:hAnsi="Times New Roman"/>
          <w:bCs/>
          <w:sz w:val="28"/>
          <w:szCs w:val="28"/>
          <w:lang w:val="en-US"/>
        </w:rPr>
      </w:pPr>
      <w:r>
        <w:rPr>
          <w:rFonts w:ascii="Times New Roman" w:hAnsi="Times New Roman"/>
          <w:bCs/>
          <w:sz w:val="28"/>
          <w:szCs w:val="28"/>
          <w:lang w:val="ru-RU"/>
        </w:rPr>
        <w:lastRenderedPageBreak/>
        <w:t>СПИСОК</w:t>
      </w:r>
      <w:r w:rsidRPr="00AB3697">
        <w:rPr>
          <w:rFonts w:ascii="Times New Roman" w:hAnsi="Times New Roman"/>
          <w:bCs/>
          <w:sz w:val="28"/>
          <w:szCs w:val="28"/>
          <w:lang w:val="en-US"/>
        </w:rPr>
        <w:t xml:space="preserve"> </w:t>
      </w:r>
      <w:r>
        <w:rPr>
          <w:rFonts w:ascii="Times New Roman" w:hAnsi="Times New Roman"/>
          <w:bCs/>
          <w:sz w:val="28"/>
          <w:szCs w:val="28"/>
          <w:lang w:val="ru-RU"/>
        </w:rPr>
        <w:t>ЛИТЕРАТУРЫ</w:t>
      </w:r>
    </w:p>
    <w:p w14:paraId="15509E2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Foyer, C. H. Redox sensing and signalling associated with reactive oxygen in chloroplasts, peroxisomes and mitochondria / C. H. Foyer, G. Noctor // Physiologia Plantarum. – 2003. – Vol. 119, N 3. – P. 355–364. – DOI: 10.1034/j.1399-3054.2003.00223.x</w:t>
      </w:r>
    </w:p>
    <w:p w14:paraId="50CFBCE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Weitzman, M. D. What's the damage? The impact of pathogens on pathways that maintain host genome integrity / M. D. Weitzman, J. B. Weitzman // Cell Host &amp; Microbe. – 2014. – Vol. 15, N 3. – P. 283–294. – DOI: 10.1016/j.chom.2014.02.010</w:t>
      </w:r>
    </w:p>
    <w:p w14:paraId="4C8E73A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Papamichos-Chronakis, M. Chromatin and the genome integrity network / M. Papamichos-Chronakis, C. L. Peterson // Nature Reviews. Genetics. – 2013. – Vol. 14, N 1. – P. 62–75. – DOI: 10.1038/nrg3345</w:t>
      </w:r>
    </w:p>
    <w:p w14:paraId="0FF7E56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Ermolaeva, M. A. Systemic DNA damage responses: organismal adaptations to genome instability / M. A. Ermolaeva, B. Schumacher // Trends in genetics: TIG. – 2014. – Vol. 30, N 3. – P. 95–102. – DOI: 10.1016/j.tig.2013.12.001</w:t>
      </w:r>
    </w:p>
    <w:p w14:paraId="34284D1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novel functions for an old molecule / V. Schreiber, F. Dantzer, J. Ame, G. Murcia // Nature Reviews. Molecular Cell Biology. – 2006. – Vol. 7, N 7. – P. 517–528. – DOI: 10.1038/nrm1963</w:t>
      </w:r>
    </w:p>
    <w:p w14:paraId="0921B5A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Kim, M. Y. Poly(ADP-ribosyl)ation by PARP-1: 'PAR-laying' NAD+ into a nuclear signal / M. Y. Kim, T. Zhang, W. L. Kraus // Genes &amp; Development. – 2005. – Vol. 19, N 17. – P. 1951–1967. – DOI: 10.1101/gad.1331805</w:t>
      </w:r>
    </w:p>
    <w:p w14:paraId="6D41D89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Luo, X. On PAR with PARP: cellular stress signaling through poly(ADP-ribose) and PARP-1 / X. Luo, W. L. Kraus // Genes &amp; Development. – 2012. – Vol. 26, N 5. – P. 417–432. – DOI: 10.1101/gad.183509.111</w:t>
      </w:r>
    </w:p>
    <w:p w14:paraId="122044A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Woodhouse, B. C. Poly ADP-ribose polymerase-1: an international molecule of mystery / B. C. Woodhouse, G. L. Dianov // DNA repair. – 2008. – Vol. 7, N 7. – P. 1077–1086. – DOI: 10.1016/j.dnarep.2008.03.009</w:t>
      </w:r>
    </w:p>
    <w:p w14:paraId="7AF5612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Briggs, A. G. Poly(ADP-ribosyl)ation in plants / A. G. Briggs, A. F. Bent // Trends in Plant Science. – 2011. – Vol. 16, N 7. – P. 372–380. – DOI: 10.1016/j.tplants.2011.03.008</w:t>
      </w:r>
    </w:p>
    <w:p w14:paraId="329CE36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Lamb, R. S. Functions of the poly(ADP-ribose) polymerase superfamily in plants / R. S. Lamb, M. Citarelli, S. Teotia // Cellular and molecular life sciences: CMLS. – 2012. – Vol. 69, N 2. – P. 175–189. – DOI: 10.1007/s00018-011-0793-4</w:t>
      </w:r>
    </w:p>
    <w:p w14:paraId="47CC657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Kraus, W. L. PARP-1 and gene regulation: progress and puzzles / W. L. Kraus, M. O. Hottiger // Molecular Aspects of Medicine. – 2013. – Vol. 34, N 6. – P. 1109–1123. – DOI: 10.1016/j.mam.2013.01.005</w:t>
      </w:r>
    </w:p>
    <w:p w14:paraId="075C926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McKinnon, P. J. DNA strand break repair and human genetic disease / P. J. McKinnon, K. W. Caldecott // Annual Review of Genomics and Human Genetics. – 2007. – Vol. 8. – P. 37–55. – DOI: 10.1146/annurev.genom.7.080505.115648</w:t>
      </w:r>
    </w:p>
    <w:p w14:paraId="0568E73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Murcia, G. Poly(ADP-ribose) polymerase: a molecular nick-sensor / G. Murcia, J. Ménissier de Murcia // Trends in Biochemical Sciences. – 1994. – Vol. 19, N 4. – P. 172–176. – DOI: 10.1016/0968-0004(94)90280-1</w:t>
      </w:r>
    </w:p>
    <w:p w14:paraId="247AD72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Mechanism of the inhibition of Ca2+, Mg2+-dependent endonuclease of bull seminal plasma induced by ADP-ribosylation / Y. Tanaka, K. Yoshihara, A. Itaya, T. Kamiya, S. S. Koide // The Journal of Biological Chemistry. – 1984. – Vol. 259, N 10. – P. 6579–6585</w:t>
      </w:r>
    </w:p>
    <w:p w14:paraId="179C2F5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Satoh, M. S. Dual function for poly(ADP-ribose) synthesis in response to DNA strand breakage / M. S. Satoh, G. G. Poirier, T. Lindahl // Biochemistry. – 1994. – Vol. 33, N 23. – P. 7099–7106. – DOI: 10.1021/bi00189a012</w:t>
      </w:r>
    </w:p>
    <w:p w14:paraId="5DD1A78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Hinz, J. M. Rotational dynamics of DNA on the nucleosome surface markedly impact accessibility to a DNA repair enzyme / J. M. Hinz, Y. Rodriguez, M. J. Smerdon // Proceedings of the National Academy of Sciences of the United States of America. – 2010. – Vol. 107, N 10. – P. 4646–4651. – DOI: 10.1073/pnas.0914443107</w:t>
      </w:r>
    </w:p>
    <w:p w14:paraId="4F13B37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Nucleosome disruption by DNA ligase III-XRCC1 promotes efficient base excision repair / I. D. Odell, J. Barbour, D. L. Murphy, J. A. Della-Maria, J. B. Sweasy, A. E. Tomkinson, S. S. Wallace, D. S. Pederson // Molecular and Cellular Biology. – 2011. – Vol. 31, N 22. – P. 4623–4632. – DOI: 10.1128/MCB.05715-11</w:t>
      </w:r>
    </w:p>
    <w:p w14:paraId="41D9A20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Regulation of poly(ADP-ribose) metabolism by poly(ADP-ribose) glycohydrolase: where and when? / M. -. Bonicalzi, J. -. Haince, A. Droit, G. G. Poirier // Cellular and molecular life sciences: CMLS. – 2005. – Vol. 62, N 7-8. – P. 739–750. – DOI: 10.1007/s00018-004-4505-1</w:t>
      </w:r>
    </w:p>
    <w:p w14:paraId="55296AF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39-kDa poly(ADP-ribose) glycohydrolase ARH3 hydrolyzes O-acetyl-ADP-ribose, a product of the Sir2 family of acetyl-histone deacetylases / T. Ono, A. Kasamatsu, S. Oka, J. Moss // Proceedings of the National Academy of Sciences of the United States of America. – 2006. – Vol. 103, N 45. – P. 16687–16691. – DOI: 10.1073/pnas.0607911103</w:t>
      </w:r>
    </w:p>
    <w:p w14:paraId="30F954B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Deficiency of terminal ADP-ribose protein glycohydrolase TARG1/C6orf130 in neurodegenerative disease / R. Sharifi, R. Morra, C. D. Appel, M. Tallis, B. Chioza, G. Jankevicius, M. A. Simpson, I. Matic, E. Ozkan, B. Golia, M. J. Schellenberg, R. Weston, J. G. Williams, M. N. Rossi, H. Galehdari, J. Krahn, A. Wan, R. C. Trembath, A. H. Crosby, D. Ahel, R. Hay, A. G. Ladurner, G. Timinszky, R. S. Williams, I. Ahel // The EMBO journal. – 2013. – Vol. 32, N 9. – P. 1225–1237. – DOI: 10.1038/emboj.2013.51</w:t>
      </w:r>
    </w:p>
    <w:p w14:paraId="6833687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Failure to degrade poly(ADP-ribose) causes increased sensitivity to cytotoxicity and early embryonic lethality / D. W. Koh, A. M. Lawler, M. F. Poitras, M. Sasaki, S. Wattler, M. C. Nehls, T. Stöger, G. G. Poirier, V. L. Dawson, T. M. Dawson // Proceedings of the National Academy of Sciences of the United States of America. – 2004. – Vol. 101, N 51. – P. 17699–17704. – DOI: 10.1073/pnas.0406182101</w:t>
      </w:r>
    </w:p>
    <w:p w14:paraId="173B665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Radiation-induced mitotic catastrophe in PARG-deficient cells / J. Amé, E. Fouquerel, L. R. Gauthier, D. Biard, F. D. Boussin, F. Dantzer, G. Murcia, V. Schreiber // Journal of Cell Science. – 2009. – Vol. 122, N Pt 12. – P. 1990–2002. – DOI: 10.1242/jcs.039115</w:t>
      </w:r>
    </w:p>
    <w:p w14:paraId="5CD2BC0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Plant PARPs, PARGs and PARP-like Proteins / J. P. Vainonen, A. Shapiguzov, A. Vaattovaara, J. Kangasjarvi // Current Protein and Peptide Science. – 2016. – Vol. 17, N 7. – P. 713–723. – DOI: 10.2174/1389203717666160419144721</w:t>
      </w:r>
    </w:p>
    <w:p w14:paraId="1B85166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polymerase in plants affects energy homeostasis, cell death and stress tolerance / M. De Block, C. Verduyn, D. De Brouwer, M. Cornelissen // The Plant Journal: For Cell and Molecular Biology. – 2005. – Vol. 41, N 1. – P. 95–106. – DOI: 10.1111/j.1365-313X.2004.02277.x</w:t>
      </w:r>
    </w:p>
    <w:p w14:paraId="5BB8C1B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DNA topoisomerases and their poisoning by anticancer and antibacterial drugs / Y. Pommier, E. Leo, H. Zhang, C. Marchand // Chemistry &amp; Biology. – 2010. – Vol. 17, N 5. – P. 421–433. – DOI: 10.1016/j.chembiol.2010.04.012</w:t>
      </w:r>
    </w:p>
    <w:p w14:paraId="59ED271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Bjelland, S. Mutagenicity, toxicity and repair of DNA base damage induced by oxidation / S. Bjelland, E. Seeberg // Mutation Research. – 2003. – Vol. 531, N 1-2. – P. 37–80. – DOI: 10.1016/j.mrfmmm.2003.07.002</w:t>
      </w:r>
    </w:p>
    <w:p w14:paraId="7A02208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Oxidative damage to DNA: formation, measurement and biochemical features / J. Cadet, T. Douki, D. Gasparutto, J. Ravanat // Mutation Research. – 2003. – Vol. 531, N 1-2. – P. 5–23. – DOI: 10.1016/j.mrfmmm.2003.09.001</w:t>
      </w:r>
    </w:p>
    <w:p w14:paraId="3EA6E68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Presence of base excision repair enzymes in the wheat aleurone and their activation in cells undergoing programmed cell death / A. K. Bissenbaev, A. A. Ishchenko, S. M. Taipakova, M. K. Saparbaev // Plant physiology and biochemistry: PPB. – 2011. – Vol. 49, N 10. – P. 1155–1164. – DOI: 10.1016/j.plaphy.2011.07.017</w:t>
      </w:r>
    </w:p>
    <w:p w14:paraId="23E7DE2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Cloning and characterization of a wheat homologue of apurinic/apyrimidinic endonuclease Ape1L / B. Joldybayeva, P. Prorok, I. R. Grin, D. O. Zharkov, A. A. Ishenko, B. Tudek, A. K. Bissenbaev, M. Saparbaev // PloS One. – 2014. – Vol. 9, N 3. – P. e92963. – DOI: 10.1371/journal.pone.0092963</w:t>
      </w:r>
    </w:p>
    <w:p w14:paraId="1143699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major Arabidopsis thaliana apurinic/apyrimidinic endonuclease, ARP is involved in the plant nucleotide incision repair pathway / Z. Akishev, S. Taipakova, B. Joldybayeva, C. Zutterling, I. Smekenov, A. A. Ishchenko, D. O. Zharkov, A. K. Bissenbaev, M. Saparbaev // DNA Repair. – 2016. – Vol. 48. – P. 30–42. – DOI: 10.1016/j.dnarep.2016.10.009</w:t>
      </w:r>
    </w:p>
    <w:p w14:paraId="6235DE3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polymerases covalently modify strand break termini in DNA fragments in vitro / I. Talhaoui, N. A. Lebedeva, G. Zarkovic, C. Saint-Pierre, M. M. Kutuzov, M. V. Sukhanova, B. T. Matkarimov, D. Gasparutto, M. K. Saparbaev, O. I. Lavrik, A. A. Ishchenko // Nucleic Acids Research. – 2016. – Vol. 44, N 19. – P. 9279–9295. – DOI: 10.1093/nar/gkw675</w:t>
      </w:r>
    </w:p>
    <w:p w14:paraId="479B4F4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Berger, F. The new life of a centenarian: signalling functions of NAD(P) / F. Berger, M. H. Ramírez-Hernández, M. Ziegler // Trends in Biochemical Sciences. – 2004. – Vol. 29, N 3. – P. 111–118. – DOI: 10.1016/j.tibs.2004.01.007</w:t>
      </w:r>
    </w:p>
    <w:p w14:paraId="2C3C57F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Britt, A. B. Repair of DNA damage induced by ultraviolet radiation / A. B. Britt // Plant Physiology. – 1995. – Vol. 108, N 3. – P. 891–896. – DOI: 10.1104/pp.108.3.891</w:t>
      </w:r>
    </w:p>
    <w:p w14:paraId="22067E8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Polyn, S. Cell cycle entry, maintenance, and exit during plant development / S. Polyn, A. Willems, L. De Veylder // Current Opinion in Plant Biology. – 2015. – Vol. 23. – P. 1–7. – DOI: 10.1016/j.pbi.2014.09.012</w:t>
      </w:r>
    </w:p>
    <w:p w14:paraId="6E311A4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Bray, C. M. DNA repair mechanisms in plants: crucial sensors and effectors for the maintenance of genome integrity / C. M. Bray, C. E. West // The New Phytologist. – 2005. – Vol. 168, N 3. – P. 511–528. – DOI: 10.1111/j.1469-8137.2005.01548.x</w:t>
      </w:r>
    </w:p>
    <w:p w14:paraId="6CC9B45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Yoshiyama, K. O. DNA damage response in plants: conserved and variable response compared to animals / K. O. Yoshiyama, K. Sakaguchi, S. Kimura // Biology. – 2013. – Vol. 2, N 4. – P. 1338–1356. – DOI: 10.3390/biology2041338</w:t>
      </w:r>
    </w:p>
    <w:p w14:paraId="111931D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Britt, A. B. Molecular genetics of DNA repair in higher plants / A. B. Britt // Trends in Plant Science. – 1999. – Vol. 4, N 1. – P. 20–25. – DOI: 10.1016/S1360-1385(98)01355-7</w:t>
      </w:r>
    </w:p>
    <w:p w14:paraId="0E991DA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hAnsi="Times New Roman"/>
          <w:lang w:val="en-US"/>
        </w:rPr>
        <w:lastRenderedPageBreak/>
        <w:t xml:space="preserve"> </w:t>
      </w:r>
      <w:r w:rsidRPr="002C6989">
        <w:rPr>
          <w:rFonts w:ascii="Times New Roman" w:eastAsia="Times New Roman" w:hAnsi="Times New Roman"/>
          <w:color w:val="000000"/>
          <w:lang w:val="en-US" w:eastAsia="ru-RU"/>
        </w:rPr>
        <w:t>Li, S. Temperature-dependent formation and photorepair of DNA damage induced by UV-B radiation in suspension-cultured tobacco cells / S. Li, M. Paulsson, L. O. Björn // Journal of Photochemistry and Photobiology. B, Biology. – 2002. – Vol. 66, N 1. – P. 67–72. – DOI: 10.1016/s1011-1344(01)00277-9</w:t>
      </w:r>
    </w:p>
    <w:p w14:paraId="2312894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Boyko, A. Homologous recombination in plants is temperature and day-length dependent / A. Boyko, J. Filkowski, I. Kovalchuk // Mutation Research. – 2005. – Vol. 572, N 1-2. – P. 73–83. – DOI: 10.1016/j.mrfmmm.2004.12.011</w:t>
      </w:r>
    </w:p>
    <w:p w14:paraId="192814F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Regulation of Ku gene promoters in Arabidopsis by hormones and stress / W. Chang, Y. Wang, P. Liu, Y. Tsai, L. Kong, C. Lin, C. Yang, R. Pan // Functional plant biology: FPB. – 2008. – Vol. 35, N 4. – P. 265–280. – DOI: 10.1071/FP07249</w:t>
      </w:r>
    </w:p>
    <w:p w14:paraId="31B95B3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Lindahl, T. Repair of endogenous DNA damage / T. Lindahl, D. E. Barnes // Cold Spring Harbor Symposia on Quantitative Biology. – 2000. – Vol. 65. – P. 127–133. – DOI: 10.1101/sqb.2000.65.127</w:t>
      </w:r>
    </w:p>
    <w:p w14:paraId="2EEC2C4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Hoeijmakers, J. H. J. DNA damage, aging, and cancer / J. H. J. Hoeijmakers // The New England Journal of Medicine. – 2009. – Vol. 361, N 15. – P. 1475–1485. – DOI: 10.1056/NEJMra0804615</w:t>
      </w:r>
    </w:p>
    <w:p w14:paraId="356AC86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Reactive oxygen species and reactive nitrogen species in peroxisomes. Production, scavenging, and role in cell signaling / L. A. Río, L. M. Sandalio, F. J. Corpas, J. M. Palma, J. B. Barroso // Plant Physiology. – 2006. – Vol. 141, N 2. – P. 330–335. – DOI: 10.1104/pp.106.078204</w:t>
      </w:r>
    </w:p>
    <w:p w14:paraId="5C97DF6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Asada, K. Production and scavenging of reactive oxygen species in chloroplasts and their functions / K. Asada // Plant Physiology. – 2006. – Vol. 141, N 2. – P. 391–396. – DOI: 10.1104/pp.106.082040</w:t>
      </w:r>
    </w:p>
    <w:p w14:paraId="496167A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Maxwell, D. P. The alternative oxidase lowers mitochondrial reactive oxygen production in plant cells / D. P. Maxwell, Y. Wang, L. McIntosh // Proceedings of the National Academy of Sciences of the United States of America. – 1999. – Vol. 96, N 14. – P. 8271–8276. – DOI: 10.1073/pnas.96.14.8271</w:t>
      </w:r>
    </w:p>
    <w:p w14:paraId="38D23C3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Apel, K. Reactive oxygen species: metabolism, oxidative stress, and signal transduction / K. Apel, H. Hirt // Annual Review of Plant Biology. – 2004. – Vol. 55. – P. 373–399. – DOI: 10.1146/annurev.arplant.55.031903.141701</w:t>
      </w:r>
    </w:p>
    <w:p w14:paraId="745D264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Mehlhorn, H. Electron spin resonance evidence for the formation of free radicals in plants exposed to ozone / H. Mehlhorn, B. J. Tabner, A. R. Wellburn // Physiologia Plantarum. – 1990. – Vol. 79, N 2. – P. 377–383. – DOI: 10.1111/j.1399-3054.1990.tb06756.x</w:t>
      </w:r>
    </w:p>
    <w:p w14:paraId="34926E4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Landry, L. G. Arabidopsis mutants lacking phenolic sunscreens exhibit enhanced ultraviolet-B injury and oxidative damage / L. G. Landry, C. C. Chapple, R. L. Last // Plant Physiology. – 1995. – Vol. 109, N 4. – P. 1159–1166. – DOI: 10.1104/pp.109.4.1159</w:t>
      </w:r>
    </w:p>
    <w:p w14:paraId="709C5BD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Ward, J. F. DNA damage produced by ionizing radiation in mammalian cells: identities, mechanisms of formation, and reparability / J. F. Ward // Progress in Nucleic Acid Research and Molecular Biology. – 1988. – Vol. 35. – P. 95–125. – DOI: 10.1016/s0079-6603(08)60611-x</w:t>
      </w:r>
    </w:p>
    <w:p w14:paraId="397C826D" w14:textId="77777777" w:rsidR="009B328F"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Cheeseman, J. M. Hydrogen peroxide concentrations in leaves under natural conditions / J. M. Cheeseman // Journal of Experimental Botany. – 2006. – Vol. 57, N 10. – P. 2435–2444. – DOI: 10.1093/jxb/erl004</w:t>
      </w:r>
    </w:p>
    <w:p w14:paraId="78A46D54" w14:textId="77777777" w:rsidR="009B328F" w:rsidRPr="005903A8"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5903A8">
        <w:rPr>
          <w:rFonts w:ascii="Times New Roman" w:eastAsia="Times New Roman" w:hAnsi="Times New Roman"/>
          <w:lang w:val="en-US" w:eastAsia="ru-RU"/>
        </w:rPr>
        <w:t>Bohnson Van L. The catalytic decomposition of hydrogen peroxide by iron salts / Van L. Bohnson A. C. Robertson </w:t>
      </w:r>
      <w:r w:rsidRPr="005903A8">
        <w:rPr>
          <w:rFonts w:ascii="Times New Roman" w:eastAsia="Times New Roman" w:hAnsi="Times New Roman"/>
          <w:color w:val="000000"/>
          <w:lang w:val="en-US" w:eastAsia="ru-RU"/>
        </w:rPr>
        <w:t>// Proceedings of the Royal Society of London. Series A - Mathematical and Physical Sciences. – 1934. – Vol. 147, N 861. – P. 332–351. – DOI: 10.1098/rspa.1934.0221.</w:t>
      </w:r>
    </w:p>
    <w:p w14:paraId="570338A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Hutchinson, F. The distance that a radical formed by ionizing radiation can diffuse in a yeast cell / F. Hutchinson // Radiation Research. – 1957. – Vol. 7, N 5. – P. 473–483.</w:t>
      </w:r>
    </w:p>
    <w:p w14:paraId="31A0884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Antioxidants in Higher Plants / R. G. Alscher, C. H. Foyer, J. L. Hess, N. G. Lewis, K. E. Pallett, A. J. Young, W. W. Adams, III, B. Demmig-Adams. – Boca Raton : CRC Press, 2017. – 192 p.</w:t>
      </w:r>
    </w:p>
    <w:p w14:paraId="7698D51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Conklin, P. L. Environmental stress sensitivity of an ascorbic acid-deficient Arabidopsis mutant / P. L. Conklin, E. H. Williams, R. L. Last // Proceedings of the National Academy of Sciences of the United States of America. – 1996. – Vol. 93, N 18. – P. 9970–9974. – DOI: 10.1073/pnas.93.18.9970</w:t>
      </w:r>
    </w:p>
    <w:p w14:paraId="6033061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Furlong, E. A. Production of dihydrothymidine stereoisomers in DNA by gamma-irradiation / E. A. Furlong, T. J. Jorgensen, W. D. Henner // Biochemistry. – 1986. – Vol. 25, N 15. – P. 4344–4349. – DOI: 10.1021/bi00363a025</w:t>
      </w:r>
    </w:p>
    <w:p w14:paraId="207E094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Radiation-induced hydroxylation of thymine promoted by electron-affinic compounds / S. Nishimoto, H. Ide, T. Wada, T. Kagiya // International Journal of Radiation Biology and Related Studies in Physics, Chemistry, and Medicine. – 1983. – Vol. 44, N 6. – P. 585–600. – DOI: 10.1080/09553008314551651</w:t>
      </w:r>
    </w:p>
    <w:p w14:paraId="1E37EAD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Téoule, R. Radiation-induced DNA damage and its repair / R. Téoule // International Journal of Radiation Biology and Related Studies in Physics, Chemistry, and Medicine. – 1987. – Vol. 51, N 4. – P. 573–589. – DOI: 10.1080/09553008414552111</w:t>
      </w:r>
    </w:p>
    <w:p w14:paraId="6238734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Dizdaroglu, M. Substrate specificity of the Escherichia coli endonuclease III: excision of thymine- and cytosine-derived lesions in DNA produced by radiation-generated free radicals / M. Dizdaroglu, J. Laval, S. Boiteux // Biochemistry. – 1993. – Vol. 32, N 45. – P. 12105–12111. – DOI: 10.1021/bi00096a022</w:t>
      </w:r>
    </w:p>
    <w:p w14:paraId="2AAC11D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Steenken, S. How Easily Oxidizable Is DNA? One-Electron Reduction Potentials of Adenosine and Guanosine Radicals in Aqueous Solution / S. Steenken, S. V. Jovanovic // Journal of the American Chemical Society. – 1997. – Vol. 119, N 3. – P. 617–618. – DOI: 10.1021/ja962255b</w:t>
      </w:r>
    </w:p>
    <w:p w14:paraId="26360A4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Cadet, J. Oxidatively generated damage to the guanine moiety of DNA: mechanistic aspects and formation in cells / J. Cadet, T. Douki, J. Ravanat // Accounts of Chemical Research. – 2008. – Vol. 41, N 8. – P. 1075–1083. – DOI: 10.1021/ar700245e</w:t>
      </w:r>
    </w:p>
    <w:p w14:paraId="0235FC9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Jena, N. R. Formation of ring-opened and rearranged products of guanine: mechanisms and biological significance / N. R. Jena, P. C. Mishra // Free Radical Biology &amp; Medicine. – 2012. – Vol. 53, N 1. – P. 81–94. – DOI: 10.1016/j.freeradbiomed.2012.04.008</w:t>
      </w:r>
    </w:p>
    <w:p w14:paraId="6C283E2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Unexpected non-Hoogsteen–based mutagenicity mechanism of FaPy-DNA lesions / T. H. Gehrke, U. Lischke, K. L. Gasteiger, S. Schneider, S. Arnold, H. C. Müller, D. S. Stephenson, H. Zipse, T. Carell // Nature Chemical Biology. – 2013. – Vol. 9, N 7. – P. 455–461. – DOI: 10.1038/nchembio.1254</w:t>
      </w:r>
    </w:p>
    <w:p w14:paraId="5EE4CCA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Marnett, L. J. Oxyradicals and DNA damage / L. J. Marnett // Carcinogenesis. – 2000. – Vol. 21, N 3. – P. 361–370. – DOI: 10.1093/carcin/21.3.361</w:t>
      </w:r>
    </w:p>
    <w:p w14:paraId="0A8B66C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Fink, S. P. Mutagenicity in Escherichia coli of the major DNA adduct derived from the endogenous mutagen malondialdehyde / S. P. Fink, G. R. Reddy, L. J. Marnett // Proceedings of the National Academy of Sciences of the United States of America. – 1997. – Vol. 94, N 16. – P. 8652–8657. – DOI: 10.1073/pnas.94.16.8652</w:t>
      </w:r>
    </w:p>
    <w:p w14:paraId="20F39B4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Saparbaev, M. 3,N4-ethenocytosine, a highly mutagenic adduct, is a primary substrate for Escherichia coli double-stranded uracil-DNA glycosylase and human mismatch-specific thymine-DNA glycosylase / M. Saparbaev, J. Laval // Proceedings of the National Academy of Sciences of the United States of America. – 1998. – Vol. 95, N 15. – P. 8508–8513. – DOI: 10.1073/pnas.95.15.8508</w:t>
      </w:r>
    </w:p>
    <w:p w14:paraId="3C99576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Evans, M. D. Oxidative DNA damage and disease: induction, repair and significance / M. D. Evans, M. Dizdaroglu, M. S. Cooke // Mutation Research. – 2004. – Vol. 567, N 1. – P. 1–61. – DOI: 10.1016/j.mrrev.2003.11.001</w:t>
      </w:r>
    </w:p>
    <w:p w14:paraId="61BAC50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Thymine ring saturation and fragmentation products: lesion bypass, misinsertion and implications for mutagenesis / J. Evans, M. Maccabee, Z. Hatahet, J. Courcelle, R. Bockrath, H. Ide, S. Wallace // Mutation Research. – 1993. – Vol. 299, N 3-4. – P. 147–156. – DOI: 10.1016/0165-1218(93)90092-r</w:t>
      </w:r>
    </w:p>
    <w:p w14:paraId="5524DF9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Ide, H. Thymine glycols and urea residues in M13 DNA constitute replicative blocks in vitro / H. Ide, Y. W. Kow, S. S. Wallace // Nucleic Acids Research. – 1985. – Vol. 13, N 22. – P. 8035–8052. – DOI: 10.1093/nar/13.22.8035</w:t>
      </w:r>
    </w:p>
    <w:p w14:paraId="02A2024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DNA Repair and Mutagenesis / E. C. Friedberg, G. C. Walker, W. Siede, R. D. Wood. – </w:t>
      </w:r>
      <w:r w:rsidRPr="00972E13">
        <w:rPr>
          <w:rFonts w:ascii="Times New Roman" w:hAnsi="Times New Roman"/>
          <w:lang w:val="en-US"/>
        </w:rPr>
        <w:t>Washington, DC</w:t>
      </w:r>
      <w:r w:rsidRPr="002C6989">
        <w:rPr>
          <w:rFonts w:ascii="Times New Roman" w:eastAsia="Times New Roman" w:hAnsi="Times New Roman"/>
          <w:color w:val="000000"/>
          <w:lang w:val="en-US" w:eastAsia="ru-RU"/>
        </w:rPr>
        <w:t>: American Society for Microbiology Press, 2005. – 2845 p.</w:t>
      </w:r>
    </w:p>
    <w:p w14:paraId="1C3E9C5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lang w:val="en-US" w:eastAsia="ru-RU"/>
        </w:rPr>
      </w:pPr>
      <w:r w:rsidRPr="002C6989">
        <w:rPr>
          <w:rFonts w:ascii="Times New Roman" w:eastAsia="Times New Roman" w:hAnsi="Times New Roman"/>
          <w:lang w:val="en-US" w:eastAsia="ru-RU"/>
        </w:rPr>
        <w:t>Donà, M. DNA Damage Repair in the Context of Plant Chromatin1 / M. Donà, O. Mittelsten Scheid // Plant Physiology. – 2015. – Vol. 168, N 4. – P. 1206–1218. – DOI: 10.1104/pp.15.00538</w:t>
      </w:r>
    </w:p>
    <w:p w14:paraId="290065B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Trapp, O. Homologs of Breast Cancer Genes in Plants / O. Trapp, K. Seeliger, H. Puchta // Frontiers in plant science. – 2011. – Vol. 2. – P. 19. – DOI: 10.3389/fpls.2011.00019</w:t>
      </w:r>
    </w:p>
    <w:p w14:paraId="0F4AD92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Britt, A. Repair of Damaged Bases / A. Britt // The Arabidopsis Book. – 2002. – Vol. 2002, N 1. – P. </w:t>
      </w:r>
      <w:r w:rsidRPr="00972E13">
        <w:rPr>
          <w:rFonts w:ascii="Helvetica" w:hAnsi="Helvetica"/>
          <w:color w:val="212121"/>
          <w:shd w:val="clear" w:color="auto" w:fill="FFFFFF"/>
          <w:lang w:val="en-US"/>
        </w:rPr>
        <w:t>1: e0005</w:t>
      </w:r>
      <w:r w:rsidRPr="002C6989">
        <w:rPr>
          <w:rFonts w:ascii="Times New Roman" w:eastAsia="Times New Roman" w:hAnsi="Times New Roman"/>
          <w:color w:val="000000"/>
          <w:lang w:val="en-US" w:eastAsia="ru-RU"/>
        </w:rPr>
        <w:t>. – DOI: 10.1199/tab.0005</w:t>
      </w:r>
      <w:r>
        <w:rPr>
          <w:rFonts w:ascii="Times New Roman" w:eastAsia="Times New Roman" w:hAnsi="Times New Roman"/>
          <w:color w:val="000000"/>
          <w:lang w:val="en-US" w:eastAsia="ru-RU"/>
        </w:rPr>
        <w:t xml:space="preserve"> </w:t>
      </w:r>
    </w:p>
    <w:p w14:paraId="45786A9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UV-damage-mediated induction of homologous recombination in Arabidopsis is dependent on photosynthetically active radiation / G. Ries, G. Buchholz, H. Frohnmeyer, B. Hohn // Proceedings of the National Academy of Sciences of the United States of America. – 2000. – Vol. 97, N 24. – P. 13425–13429. – DOI: 10.1073/pnas.230251897</w:t>
      </w:r>
    </w:p>
    <w:p w14:paraId="379D945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Zhou, B. B. The DNA damage response: putting checkpoints in perspective / B. B. Zhou, S. J. Elledge // Nature. – 2000. – Vol. 408, N 6811. – P. 433–439. – DOI: 10.1038/35044005</w:t>
      </w:r>
    </w:p>
    <w:p w14:paraId="334FDE7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Bonilla, C. Y. Colocalization of sensors is sufficient to activate the DNA damage checkpoint in the absence of damage / C. Y. Bonilla, J. A. Melo, D. P. Toczyski // Molecular Cell. – 2008. – Vol. 30, N 3. – P. 267–276. – DOI: 10.1016/j.molcel.2008.03.023</w:t>
      </w:r>
    </w:p>
    <w:p w14:paraId="1A172CF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Soutoglou, E. Activation of the Cellular DNA Damage Response in the Absence of DNA Lesions / E. Soutoglou, T. Misteli // Science (New York, N.Y.). – 2008. – Vol. 320, N 5882. – P. 1507–1510. – DOI: 10.1126/science.1159051</w:t>
      </w:r>
    </w:p>
    <w:p w14:paraId="0623D0A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Bergink, S. Principles of ubiquitin and SUMO modifications in DNA repair / S. Bergink, S. Jentsch // Nature. – 2009. – Vol. 458, N 7237. – P. 461–467. – DOI: 10.1038/nature07963</w:t>
      </w:r>
    </w:p>
    <w:p w14:paraId="2707510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Dianov, G. L. Mammalian base excision repair: the forgotten archangel / G. L. Dianov, U. Hübscher // Nucleic Acids Research. – 2013. – Vol. 41, N 6. – P. 3483–3490. – DOI: 10.1093/nar/gkt076</w:t>
      </w:r>
    </w:p>
    <w:p w14:paraId="5EBB8D1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Odell, I. D. Rules of engagement for base excision repair in chromatin / I. D. Odell, S. S. Wallace, D. S. Pederson // Journal of Cellular Physiology. – 2013. – Vol. 228, N 2. – P. 258–266. – DOI: 10.1002/jcp.24134</w:t>
      </w:r>
    </w:p>
    <w:p w14:paraId="5C21BE7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Huffman, J. L. DNA base damage recognition and removal: new twists and grooves / J. L. Huffman, O. Sundheim, J. A. Tainer // Mutation Research. – 2005. – Vol. 577, N 1-2. – P. 55–76. – DOI: 10.1016/j.mrfmmm.2005.03.012</w:t>
      </w:r>
    </w:p>
    <w:p w14:paraId="1594E42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Krokan, H. E. Base excision repair / H. E. Krokan, M. Bjørås // Cold Spring Harbor Perspectives in Biology. – 2013. – Vol. 5, N 4. – P. a012583. – DOI: 10.1101/cshperspect.a012583</w:t>
      </w:r>
    </w:p>
    <w:p w14:paraId="0C0073F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Jacobs, A. L. DNA glycosylases: in DNA repair and beyond / A. L. Jacobs, P. Schär // Chromosoma. – 2012. – Vol. 121, N 1. – P. 1–20. – DOI: 10.1007/s00412-011-0347-4</w:t>
      </w:r>
    </w:p>
    <w:p w14:paraId="086EC55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Base excision repair and lesion-dependent subpathways for repair of oxidative DNA damage / D. Svilar, E. M. Goellner, K. H. Almeida, R. W. Sobol // Antioxidants &amp; Redox Signaling. – 2011. – Vol. 14, N 12. – P. 2491–2507. – DOI: 10.1089/ars.2010.3466</w:t>
      </w:r>
    </w:p>
    <w:p w14:paraId="1C95944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Almeida, K. H. A unified view of base excision repair: lesion-dependent protein complexes regulated by post-translational modification / K. H. Almeida, R. W. Sobol // DNA repair. – 2007. – Vol. 6, N 6. – P. 695–711. – DOI: 10.1016/j.dnarep.2007.01.009</w:t>
      </w:r>
    </w:p>
    <w:p w14:paraId="3166B42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Disruption of PARP1 function inhibits base excision repair of a sub-set of DNA lesions / P. Reynolds, S. Cooper, M. Lomax, P. O'Neill // Nucleic Acids Research. – 2015. – Vol. 43, N 8. – P. 4028–4038. – DOI: 10.1093/nar/gkv250</w:t>
      </w:r>
    </w:p>
    <w:p w14:paraId="4C18EFE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Mitochondrial base excision repair of uracil and AP sites takes place by single-nucleotide insertion and long-patch DNA synthesis / M. Akbari, T. Visnes, H. E. Krokan, M. Otterlei // DNA repair. – 2008. – Vol. 7, N 4. – P. 605–616. – DOI: 10.1016/j.dnarep.2008.01.002</w:t>
      </w:r>
    </w:p>
    <w:p w14:paraId="73B8B80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Prakash, A. Base Excision Repair in the Mitochondria / A. Prakash, S. Doublié // Journal of Cellular Biochemistry. – 2015. – Vol. 116, N 8. – P. 1490–1499. – DOI: 10.1002/jcb.25103</w:t>
      </w:r>
    </w:p>
    <w:p w14:paraId="1077C99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Laat, W. L. Molecular mechanism of nucleotide excision repair / W. L. Laat, N. G. Jaspers, J. H. Hoeijmakers // Genes &amp; Development. – 1999. – Vol. 13, N 7. – P. 768–785. – DOI: 10.1101/gad.13.7.768</w:t>
      </w:r>
    </w:p>
    <w:p w14:paraId="5E7D8DC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Recognition of nonhybridizing base pairs during nucleotide excision repair of DNA / N. Buschta-Hedayat, T. Buterin, M. T. Hess, M. Missura, H. Naegeli // Proceedings of the National Academy of Sciences of the United States of America. – 1999. – Vol. 96, N 11. – P. 6090–6095. – DOI: 10.1073/pnas.96.11.6090</w:t>
      </w:r>
    </w:p>
    <w:p w14:paraId="11B5090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Wood, R. D. DNA damage recognition during nucleotide excision repair in mammalian cells / R. D. Wood // Biochimie. – 1999. – Vol. 81, N 1-2. – P. 39–44. – DOI: 10.1016/s0300-9084(99)80036-4</w:t>
      </w:r>
    </w:p>
    <w:p w14:paraId="6927FD1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Mitchell, D. L. The biology of the (6-4) photoproduct / D. L. Mitchell, R. S. Nairn // Photochemistry and Photobiology. – 1989. – Vol. 49, N 6. – P. 805–819. – DOI: 10.1111/j.1751-1097.1989.tb05578.x</w:t>
      </w:r>
    </w:p>
    <w:p w14:paraId="3E24B03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Vermeulen, W. Mammalian Transcription-Coupled Excision Repair / W. Vermeulen, M. Fousteri // Cold Spring Harbor Perspectives in Biology. – 2013. – Vol. 5, N 8. – P. a012625. – DOI: 10.1101/cshperspect.a012625</w:t>
      </w:r>
    </w:p>
    <w:p w14:paraId="2088566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Schärer, O. D. Nucleotide Excision Repair in Eukaryotes / O. D. Schärer // Cold Spring Harbor Perspectives in Biology. – 2013. – Vol. 5, N 10. – P. a012609. – DOI: 10.1101/cshperspect.a012609</w:t>
      </w:r>
    </w:p>
    <w:p w14:paraId="2967073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Purification and cloning of a nucleotide excision repair complex involving the xeroderma pigmentosum group C protein and a human homologue of yeast RAD23 / C. Masutani, K. Sugasawa, J. Yanagisawa, T. Sonoyama, M. Ui, T. Enomoto, K. Takio, K. Tanaka, P. J. Spek, D. Bootsma // The EMBO journal. – 1994. – Vol. 13, N 8. – P. 1831–1843.</w:t>
      </w:r>
    </w:p>
    <w:p w14:paraId="708C3DA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Centrin 2 stimulates nucleotide excision repair by interacting with xeroderma pigmentosum group C protein / R. Nishi, Y. Okuda, E. Watanabe, T. Mori, S. Iwai, C. Masutani, K. Sugasawa, F. Hanaoka // Molecular and Cellular Biology. – 2005. – Vol. 25, N 13. – P. 5664–5674. – DOI: 10.1128/MCB.25.13.5664-5674.2005</w:t>
      </w:r>
    </w:p>
    <w:p w14:paraId="4F26928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DDB accumulates at DNA damage sites immediately after UV irradiation and directly stimulates nucleotide excision repair / M. Wakasugi, A. Kawashima, H. Morioka, S. Linn, A. Sancar, T. Mori, O. Nikaido, T. Matsunaga // The Journal of Biological Chemistry. – 2002. – Vol. 277, N 3. – P. 1637–1640. – DOI: 10.1074/jbc.C100610200</w:t>
      </w:r>
    </w:p>
    <w:p w14:paraId="15D1055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Structural basis of UV DNA-damage recognition by the DDB1-DDB2 complex / A. Scrima, R. Konícková, B. K. Czyzewski, Y. Kawasaki, P. D. Jeffrey, R. Groisman, Y. Nakatani, S. Iwai, N. P. Pavletich, N. H. Thomä // Cell. – 2008. – Vol. 135, N 7. – P. 1213–1223. – DOI: 10.1016/j.cell.2008.10.045</w:t>
      </w:r>
    </w:p>
    <w:p w14:paraId="0EC787F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 xml:space="preserve">The xeroderma pigmentosum group C protein complex XPC-HR23B plays an important role in the recruitment of transcription factor IIH to damaged DNA / M. Yokoi, C. Masutani, T. Maekawa, K. Sugasawa, </w:t>
      </w:r>
      <w:r w:rsidRPr="002C6989">
        <w:rPr>
          <w:rFonts w:ascii="Times New Roman" w:eastAsia="Times New Roman" w:hAnsi="Times New Roman"/>
          <w:color w:val="000000"/>
          <w:lang w:val="en-US" w:eastAsia="ru-RU"/>
        </w:rPr>
        <w:lastRenderedPageBreak/>
        <w:t>Y. Ohkuma, F. Hanaoka // The Journal of Biological Chemistry. – 2000. – Vol. 275, N 13. – P. 9870–9875. – DOI: 10.1074/jbc.275.13.9870</w:t>
      </w:r>
    </w:p>
    <w:p w14:paraId="17B7FE0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Sequential assembly of the nucleotide excision repair factors in vivo / M. Volker, M. J. Moné, P. Karmakar, A. Hoffen, W. Schul, W. Vermeulen, J. H. Hoeijmakers, R. Driel, A. A. Zeeland, L. H. Mullenders // Molecular Cell. – 2001. – Vol. 8, N 1. – P. 213–224. – DOI: 10.1016/s1097-2765(01)00281-7</w:t>
      </w:r>
    </w:p>
    <w:p w14:paraId="089815B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Compe, E. TFIIH: when transcription met DNA repair / E. Compe, J. Egly // Nature Reviews. Molecular Cell Biology. – 2012. – Vol. 13, N 6. – P. 343–354. – DOI: 10.1038/nrm3350</w:t>
      </w:r>
    </w:p>
    <w:p w14:paraId="4D863E3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DNA nucleotide excision repair-dependent signaling to checkpoint activation / F. Marini, T. Nardo, M. Giannattasio, M. Minuzzo, M. Stefanini, P. Plevani, M. Muzi Falconi // Proceedings of the National Academy of Sciences of the United States of America. – 2006. – Vol. 103, N 46. – P. 17325–17330. – DOI: 10.1073/pnas.0605446103</w:t>
      </w:r>
    </w:p>
    <w:p w14:paraId="320E707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H2AX phosphorylation within the G1 phase after UV irradiation depends on nucleotide excision repair and not DNA double-strand breaks / T. M. Marti, E. Hefner, L. Feeney, V. Natale, J. E. Cleaver // Proceedings of the National Academy of Sciences of the United States of America. – 2006. – Vol. 103, N 26. – P. 9891–9896. – DOI: 10.1073/pnas.0603779103</w:t>
      </w:r>
    </w:p>
    <w:p w14:paraId="6EFC876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Sequential recruitment of the repair factors during NER: the role of XPG in initiating the resynthesis step / V. Mocquet, J. P. Lainé, T. Riedl, Z. Yajin, M. Y. Lee, J. M. Egly // The EMBO journal. – 2008. – Vol. 27, N 1. – P. 155–167. – DOI: 10.1038/sj.emboj.7601948</w:t>
      </w:r>
    </w:p>
    <w:p w14:paraId="68E43B6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Fagbemi, A. F. Regulation of endonuclease activity in human nucleotide excision repair / A. F. Fagbemi, B. Orelli, O. D. Schärer // DNA repair. – 2011. – Vol. 10, N 7. – P. 722–729. – DOI: 10.1016/j.dnarep.2011.04.022</w:t>
      </w:r>
    </w:p>
    <w:p w14:paraId="16C80AA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Three DNA polymerases, recruited by different mechanisms, carry out NER repair synthesis in human cells / T. Ogi, S. Limsirichaikul, R. M. Overmeer, M. Volker, K. Takenaka, R. Cloney, Y. Nakazawa, A. Niimi, Y. Miki, N. G. Jaspers, L. H. F. Mullenders, S. Yamashita, M. I. Fousteri, A. R. Lehmann // Molecular Cell. – 2010. – Vol. 37, N 5. – P. 714–727. – DOI: 10.1016/j.molcel.2010.02.009</w:t>
      </w:r>
    </w:p>
    <w:p w14:paraId="134E7F6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UV-sensitive syndrome protein UVSSA recruits USP7 to regulate transcription-coupled repair / P. Schwertman, A. Lagarou, D. H. W. Dekkers, A. Raams, A. C. Hoek, C. Laffeber, J. H. J. Hoeijmakers, J. A. A. Demmers, M. Fousteri, W. Vermeulen, J. A. Marteijn // Nature Genetics. – 2012. – Vol. 44, N 5. – P. 598–602. – DOI: 10.1038/ng.2230</w:t>
      </w:r>
    </w:p>
    <w:p w14:paraId="4579F26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Understanding nucleotide excision repair and its roles in cancer and ageing / J. A. Marteijn, H. Lans, W. Vermeulen, J. H. J. Hoeijmakers // Nature Reviews. Molecular Cell Biology. – 2014. – Vol. 15, N 7. – P. 465–481. – DOI: 10.1038/nrm3822</w:t>
      </w:r>
    </w:p>
    <w:p w14:paraId="725603E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Arana, M. E. Mutator phenotypes due to DNA replication infidelity / M. E. Arana, T. A. Kunkel // Seminars in Cancer Biology. – 2010. – Vol. 20, N 5. – P. 304–311. – DOI: 10.1016/j.semcancer.2010.10.003</w:t>
      </w:r>
    </w:p>
    <w:p w14:paraId="68E1B47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Jiricny, J. The multifaceted mismatch-repair system / J. Jiricny // Nature Reviews. Molecular Cell Biology. – 2006. – Vol. 7, N 5. – P. 335–346. – DOI: 10.1038/nrm1907</w:t>
      </w:r>
    </w:p>
    <w:p w14:paraId="35D57F4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Jiricny, J. Postreplicative mismatch repair / J. Jiricny // Cold Spring Harbor Perspectives in Biology. – 2013. – Vol. 5, N 4. – P. a012633. – DOI: 10.1101/cshperspect.a012633</w:t>
      </w:r>
    </w:p>
    <w:p w14:paraId="5A80307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Chatterjee, N. Mismatch repair enhances convergent transcription-induced cell death at trinucleotide repeats by activating ATR / N. Chatterjee, Y. Lin, J. H. Wilson // DNA repair. – 2016. – Vol. 42. – P. 26–32. – DOI: 10.1016/j.dnarep.2016.03.016</w:t>
      </w:r>
    </w:p>
    <w:p w14:paraId="02D01A2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Peltomäki, P. DNA mismatch repair and cancer / P. Peltomäki // Mutation Research. – 2001. – Vol. 488, N 1. – P. 77–85. – DOI: 10.1016/s1383-5742(00)00058-2</w:t>
      </w:r>
    </w:p>
    <w:p w14:paraId="04870FC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histone mark H3K36me3 regulates human DNA mismatch repair through its interaction with MutS</w:t>
      </w:r>
      <w:r w:rsidRPr="002C6989">
        <w:rPr>
          <w:rFonts w:ascii="Times New Roman" w:eastAsia="Times New Roman" w:hAnsi="Times New Roman"/>
          <w:color w:val="000000"/>
          <w:lang w:eastAsia="ru-RU"/>
        </w:rPr>
        <w:t>α</w:t>
      </w:r>
      <w:r w:rsidRPr="002C6989">
        <w:rPr>
          <w:rFonts w:ascii="Times New Roman" w:eastAsia="Times New Roman" w:hAnsi="Times New Roman"/>
          <w:color w:val="000000"/>
          <w:lang w:val="en-US" w:eastAsia="ru-RU"/>
        </w:rPr>
        <w:t xml:space="preserve"> / F. Li, G. Mao, D. Tong, J. Huang, L. Gu, W. Yang, G. Li // Cell. – 2013. – </w:t>
      </w:r>
      <w:r w:rsidRPr="002C6989">
        <w:rPr>
          <w:rFonts w:ascii="Times New Roman" w:eastAsia="Times New Roman" w:hAnsi="Times New Roman"/>
          <w:color w:val="000000"/>
          <w:lang w:eastAsia="ru-RU"/>
        </w:rPr>
        <w:t>Т</w:t>
      </w:r>
      <w:r w:rsidRPr="002C6989">
        <w:rPr>
          <w:rFonts w:ascii="Times New Roman" w:eastAsia="Times New Roman" w:hAnsi="Times New Roman"/>
          <w:color w:val="000000"/>
          <w:lang w:val="en-US" w:eastAsia="ru-RU"/>
        </w:rPr>
        <w:t xml:space="preserve">. 153, № 3. – </w:t>
      </w:r>
      <w:r w:rsidRPr="002C6989">
        <w:rPr>
          <w:rFonts w:ascii="Times New Roman" w:eastAsia="Times New Roman" w:hAnsi="Times New Roman"/>
          <w:color w:val="000000"/>
          <w:lang w:eastAsia="ru-RU"/>
        </w:rPr>
        <w:t>С</w:t>
      </w:r>
      <w:r w:rsidRPr="002C6989">
        <w:rPr>
          <w:rFonts w:ascii="Times New Roman" w:eastAsia="Times New Roman" w:hAnsi="Times New Roman"/>
          <w:color w:val="000000"/>
          <w:lang w:val="en-US" w:eastAsia="ru-RU"/>
        </w:rPr>
        <w:t>. 590–600. – DOI: 10.1016/j.cell.2013.03.025</w:t>
      </w:r>
    </w:p>
    <w:p w14:paraId="4C73EF3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Li, G. New insights and challenges in mismatch repair: getting over the chromatin hurdle / G. Li // DNA repair. – 2014. – Vol. 19. – P. 48–54. – DOI: 10.1016/j.dnarep.2014.03.027</w:t>
      </w:r>
    </w:p>
    <w:p w14:paraId="16AD509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MLH3: a DNA mismatch repair gene associated with mammalian microsatellite instability / S. M. Lipkin, V. Wang, R. Jacoby, S. Banerjee-Basu, A. D. Baxevanis, H. T. Lynch, R. M. Elliott, F. S. Collins // Nature Genetics. – 2000. – Vol. 24, N 1. – P. 27–35. – DOI: 10.1038/71643</w:t>
      </w:r>
    </w:p>
    <w:p w14:paraId="11F8805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Sachadyn, P. Conservation and diversity of MutS proteins / P. Sachadyn // Mutation Research. – 2010. – Vol. 694, N 1-2. – P. 20–30. – DOI: 10.1016/j.mrfmmm.2010.08.009</w:t>
      </w:r>
    </w:p>
    <w:p w14:paraId="055FCC1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MutL traps MutS at a DNA mismatch / R. Qiu, M. Sakato, E. J. Sacho, H. Wilkins, X. Zhang, P. Modrich, M. M. Hingorani, D. A. Erie, K. R. Weninger // Proceedings of the National Academy of Sciences of the United States of America. – 2015. – Vol. 112, N 35. – P. 10914–10919. – DOI: 10.1073/pnas.1505655112</w:t>
      </w:r>
    </w:p>
    <w:p w14:paraId="4725635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MLH3: a DNA mismatch repair gene associated with mammalian microsatellite instability / S. M. Lipkin, V. Wang, R. Jacoby, S. Banerjee-Basu, A. D. Baxevanis, H. T. Lynch, R. M. Elliott, F. S. Collins // Nature Genetics. – 2000. – Vol. 24, N 1. – P. 27–35. – DOI: 10.1038/71643</w:t>
      </w:r>
    </w:p>
    <w:p w14:paraId="0060403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Reconstitution of 5'-directed human mismatch repair in a purified system / Y. Zhang, F. Yuan, S. R. Presnell, K. Tian, Y. Gao, A. E. Tomkinson, L. Gu, G. Li // Cell. – 2005. – Vol. 122, N 5. – P. 693–705. – DOI: 10.1016/j.cell.2005.06.027</w:t>
      </w:r>
    </w:p>
    <w:p w14:paraId="078D633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Endonucleolytic function of MutLalpha in human mismatch repair / F. A. Kadyrov, L. Dzantiev, N. Constantin, P. Modrich // Cell. – 2006. – Vol. 126, N 2. – P. 297–308. – DOI: 10.1016/j.cell.2006.05.039</w:t>
      </w:r>
    </w:p>
    <w:p w14:paraId="5624F76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Endonucleolytic function of MutLalpha in human mismatch repair / F. A. Kadyrov, L. Dzantiev, N. Constantin, P. Modrich // Cell. – 2006. – Vol. 126, N 2. – P. 297–308. – DOI: 10.1016/j.cell.2006.05.039</w:t>
      </w:r>
    </w:p>
    <w:p w14:paraId="6333DCE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Genschel, J. Mechanism of 5'-directed excision in human mismatch repair / J. Genschel, P. Modrich // Molecular Cell. – 2003. – Vol. 12, N 5. – P. 1077–1086. – DOI: 10.1016/s1097-2765(03)00428-3</w:t>
      </w:r>
    </w:p>
    <w:p w14:paraId="57AEB18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Evidence for involvement of HMGB1 protein in human DNA mismatch repair / F. Yuan, L. Gu, S. Guo, C. Wang, G. Li // The Journal of Biological Chemistry. – 2004. – Vol. 279, N 20. – P. 20935–20940. – DOI: 10.1074/jbc.M401931200</w:t>
      </w:r>
    </w:p>
    <w:p w14:paraId="63DD94E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Regulation of replication protein A functions in DNA mismatch repair by phosphorylation / S. Guo, Y. Zhang, F. Yuan, Y. Gao, L. Gu, I. Wong, G. Li // The Journal of Biological Chemistry. – 2006. – Vol. 281, N 31. – P. 21607–21616. – DOI: 10.1074/jbc.M603504200</w:t>
      </w:r>
    </w:p>
    <w:p w14:paraId="46A674B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Lau, P. J. Transfer of the MSH2.MSH6 complex from proliferating cell nuclear antigen to mispaired bases in DNA / P. J. Lau, R. D. Kolodner // The Journal of Biological Chemistry. – 2003. – Vol. 278, N 1. – P. 14–17. – DOI: 10.1074/jbc.C200627200</w:t>
      </w:r>
    </w:p>
    <w:p w14:paraId="7AD7F0D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Wang, J. C. Cellular roles of DNA topoisomerases: a molecular perspective / J. C. Wang // Nature Reviews. Molecular Cell Biology. – 2002. – Vol. 3, N 6. – P. 430–440. – DOI: 10.1038/nrm831</w:t>
      </w:r>
    </w:p>
    <w:p w14:paraId="49400F1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Hegde, M. L. Early steps in the DNA base excision/single-strand interruption repair pathway in mammalian cells / M. L. Hegde, T. K. Hazra, S. Mitra // Cell Research. – 2008. – Vol. 18, N 1. – P. 27–47. – DOI: 10.1038/cr.2008.8</w:t>
      </w:r>
    </w:p>
    <w:p w14:paraId="3990109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Heeres, J. T. Poly(ADP-ribose) makes a date with death / J. T. Heeres, P. J. Hergenrother // Current Opinion in Chemical Biology. – 2007. – Vol. 11, N 6. – P. 644–653. – DOI: 10.1016/j.cbpa.2007.08.038</w:t>
      </w:r>
    </w:p>
    <w:p w14:paraId="66D8666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Importance of poly(ADP-ribose) glycohydrolase in the control of poly(ADP-ribose) metabolism / L. Davidovic, M. Vodenicharov, E. B. Affar, G. G. Poirier // Experimental Cell Research. – 2001. – Vol. 268, N 1. – P. 7–13. – DOI: 10.1006/excr.2001.5263</w:t>
      </w:r>
    </w:p>
    <w:p w14:paraId="16DCCA6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Differential recruitment of DNA Ligase I and III to DNA repair sites / O. Mortusewicz, U. Rothbauer, M. C. Cardoso, H. Leonhardt // Nucleic Acids Research. – 2006. – Vol. 34, N 12. – P. 3523–3532. – DOI: 10.1093/nar/gkl492</w:t>
      </w:r>
    </w:p>
    <w:p w14:paraId="2F4D43C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Caldecott, K. W. Single-strand break repair and genetic disease / K. W. Caldecott // Nature Reviews. Genetics. – 2008. – Vol. 9, N 8. – P. 619–631. – DOI: 10.1038/nrg2380</w:t>
      </w:r>
    </w:p>
    <w:p w14:paraId="422E273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Jackson, S. P. Sensing and repairing DNA double-strand breaks / S. P. Jackson // Carcinogenesis. – 2002. – Vol. 23, N 5. – P. 687–696. – DOI: 10.1093/carcin/23.5.687</w:t>
      </w:r>
    </w:p>
    <w:p w14:paraId="7FA482A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Poly(ADP-ribosyl)ation directs recruitment and activation of an ATP-dependent chromatin remodeler / A. J. Gottschalk, G. Timinszky, S. E. Kong, J. Jin, Y. Cai, S. K. Swanson, M. P. Washburn, L. Florens, A. G. Ladurner, J. W. Conaway, R. C. Conaway // Proceedings of the National Academy of Sciences of the United States of America. – 2009. – Vol. 106, N 33. – P. 13770–13774. – DOI: 10.1073/pnas.0906920106</w:t>
      </w:r>
    </w:p>
    <w:p w14:paraId="65367BD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chromatin localization screen reveals poly (ADP ribose)-regulated recruitment of the repressive polycomb and NuRD complexes to sites of DNA damage / D. M. Chou, B. Adamson, N. E. Dephoure, X. Tan, A. C. Nottke, K. E. Hurov, S. P. Gygi, M. P. Colaiácovo, S. J. Elledge // Proceedings of the National Academy of Sciences of the United States of America. – 2010. – Vol. 107, N 43. – P. 18475–18480. – DOI: 10.1073/pnas.1012946107</w:t>
      </w:r>
    </w:p>
    <w:p w14:paraId="763ADD1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Lukas, J. More than just a focus: The chromatin response to DNA damage and its role in genome integrity maintenance / J. Lukas, C. Lukas, J. Bartek // Nature Cell Biology. – 2011. – Vol. 13, N 10. – P. 1161–1169. – DOI: 10.1038/ncb2344</w:t>
      </w:r>
    </w:p>
    <w:p w14:paraId="4B3FEB2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Price, B. D. Chromatin remodeling at DNA double-strand breaks / B. D. Price, A. D. D'Andrea // Cell. – 2013. – Vol. 152, N 6. – P. 1344–1354. – DOI: 10.1016/j.cell.2013.02.011</w:t>
      </w:r>
    </w:p>
    <w:p w14:paraId="6E2E366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fine-scale dissection of the DNA double-strand break repair machinery and its implications for breast cancer therapy / C. Liu, S. Srihari, K. L. Cao, G. Chenevix-Trench, P. T. Simpson, M. A. Ragan, K. K. Khanna // Nucleic Acids Research. – 2014. – Vol. 42, N 10. – P. 6106–6127. – DOI: 10.1093/nar/gku284</w:t>
      </w:r>
    </w:p>
    <w:p w14:paraId="7DEAD0F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Panier, S. Double-strand break repair: 53BP1 comes into focus / S. Panier, S. J. Boulton // Nature Reviews. Molecular Cell Biology. – 2014. – Vol. 15, N 1. – P. 7–18. – DOI: 10.1038/nrm3719</w:t>
      </w:r>
    </w:p>
    <w:p w14:paraId="345F2D6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Dynamic assembly of end-joining complexes requires interaction between Ku70/80 and XRCC4 / P. Mari, B. I. Florea, S. P. Persengiev, N. S. Verkaik, H. T. Brüggenwirth, M. Modesti, G. Giglia-Mari, K. Bezstarosti, J. A. A. Demmers, T. M. Luider, A. B. Houtsmuller, D. C. Gent // Proceedings of the National Academy of Sciences of the United States of America. – 2006. – Vol. 103, N 49. – P. 18597–18602. – DOI: 10.1073/pnas.0609061103</w:t>
      </w:r>
    </w:p>
    <w:p w14:paraId="425EBA7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Positional stability of single double-strand breaks in mammalian cells / E. Soutoglou, J. F. Dorn, K. Sengupta, M. Jasin, A. Nussenzweig, T. Ried, G. Danuser, T. Misteli // Nature Cell Biology. – 2007. – Vol. 9, N 6. – P. 675–682. – DOI: 10.1038/ncb1591</w:t>
      </w:r>
    </w:p>
    <w:p w14:paraId="47252BF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Mimitou, E. P. Ku prevents Exo1 and Sgs1-dependent resection of DNA ends in the absence of a functional MRX complex or Sae2 / E. P. Mimitou, L. S. Symington // The EMBO journal. – 2010. – Vol. 29, N 19. – P. 3358–3369. – DOI: 10.1038/emboj.2010.193</w:t>
      </w:r>
    </w:p>
    <w:p w14:paraId="7814ABC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Interaction of the Ku heterodimer with the DNA ligase IV/Xrcc4 complex and its regulation by DNA-PK / S. Costantini, L. Woodbine, L. Andreoli, P. A. Jeggo, A. Vindigni // DNA repair. – 2007. – Vol. 6, N 6. – P. 712–722. – DOI: 10.1016/j.dnarep.2006.12.007</w:t>
      </w:r>
    </w:p>
    <w:p w14:paraId="4C0EAD3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Weterings, E. The endless tale of non-homologous end-joining / E. Weterings, D. J. Chen // Cell Research. – 2008. – Vol. 18, N 1. – P. 114–124. – DOI: 10.1038/cr.2008.3</w:t>
      </w:r>
    </w:p>
    <w:p w14:paraId="6A18BC9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Yano, K. Live cell imaging of XLF and XRCC4 reveals a novel view of protein assembly in the non-homologous end-joining pathway / K. Yano, D. J. Chen // Cell Cycle (Georgetown, Tex.). – 2008. – Vol. 7, N 10. – P. 1321–1325. – DOI: 10.4161/cc.7.10.5898</w:t>
      </w:r>
    </w:p>
    <w:p w14:paraId="52091A3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APLF promotes the assembly and activity of non-homologous end joining protein complexes / G. J. Grundy, S. L. Rulten, Z. Zeng, R. Arribas-Bosacoma, N. Iles, K. Manley, A. Oliver, K. W. Caldecott // The EMBO journal. – 2013. – Vol. 32, N 1. – P. 112–125. – DOI: 10.1038/emboj.2012.304</w:t>
      </w:r>
    </w:p>
    <w:p w14:paraId="423EC25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Delineation of the Xrcc4-interacting region in the globular head domain of cernunnos/XLF / L. Malivert, V. Ropars, M. Nunez, P. Drevet, S. Miron, G. Faure, R. Guerois, J. Mornon, P. Revy, J. Charbonnier, I. Callebaut, J. Villartay // The Journal of Biological Chemistry. – 2010. – Vol. 285, N 34. – P. 26475–26483. – DOI: 10.1074/jbc.M110.138156</w:t>
      </w:r>
    </w:p>
    <w:p w14:paraId="7CB3273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XRCC4 protein interactions with XRCC4-like factor (XLF) create an extended grooved scaffold for DNA ligation and double strand break repair / M. Hammel, M. Rey, Y. Yu, R. S. Mani, S. Classen, M. Liu, M. E. Pique, S. Fang, B. L. Mahaney, M. Weinfeld, D. C. Schriemer, S. P. Lees-Miller, J. A. Tainer // The Journal of Biological Chemistry. – 2011. – Vol. 286, N 37. – P. 32638–32650. – DOI: 10.1074/jbc.M111.272641</w:t>
      </w:r>
    </w:p>
    <w:p w14:paraId="7FF4B3C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human XRCC4-XLF complex bridges DNA / S. N. Andres, A. Vergnes, D. Ristic, C. Wyman, M. Modesti, M. Junop // Nucleic Acids Research. – 2012. – Vol. 40, N 4. – P. 1868–1878. – DOI: 10.1093/nar/gks022</w:t>
      </w:r>
    </w:p>
    <w:p w14:paraId="69A3010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molecular architecture of the mammalian DNA repair enzyme, polynucleotide kinase / N. K. Bernstein, R. S. Williams, M. L. Rakovszky, D. Cui, R. Green, F. Karimi-Busheri, R. S. Mani, S. Galicia, C. A. Koch, C. E. Cass, D. Durocher, M. Weinfeld, J. N. M. Glover // Molecular Cell. – 2005. – Vol. 17, N 5. – P. 657–670. – DOI: 10.1016/j.molcel.2005.02.012</w:t>
      </w:r>
    </w:p>
    <w:p w14:paraId="2D6AB0D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neurodegenerative disease protein aprataxin resolves abortive DNA ligation intermediates / I. Ahel, U. Rass, S. F. El-Khamisy, S. Katyal, P. M. Clements, P. J. McKinnon, K. W. Caldecott, S. C. West // Nature. – 2006. – Vol. 443, N 7112. – P. 713–716. – DOI: 10.1038/nature05164</w:t>
      </w:r>
    </w:p>
    <w:p w14:paraId="710E553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WRN exonuclease structure and molecular mechanism imply an editing role in DNA end processing / J. J. P. Perry, S. M. Yannone, L. G. Holden, C. Hitomi, A. Asaithamby, S. Han, P. K. Cooper, D. J. Chen, J. A. Tainer // Nature Structural &amp; Molecular Biology. – 2006. – Vol. 13, N 5. – P. 414–422. – DOI: 10.1038/nsmb1088</w:t>
      </w:r>
    </w:p>
    <w:p w14:paraId="4DE8BCA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Ku is a 5'-dRP/AP lyase that excises nucleotide damage near broken ends / S. A. Roberts, N. Strande, M. D. Burkhalter, C. Strom, J. M. Havener, P. Hasty, D. A. Ramsden // Nature. – 2010. – Vol. 464, N 7292. – P. 1214–1217. – DOI: 10.1038/nature08926</w:t>
      </w:r>
    </w:p>
    <w:p w14:paraId="749B4FF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Polynucleotide kinase and aprataxin-like forkhead-associated protein (PALF) acts as both a single-stranded DNA endonuclease and a single-stranded DNA 3' exonuclease and can participate in DNA end joining in a biochemical system / S. Li, S. Kanno, R. Watanabe, H. Ogiwara, T. Kohno, G. Watanabe, A. Yasui, M. R. Lieber // The Journal of Biological Chemistry. – 2011. – Vol. 286, N 42. – P. 36368–36377. – DOI: 10.1074/jbc.M111.287797</w:t>
      </w:r>
    </w:p>
    <w:p w14:paraId="055811D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role for the Tip60 histone acetyltransferase in the acetylation and activation of ATM / Y. Sun, X. Jiang, S. Chen, N. Fernandes, B. D. Price // Proceedings of the National Academy of Sciences of the United States of America. – 2005. – Vol. 102, N 37. – P. 13182–13187. – DOI: 10.1073/pnas.0504211102</w:t>
      </w:r>
    </w:p>
    <w:p w14:paraId="1EB083A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Stracker, T. H. The MRE11 complex: starting from the ends / T. H. Stracker, J. H. J. Petrini // Nature Reviews. Molecular Cell Biology. – 2011. – Vol. 12, N 2. – P. 90–103. – DOI: 10.1038/nrm3047</w:t>
      </w:r>
    </w:p>
    <w:p w14:paraId="74B65EE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Activity of DNA ligase IV stimulated by complex formation with XRCC4 protein in mammalian cells / U. Grawunder, M. Wilm, X. Wu, P. Kulesza, T. E. Wilson, M. Mann, M. R. Lieber // Nature. – 1997. – Vol. 388, N 6641. – P. 492–495. – DOI: 10.1038/41358</w:t>
      </w:r>
    </w:p>
    <w:p w14:paraId="13638C3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ATM protein kinase: the linchpin of cellular defenses to stress / S. Bhatti, S. Kozlov, A. A. Farooqi, A. Naqi, M. Lavin, K. K. Khanna // Cellular and molecular life sciences: CMLS. – 2011. – Vol. 68, N 18. – P. 2977–3006. – DOI: 10.1007/s00018-011-0683-9</w:t>
      </w:r>
    </w:p>
    <w:p w14:paraId="6D074B7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Altmeyer, M. To spread or not to spread--chromatin modifications in response to DNA damage / M. Altmeyer, J. Lukas // Current Opinion in Genetics &amp; Development. – 2013. – Vol. 23, N 2. – P. 156–165. – DOI: 10.1016/j.gde.2012.11.001</w:t>
      </w:r>
    </w:p>
    <w:p w14:paraId="4BE7B9A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BRCA1 ubiquitinates its phosphorylation-dependent binding partner CtIP / X. Yu, S. Fu, M. Lai, R. Baer, J. Chen // Genes &amp; Development. – 2006. – Vol. 20, N 13. – P. 1721–1726. – DOI: 10.1101/gad.1431006</w:t>
      </w:r>
    </w:p>
    <w:p w14:paraId="13C9FAD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Chapman, J. R. Playing the end game: DNA double-strand break repair pathway choice / J. R. Chapman, M. R. G. Taylor, S. J. Boulton // Molecular Cell. – 2012. – Vol. 47, N 4. – P. 497–510. – DOI: 10.1016/j.molcel.2012.07.029</w:t>
      </w:r>
    </w:p>
    <w:p w14:paraId="46A89BF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Cell cycle-dependent complex formation of BRCA1.CtIP.MRN is important for DNA double-strand break repair / L. Chen, C. J. Nievera, A. Y. Lee, X. Wu // The Journal of Biological Chemistry. – 2008. – Vol. 283, N 12. – P. 7713–7720. – DOI: 10.1074/jbc.M710245200</w:t>
      </w:r>
    </w:p>
    <w:p w14:paraId="4D7328D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BLM-DNA2-RPA-MRN and EXO1-BLM-RPA-MRN constitute two DNA end resection machineries for human DNA break repair / A. V. Nimonkar, J. Genschel, E. Kinoshita, P. Polaczek, J. L. Campbell, C. Wyman, P. Modrich, S. C. Kowalczykowski // Genes &amp; Development. – 2011. – Vol. 25, N 4. – P. 350–362. – DOI: 10.1101/gad.2003811</w:t>
      </w:r>
    </w:p>
    <w:p w14:paraId="55F3AEF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PALB2 functionally connects the breast cancer susceptibility proteins BRCA1 and BRCA2 / F. Zhang, Q. Fan, K. Ren, P. R. Andreassen // Molecular cancer research: MCR. – 2009. – Vol. 7, N 7. – P. 1110–1118. – DOI: 10.1158/1541-7786.MCR-09-0123</w:t>
      </w:r>
    </w:p>
    <w:p w14:paraId="008BAC7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Holloman, W. K. Unraveling the mechanism of BRCA2 in homologous recombination / W. K. Holloman // Nature Structural &amp; Molecular Biology. – 2011. – Vol. 18, N 7. – P. 748–754. – DOI: 10.1038/nsmb.2096</w:t>
      </w:r>
    </w:p>
    <w:p w14:paraId="09644BA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Rad54, the motor of homologous recombination / A. V. Mazin, O. M. Mazina, D. V. Bugreev, M. J. Rossi // DNA repair. – 2010. – Vol. 9, N 3. – P. 286–302. – DOI: 10.1016/j.dnarep.2009.12.006</w:t>
      </w:r>
    </w:p>
    <w:p w14:paraId="67B78AF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Role of PCNA and TLS polymerases in D-loop extension during homologous recombination in humans / M. Sebesta, P. Burkovics, S. Juhasz, S. Zhang, J. E. Szabo, M. Y. W. T. Lee, L. Haracska, L. Krejci // DNA repair. – 2013. – Vol. 12, N 9. – P. 691–698. – DOI: 10.1016/j.dnarep.2013.05.001</w:t>
      </w:r>
    </w:p>
    <w:p w14:paraId="075AA1F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RTEL1 maintains genomic stability by suppressing homologous recombination / L. J. Barber, J. L. Youds, J. D. Ward, M. J. McIlwraith, N. J. O'Neil, M. I. R. Petalcorin, J. S. Martin, S. J. Collis, S. B. Cantor, M. Auclair, H. Tissenbaum, S. C. West, A. M. Rose, S. J. Boulton // Cell. – 2008. – Vol. 135, N 2. – P. 261–271. – DOI: 10.1016/j.cell.2008.08.016</w:t>
      </w:r>
    </w:p>
    <w:p w14:paraId="3B03A74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Crystal structure of the Mus81-Eme1 complex / J. H. Chang, J. J. Kim, J. M. Choi, J. H. Lee, Y. Cho // Genes &amp; Development. – 2008. – Vol. 22, N 8. – P. 1093–1106. – DOI: 10.1101/gad.1618708</w:t>
      </w:r>
    </w:p>
    <w:p w14:paraId="1634BA3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Ciccia, A. Structural and functional relationships of the XPF/MUS81 family of proteins / A. Ciccia, N. McDonald, S. C. West // Annual Review of Biochemistry. – 2008. – Vol. 77. – P. 259–287. – DOI: 10.1146/annurev.biochem.77.070306.102408</w:t>
      </w:r>
    </w:p>
    <w:p w14:paraId="7FD79F2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RMI, a new OB-fold complex essential for Bloom syndrome protein to maintain genome stability / D. Xu, R. Guo, A. Sobeck, C. Z. Bachrati, J. Yang, T. Enomoto, G. W. Brown, M. E. Hoatlin, I. D. Hickson, W. Wang // Genes &amp; Development. – 2008. – Vol. 22, N 20. – P. 2843–2855. – DOI: 10.1101/gad.1708608</w:t>
      </w:r>
    </w:p>
    <w:p w14:paraId="0E015B3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Human SLX4 is a Holliday junction resolvase subunit that binds multiple DNA repair/recombination endonucleases / S. Fekairi, S. Scaglione, C. Chahwan, E. R. Taylor, A. Tissier, S. Coulon, M. Dong, C. Ruse, J. R. Yates, P. Russell, R. P. Fuchs, C. H. McGowan, P. L. Gaillard // Cell. – 2009. – Vol. 138, N 1. – P. 78–89. – DOI: 10.1016/j.cell.2009.06.029</w:t>
      </w:r>
    </w:p>
    <w:p w14:paraId="6515CBF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Mechanism of Holliday junction resolution by the human GEN1 protein / U. Rass, S. A. Compton, J. Matos, M. R. Singleton, S. C. Y. Ip, M. G. Blanco, J. D. Griffith, S. C. West // Genes &amp; Development. – 2010. – Vol. 24, N 14. – P. 1559–1569. – DOI: 10.1101/gad.585310</w:t>
      </w:r>
    </w:p>
    <w:p w14:paraId="103E7AE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Chatterjee, N. Mechanisms of DNA damage, repair and mutagenesis / N. Chatterjee, G. C. Walker // Environmental and molecular mutagenesis. – 2017. – Vol. 58, N 5. – P. 235–263. – DOI: 10.1002/em.22087</w:t>
      </w:r>
    </w:p>
    <w:p w14:paraId="47FEB8C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Toward a unified nomenclature for mammalian ADP-ribosyltransferases / M. O. Hottiger, P. O. Hassa, B. Lüscher, H. Schüler, F. Koch-Nolte // Trends in Biochemical Sciences. – 2010. – Vol. 35, N 4. – P. 208–219. – DOI: 10.1016/j.tibs.2009.12.003</w:t>
      </w:r>
    </w:p>
    <w:p w14:paraId="12038C9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Doherty, A. J. Structural and mechanistic conservation in DNA ligases / A. J. Doherty, S. W. Suh // Nucleic Acids Research. – 2000. – Vol. 28, N 21. – P. 4051–4058.</w:t>
      </w:r>
    </w:p>
    <w:p w14:paraId="2D35AF6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972E13">
        <w:rPr>
          <w:rFonts w:ascii="Times New Roman" w:eastAsia="Times New Roman" w:hAnsi="Times New Roman"/>
          <w:lang w:val="en-US" w:eastAsia="ru-RU"/>
        </w:rPr>
        <w:t xml:space="preserve">Hakmé A. </w:t>
      </w:r>
      <w:r w:rsidRPr="002C6989">
        <w:rPr>
          <w:rFonts w:ascii="Times New Roman" w:eastAsia="Times New Roman" w:hAnsi="Times New Roman"/>
          <w:color w:val="000000"/>
          <w:lang w:val="en-US" w:eastAsia="ru-RU"/>
        </w:rPr>
        <w:t>The expanding field of poly(ADP-ribosyl)ation reactions / </w:t>
      </w:r>
      <w:r>
        <w:rPr>
          <w:rFonts w:ascii="Times New Roman" w:eastAsia="Times New Roman" w:hAnsi="Times New Roman"/>
          <w:color w:val="000000"/>
          <w:lang w:val="en-US" w:eastAsia="ru-RU"/>
        </w:rPr>
        <w:t xml:space="preserve">A. </w:t>
      </w:r>
      <w:r w:rsidRPr="00972E13">
        <w:rPr>
          <w:rFonts w:ascii="Times New Roman" w:eastAsia="Times New Roman" w:hAnsi="Times New Roman"/>
          <w:color w:val="000000"/>
          <w:lang w:val="en-US" w:eastAsia="ru-RU"/>
        </w:rPr>
        <w:t xml:space="preserve">Hakmé, </w:t>
      </w:r>
      <w:r>
        <w:rPr>
          <w:rFonts w:ascii="Times New Roman" w:eastAsia="Times New Roman" w:hAnsi="Times New Roman"/>
          <w:color w:val="000000"/>
          <w:lang w:val="en-US" w:eastAsia="ru-RU"/>
        </w:rPr>
        <w:t xml:space="preserve">H.K. </w:t>
      </w:r>
      <w:r w:rsidRPr="00972E13">
        <w:rPr>
          <w:rFonts w:ascii="Times New Roman" w:eastAsia="Times New Roman" w:hAnsi="Times New Roman"/>
          <w:color w:val="000000"/>
          <w:lang w:val="en-US" w:eastAsia="ru-RU"/>
        </w:rPr>
        <w:t xml:space="preserve">Wong, </w:t>
      </w:r>
      <w:r>
        <w:rPr>
          <w:rFonts w:ascii="Times New Roman" w:eastAsia="Times New Roman" w:hAnsi="Times New Roman"/>
          <w:color w:val="000000"/>
          <w:lang w:val="en-US" w:eastAsia="ru-RU"/>
        </w:rPr>
        <w:t xml:space="preserve">F. </w:t>
      </w:r>
      <w:r w:rsidRPr="00972E13">
        <w:rPr>
          <w:rFonts w:ascii="Times New Roman" w:eastAsia="Times New Roman" w:hAnsi="Times New Roman"/>
          <w:color w:val="000000"/>
          <w:lang w:val="en-US" w:eastAsia="ru-RU"/>
        </w:rPr>
        <w:t>Dantzer</w:t>
      </w:r>
      <w:r>
        <w:rPr>
          <w:rFonts w:ascii="Times New Roman" w:eastAsia="Times New Roman" w:hAnsi="Times New Roman"/>
          <w:color w:val="000000"/>
          <w:lang w:val="en-US" w:eastAsia="ru-RU"/>
        </w:rPr>
        <w:t>,</w:t>
      </w:r>
      <w:r w:rsidRPr="00972E13">
        <w:rPr>
          <w:rFonts w:ascii="Times New Roman" w:eastAsia="Times New Roman" w:hAnsi="Times New Roman"/>
          <w:color w:val="000000"/>
          <w:lang w:val="en-US" w:eastAsia="ru-RU"/>
        </w:rPr>
        <w:t xml:space="preserve"> </w:t>
      </w:r>
      <w:r>
        <w:rPr>
          <w:rFonts w:ascii="Times New Roman" w:eastAsia="Times New Roman" w:hAnsi="Times New Roman"/>
          <w:color w:val="000000"/>
          <w:lang w:val="en-US" w:eastAsia="ru-RU"/>
        </w:rPr>
        <w:t xml:space="preserve">V. </w:t>
      </w:r>
      <w:r w:rsidRPr="00972E13">
        <w:rPr>
          <w:rFonts w:ascii="Times New Roman" w:eastAsia="Times New Roman" w:hAnsi="Times New Roman"/>
          <w:color w:val="000000"/>
          <w:lang w:val="en-US" w:eastAsia="ru-RU"/>
        </w:rPr>
        <w:t>Schreiber</w:t>
      </w:r>
      <w:r w:rsidRPr="002C6989">
        <w:rPr>
          <w:rFonts w:ascii="Times New Roman" w:eastAsia="Times New Roman" w:hAnsi="Times New Roman"/>
          <w:color w:val="000000"/>
          <w:lang w:val="en-US" w:eastAsia="ru-RU"/>
        </w:rPr>
        <w:t> // EMBO reports. – 2008. – Vol. 9, N 11. – P. 1094–1100. – DOI: 10.1038/embor.2008.191</w:t>
      </w:r>
    </w:p>
    <w:p w14:paraId="7F97233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Hottiger, M. O. Nuclear ADP-Ribosylation and Its Role in Chromatin Plasticity, Cell Differentiation, and Epigenetics / M. O. Hottiger // Annual Review of Biochemistry. – 2015. – Vol. 84. – P. 227–263. – DOI: 10.1146/annurev-biochem-060614-034506</w:t>
      </w:r>
    </w:p>
    <w:p w14:paraId="642EC72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PARP inhibition: PARP1 and beyond / M. Rouleau, A. Patel, M. J. Hendzel, S. H. Kaufmann, G. G. Poirier // Nature Reviews Cancer. – 2010. – Vol. 10, N 4. – P. 293–301. – DOI: 10.1038/nrc2812</w:t>
      </w:r>
    </w:p>
    <w:p w14:paraId="719BED3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Poly(ADP-ribosyl)ation reactions in the regulation of nuclear functions / D. AMOURS, S. DESNOYERS, I. SILVA, G. G. POIRIER // Biochemical Journal. – 1999. – Vol. 342, N 2. – P. 249–268. – DOI: 10.1042/bj3420249</w:t>
      </w:r>
    </w:p>
    <w:p w14:paraId="05E8A8C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Poly(ADP-ribosyl)ation in regulation of chromatin structure and the DNA damage response / M. Tallis, R. Morra, E. Barkauskaite, I. Ahel // Chromosoma. – 2014. – Vol. 123, N 1. – P. 79–90. – DOI: 10.1007/s00412-013-0442-9</w:t>
      </w:r>
    </w:p>
    <w:p w14:paraId="499FCAE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Altmeyer, M. Poly(ADP-ribose) polymerase 1 at the crossroad of metabolic stress and inflammation in aging / M. Altmeyer, M. O. Hottiger // Aging. – 2009. – Vol. 1, N 5. – P. 458–469. – DOI: 10.18632/aging.100052</w:t>
      </w:r>
    </w:p>
    <w:p w14:paraId="123826B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Family-wide analysis of poly(ADP-ribose) polymerase activity / S. Vyas, I. Matic, L. Uchima, J. Rood, R. Zaja, R. T. Hay, I. Ahel, P. Chang // Nature communications. – 2014. – Vol. 5. – P. 4426. – DOI: 10.1038/ncomms5426</w:t>
      </w:r>
    </w:p>
    <w:p w14:paraId="0F31D45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Gibson, B. A. New insights into the molecular and cellular functions of poly(ADP-ribose) and PARPs / B. A. Gibson, W. L. Kraus // Nature Reviews Molecular Cell Biology. – 2012. – Vol. 13, N 7. – P. 411–424. – DOI: 10.1038/nrm3376</w:t>
      </w:r>
    </w:p>
    <w:p w14:paraId="05AB8DE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Regulatory roles of tankyrase 1 at telomeres and in DNA repair: suppression of T-SCE and stabilization of DNA-PKcs / R. C. Dregalla, J. Zhou, R. R. Idate, C. L. R. Battaglia, H. L. Liber, S. M. Bailey // Aging. – 2022. – Vol. 2, N 10. – P. 691–708. – DOI: 10.18632/aging.100210</w:t>
      </w:r>
    </w:p>
    <w:p w14:paraId="216FCCA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has a branched structure in vivo / H. Juarez-Salinas, V. Levi, E. L. Jacobson, M. K. Jacobson // The Journal of Biological Chemistry. – 1982. – Vol. 257, N 2. – P. 607–609.</w:t>
      </w:r>
    </w:p>
    <w:p w14:paraId="590A240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Structure of poly(adenosine diphosphate ribose): identification of 2'-[1''-ribosyl-2''-(or 3''-)(1'''-ribosyl)]adenosine-5',5'',5'''-tris(phosphate) as a branch linkage. / M. Miwa, N. Saikawa, Z. Yamaizumi, S. Nishimura, T. Sugimura // Proceedings of the National Academy of Sciences. – 1979. – Vol. 76, N 2. – P. 595–599. – DOI: 10.1073/pnas.76.2.595</w:t>
      </w:r>
    </w:p>
    <w:p w14:paraId="75156E8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Tanuma, S. Poly(ADP-ribosyl)ation of chromosomal proteins in the HeLa S3 cell cycle. / S. Tanuma, Y. Kanai // Journal of Biological Chemistry. – 1982. – Vol. 257, N 11. – P. 6565–6570. – DOI: 10.1016/S0021-9258(20)65179-1</w:t>
      </w:r>
    </w:p>
    <w:p w14:paraId="523DCAD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Barkauskaite, E. Structures and Mechanisms of Enzymes Employed in the Synthesis and Degradation of PARP-Dependent Protein ADP-Ribosylation / E. Barkauskaite, G. Jankevicius, I. Ahel // Molecular Cell. – 2015. – Vol. 58, N 6. – P. 935–946. – DOI: 10.1016/j.molcel.2015.05.007</w:t>
      </w:r>
    </w:p>
    <w:p w14:paraId="279AA05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Structural Implications for Selective Targeting of PARPs / J. D. Steffen, J. R. Brody, R. S. Armen, J. M. Pascal // Frontiers in Oncology. – 2013. – Vol. 3. – P. 301. – DOI: 10.3389/fonc.2013.00301</w:t>
      </w:r>
    </w:p>
    <w:p w14:paraId="720649C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Visualization of poly(ADP-ribose) bound to PARG reveals inherent balance between exo- and endo-glycohydrolase activities / E. Barkauskaite, A. Brassington, E. S. Tan, J. Warwicker, M. S. Dunstan, B. Banos, P. Lafite, M. Ahel, T. J. Mitchison, I. Ahel, D. Leys // Nature Communications. – 2013. – Vol. 4. – P. 2164. – DOI: 10.1038/ncomms3164</w:t>
      </w:r>
    </w:p>
    <w:p w14:paraId="764A24A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mechanism of the elongation and branching reaction of poly(ADP-ribose) polymerase as derived from crystal structures and mutagenesis / A. Ruf, V. Rolli, G. Murcia, G. E. Schulz // Journal of Molecular Biology. – 1998. – Vol. 278, N 1. – P. 57–65. – DOI: 10.1006/jmbi.1998.1673</w:t>
      </w:r>
    </w:p>
    <w:p w14:paraId="156CD2C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systematic analysis of the PARP protein family identifies new functions critical for cell physiology / S. Vyas, M. Chesarone-Cataldo, T. Todorova, Y. Huang, P. Chang // Nature Communications. – 2013. – Vol. 4, N 1. – P. 2240. – DOI: 10.1038/ncomms3240</w:t>
      </w:r>
    </w:p>
    <w:p w14:paraId="0ADF6B2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Amé, J. The PARP superfamily / J. Amé, C. Spenlehauer, G. Murcia // BioEssays. – 2004. – Vol. 26, N 8. – P. 882–893. – DOI: 10.1002/bies.20085</w:t>
      </w:r>
    </w:p>
    <w:p w14:paraId="381F3E0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Poly(ADP-ribose) polymerase null mouse cells synthesize ADP-ribose polymers / W. M. Shieh, J. C. Amé, M. V. Wilson, Z. Q. Wang, D. W. Koh, M. K. Jacobson, E. L. Jacobson // The Journal of Biological Chemistry. – 1998. – Vol. 273, N 46. – P. 30069–30072. – DOI: 10.1074/jbc.273.46.30069</w:t>
      </w:r>
    </w:p>
    <w:p w14:paraId="219B00C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Poly(ADP-ribosyl)ation of polynucleosomes causes relaxation of chromatin structure / G. G. Poirier, G. Murcia, J. Jongstra-Bilen, C. Niedergang, P. Mandel // Proceedings of the National Academy of Sciences of the United States of America. – 1982. – Vol. 79, N 11. – P. 3423–3427. – DOI: 10.1073/pnas.79.11.3423</w:t>
      </w:r>
    </w:p>
    <w:p w14:paraId="5279F6F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Krishnakumar, R. The PARP side of the nucleus: molecular actions, physiological outcomes, and clinical targets / R. Krishnakumar, W. L. Kraus // Molecular Cell. – 2010. – Vol. 39, N 1. – P. 8–24. – DOI: 10.1016/j.molcel.2010.06.017</w:t>
      </w:r>
    </w:p>
    <w:p w14:paraId="2C0504D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Krishnakumar, R. PARP-1 regulates chromatin structure and transcription through a KDM5B-dependent pathway / R. Krishnakumar, W. L. Kraus // Molecular Cell. – 2010. – Vol. 39, N 5. – P. 736–749. – DOI: 10.1016/j.molcel.2010.08.014</w:t>
      </w:r>
    </w:p>
    <w:p w14:paraId="5797065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 xml:space="preserve">Kraus, W. L. PARPs and ADP-Ribosylation: 50 Years … and Counting / W. L. Kraus // Molecular Cell. – 2015. – </w:t>
      </w:r>
      <w:r w:rsidRPr="002C6989">
        <w:rPr>
          <w:rFonts w:ascii="Times New Roman" w:eastAsia="Times New Roman" w:hAnsi="Times New Roman"/>
          <w:color w:val="000000"/>
          <w:lang w:eastAsia="ru-RU"/>
        </w:rPr>
        <w:t>Т</w:t>
      </w:r>
      <w:r w:rsidRPr="002C6989">
        <w:rPr>
          <w:rFonts w:ascii="Times New Roman" w:eastAsia="Times New Roman" w:hAnsi="Times New Roman"/>
          <w:color w:val="000000"/>
          <w:lang w:val="en-US" w:eastAsia="ru-RU"/>
        </w:rPr>
        <w:t xml:space="preserve">. 58, № 6. – </w:t>
      </w:r>
      <w:r w:rsidRPr="002C6989">
        <w:rPr>
          <w:rFonts w:ascii="Times New Roman" w:eastAsia="Times New Roman" w:hAnsi="Times New Roman"/>
          <w:color w:val="000000"/>
          <w:lang w:eastAsia="ru-RU"/>
        </w:rPr>
        <w:t>С</w:t>
      </w:r>
      <w:r w:rsidRPr="002C6989">
        <w:rPr>
          <w:rFonts w:ascii="Times New Roman" w:eastAsia="Times New Roman" w:hAnsi="Times New Roman"/>
          <w:color w:val="000000"/>
          <w:lang w:val="en-US" w:eastAsia="ru-RU"/>
        </w:rPr>
        <w:t>. 902–910. – DOI: 10.1016/j.molcel.2015.06.006</w:t>
      </w:r>
    </w:p>
    <w:p w14:paraId="57DB22D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Importance of Poly(ADP-Ribose) Polymerase as a Sensor of Unligated Okazaki Fragments during DNA Replication / H. Hanzlikova, I. Kalasova, A. A. Demin, L. E. Pennicott, Z. Cihlarova, K. W. Caldecott // Molecular Cell. – 2018. – Vol. 71, N 2. – P. 319–331.e3. – DOI: 10.1016/j.molcel.2018.06.004</w:t>
      </w:r>
    </w:p>
    <w:p w14:paraId="0CD3F61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Functional interaction between PARP-1 and PARP-2 in chromosome stability and embryonic development in mouse / J. Ménissier de Murcia, M. Ricoul, L. Tartier, C. Niedergang, A. Huber, F. Dantzer, V. Schreiber, J. Amé, A. Dierich, M. LeMeur, L. Sabatier, P. Chambon, G. Murcia // The EMBO journal. – 2003. – Vol. 22, N 9. – P. 2255–2263. – DOI: 10.1093/emboj/cdg206</w:t>
      </w:r>
    </w:p>
    <w:p w14:paraId="3A94600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PARP2 controls double-strand break repair pathway choice by limiting 53BP1 accumulation at DNA damage sites and promoting end-resection / A. Fouquin, J. Guirouilh-Barbat, B. Lopez, J. Hall, M. Amor-Guéret, V. Pennaneach // Nucleic Acids Research. – 2017. – Vol. 45, N 21. – P. 12325–12339. – DOI: 10.1093/nar/gkx881</w:t>
      </w:r>
    </w:p>
    <w:p w14:paraId="693451D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Bai, P. Biology of Poly(ADP-Ribose) Polymerases: The Factotums of Cell Maintenance / P. Bai // Molecular Cell. – 2015. – Vol. 58, N 6. – P. 947–958. – DOI: 10.1016/j.molcel.2015.01.034</w:t>
      </w:r>
    </w:p>
    <w:p w14:paraId="1735986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Obaji, E. Characterization of the DNA dependent activation of human ARTD2/PARP2 / E. Obaji, T. Haikarainen, L. Lehtiö // Scientific Reports. – 2016. – Vol. 6, N 1. – P. 34487. – DOI: 10.1038/srep34487</w:t>
      </w:r>
    </w:p>
    <w:p w14:paraId="7E2375D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Langelier, M. PARP-2 and PARP-3 are selectively activated by 5' phosphorylated DNA breaks through an allosteric regulatory mechanism shared with PARP-1 / M. Langelier, A. A. Riccio, J. M. Pascal // Nucleic Acids Research. – 2014. – Vol. 42, N 12. – P. 7762–7775. – DOI: 10.1093/nar/gku474</w:t>
      </w:r>
    </w:p>
    <w:p w14:paraId="316C803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Riccio, A. A. PARP-2 domain requirements for DNA damage-dependent activation and localization to sites of DNA damage / A. A. Riccio, G. Cingolani, J. M. Pascal // Nucleic Acids Research. – 2016. – Vol. 44, N 4. – P. 1691–1702. – DOI: 10.1093/nar/gkv1376</w:t>
      </w:r>
    </w:p>
    <w:p w14:paraId="2A7F7FF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polymerases in double-strand break repair: focus on PARP1, PARP2 and PARP3 / C. Beck, I. Robert, B. Reina-San-Martin, V. Schreiber, F. Dantzer // Experimental Cell Research. – 2014. – Vol. 329, N 1. – P. 18–25. – DOI: 10.1016/j.yexcr.2014.07.003</w:t>
      </w:r>
    </w:p>
    <w:p w14:paraId="785E0E1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PARP-3 associates with polycomb group bodies and with components of the DNA damage repair machinery / M. Rouleau, D. McDonald, P. Gagné, M. -. Ouellet, A. Droit, J. M. Hunter, S. Dutertre, C. Prigent, M. J. Hendzel, G. G. Poirier // Journal of Cellular Biochemistry. – 2007. – Vol. 100, N 2. – P. 385–401. – DOI: 10.1002/jcb.21051</w:t>
      </w:r>
    </w:p>
    <w:p w14:paraId="4B4F418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Daniels, C. M. The Promise of Proteomics for the Study of ADP-Ribosylation / C. M. Daniels, S. Ong, A. K. L. Leung // Molecular Cell. – 2015. – Vol. 58, N 6. – P. 911–924. – DOI: 10.1016/j.molcel.2015.06.012</w:t>
      </w:r>
    </w:p>
    <w:p w14:paraId="3A91A24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Palazzo, L. ADP-ribosylation: new facets of an ancient modification / L. Palazzo, A. Mikoč, I. Ahel // The FEBS journal. – 2017. – Vol. 284, N 18. – P. 2932–2946. – DOI: 10.1111/febs.14078</w:t>
      </w:r>
    </w:p>
    <w:p w14:paraId="000C17A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Gupte, R. PARPs and ADP-ribosylation: recent advances linking molecular functions to biological outcomes / R. Gupte, Z. Liu, W. L. Kraus // Genes &amp; Development. – 2017. – Vol. 31, N 2. – P. 101–126. – DOI: 10.1101/gad.291518.116</w:t>
      </w:r>
    </w:p>
    <w:p w14:paraId="6AF5080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Palazzo, L. PARPs in genome stability and signal transduction: implications for cancer therapy / L. Palazzo, I. Ahel // Biochemical Society Transactions. – 2018. – Vol. 46, N 6. – P. 1681–1695. – DOI: 10.1042/BST20180418. – URL: https://www.ncbi.nlm.nih.gov/pmc/articles/PMC6299239/</w:t>
      </w:r>
    </w:p>
    <w:p w14:paraId="55431AD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Expanding functions of ADP-ribosylation in the maintenance of genome integrity / K. Martin-Hernandez, J. -. Rodriguez-Vargas, V. Schreiber, F. Dantzer // Seminars in Cell &amp; Developmental Biology. – 2017. – Vol. 63. – P. 92–101. – DOI: 10.1016/j.semcdb.2016.09.009</w:t>
      </w:r>
    </w:p>
    <w:p w14:paraId="0A69873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Cohen, M. S. Insights into the biogenesis, function, and regulation of ADP-ribosylation / M. S. Cohen, P. Chang // Nature Chemical Biology. – 2018. – Vol. 14, N 3. – P. 236–243. – DOI: 10.1038/nchembio.2568</w:t>
      </w:r>
    </w:p>
    <w:p w14:paraId="0D7626E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The structure and catalytic mechanism of a poly(ADP-ribose) glycohydrolase / D. Slade, M. S. Dunstan, E. Barkauskaite, R. Weston, P. Lafite, N. Dixon, M. Ahel, D. Leys, I. Ahel // Nature. – 2011. – Vol. 477, N 7366. – P. 616–620. – DOI: 10.1038/nature10404</w:t>
      </w:r>
    </w:p>
    <w:p w14:paraId="08BF031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Purification and characterization of poly(ADP-ribose) glycohydrolase. Different modes of action on large and small poly(ADP-ribose) / K. Hatakeyama, Y. Nemoto, K. Ueda, O. Hayaishi // The Journal of Biological Chemistry. – 1986. – Vol. 261, N 32. – P. 14902–14911.</w:t>
      </w:r>
    </w:p>
    <w:p w14:paraId="22E5A84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Intracellular Mono-ADP-Ribosylation in Signaling and Disease / M. Bütepage, L. Eckei, P. Verheugd, B. Lüscher // Cells. – 2015. – Vol. 4, N 4. – P. 569–595. – DOI: 10.3390/cells4040569</w:t>
      </w:r>
    </w:p>
    <w:p w14:paraId="5F74698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Human poly(ADP-ribose) glycohydrolase (PARG) gene and the common promoter sequence it shares with inner mitochondrial membrane translocase 23 (TIM23) / R. G. Meyer, M. L. Meyer-Ficca, E. L. Jacobson, M. K. Jacobson // Gene. – 2003. – Vol. 314. – P. 181–190. – DOI: 10.1016/S0378-1119(03)00738-8. – URL: https://www.sciencedirect.com/science/article/pii/S0378111903007388</w:t>
      </w:r>
    </w:p>
    <w:p w14:paraId="100053E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Human poly(ADP-ribose) glycohydrolase is expressed in alternative splice variants yielding isoforms that localize to different cell compartments / M. L. Meyer-Ficca, R. G. Meyer, D. L. Coyle, E. L. Jacobson, M. K. Jacobson // Experimental Cell Research. – 2004. – Vol. 297, N 2. – P. 521–532. – DOI: 10.1016/j.yexcr.2004.03.050</w:t>
      </w:r>
    </w:p>
    <w:p w14:paraId="77A091A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Overexpression of poly(ADP-ribose) glycohydrolase (PARG) isoforms / M. L. Meyer-Ficca, R. G. Meyer, E. L. Jacobson, M. K. Jacobson // Cancer Research. – 2005. – Vol. 65, N 9_Supplement. – P. 420.</w:t>
      </w:r>
    </w:p>
    <w:p w14:paraId="660166D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Proteomic investigation of phosphorylation sites in poly(ADP-ribose) polymerase-1 and poly(ADP-ribose) glycohydrolase / J. Gagné, X. Moreel, P. Gagné, Y. Labelle, A. Droit, M. Chevalier-Paré, S. Bourassa, D. McDonald, M. J. Hendzel, C. Prigent, G. G. Poirier // Journal of Proteome Research. – 2009. – Vol. 8, N 2. – P. 1014–1029. – DOI: 10.1021/pr800810n</w:t>
      </w:r>
    </w:p>
    <w:p w14:paraId="5ED46EB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Botta, D. Identification of a regulatory segment of poly(ADP-ribose) glycohydrolase / D. Botta, M. K. Jacobson // Biochemistry. – 2010. – Vol. 49, N 35. – P. 7674–7682. – DOI: 10.1021/bi100973m</w:t>
      </w:r>
    </w:p>
    <w:p w14:paraId="16A896C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Identification of three critical acidic residues of poly(ADP-ribose) glycohydrolase involved in catalysis: determining the PARG catalytic domain / C. N. Patel, D. W. Koh, M. K. Jacobson, M. A. Oliveira // The Biochemical Journal. – 2005. – Vol. 388, N Pt 2. – P. 493–500. – DOI: 10.1042/BJ20040942</w:t>
      </w:r>
    </w:p>
    <w:p w14:paraId="5CAC6B5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Hassler, M. PARG: a macrodomain in disguise / M. Hassler, G. Jankevicius, A. G. Ladurner // Structure (London, England: 1993). – 2011. – Vol. 19, N 10. – P. 1351–1353. – DOI: 10.1016/j.str.2011.09.007</w:t>
      </w:r>
    </w:p>
    <w:p w14:paraId="5D9FB54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Emerging roles of eraser enzymes in the dynamic control of protein ADP-ribosylation / J. O’Sullivan, M. Tedim Ferreira, J. Gagné, A. K. Sharma, M. J. Hendzel, J. Masson, G. G. Poirier // Nature Communications. – 2019. – Vol. 10, N 1. – P. 1182. – DOI: 10.1038/s41467-019-08859-x. – URL: https://www.nature.com/articles/s41467-019-08859-x</w:t>
      </w:r>
    </w:p>
    <w:p w14:paraId="52FA9DF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Alteration of poly(ADP-ribose) glycohydrolase nucleocytoplasmic shuttling characteristics upon cleavage by apoptotic proteases / M. Bonicalzi, M. Vodenicharov, M. Coulombe, J. Gagné, G. G. Poirier // Biology of the Cell. – 2003. – Vol. 95, N 9. – P. 635–644. – DOI: 10.1016/j.biolcel.2003.10.003</w:t>
      </w:r>
    </w:p>
    <w:p w14:paraId="7389FA0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Preferential perinuclear localization of poly(ADP-ribose) glycohydrolase / E. Winstall, E. B. Affar, R. Shah, S. Bourassa, I. A. Scovassi, G. G. Poirier // Experimental Cell Research. – 1999. – Vol. 251, N 2. – P. 372–378. – DOI: 10.1006/excr.1999.4594</w:t>
      </w:r>
    </w:p>
    <w:p w14:paraId="0F4978F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ADP-ribosylhydrolase 3 (ARH3), not poly(ADP-ribose) glycohydrolase (PARG) isoforms, is responsible for degradation of mitochondrial matrix-associated poly(ADP-ribose) / M. Niere, M. Mashimo, L. Agledal, C. Dölle, A. Kasamatsu, J. Kato, J. Moss, M. Ziegler // The Journal of Biological Chemistry. – 2012. – Vol. 287, N 20. – P. 16088–16102. – DOI: 10.1074/jbc.M112.349183</w:t>
      </w:r>
    </w:p>
    <w:p w14:paraId="10B386C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Davies, G. Structures and mechanisms of glycosyl hydrolases / G. Davies, B. Henrissat // Structure (London, England: 1993). – 1995. – Vol. 3, N 9. – P. 853–859. – DOI: 10.1016/S0969-2126(01)00220-9</w:t>
      </w:r>
    </w:p>
    <w:p w14:paraId="52459C3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Mode of action of poly(ADP-ribose) glycohydrolase / G. Brochu, C. Duchaine, L. Thibeault, J. Lagueux, G. M. Shah, G. G. Poirier // Biochimica Et Biophysica Acta. – 1994. – Vol. 1219, N 2. – P. 342–350. – DOI: 10.1016/0167-4781(94)90058-2</w:t>
      </w:r>
    </w:p>
    <w:p w14:paraId="5385C3D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Endoglycosidic cleavage of branched polymers by poly(ADP-ribose) glycohydrolase / S. A. Braun, P. L. Panzeter, M. A. Collinge, F. R. Althaus // European Journal of Biochemistry. – 1994. – Vol. 220, N 2. – P. 369–375. – DOI: 10.1111/j.1432-1033.1994.tb18633.x</w:t>
      </w:r>
    </w:p>
    <w:p w14:paraId="4DB7DAB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Depletion of the 110-kilodalton isoform of poly(ADP-ribose) glycohydrolase increases sensitivity to genotoxic and endotoxic stress in mice / U. Cortes, W. Tong, D. L. Coyle, M. L. Meyer-Ficca, R. G. Meyer, V. Petrilli, Z. Herceg, E. L. Jacobson, M. K. Jacobson, Z. Wang // Molecular and Cellular Biology. – 2004. – Vol. 24, N 16. – P. 7163–7178. – DOI: 10.1128/MCB.24.16.7163-7178.2004</w:t>
      </w:r>
    </w:p>
    <w:p w14:paraId="214F5C4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Deletion of the nuclear isoform of poly(ADP-ribose) glycohydrolase (PARG) reveals its function in DNA repair, genomic stability and tumorigenesis / W. Min, U. Cortes, Z. Herceg, W. Tong, Z. Wang // Carcinogenesis. – 2010. – Vol. 31, N 12. – P. 2058–2065. – DOI: 10.1093/carcin/bgq205</w:t>
      </w:r>
    </w:p>
    <w:p w14:paraId="7C92EA0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PARG is dispensable for recovery from transient replicative stress but required to prevent detrimental accumulation of poly(ADP-ribose) upon prolonged replicative stress / G. Illuzzi, E. Fouquerel, J. Amé, A. Noll, K. Rehmet, H. Nasheuer, F. Dantzer, V. Schreiber // Nucleic Acids Research. – 2014. – Vol. 42, N 12. – P. 7776–7792. – DOI: 10.1093/nar/gku505</w:t>
      </w:r>
    </w:p>
    <w:p w14:paraId="2B29D6A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PARG is recruited to DNA damage sites through poly(ADP-ribose)- and PCNA-dependent mechanisms / O. Mortusewicz, E. Fouquerel, J. Amé, H. Leonhardt, V. Schreiber // Nucleic Acids Research. – 2011. – Vol. 39, N 12. – P. 5045–5056. – DOI: 10.1093/nar/gkr099</w:t>
      </w:r>
    </w:p>
    <w:p w14:paraId="7F1CAE1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novel non-canonical PIP-box mediates PARG interaction with PCNA / T. Kaufmann, I. Grishkovskaya, A. A. Polyansky, S. Kostrhon, E. Kukolj, K. M. Olek, S. Herbert, E. Beltzung, K. Mechtler, T. Peterbauer, J. Gotzmann, L. Zhang, M. Hartl, B. Zagrovic, K. Elsayad, K. Djinovic-Carugo, D. Slade // Nucleic Acids Research. – 2017. – Vol. 45, N 16. – P. 9741–9759. – DOI: 10.1093/nar/gkx604</w:t>
      </w:r>
    </w:p>
    <w:p w14:paraId="0A4F980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Poly(ADP-ribosyl) glycohydrolase prevents the accumulation of unusual replication structures during unperturbed S phase / A. Ray Chaudhuri, A. K. Ahuja, R. Herrador, M. Lopes // Molecular and Cellular Biology. – 2015. – Vol. 35, N 5. – P. 856–865. – DOI: 10.1128/MCB.01077-14</w:t>
      </w:r>
    </w:p>
    <w:p w14:paraId="2A87045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Koh, D. W. The road to survival goes through PARG / D. W. Koh, V. L. Dawson, T. M. Dawson // Cell Cycle (Georgetown, Tex.). – 2005. – Vol. 4, N 3. – P. 397–399. – DOI: 10.4161/cc.4.3.1559</w:t>
      </w:r>
    </w:p>
    <w:p w14:paraId="18BECE0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Molecular mechanisms of cell death: recommendations of the Nomenclature Committee on Cell Death 2018 / L. Galluzzi, I. Vitale, S. A. Aaronson, J. M. Abrams, D. Adam, P. Agostinis, E. S. Alnemri, L. Altucci, I. Amelio, D. W. Andrews, M. Annicchiarico-Petruzzelli, G. Kroemer // Cell Death and Differentiation. – 2018. – Vol. 25, N 3. – P. 486–541. – DOI: 10.1038/s41418-017-0012-4</w:t>
      </w:r>
    </w:p>
    <w:p w14:paraId="6AF3D55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(PAR) binding to apoptosis-inducing factor is critical for PAR polymerase-1-dependent cell death (parthanatos) / Y. Wang, N. S. Kim, J. Haince, H. C. Kang, K. K. David, S. A. Andrabi, G. G. Poirier, V. L. Dawson, T. M. Dawson // Science Signaling. – 2011. – Vol. 4, N 167. – P. ra20. – DOI: 10.1126/scisignal.2000902</w:t>
      </w:r>
    </w:p>
    <w:p w14:paraId="274D284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Mediation of poly(ADP-ribose) polymerase-1-dependent cell death by apoptosis-inducing factor / S. Yu, H. Wang, M. F. Poitras, C. Coombs, W. J. Bowers, H. J. Federoff, G. G. Poirier, T. M. Dawson, V. L. Dawson // Science (New York, N.Y.). – 2002. – Vol. 297, N 5579. – P. 259–263. – DOI: 10.1126/science.1072221</w:t>
      </w:r>
    </w:p>
    <w:p w14:paraId="560FF1C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Fatokun, A. A. Parthanatos: mitochondrial-linked mechanisms and therapeutic opportunities / A. A. Fatokun, V. L. Dawson, T. M. Dawson // British Journal of Pharmacology. – 2014. – Vol. 171, N 8. – P. 2000–2016. – DOI: 10.1111/bph.12416</w:t>
      </w:r>
    </w:p>
    <w:p w14:paraId="3CBC51E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Blenn, C. Poly(ADP-ribose) glycohydrolase silencing protects against H2O2-induced cell death / C. Blenn, F. R. Althaus, M. Malanga // The Biochemical Journal. – 2006. – Vol. 396, N 3. – P. 419–429. – DOI: 10.1042/BJ20051696</w:t>
      </w:r>
    </w:p>
    <w:p w14:paraId="1F9E5A7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Tankyrase1-mediated poly(ADP-ribosyl)ation of TRF1 maintains cell survival after telomeric DNA damage / L. Yang, L. Sun, Y. Teng, H. Chen, Y. Gao, A. S. Levine, S. Nakajima, L. Lan // Nucleic Acids Research. – 2017. – Vol. 45, N 7. – P. 3906–3921. – DOI: 10.1093/nar/gkx083</w:t>
      </w:r>
    </w:p>
    <w:p w14:paraId="190066E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WRN is recruited to damaged telomeres via its RQC domain and tankyrase1-mediated poly-ADP-ribosylation of TRF1 / L. Sun, S. Nakajima, Y. Teng, H. Chen, L. Yang, X. Chen, B. Gao, A. S. Levine, L. Lan // Nucleic Acids Research. – 2017. – Vol. 45, N 7. – P. 3844–3859. – DOI: 10.1093/nar/gkx065</w:t>
      </w:r>
    </w:p>
    <w:p w14:paraId="3F77D10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Krueger, K. M. The family of bacterial ADP-ribosylating exotoxins / K. M. Krueger, J. T. Barbieri // Clinical Microbiology Reviews. – 1995. – Vol. 8, N 1. – P. 34–47. – DOI: 10.1128/CMR.8.1.34</w:t>
      </w:r>
    </w:p>
    <w:p w14:paraId="729AED1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Mashimo, M. Structure and function of the ARH family of ADP-ribosyl-acceptor hydrolases / M. Mashimo, J. Kato, J. Moss // DNA Repair. – 2014. – Vol. 23. – P. 88–94. – DOI: 10.1016/j.dnarep.2014.03.005</w:t>
      </w:r>
    </w:p>
    <w:p w14:paraId="3C861BE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Leung, A. K. L. PARPs / A. K. L. Leung // Current biology: CB. – 2017. – Vol. 27, N 23. – P. R1256–R1258. – DOI: 10.1016/j.cub.2017.09.054</w:t>
      </w:r>
    </w:p>
    <w:p w14:paraId="7FE9BF6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Oka, S. Identification and characterization of a mammalian 39-kDa poly(ADP-ribose) glycohydrolase / S. Oka, J. Kato, J. Moss // The Journal of Biological Chemistry. – 2006. – Vol. 281, N 2. – P. 705–713. – DOI: 10.1074/jbc.M510290200</w:t>
      </w:r>
    </w:p>
    <w:p w14:paraId="456041E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ADP-ribosylation of arginine / S. Laing, M. Unger, F. Koch-Nolte, F. Haag // Amino Acids. – 2011. – Vol. 41, N 2. – P. 257–269. – DOI: 10.1007/s00726-010-0676-2</w:t>
      </w:r>
    </w:p>
    <w:p w14:paraId="18CE492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Serine ADP-ribosylation reversal by the hydrolase ARH3 / P. Fontana, J. J. Bonfiglio, L. Palazzo, E. Bartlett, I. Matic, I. Ahel // eLife. – 2017. – Vol. 6. – P. e28533. – DOI: 10.7554/eLife.28533</w:t>
      </w:r>
    </w:p>
    <w:p w14:paraId="3CD993D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Enhanced sensitivity to cholera toxin in ADP-ribosylarginine hydrolase-deficient mice / J. Kato, J. Zhu, C. Liu, J. Moss // Molecular and Cellular Biology. – 2007. – Vol. 27, N 15. – P. 5534–5543. – DOI: 10.1128/MCB.00302-07</w:t>
      </w:r>
    </w:p>
    <w:p w14:paraId="0209992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ADP-ribosylarginine hydrolase regulates cell proliferation and tumorigenesis / J. Kato, J. Zhu, C. Liu, M. Stylianou, V. Hoffmann, M. J. Lizak, C. G. Glasgow, J. Moss // Cancer Research. – 2011. – Vol. 71, N 15. – P. 5327–5335. – DOI: 10.1158/0008-5472.CAN-10-0733</w:t>
      </w:r>
    </w:p>
    <w:p w14:paraId="4545B5F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Proteomic analyses identify ARH3 as a serine mono-ADP-ribosylhydrolase / J. Abplanalp, M. Leutert, E. Frugier, K. Nowak, R. Feurer, J. Kato, H. V. A. Kistemaker, D. V. Filippov, J. Moss, A. Caflisch, M. O. Hottiger // Nature Communications. – 2017. – Vol. 8, N 1. – P. 2055. – DOI: 10.1038/s41467-017-02253-1</w:t>
      </w:r>
    </w:p>
    <w:p w14:paraId="1E6309D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Loss of poly(ADP-ribose) glycohydrolase causes progressive neurodegeneration in Drosophila melanogaster / S. Hanai, M. Kanai, S. Ohashi, K. Okamoto, M. Yamada, H. Takahashi, M. Miwa // Proceedings of the National Academy of Sciences of the United States of America. – 2004. – Vol. 101, N 1. – P. 82–86. – DOI: 10.1073/pnas.2237114100</w:t>
      </w:r>
    </w:p>
    <w:p w14:paraId="587E768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Mashimo, M. ADP-ribosyl-acceptor hydrolase 3 regulates poly (ADP-ribose) degradation and cell death during oxidative stress / M. Mashimo, J. Kato, J. Moss // Proceedings of the National Academy of Sciences of the United States of America. – 2013. – Vol. 110, N 47. – P. 18964–18969. – DOI: 10.1073/pnas.1312783110</w:t>
      </w:r>
    </w:p>
    <w:p w14:paraId="0695A33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eastAsia="ru-RU"/>
        </w:rPr>
      </w:pPr>
      <w:r w:rsidRPr="002C6989">
        <w:rPr>
          <w:rFonts w:ascii="Times New Roman" w:eastAsia="Times New Roman" w:hAnsi="Times New Roman"/>
          <w:color w:val="000000"/>
          <w:lang w:val="en-US" w:eastAsia="ru-RU"/>
        </w:rPr>
        <w:t xml:space="preserve">Kaufmann, M. Function and Regulation of the Mono-ADP-Ribosyltransferase ARTD10 / M. Kaufmann, K. L. H. Feijs, B. Lüscher // Endogenous ADP-Ribosylation / ed. </w:t>
      </w:r>
      <w:r w:rsidRPr="002C6989">
        <w:rPr>
          <w:rFonts w:ascii="Times New Roman" w:eastAsia="Times New Roman" w:hAnsi="Times New Roman"/>
          <w:color w:val="000000"/>
          <w:lang w:eastAsia="ru-RU"/>
        </w:rPr>
        <w:t>F. Koch-Nolte. – Cham : Springer International Publishing, 2015. – P. 167–188.</w:t>
      </w:r>
    </w:p>
    <w:p w14:paraId="35A4033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Han, W. The macro domain protein family: structure, functions, and their potential therapeutic implications / W. Han, X. Li, X. Fu // Mutation Research. – 2011. – Vol. 727, N 3. – P. 86–103. – DOI: 10.1016/j.mrrev.2011.03.001</w:t>
      </w:r>
    </w:p>
    <w:p w14:paraId="701D688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macro domain is an ADP-ribose binding module / G. I. Karras, G. Kustatscher, H. R. Buhecha, M. D. Allen, C. Pugieux, F. Sait, M. Bycroft, A. G. Ladurner // The EMBO journal. – 2005. – Vol. 24, N 11. – P. 1911–1920. – DOI: 10.1038/sj.emboj.7600664</w:t>
      </w:r>
    </w:p>
    <w:p w14:paraId="3340827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Teloni, F. Readers of poly(ADP-ribose): designed to be fit for purpose / F. Teloni, M. Altmeyer // Nucleic Acids Research. – 2016. – Vol. 44, N 3. – P. 993–1006. – DOI: 10.1093/nar/gkv1383</w:t>
      </w:r>
    </w:p>
    <w:p w14:paraId="4CDA3E0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Nucleolar-nucleoplasmic shuttling of TARG1 and its control by DNA damage-induced poly-ADP-ribosylation and by nucleolar transcription / M. Bütepage, C. Preisinger, A. Kriegsheim, A. Scheufen, E. Lausberg, J. Li, F. Kappes, R. Feederle, S. Ernst, L. Eckei, S. Krieg, G. Müller-Newen, G. Rossetti, K. L. H. Feijs, P. Verheugd, B. Lüscher // Scientific Reports. – 2018. – Vol. 8, N 1. – P. 6748. – DOI: 10.1038/s41598-018-25137-w</w:t>
      </w:r>
    </w:p>
    <w:p w14:paraId="6B8AD68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MACROD2 Haploinsufficiency Impairs Catalytic Activity of PARP1 and Promotes Chromosome Instability and Growth of Intestinal Tumors / A. Sakthianandeswaren, M. J. Parsons, D. Mouradov, R. N. MacKinnon, B. Catimel, S. Liu, M. Palmieri, C. Love, R. N. Jorissen, S. Li, L. Whitehead, T. L. Putoczki, A. Preaudet, C. Tsui, C. J. Nowell, R. L. Ward, N. J. Hawkins, J. Desai, P. Gibbs, M. Ernst, I. Street, M. Buchert, O. M. Sieber // Cancer Discovery. – 2018. – Vol. 8, N 8. – P. 988–1005. – DOI: 10.1158/2159-8290.CD-17-0909</w:t>
      </w:r>
    </w:p>
    <w:p w14:paraId="4855E60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MACROD2 deletions cause impaired PARP1 activity and chromosome instability in colorectal cancer / A. Sakthianandeswaren, M. J. Parsons, D. Mouradov, O. M. Sieber // Oncotarget. – 2018. – Vol. 9, N 69. – P. 33056–33058. – DOI: 10.18632/oncotarget.25887</w:t>
      </w:r>
    </w:p>
    <w:p w14:paraId="22661EF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Studies on the Polymer of Adenosine Diphosphate Ribose: II. CHARACTERIZATION OF THE POLYMER / R. H. Reeder, K. Ueda, T. Honjo, Y. Nishizuka, O. Hayaishi // Journal of Biological Chemistry. – 1967. – Vol. 242, N 13. – P. 3172–3179. – DOI: 10.1016/S0021-9258(18)95948-X. – URL: https://www.jbc.org/article/S0021-9258(18)95948-X/abstract</w:t>
      </w:r>
    </w:p>
    <w:p w14:paraId="42BEB8B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Processing of protein ADP-ribosylation by Nudix hydrolases / L. Palazzo, B. Thomas, A. Jemth, T. Colby, O. Leidecker, K. L. H. Feijs, R. Zaja, O. Loseva, J. C. Puigvert, I. Matic, T. Helleday, I. Ahel // The Biochemical Journal. – 2015. – Vol. 468, N 2. – P. 293–301. – DOI: 10.1042/BJ20141554</w:t>
      </w:r>
    </w:p>
    <w:p w14:paraId="29C0BC7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Nudix hydrolases degrade protein-conjugated ADP-ribose / C. M. Daniels, P. Thirawatananond, S. Ong, S. B. Gabelli, A. K. L. Leung // Scientific Reports. – 2015. – Vol. 5. – P. 18271. – DOI: 10.1038/srep18271</w:t>
      </w:r>
    </w:p>
    <w:p w14:paraId="620AEA5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Williams, J. C. Glutamyl ribose 5-phosphate storage disease. A hereditary defect in the degradation of poly(ADP-ribosylated) proteins / J. C. Williams, J. P. Chambers, J. G. Liehr // The Journal of Biological Chemistry. – 1984. – Vol. 259, N 2. – P. 1037–1042.</w:t>
      </w:r>
    </w:p>
    <w:p w14:paraId="57CDB00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Poly(etheno ADP-ribose) blocks poly(ADP-ribose) glycohydrolase activity / M. Shirato, S. Tozawa, D. Maeda, M. Watanabe, H. Nakagama, M. Masutani // Biochemical and Biophysical Research Communications. – 2007. – Vol. 355, N 2. – P. 451–456. – DOI: 10.1016/j.bbrc.2007.01.171</w:t>
      </w:r>
    </w:p>
    <w:p w14:paraId="08E7BA6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Bessman, M. J. The MutT proteins or "Nudix" hydrolases, a family of versatile, widely distributed, "housecleaning" enzymes / M. J. Bessman, D. N. Frick, S. F. O'Handley // The Journal of Biological Chemistry. – 1996. – Vol. 271, N 41. – P. 25059–25062. – DOI: 10.1074/jbc.271.41.25059</w:t>
      </w:r>
    </w:p>
    <w:p w14:paraId="3CE655B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catabolism triggers AMP-dependent mitochondrial energy failure / L. Formentini, A. Macchiarulo, G. Cipriani, E. Camaioni, E. Rapizzi, R. Pellicciari, F. Moroni, A. Chiarugi // The Journal of Biological Chemistry. – 2009. – Vol. 284, N 26. – P. 17668–17676. – DOI: 10.1074/jbc.M109.002931</w:t>
      </w:r>
    </w:p>
    <w:p w14:paraId="6B73EB1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PARP-1 modulation of mTOR signaling in response to a DNA alkylating agent / C. Ethier, M. Tardif, L. Arul, G. G. Poirier // PloS One. – 2012. – Vol. 7, N 10. – P. e47978. – DOI: 10.1371/journal.pone.0047978</w:t>
      </w:r>
    </w:p>
    <w:p w14:paraId="590F548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ADP-ribose-derived nuclear ATP synthesis by NUDIX5 is required for chromatin remodeling / R. H. G. Wright, A. Lioutas, F. Le Dily, D. Soronellas, A. Pohl, J. Bonet, A. S. Nacht, S. Samino, J. Font-Mateu, G. P. Vicent, M. Wierer, M. A. Trabado, C. Schelhorn, C. Carolis, M. J. Macias, O. Yanes, B. Oliva, M. Beato // Science (New York, N.Y.). – 2016. – Vol. 352, N 6290. – P. 1221–1225. – DOI: 10.1126/science.aad9335</w:t>
      </w:r>
    </w:p>
    <w:p w14:paraId="3C2ACAA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ENPP1 processes protein ADP-ribosylation in vitro / L. Palazzo, C. M. Daniels, J. E. Nettleship, N. Rahman, R. L. McPherson, S. Ong, K. Kato, O. Nureki, A. K. L. Leung, I. Ahel // The FEBS journal. – 2016. – Vol. 283, N 18. – P. 3371–3388. – DOI: 10.1111/febs.13811</w:t>
      </w:r>
    </w:p>
    <w:p w14:paraId="50AC91E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binds to specific domains of p53 and alters its DNA binding functions / M. Malanga, J. M. Pleschke, H. E. Kleczkowska, F. R. Althaus // The Journal of Biological Chemistry. – 1998. – Vol. 273, N 19. – P. 11839–11843. – DOI: 10.1074/jbc.273.19.11839</w:t>
      </w:r>
    </w:p>
    <w:p w14:paraId="076617B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binds to specific domains in DNA damage checkpoint proteins / J. M. Pleschke, H. E. Kleczkowska, M. Strohm, F. R. Althaus // The Journal of Biological Chemistry. – 2000. – Vol. 275, N 52. – P. 40974–40980. – DOI: 10.1074/jbc.M006520200</w:t>
      </w:r>
    </w:p>
    <w:p w14:paraId="72A8CEA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Proteome-wide identification of poly(ADP-ribose) binding proteins and poly(ADP-ribose)-associated protein complexes / J. Gagné, M. Isabelle, K. S. Lo, S. Bourassa, M. J. Hendzel, V. L. Dawson, T. M. Dawson, G. G. Poirier // Nucleic Acids Research. – 2008. – Vol. 36, N 22. – P. 6959–6976. – DOI: 10.1093/nar/gkn771</w:t>
      </w:r>
    </w:p>
    <w:p w14:paraId="510CAA3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ADPriboDB: The database of ADP-ribosylated proteins / C. A. Vivelo, R. Wat, C. Agrawal, H. Y. Tee, A. K. L. Leung // Nucleic Acids Research. – 2017. – Vol. 45, N D1. – P. D204–D209. – DOI: 10.1093/nar/gkw706</w:t>
      </w:r>
    </w:p>
    <w:p w14:paraId="6DEB002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Solution structures of the two PBZ domains from human APLF and their interaction with poly(ADP-ribose) / S. Eustermann, C. Brockmann, P. V. Mehrotra, J. Yang, D. Loakes, S. C. West, I. Ahel, D. Neuhaus // Nature Structural &amp; Molecular Biology. – 2010. – Vol. 17, N 2. – P. 241–243. – DOI: 10.1038/nsmb.1747</w:t>
      </w:r>
    </w:p>
    <w:p w14:paraId="6B72DCB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Poly(ADP-ribose)-binding zinc finger motifs in DNA repair/checkpoint proteins / I. Ahel, D. Ahel, T. Matsusaka, A. J. Clark, J. Pines, S. J. Boulton, S. C. West // Nature. – 2008. – Vol. 451, N 7174. – P. 81–85. – DOI: 10.1038/nature06420</w:t>
      </w:r>
    </w:p>
    <w:p w14:paraId="308B64E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second zinc-finger domain of poly(ADP-ribose) polymerase determines specificity for single-stranded breaks in DNA / G. Gradwohl, J. M. Ménissier de Murcia, M. Molinete, F. Simonin, M. Koken, J. H. Hoeijmakers, G. Murcia // Proceedings of the National Academy of Sciences of the United States of America. – 1990. – Vol. 87, N 8. – P. 2990–2994. – DOI: 10.1073/pnas.87.8.2990</w:t>
      </w:r>
    </w:p>
    <w:p w14:paraId="6EABB45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Structure and identification of ADP-ribose recognition motifs of APLF and role in the DNA damage response / G. Li, R. D. McCulloch, A. L. Fenton, M. Cheung, L. Meng, M. Ikura, C. A. Koch // Proceedings of the National Academy of Sciences of the United States of America. – 2010. – Vol. 107, N 20. – P. 9129–9134. – DOI: 10.1073/pnas.1000556107</w:t>
      </w:r>
    </w:p>
    <w:p w14:paraId="4C3211B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Poly(ADP-ribose)-dependent regulation of DNA repair by the chromatin remodeling enzyme ALC1 / D. Ahel, Z. Horejsí, N. Wiechens, S. E. Polo, E. Garcia-Wilson, I. Ahel, H. Flynn, M. Skehel, S. C. West, S. P. Jackson, T. Owen-Hughes, S. J. Boulton // Science (New York, N.Y.). – 2009. – Vol. 325, N 5945. – P. 1240–1243. – DOI: 10.1126/science.1177321</w:t>
      </w:r>
    </w:p>
    <w:p w14:paraId="37DEAEF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family of macrodomain proteins reverses cellular mono-ADP-ribosylation / G. Jankevicius, M. Hassler, B. Golia, V. Rybin, M. Zacharias, G. Timinszky, A. G. Ladurner // Nature Structural &amp; Molecular Biology. – 2013. – Vol. 20, N 4. – P. 508–514. – DOI: 10.1038/nsmb.2523</w:t>
      </w:r>
    </w:p>
    <w:p w14:paraId="74EAFB8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macrodomain-containing histone rearranges chromatin upon sensing PARP1 activation / G. Timinszky, S. Till, P. O. Hassa, M. Hothorn, G. Kustatscher, B. Nijmeijer, J. Colombelli, M. Altmeyer, E. H. K. Stelzer, K. Scheffzek, M. O. Hottiger, A. G. Ladurner // Nature Structural &amp; Molecular Biology. – 2009. – Vol. 16, N 9. – P. 923–929. – DOI: 10.1038/nsmb.1664</w:t>
      </w:r>
    </w:p>
    <w:p w14:paraId="75BFE33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Allosteric activation of the RNF146 ubiquitin ligase by a poly(ADP-ribosyl)ation signal / P. A. DaRosa, Z. Wang, X. Jiang, J. N. Pruneda, F. Cong, R. E. Klevit, W. Xu // Nature. – 2015. – Vol. 517, N 7533. – P. 223–226. – DOI: 10.1038/nature13826</w:t>
      </w:r>
    </w:p>
    <w:p w14:paraId="5D7CEDA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Iduna is a poly(ADP-ribose) (PAR)-dependent E3 ubiquitin ligase that regulates DNA damage / H. C. Kang, Y. I. Lee, J. H. Shin, S. A. Andrabi, Z. Chi, J. P. Gagné, Y. Lee, H. S. Ko, B. D. Lee, G. G. Poirier, V. L. Dawson, T. M. Dawson // Proceedings of the National Academy of Sciences of the United States of America. – 2011. – Vol. 108, N 34. – P. 14103–14108. – DOI: 10.1073/pnas.1108799108</w:t>
      </w:r>
    </w:p>
    <w:p w14:paraId="1CB6FC5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Recognition of the iso-ADP-ribose moiety in poly(ADP-ribose) by WWE domains suggests a general mechanism for poly(ADP-ribosyl)ation-dependent ubiquitination / Z. Wang, G. A. Michaud, Z. Cheng, Y. Zhang, T. R. Hinds, E. Fan, F. Cong, W. Xu // Genes &amp; Development. – 2012. – Vol. 26, N 3. – P. 235–240. – DOI: 10.1101/gad.182618.111</w:t>
      </w:r>
    </w:p>
    <w:p w14:paraId="32FA433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molecular basis of FHA domain:phosphopeptide binding specificity and implications for phospho-dependent signaling mechanisms / D. Durocher, I. A. Taylor, D. Sarbassova, L. F. Haire, S. L. Westcott, S. P. Jackson, S. J. Smerdon, M. B. Yaffe // Molecular Cell. – 2000. – Vol. 6, N 5. – P. 1169–1182. – DOI: 10.1016/s1097-2765(00)00114-3</w:t>
      </w:r>
    </w:p>
    <w:p w14:paraId="45F1204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FHA and BRCT domains recognize ADP-ribosylation during DNA damage response / M. Li, L. Lu, C. Yang, S. Wang, X. Yu // Genes &amp; Development. – 2013. – Vol. 27, N 16. – P. 1752–1768. – DOI: 10.1101/gad.226357.113</w:t>
      </w:r>
    </w:p>
    <w:p w14:paraId="4E70C77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XRCC1 phosphate-binding pocket binds poly (ADP-ribose) and is required for XRCC1 function / C. Breslin, P. Hornyak, A. Ridley, S. L. Rulten, H. Hanzlikova, A. W. Oliver, K. W. Caldecott // Nucleic Acids Research. – 2015. – Vol. 43, N 14. – P. 6934–6944. – DOI: 10.1093/nar/gkv623</w:t>
      </w:r>
    </w:p>
    <w:p w14:paraId="57A21C5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Li, M. Function of BRCA1 in the DNA damage response is mediated by ADP-ribosylation / M. Li, X. Yu // Cancer Cell. – 2013. – Vol. 23, N 5. – P. 693–704. – DOI: 10.1016/j.ccr.2013.03.025</w:t>
      </w:r>
    </w:p>
    <w:p w14:paraId="0126213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Murzin, A. G. OB(oligonucleotide/oligosaccharide binding)-fold: common structural and functional solution for non-homologous sequences / A. G. Murzin // The EMBO journal. – 1993. – Vol. 12, N 3. – P. 861–867.</w:t>
      </w:r>
    </w:p>
    <w:p w14:paraId="2ED49B7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Flynn, R. L. Oligonucleotide/oligosaccharide-binding fold proteins: a growing family of genome guardians / R. L. Flynn, L. Zou // Critical Reviews in Biochemistry and Molecular Biology. – 2010. – Vol. 45, N 4. – P. 266–275. – DOI: 10.3109/10409238.2010.488216</w:t>
      </w:r>
    </w:p>
    <w:p w14:paraId="2D5BDF7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oligonucleotide/oligosaccharide-binding fold motif is a poly(ADP-ribose)-binding domain that mediates DNA damage response / F. Zhang, Y. Chen, M. Li, X. Yu // Proceedings of the National Academy of Sciences of the United States of America. – 2014. – Vol. 111, N 20. – P. 7278–7283. – DOI: 10.1073/pnas.1318367111</w:t>
      </w:r>
    </w:p>
    <w:p w14:paraId="3898E46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Mediates the BRCA2-Dependent Early DNA Damage Response / F. Zhang, J. Shi, C. Bian, X. Yu // Cell Reports. – 2015. – Vol. 13, N 4. – P. 678–689. – DOI: 10.1016/j.celrep.2015.09.040</w:t>
      </w:r>
    </w:p>
    <w:p w14:paraId="5C7E675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Maris, C. The RNA recognition motif, a plastic RNA-binding platform to regulate post-transcriptional gene expression / C. Maris, C. Dominguez, F. H. Allain // The FEBS journal. – 2005. – Vol. 272, N 9. – P. 2118–2131. – DOI: 10.1111/j.1742-4658.2005.04653.x</w:t>
      </w:r>
    </w:p>
    <w:p w14:paraId="7850688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genome-wide homologous recombination screen identifies the RNA-binding protein RBMX as a component of the DNA-damage response / B. Adamson, A. Smogorzewska, F. D. Sigoillot, R. W. King, S. J. Elledge // Nature Cell Biology. – 2012. – Vol. 14, N 3. – P. 318–328. – DOI: 10.1038/ncb2426</w:t>
      </w:r>
    </w:p>
    <w:p w14:paraId="3FC7B62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proteomic approach to the identification of heterogeneous nuclear ribonucleoproteins as a new family of poly(ADP-ribose)-binding proteins / J. Gagné, J. M. Hunter, B. Labrecque, B. Chabot, G. G. Poirier // The Biochemical Journal. – 2003. – Vol. 371, N Pt 2. – P. 331–340. – DOI: 10.1042/BJ20021675</w:t>
      </w:r>
    </w:p>
    <w:p w14:paraId="6BA4A4C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Systematic Analysis of Factors Localized to Damaged Chromatin Reveals PARP-Dependent Recruitment of Transcription Factors / L. Izhar, B. Adamson, A. Ciccia, J. Lewis, L. Pontano-Vaites, Y. Leng, A. C. Liang, T. F. Westbrook, J. W. Harper, S. J. Elledge // Cell Reports. – 2015. – Vol. 11, N 9. – P. 1486–1500. – DOI: 10.1016/j.celrep.2015.04.053</w:t>
      </w:r>
    </w:p>
    <w:p w14:paraId="26533F1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PARP activation regulates the RNA-binding protein NONO in the DNA damage response to DNA double-strand breaks / J. Krietsch, M. Caron, J. Gagné, C. Ethier, J. Vignard, M. Vincent, M. Rouleau, M. J. Hendzel, G. G. Poirier, J. Masson // Nucleic Acids Research. – 2012. – Vol. 40, N 20. – P. 10287–10301. – DOI: 10.1093/nar/gks798</w:t>
      </w:r>
    </w:p>
    <w:p w14:paraId="62A9121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PIN-domain ribonucleases and the prokaryotic VapBC toxin-antitoxin array / V. L. Arcus, J. L. McKenzie, J. Robson, G. M. Cook // Protein engineering, design &amp; selection: PEDS. – 2011. – Vol. 24, N 1-2. – P. 33–40. – DOI: 10.1093/protein/gzq081</w:t>
      </w:r>
    </w:p>
    <w:p w14:paraId="0B275B3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The PIN domain of EXO1 recognizes poly(ADP-ribose) in DNA damage response / F. Zhang, J. Shi, S. Chen, C. Bian, X. Yu // Nucleic Acids Research. – 2015. – Vol. 43, N 22. – P. 10782–10794. – DOI: 10.1093/nar/gkv939. – URL: https://www.ncbi.nlm.nih.gov/pmc/articles/PMC4678857/</w:t>
      </w:r>
    </w:p>
    <w:p w14:paraId="7FE4020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Shepard, P. J. The SR protein family / P. J. Shepard, K. J. Hertel // Genome Biology. – 2009. – Vol. 10, N 10. – P. 242. – DOI: 10.1186/gb-2009-10-10-242. – URL: https://doi.org/10.1186/gb-2009-10-10-242</w:t>
      </w:r>
    </w:p>
    <w:p w14:paraId="692FDD8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Quantitative proteomics and dynamic imaging reveal that G3BP-mediated stress granule assembly is poly(ADP-ribose)-dependent following exposure to MNNG-induced DNA alkylation / M. Isabelle, J. Gagné, I. Gallouzi, G. G. Poirier // Journal of Cell Science. – 2012. – Vol. 125, N Pt 19. – P. 4555–4566. – DOI: 10.1242/jcs.106963</w:t>
      </w:r>
    </w:p>
    <w:p w14:paraId="6C535DD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binds to the splicing factor ASF/SF2 and regulates its phosphorylation by DNA topoisomerase I / M. Malanga, A. Czubaty, A. Girstun, K. Staron, F. R. Althaus // The Journal of Biological Chemistry. – 2008. – Vol. 283, N 29. – P. 19991–19998. – DOI: 10.1074/jbc.M709495200</w:t>
      </w:r>
    </w:p>
    <w:p w14:paraId="5543BEF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regulates stress responses and microRNA activity in the cytoplasm / A. K. L. Leung, S. Vyas, J. E. Rood, A. Bhutkar, P. A. Sharp, P. Chang // Molecular Cell. – 2011. – Vol. 42, N 4. – P. 489–499. – DOI: 10.1016/j.molcel.2011.04.015</w:t>
      </w:r>
    </w:p>
    <w:p w14:paraId="230317F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Liquid to Solid Phase Transition Underlying Pathological Huntingtin Exon1 Aggregation / T. R. Peskett, F. Rau, J. O’Driscoll, R. Patani, A. R. Lowe, H. R. Saibil // Molecular Cell. – 2018. – Vol. 70, N 4. – P. 588–601.e6. – DOI: 10.1016/j.molcel.2018.04.007</w:t>
      </w:r>
    </w:p>
    <w:p w14:paraId="48BB956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Liquid demixing of intrinsically disordered proteins is seeded by poly(ADP-ribose) / M. Altmeyer, K. J. Neelsen, F. Teloni, I. Pozdnyakova, S. Pellegrino, M. Grøfte, M. D. Rask, W. Streicher, S. Jungmichel, M. L. Nielsen, J. Lukas // Nature Communications. – 2015. – Vol. 6. – P. 8088. – DOI: 10.1038/ncomms9088</w:t>
      </w:r>
    </w:p>
    <w:p w14:paraId="5F5F8A7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WHITBY, A. J. Poly(Adenosine Diphosphate Ribose) in Wheat / A. J. WHITBY, W. J. D. WHISH // Biochemical Society Transactions. – 1977. – Vol. 5, N 4. – P. 948–949. – DOI: 10.1042/bst0050948</w:t>
      </w:r>
    </w:p>
    <w:p w14:paraId="6F50400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WHITBY, A. J. Poly(Adenosine Diphosphate Ribose) Glycohydrolase in Germinating Wheat Embryos / A. J. WHITBY, W. J. D. WHISH // Biochemical Society Transactions. – 1978. – Vol. 6, N 3. – P. 619–620. – DOI: 10.1042/bst0060619</w:t>
      </w:r>
    </w:p>
    <w:p w14:paraId="74B591A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Whitby, A. J. Effect of polyamines and Mg++ on poly(ADP-ribose) synthesis and ADP-ribosylation of histones in wheat / A. J. Whitby, P. R. Stone, W. J. D. Whish // Biochemical and Biophysical Research Communications. – 1979. – Vol. 90, N 4. – P. 1295–1304. – DOI: 10.1016/0006-291X(79)91177-X</w:t>
      </w:r>
    </w:p>
    <w:p w14:paraId="74A2962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Payne, J. F. Cytological detection of poly (ADP-ribose) polymerase / J. F. Payne, A. K. Bal // Experimental Cell Research. – 1976. – Vol. 99, N 2. – P. 428–432. – DOI: 10.1016/0014-4827(76)90601-7</w:t>
      </w:r>
    </w:p>
    <w:p w14:paraId="1C673D3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Willmitzer, L. Demonstration of in vitro covalent modification of chromosomal proteins by poly(ADP) ribosylation in plant nuclei / L. Willmitzer // FEBS letters. – 1979. – Vol. 108, N 1. – P. 13–16. – DOI: 10.1016/0014-5793(79)81167-9</w:t>
      </w:r>
    </w:p>
    <w:p w14:paraId="3FA377B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Chen, Y. Poly(ADP-Ribose) Polymerase in Plant Nuclei / Y. Chen, S. Shall, M. O'farrell // European Journal of Biochemistry. – 1994. – Vol. 224, N 1. – P. 135–142. – DOI: 10.1111/j.1432-1033.1994.tb20004.x</w:t>
      </w:r>
    </w:p>
    <w:p w14:paraId="7D34651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Characterization of an Arabidopsis thaliana cDNA homologue to animal poly(ADP-ribose) polymerase / L. Lepiniec, E. Babiychuk, S. Kushnir, M. Van Montagu, D. Inzé // FEBS letters. – 1995. – Vol. 364, N 2. – P. 103–108. – DOI: 10.1016/0014-5793(95)00335-7</w:t>
      </w:r>
    </w:p>
    <w:p w14:paraId="5E16493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 xml:space="preserve">Aravind, L. SAP – a putative DNA-binding motif involved in chromosomal organization / L. Aravind, E. V. Koonin // Trends in Biochemical Sciences. – 2000. – </w:t>
      </w:r>
      <w:r>
        <w:rPr>
          <w:rFonts w:ascii="Times New Roman" w:eastAsia="Times New Roman" w:hAnsi="Times New Roman"/>
          <w:color w:val="000000"/>
          <w:lang w:val="en-US" w:eastAsia="ru-RU"/>
        </w:rPr>
        <w:t>Vol</w:t>
      </w:r>
      <w:r w:rsidRPr="002C6989">
        <w:rPr>
          <w:rFonts w:ascii="Times New Roman" w:eastAsia="Times New Roman" w:hAnsi="Times New Roman"/>
          <w:color w:val="000000"/>
          <w:lang w:val="en-US" w:eastAsia="ru-RU"/>
        </w:rPr>
        <w:t xml:space="preserve">. 25, № 3. – </w:t>
      </w:r>
      <w:r>
        <w:rPr>
          <w:rFonts w:ascii="Times New Roman" w:eastAsia="Times New Roman" w:hAnsi="Times New Roman"/>
          <w:color w:val="000000"/>
          <w:lang w:val="en-US" w:eastAsia="ru-RU"/>
        </w:rPr>
        <w:t>P</w:t>
      </w:r>
      <w:r w:rsidRPr="002C6989">
        <w:rPr>
          <w:rFonts w:ascii="Times New Roman" w:eastAsia="Times New Roman" w:hAnsi="Times New Roman"/>
          <w:color w:val="000000"/>
          <w:lang w:val="en-US" w:eastAsia="ru-RU"/>
        </w:rPr>
        <w:t>. 112–114. – DOI: 10.1016/S0968-0004(99)01537-6</w:t>
      </w:r>
    </w:p>
    <w:p w14:paraId="1803AF8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Higher plants possess two structurally different poly(ADP-ribose) polymerases / E. Babiychuk, P. B. Cottrill, S. Storozhenko, M. Fuangthong, Y. Chen, M. K. O'Farrell, M. Van Montagu, D. Inzé, S. Kushnir // The Plant Journal: For Cell and Molecular Biology. – 1998. – Vol. 15, N 5. – P. 635–645. – DOI: 10.1046/j.1365-313x.1998.00240.x</w:t>
      </w:r>
    </w:p>
    <w:p w14:paraId="607295A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PARP2 Is the Predominant Poly(ADP-Ribose) Polymerase in Arabidopsis DNA Damage and Immune Responses / J. Song, B. D. Keppler, R. R. Wise, A. F. Bent // PLOS Genetics. – 2015. – Vol. 11, N 5. – P. e1005200. – DOI: 10.1371/journal.pgen.1005200</w:t>
      </w:r>
    </w:p>
    <w:p w14:paraId="26E3206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Analysis of knockout mutants reveals non-redundant functions of poly(ADP-ribose)polymerase isoforms in Arabidopsis / P. A. Pham, V. Wahl, T. Tohge, L. R. Souza, Y. Zhang, P. T. Do, J. J. Olas, M. Stitt, W. L. Araújo, A. R. Fernie // Plant Molecular Biology. – 2015. – Vol. 89, N 4-5. – P. 319–338. – DOI: 10.1007/s11103-015-0363-5</w:t>
      </w:r>
    </w:p>
    <w:p w14:paraId="725FAE6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Nuclear Import of Arabidopsis Poly(ADP-Ribose) Polymerase 2 Is Mediated by Importin-</w:t>
      </w:r>
      <w:r w:rsidRPr="002C6989">
        <w:rPr>
          <w:rFonts w:ascii="Times New Roman" w:eastAsia="Times New Roman" w:hAnsi="Times New Roman"/>
          <w:color w:val="000000"/>
          <w:lang w:eastAsia="ru-RU"/>
        </w:rPr>
        <w:t>α</w:t>
      </w:r>
      <w:r w:rsidRPr="002C6989">
        <w:rPr>
          <w:rFonts w:ascii="Times New Roman" w:eastAsia="Times New Roman" w:hAnsi="Times New Roman"/>
          <w:color w:val="000000"/>
          <w:lang w:val="en-US" w:eastAsia="ru-RU"/>
        </w:rPr>
        <w:t xml:space="preserve"> and a Nuclear Localization Sequence Located Between the Predicted SAP Domains / C. Chen, R. D. Masi, R. Lintermann, L. Wirthmueller // Frontiers in Plant Science. – 2018. – </w:t>
      </w:r>
      <w:r>
        <w:rPr>
          <w:rFonts w:ascii="Times New Roman" w:eastAsia="Times New Roman" w:hAnsi="Times New Roman"/>
          <w:color w:val="000000"/>
          <w:lang w:val="en-US" w:eastAsia="ru-RU"/>
        </w:rPr>
        <w:t>Vol</w:t>
      </w:r>
      <w:r w:rsidRPr="002C6989">
        <w:rPr>
          <w:rFonts w:ascii="Times New Roman" w:eastAsia="Times New Roman" w:hAnsi="Times New Roman"/>
          <w:color w:val="000000"/>
          <w:lang w:val="en-US" w:eastAsia="ru-RU"/>
        </w:rPr>
        <w:t xml:space="preserve">. 9. – </w:t>
      </w:r>
      <w:r>
        <w:rPr>
          <w:rFonts w:ascii="Times New Roman" w:eastAsia="Times New Roman" w:hAnsi="Times New Roman"/>
          <w:color w:val="000000"/>
          <w:lang w:val="en-US" w:eastAsia="ru-RU"/>
        </w:rPr>
        <w:t>P</w:t>
      </w:r>
      <w:r w:rsidRPr="002C6989">
        <w:rPr>
          <w:rFonts w:ascii="Times New Roman" w:eastAsia="Times New Roman" w:hAnsi="Times New Roman"/>
          <w:color w:val="000000"/>
          <w:lang w:val="en-US" w:eastAsia="ru-RU"/>
        </w:rPr>
        <w:t>. </w:t>
      </w:r>
      <w:r w:rsidRPr="00972E13">
        <w:rPr>
          <w:rFonts w:ascii="Segoe UI" w:hAnsi="Segoe UI" w:cs="Segoe UI"/>
          <w:color w:val="212121"/>
          <w:shd w:val="clear" w:color="auto" w:fill="FFFFFF"/>
          <w:lang w:val="en-US"/>
        </w:rPr>
        <w:t>1581</w:t>
      </w:r>
      <w:r w:rsidRPr="002C6989">
        <w:rPr>
          <w:rFonts w:ascii="Times New Roman" w:eastAsia="Times New Roman" w:hAnsi="Times New Roman"/>
          <w:color w:val="000000"/>
          <w:lang w:val="en-US" w:eastAsia="ru-RU"/>
        </w:rPr>
        <w:t>.</w:t>
      </w:r>
    </w:p>
    <w:p w14:paraId="5BB2266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Ionising radiation induces the expression of PARP-1 and PARP-2 genes in Arabidopsis / G. Doucet-Chabeaud, C. Godon, C. Brutesco, G. Murcia, M. Kazmaier // Molecular genetics and genomics: MGG. – 2001. – Vol. 265, N 6. – P. 954–963. – DOI: 10.1007/s004380100506</w:t>
      </w:r>
    </w:p>
    <w:p w14:paraId="5C77B21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Rissel, D. A yeast growth assay to characterize plant poly(ADP-ribose) polymerase (PARP) proteins and inhibitors / D. Rissel, P. P. Heym, E. Peiter // Analytical Biochemistry. – 2017. – Vol. 527. – P. 20–23. – DOI: 10.1016/j.ab.2017.04.002</w:t>
      </w:r>
    </w:p>
    <w:p w14:paraId="76F87F3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Protein poly(ADP-ribosyl)ation regulates arabidopsis immune gene expression and defense responses / B. Feng, C. Liu, M. V. V. Oliveira, A. C. Intorne, B. Li, K. Babilonia, G. A. Souza Filho, L. Shan, P. He // PLoS genetics. – 2015. – Vol. 11, N 1. – P. e1004936. – DOI: 10.1371/journal.pgen.1004936</w:t>
      </w:r>
    </w:p>
    <w:p w14:paraId="3636214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 xml:space="preserve">Hunt, L. NAD – new roles in signalling and gene regulation in plants / L. Hunt, F. Lerner, M. Ziegler // New Phytologist. – 2004. – </w:t>
      </w:r>
      <w:r w:rsidRPr="002C6989">
        <w:rPr>
          <w:rFonts w:ascii="Times New Roman" w:eastAsia="Times New Roman" w:hAnsi="Times New Roman"/>
          <w:color w:val="000000"/>
          <w:lang w:eastAsia="ru-RU"/>
        </w:rPr>
        <w:t>Т</w:t>
      </w:r>
      <w:r w:rsidRPr="002C6989">
        <w:rPr>
          <w:rFonts w:ascii="Times New Roman" w:eastAsia="Times New Roman" w:hAnsi="Times New Roman"/>
          <w:color w:val="000000"/>
          <w:lang w:val="en-US" w:eastAsia="ru-RU"/>
        </w:rPr>
        <w:t xml:space="preserve">. 163, № 1. – </w:t>
      </w:r>
      <w:r w:rsidRPr="002C6989">
        <w:rPr>
          <w:rFonts w:ascii="Times New Roman" w:eastAsia="Times New Roman" w:hAnsi="Times New Roman"/>
          <w:color w:val="000000"/>
          <w:lang w:eastAsia="ru-RU"/>
        </w:rPr>
        <w:t>С</w:t>
      </w:r>
      <w:r w:rsidRPr="002C6989">
        <w:rPr>
          <w:rFonts w:ascii="Times New Roman" w:eastAsia="Times New Roman" w:hAnsi="Times New Roman"/>
          <w:color w:val="000000"/>
          <w:lang w:val="en-US" w:eastAsia="ru-RU"/>
        </w:rPr>
        <w:t>. 31–44. – DOI: 10.1111/j.1469-8137.2004.01087.x</w:t>
      </w:r>
    </w:p>
    <w:p w14:paraId="55A84E3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Rissel, D. The nuclear protein Poly(ADP-ribose) polymerase 3 (AtPARP3) is required for seed storability in Arabidopsis thaliana / D. Rissel, J. Losch, E. Peiter // Plant Biology. – 2014. – Vol. 16, N 6. – P. 1058–1064. – DOI: 10.1111/plb.12167</w:t>
      </w:r>
    </w:p>
    <w:p w14:paraId="34CDFD4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Overexpression of an ADP-ribose pyrophosphatase, </w:t>
      </w:r>
      <w:r w:rsidRPr="002C6989">
        <w:rPr>
          <w:rFonts w:ascii="Times New Roman" w:eastAsia="Times New Roman" w:hAnsi="Times New Roman"/>
          <w:i/>
          <w:iCs/>
          <w:color w:val="000000"/>
          <w:lang w:val="en-US" w:eastAsia="ru-RU"/>
        </w:rPr>
        <w:t>AtNUDX2</w:t>
      </w:r>
      <w:r w:rsidRPr="002C6989">
        <w:rPr>
          <w:rFonts w:ascii="Times New Roman" w:eastAsia="Times New Roman" w:hAnsi="Times New Roman"/>
          <w:color w:val="000000"/>
          <w:lang w:val="en-US" w:eastAsia="ru-RU"/>
        </w:rPr>
        <w:t> , confers enhanced tolerance to oxidative stress in Arabidopsis plants / T. Ogawa, K. Ishikawa, K. Harada, E. Fukusaki, K. Yoshimura, S. Shigeoka // The Plant Journal. – 2009. – Vol. 57, N 2. – P. 289–301. – DOI: 10.1111/j.1365-313X.2008.03686.x</w:t>
      </w:r>
    </w:p>
    <w:p w14:paraId="5D7B8B4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Novel inhibitors of poly(ADP-ribose) polymerase/PARP1 and PARP2 identified using a cell-based screen in yeast / E. Perkins, D. Sun, A. Nguyen, S. Tulac, M. Francesco, H. Tavana, H. Nguyen, S. Tugendreich, P. Barthmaier, J. Couto, E. Yeh, S. Thode, K. Jarnagin, A. Jain, D. Morgans, T. Melese // Cancer Research. – 2001. – Vol. 61, N 10. – P. 4175–4183.</w:t>
      </w:r>
    </w:p>
    <w:p w14:paraId="679BED6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No Silver Bullet - Canonical Poly(ADP-Ribose) Polymerases (PARPs) Are No Universal Factors of Abiotic and Biotic Stress Resistance of Arabidopsis thaliana / D. Rissel, P. P. Heym, K. Thor, W. Brandt, L. A. Wessjohann, E. Peiter // Frontiers in Plant Science. – 2017. – Vol. 8. – P. 59. – DOI: 10.3389/fpls.2017.00059</w:t>
      </w:r>
    </w:p>
    <w:p w14:paraId="63EE64F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Arabidopsis PARG1 is the key factor promoting cell survival among the enzymes regulating post-translational poly(ADP-ribosyl)ation / H. Zhang, Z. Gu, Q. Wu, L. Yang, C. Liu, H. Ma, Y. Xia, X. Ge // Scientific Reports. – 2015. – Vol. 5. – P. 15892. – DOI: 10.1038/srep15892</w:t>
      </w:r>
    </w:p>
    <w:p w14:paraId="4BA584C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Panda, S. tej Defines a Role for Poly(ADP-Ribosyl)ation in Establishing Period Length of the Arabidopsis Circadian Oscillator / S. Panda, G. G. Poirier, S. A. Kay // Developmental Cell. – 2002. – Vol. 3, N 1. – P. 51–61. – DOI: 10.1016/S1534-5807(02)00200-9</w:t>
      </w:r>
    </w:p>
    <w:p w14:paraId="27E3564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Analysis of Poly(ADP-Ribose) Polymerases in Arabidopsis Telomere Biology / K. A. Boltz, M. Jasti, J. M. Townley, D. E. Shippen // PLOS ONE. – 2014. – Vol. 9, N 2. – P. e88872. – DOI: 10.1371/journal.pone.0088872</w:t>
      </w:r>
    </w:p>
    <w:p w14:paraId="5770C98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AtMMS21 regulates DNA damage response and homologous recombination repair in Arabidopsis / D. Yuan, J. Lai, P. Xu, S. Zhang, J. Zhang, C. Li, Y. Wang, J. Du, Y. Liu, C. Yang // DNA repair. – 2014. – Vol. 21. – P. 140–147. – DOI: 10.1016/j.dnarep.2014.04.006</w:t>
      </w:r>
    </w:p>
    <w:p w14:paraId="1CF0896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Alleles of newly identified barley gene HvPARP3 exhibit changes in efficiency of DNA repair / M. Stolarek, D. Gruszka, A. Braszewska-Zalewska, M. Maluszynski // DNA repair. – 2015. – Vol. 28. – P. 116–130. – DOI: 10.1016/j.dnarep.2015.02.018</w:t>
      </w:r>
    </w:p>
    <w:p w14:paraId="52D3045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 polymerases regulate cell division and development in Arabidopsis roots / C. Liu, Q. Wu, W. Liu, Z. Gu, W. Wang, P. Xu, H. Ma, X. Ge // Journal of Integrative Plant Biology. – 2017. – Vol. 59, N 7. – P. 459–474. – DOI: 10.1111/jipb.12530</w:t>
      </w:r>
    </w:p>
    <w:p w14:paraId="045A36A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Arena, C. Growth alteration and leaf biochemical responses in Phaseolus vulgaris exposed to different doses of ionising radiation / C. Arena, V. De Micco, A. De Maio // Plant Biology (Stuttgart, Germany). – 2014. – Vol. 16 Suppl 1. – P. 194–202. – DOI: 10.1111/plb.12076</w:t>
      </w:r>
    </w:p>
    <w:p w14:paraId="13EE7AB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Poly(ADP-ribose)polymerases are involved in microhomology mediated back-up non-homologous end joining in Arabidopsis thaliana / Q. Jia, A. Dulk-Ras, H. Shen, P. J. J. Hooykaas, S. Pater // Plant Molecular Biology. – 2013. – Vol. 82, N 4-5. – P. 339–351. – DOI: 10.1007/s11103-013-0065-9</w:t>
      </w:r>
    </w:p>
    <w:p w14:paraId="3EE7334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DNA translocase RAD5A acts independently of the other main DNA repair pathways, and requires both its ATPase and RING domain for activity in Arabidopsis thaliana / T. Klemm, A. Mannuß, D. Kobbe, A. Knoll, O. Trapp, A. Dorn, H. Puchta // The Plant Journal. – 2017. – Vol. 91, N 4. – P. 725–740. – DOI: 10.1111/tpj.13602</w:t>
      </w:r>
    </w:p>
    <w:p w14:paraId="46A6C80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Song, J. Microbial Pathogens Trigger Host DNA Double-Strand Breaks Whose Abundance Is Reduced by Plant Defense Responses / J. Song, A. F. Bent // PLOS Pathogens. – 2014. – Vol. 10, N 4. – P. e1004030. – DOI: 10.1371/journal.ppat.1004030</w:t>
      </w:r>
    </w:p>
    <w:p w14:paraId="0754152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Arabidopsis WEE1 kinase controls cell cycle arrest in response to activation of the DNA integrity checkpoint / K. De Schutter, J. Joubès, T. Cools, A. Verkest, F. Corellou, E. Babiychuk, E. Van Der Schueren, T. Beeckman, S. Kushnir, D. Inzé, L. De Veylder // The Plant Cell. – 2007. – Vol. 19, N 1. – P. 211–225. – DOI: 10.1105/tpc.106.045047</w:t>
      </w:r>
    </w:p>
    <w:p w14:paraId="3FBC288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Genotoxic stress in plants: shedding light on DNA damage, repair and DNA repair helicases / N. Tuteja, P. Ahmad, B. B. Panda, R. Tuteja // Mutation Research. – 2009. – Vol. 681, N 2-3. – P. 134–149. – DOI: 10.1016/j.mrrev.2008.06.004</w:t>
      </w:r>
    </w:p>
    <w:p w14:paraId="306B6EB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Intrachromosomal homologous recombination in whole plants / P. Swoboda, S. Gal, B. Hohn, H. Puchta // The EMBO journal. – 1994. – Vol. 13, N 2. – P. 484–489. – DOI: 10.1002/j.1460-2075.1994.tb06283.x</w:t>
      </w:r>
    </w:p>
    <w:p w14:paraId="2483AB7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Modulation of the poly(ADP-ribosyl)ation reaction via the Arabidopsis ADP-ribose/NADH pyrophosphohydrolase, AtNUDX7, is involved in the response to oxidative stress / K. Ishikawa, T. Ogawa, E. Hirosue, Y. Nakayama, K. Harada, E. Fukusaki, K. Yoshimura, S. Shigeoka // Plant Physiology. – 2009. – Vol. 151, N 2. – P. 741–754. – DOI: 10.1104/pp.109.140442</w:t>
      </w:r>
    </w:p>
    <w:p w14:paraId="6A54C7A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CRISPR/Cas9-Induced Double-Strand Break Repair in Arabidopsis Nonhomologous End-Joining Mutants / H. Shen, G. D. Strunks, B. J. P. M. Klemann, P. J. J. Hooykaas, S. Pater // G3 Genes|Genomes|Genetics. – 2017. – Vol. 7, N 1. – P. 193–202. – DOI: 10.1534/g3.116.035204</w:t>
      </w:r>
    </w:p>
    <w:p w14:paraId="517CDF1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Spampinato, C. P. Protecting DNA from errors and damage: an overview of DNA repair mechanisms in plants compared to mammals / C. P. Spampinato // Cellular and Molecular Life Sciences. – 2017. – Vol. 74, N 9. – P. 1693–1709. – DOI: 10.1007/s00018-016-2436-2</w:t>
      </w:r>
    </w:p>
    <w:p w14:paraId="3E8815E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Mapping Metabolic and Transcript Temporal Switches during Germination in Rice Highlights Specific Transcription Factors and the Role of RNA Instability in the Germination Process / K. A. Howell, R. Narsai, A. Carroll, A. Ivanova, M. Lohse, B. Usadel, A. H. Millar, J. Whelan // Plant Physiology. – 2009. – Vol. 149, N 2. – P. 961–980. – DOI: 10.1104/pp.108.129874</w:t>
      </w:r>
    </w:p>
    <w:p w14:paraId="05BD2BD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Hunt, L. Nicotinamidase activity is important for germination / L. Hunt, M. J. Holdsworth, J. E. Gray // The Plant Journal: For Cell and Molecular Biology. – 2007. – Vol. 51, N 3. – P. 341–351. – DOI: 10.1111/j.1365-313X.2007.03151.x</w:t>
      </w:r>
    </w:p>
    <w:p w14:paraId="45489B2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Hunt, L. The relationship between pyridine nucleotides and seed dormancy / L. Hunt, J. E. Gray // The New Phytologist. – 2009. – Vol. 181, N 1. – P. 62–70. – DOI: 10.1111/j.1469-8137.2008.02641.x</w:t>
      </w:r>
    </w:p>
    <w:p w14:paraId="0D75B15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Staying Alive: Molecular Aspects of Seed Longevity / N. Sano, L. Rajjou, H. M. North, I. Debeaujon, A. Marion-Poll, M. Seo // Plant &amp; Cell Physiology. – 2016. – Vol. 57, N 4. – P. 660–674. – DOI: 10.1093/pcp/pcv186</w:t>
      </w:r>
    </w:p>
    <w:p w14:paraId="77202B1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NAD+ Biosynthesis and Signaling in Plants / B. Gakière, J. Hao, L. Bont, P. Pétriacq, A. Nunes-Nesi, A. R. Fernie // Critical Reviews in Plant Sciences. – 2018. – Vol. 37, N 4. – P. 259–307. – DOI: 10.1080/07352689.2018.1505591</w:t>
      </w:r>
    </w:p>
    <w:p w14:paraId="28221A2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Nicotinate O-Glucosylation Is an Evolutionarily Metabolic Trait Important for Seed Germination under Stress Conditions in Arabidopsis thaliana / W. Li, F. Zhang, Y. Chang, T. Zhao, M. E. Schranz, G. Wang // The Plant Cell. – 2015. – Vol. 27, N 7. – P. 1907–1924. – DOI: 10.1105/tpc.15.00223</w:t>
      </w:r>
    </w:p>
    <w:p w14:paraId="3F52FDE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Adams-Phillips, L. Disruption of poly(ADP-ribosyl)ation mechanisms alters responses of Arabidopsis to biotic stress / L. Adams-Phillips, A. G. Briggs, A. F. Bent // Plant Physiology. – 2010. – Vol. 152, N 1. – P. 267–280. – DOI: 10.1104/pp.109.148049</w:t>
      </w:r>
    </w:p>
    <w:p w14:paraId="6DE33A5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transcriptomics approach uncovers novel roles for poly(ADP-ribosyl)ation in the basal defense response in Arabidopsis thaliana / A. G. Briggs, L. C. Adams-Phillips, B. D. Keppler, S. G. Zebell, K. C. Arend, A. A. Apfelbaum, J. A. Smith, A. F. Bent // PloS One. – 2017. – Vol. 12, N 12. – P. e0190268. – DOI: 10.1371/journal.pone.0190268</w:t>
      </w:r>
    </w:p>
    <w:p w14:paraId="4141267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Babiychuk, E. N-terminal domains of plant poly(ADP-ribose) polymerases define their association with mitotic chromosomes / E. Babiychuk, M. Van Montagu, S. Kushnir // The Plant Journal: For Cell and Molecular Biology. – 2001. – Vol. 28, N 3. – P. 245–255. – DOI: 10.1046/j.1365-313x.2001.01143.x</w:t>
      </w:r>
    </w:p>
    <w:p w14:paraId="7B6E8D5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Arabidopsis coactivator ALY-like proteins, DIP1 and DIP2, interact physically with the DNA-binding domain of the Zn-finger poly(ADP-ribose) polymerase / S. S, I. D, V. M. M, K. S // Journal of experimental botany. – 2001. – Vol. 52, N 359. – P. </w:t>
      </w:r>
      <w:r w:rsidRPr="00972E13">
        <w:rPr>
          <w:rFonts w:ascii="Segoe UI" w:hAnsi="Segoe UI" w:cs="Segoe UI"/>
          <w:color w:val="212121"/>
          <w:shd w:val="clear" w:color="auto" w:fill="FFFFFF"/>
          <w:lang w:val="en-US"/>
        </w:rPr>
        <w:t>1375-80</w:t>
      </w:r>
      <w:r w:rsidRPr="002C6989">
        <w:rPr>
          <w:rFonts w:ascii="Times New Roman" w:eastAsia="Times New Roman" w:hAnsi="Times New Roman"/>
          <w:color w:val="000000"/>
          <w:lang w:val="en-US" w:eastAsia="ru-RU"/>
        </w:rPr>
        <w:t>.</w:t>
      </w:r>
    </w:p>
    <w:p w14:paraId="5B31D73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An alternative telomerase RNA in Arabidopsis modulates enzyme activity in response to DNA damage / C. Cifuentes-Rojas, A. D. L. Nelson, K. A. Boltz, K. Kannan, X. She, D. E. Shippen // Genes &amp; Development. – 2012. – Vol. 26, N 22. – P. 2512–2523. – DOI: 10.1101/gad.202960.112</w:t>
      </w:r>
    </w:p>
    <w:p w14:paraId="221B30A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involvement of poly(ADP-ribose) polymerase in the oxidative stress responses in plants / Y. Amor, E. Babiychuk, D. Inzé, A. Levine // FEBS letters. – 1998. – Vol. 440, N 1-2. – P. 1–7. – DOI: 10.1016/s0014-5793(98)01408-2</w:t>
      </w:r>
    </w:p>
    <w:p w14:paraId="08273DC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Involvement of poly(ADP-ribose) polymerase and activation of caspase-3-like protease in heat shock-induced apoptosis in tobacco suspension cells / R. Tian, G. Y. Zhang, C. H. Yan, Y. R. Dai // FEBS letters. – 2000. – Vol. 474, N 1. – P. 11–15. – DOI: 10.1016/s0014-5793(00)01561-1</w:t>
      </w:r>
    </w:p>
    <w:p w14:paraId="647AE35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Plant PARPs, PARGs and PARP-like Proteins / J. P. Vainonen, A. Shapiguzov, A. Vaattovaara, J. Kangasjarvi // Current Protein and Peptide Science. – 2016. – Vol. 17, N 7. – P. 713–723. – DOI: 10.2174/1389203717666160419144721</w:t>
      </w:r>
    </w:p>
    <w:p w14:paraId="596FB8A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PHILLIPS, R. Characteristics of the Inhibition of Induced Tracheary Element Differentiation by 3-Aminobenzamide and Related Compounds / R. PHILLIPS, S. W. HAWKINS // Journal of Experimental Botany. – 1985. – Vol. 36, N 1. – P. 119–128. – DOI: 10.1093/jxb/36.1.119</w:t>
      </w:r>
    </w:p>
    <w:p w14:paraId="2E0C904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Pyridine Nucleotide Cycling and Control of Intracellular Redox State in Relation to Poly (ADP-Ribose) Polymerase Activity and Nuclear Localization of Glutathione during Exponential Growth of Arabidopsis Cells in Culture / T. K. Pellny, V. Locato, P. D. Vivancos, J. Markovic, L. De Gara, F. V. Pallardó, C. H. Foyer // Molecular Plant. – 2009. – Vol. 2, N 3. – P. 442–456. – DOI: 10.1093/mp/ssp008</w:t>
      </w:r>
    </w:p>
    <w:p w14:paraId="3308B07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Chemical PARP Inhibition Enhances Growth of Arabidopsis and Reduces Anthocyanin Accumulation and the Activation of Stress Protective Mechanisms / P. Schulz, J. Neukermans, K. V. D. Kelen, P. Mühlenbock, F. V. Breusegem, G. Noctor, M. Teige, M. Metzlaff, M. A. Hannah // PLOS ONE. – 2012. – Vol. 7, N 5. – P. e37287. – DOI: 10.1371/journal.pone.0037287</w:t>
      </w:r>
    </w:p>
    <w:p w14:paraId="6F65AA0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Poly(ADP-Ribose)Polymerase Activity Controls Plant Growth by Promoting Leaf Cell Number / P. Schulz, K. Jansseune, T. Degenkolbe, M. Méret, H. Claeys, A. Skirycz, M. Teige, L. Willmitzer, M. A. Hannah // PLOS ONE. – 2014. – Vol. 9, N 2. – P. e90322. – DOI: 10.1371/journal.pone.0090322</w:t>
      </w:r>
    </w:p>
    <w:p w14:paraId="2A39AE1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Discovery of ADP-ribosylation and other plant defense pathway elements through expression profiling of four different Arabidopsis-Pseudomonas R-avr interactions / L. Adams-Phillips, J. Wan, X. Tan, F. M. Dunning, B. C. Meyers, R. W. Michelmore, A. F. Bent // Molecular plant-microbe interactions: MPMI. – 2008. – Vol. 21, N 5. – P. 646–657. – DOI: 10.1094/MPMI-21-5-0646</w:t>
      </w:r>
    </w:p>
    <w:p w14:paraId="01D9258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AtGenExpress global stress expression data set: protocols, evaluation and model data analysis of UV-B light, drought and cold stress responses / J. Kilian, D. Whitehead, J. Horak, D. Wanke, S. Weinl, O. Batistic, C. D’Angelo, E. Bornberg-Bauer, J. Kudla, K. Harter // The Plant Journal. – 2007. – Vol. 50, N 2. – P. 347–363. – DOI: 10.1111/j.1365-313X.2007.03052.x</w:t>
      </w:r>
    </w:p>
    <w:p w14:paraId="0281EFE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Transgenic Arabidopsis plants expressing the type 1 inositol 5-phosphatase exhibit increased drought tolerance and altered abscisic acid signaling / I. Y. Perera, C. Hung, C. D. Moore, J. Stevenson-Paulik, W. F. Boss // The Plant Cell. – 2008. – Vol. 20, N 10. – P. 2876–2893. – DOI: 10.1105/tpc.108.061374</w:t>
      </w:r>
    </w:p>
    <w:p w14:paraId="4DDD69C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F-Box Protein DOR Functions As a Novel Inhibitory Factor for Abscisic Acid-Induced Stomatal Closure under Drought Stress in Arabidopsis / Y. Zhang, W. Xu, Z. Li, X. W. Deng, W. Wu, Y. Xue // Plant Physiology. – 2008. – Vol. 148, N 4. – P. 2121–2133. – DOI: 10.1104/pp.108.126912</w:t>
      </w:r>
    </w:p>
    <w:p w14:paraId="422FE79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Chan, Z. Global gene expression analysis of transgenic, mannitol-producing, and salt-tolerant Arabidopsis thaliana indicates widespread changes in abiotic and biotic stress-related genes / Z. Chan, R. Grumet, W. Loescher // Journal of Experimental Botany. – 2011. – Vol. 62, N 14. – P. 4787–4803. – DOI: 10.1093/jxb/err130</w:t>
      </w:r>
    </w:p>
    <w:p w14:paraId="42D5023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Bhaskara, G. B. Unique Drought Resistance Functions of the Highly ABA-Induced Clade A Protein Phosphatase 2Cs / G. B. Bhaskara, T. T. Nguyen, P. E. Verslues // Plant Physiology. – 2012. – Vol. 160, N 1. – P. 379–395. – DOI: 10.1104/pp.112.202408</w:t>
      </w:r>
    </w:p>
    <w:p w14:paraId="00C3012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IAA-Ala Resistant3, an Evolutionarily Conserved Target of miR167, Mediates Arabidopsis Root Architecture Changes during High Osmotic Stress / N. Kinoshita, H. Wang, H. Kasahara, J. Liu, C. MacPherson, Y. Machida, Y. Kamiya, M. A. Hannah, N. Chua // The Plant Cell. – 2012. – Vol. 24, N 9. – P. 3590–3602. – DOI: 10.1105/tpc.112.097006</w:t>
      </w:r>
    </w:p>
    <w:p w14:paraId="5410E53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Two closely related subclass II SnRK2 protein kinases cooperatively regulate drought-inducible gene expression / M. Mizoguchi, T. Umezawa, K. Nakashima, S. Kidokoro, H. Takasaki, Y. Fujita, K. Yamaguchi-Shinozaki, K. Shinozaki // Plant &amp; Cell Physiology. – 2010. – Vol. 51, N 5. – P. 842–847. – DOI: 10.1093/pcp/pcq041</w:t>
      </w:r>
    </w:p>
    <w:p w14:paraId="2736BFA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Silencing of poly(ADP-ribose) polymerase in plants alters abiotic stress signal transduction / S. Vanderauwera, M. De Block, N. Van de Steene, B. Cotte, M. Metzlaff, F. Van Breusegem // Proceedings of the National Academy of Sciences of the United States of America. – 2007. – Vol. 104, N 38. – P. 15150–15155. – DOI: 10.1073/pnas.0706668104</w:t>
      </w:r>
    </w:p>
    <w:p w14:paraId="7A63705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Sánchez, J. ABA activates ADPR cyclase and cADPR induces a subset of ABA-responsive genes in Arabidopsis / J. Sánchez, P. Duque, N. Chua // The Plant Journal. – 2004. – Vol. 38, N 3. – P. 381–395. – DOI: 10.1111/j.1365-313X.2004.02055.x</w:t>
      </w:r>
    </w:p>
    <w:p w14:paraId="53D8969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The Arabidopsis circadian clock incorporates a cADPR-based feedback loop / D. An, G. Mj, H. Ct, H. Ke, D. N, L. J, A. Jm, R. Fc, J. Mk, G. J, S. D, W. Aa // Science (New York, N.Y.). – 2007. – Vol. 318, N 5857. – P. </w:t>
      </w:r>
      <w:r w:rsidRPr="003D4A20">
        <w:rPr>
          <w:rFonts w:ascii="Segoe UI" w:hAnsi="Segoe UI" w:cs="Segoe UI"/>
          <w:color w:val="212121"/>
          <w:shd w:val="clear" w:color="auto" w:fill="FFFFFF"/>
          <w:lang w:val="en-US"/>
        </w:rPr>
        <w:t>1789-92</w:t>
      </w:r>
      <w:r w:rsidRPr="002C6989">
        <w:rPr>
          <w:rFonts w:ascii="Times New Roman" w:eastAsia="Times New Roman" w:hAnsi="Times New Roman"/>
          <w:color w:val="000000"/>
          <w:lang w:val="en-US" w:eastAsia="ru-RU"/>
        </w:rPr>
        <w:t>. – DOI: 10.1126/science.1146757</w:t>
      </w:r>
    </w:p>
    <w:p w14:paraId="3714E29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NO-Mediated [Ca2+]cyt Increases Depend on ADP-Ribosyl Cyclase Activity in Arabidopsis / S. M. Abdul-Awal, C. T. Hotta, M. P. Davey, A. N. Dodd, A. G. Smith, A. A. R. Webb // Plant Physiology. – 2016. – Vol. 171, N 1. – P. 623–631. – DOI: 10.1104/pp.15.01965</w:t>
      </w:r>
    </w:p>
    <w:p w14:paraId="3744766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Abscisic acid-induced stomatal closure mediated by cyclic ADP-ribose / C. P. Leckie, M. R. McAinsh, G. J. Allen, D. Sanders, A. M. Hetherington // Proceedings of the National Academy of Sciences of the United States of America. – 1998. – Vol. 95, N 26. – P. 15837–15842. – DOI: 10.1073/pnas.95.26.15837</w:t>
      </w:r>
    </w:p>
    <w:p w14:paraId="587ED07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Abscisic acid signaling through cyclic ADP-ribose in plants / Y. Wu, J. Kuzma, E. Maréchal, R. Graeff, H. C. Lee, R. Foster, N. H. Chua // Science (New York, N.Y.). – 1997. – Vol. 278, N 5346. – P. 2126–2130. – DOI: 10.1126/science.278.5346.2126</w:t>
      </w:r>
    </w:p>
    <w:p w14:paraId="1411366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Allen, G. J. Release of Ca2+ from individual plant vacuoles by both InsP3 and cyclic ADP-ribose / G. J. Allen, S. R. Muir, D. Sanders // Science (New York, N.Y.). – 1995. – Vol. 268, N 5211. – P. 735–737. – DOI: 10.1126/science.7732384</w:t>
      </w:r>
    </w:p>
    <w:p w14:paraId="73611C4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Peiter, E. The plant vacuole: emitter and receiver of calcium signals / E. Peiter // Cell Calcium. – 2011. – Vol. 50, N 2. – P. 120–128. – DOI: 10.1016/j.ceca.2011.02.002</w:t>
      </w:r>
    </w:p>
    <w:p w14:paraId="6F87C51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Bouché, N. Arabidopsis gene knockout: phenotypes wanted / N. Bouché, D. Bouchez // Current Opinion in Plant Biology. – 2001. – Vol. 4, N 2. – P. 111–117. – DOI: 10.1016/S1369-5266(00)00145-X</w:t>
      </w:r>
    </w:p>
    <w:p w14:paraId="46A0B46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Lloyd, J. A comprehensive dataset of genes with a loss-of-function mutant phenotype in Arabidopsis / J. Lloyd, D. Meinke // Plant Physiology. – 2012. – Vol. 158, N 3. – P. 1115–1129. – DOI: 10.1104/pp.111.192393</w:t>
      </w:r>
    </w:p>
    <w:p w14:paraId="1E36DF4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Mt, H. Conditional root expansion mutants of Arabidopsis / H. Mt, M. A, B. Pn // Development (Cambridge, England). – 1995. – Vol. 121, N 4. – P. </w:t>
      </w:r>
      <w:r w:rsidRPr="003D4A20">
        <w:rPr>
          <w:rFonts w:ascii="Segoe UI" w:hAnsi="Segoe UI" w:cs="Segoe UI"/>
          <w:color w:val="212121"/>
          <w:shd w:val="clear" w:color="auto" w:fill="FFFFFF"/>
          <w:lang w:val="en-US"/>
        </w:rPr>
        <w:t>1237-52</w:t>
      </w:r>
      <w:r w:rsidRPr="002C6989">
        <w:rPr>
          <w:rFonts w:ascii="Times New Roman" w:eastAsia="Times New Roman" w:hAnsi="Times New Roman"/>
          <w:color w:val="000000"/>
          <w:lang w:val="en-US" w:eastAsia="ru-RU"/>
        </w:rPr>
        <w:t>. – DOI: 10.1242/dev.121.4.1237</w:t>
      </w:r>
    </w:p>
    <w:p w14:paraId="3A1FFE7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Kurata, T. petit1, a conditional growth mutant of Arabidopsis defective in sucrose-dependent elongation growth / T. Kurata, K. T. Yamamoto // Plant Physiology. – 1998. – Vol. 118, N 3. – P. 793–801. – DOI: 10.1104/pp.118.3.793</w:t>
      </w:r>
    </w:p>
    <w:p w14:paraId="7872992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Conditional circadian dysfunction of the Arabidopsis early-flowering 3 mutant / K. A. Hicks, A. J. Millar, I. A. Carré, D. E. Somers, M. Straume, D. R. Meeks-Wagner, S. A. Kay // Science (New York, N.Y.). – 1996. – Vol. 274, N 5288. – P. 790–792. – DOI: 10.1126/science.274.5288.790</w:t>
      </w:r>
    </w:p>
    <w:p w14:paraId="5F6AA9F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VASCULAR ASSOCIATED DEATH1, a Novel GRAM Domain–Containing Protein, Is a Regulator of Cell Death and Defense Responses in Vascular Tissues / S. Lorrain, B. Lin, M. C. Auriac, T. Kroj, P. Saindrenan, M. Nicole, C. Balagueé, D. Roby // The Plant Cell. – 2004. – Vol. 16, N 8. – P. 2217–2232. – DOI: 10.1105/tpc.104.022038</w:t>
      </w:r>
    </w:p>
    <w:p w14:paraId="1A081E9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Millar, A. A. The Arabidopsis GAMYB-like genes, MYB33 and MYB65, are microRNA-regulated genes that redundantly facilitate anther development / A. A. Millar, F. Gubler // The Plant Cell. – 2005. – Vol. 17, N 3. – P. 705–721. – DOI: 10.1105/tpc.104.027920</w:t>
      </w:r>
    </w:p>
    <w:p w14:paraId="4489310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Geissler, T. A Whole-Plant Microtiter Plate Assay for Drought Stress Tolerance-Inducing Effects / T. Geissler, L. A. Wessjohann // Journal of Plant Growth Regulation. – 2011. – Vol. 30, N 4. – P. 504–511. – DOI: 10.1007/s00344-011-9212-1</w:t>
      </w:r>
    </w:p>
    <w:p w14:paraId="5E2A0A7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N terminus of bacterial elongation factor Tu elicits innate immunity in Arabidopsis plants / G. Kunze, C. Zipfel, S. Robatzek, K. Niehaus, T. Boller, G. Felix // The Plant Cell. – 2004. – Vol. 16, N 12. – P. 3496–3507. – DOI: 10.1105/tpc.104.026765</w:t>
      </w:r>
    </w:p>
    <w:p w14:paraId="0DE16BC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Plants have a sensitive perception system for the most conserved domain of bacterial flagellin / G. Felix, J. D. Duran, S. Volko, T. Boller // The Plant Journal: For Cell and Molecular Biology. – 1999. – Vol. 18, N 3. – P. 265–276. – DOI: 10.1046/j.1365-313x.1999.00265.x</w:t>
      </w:r>
    </w:p>
    <w:p w14:paraId="1BF0694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Thor, K. Cytosolic calcium signals elicited by the pathogen-associated molecular pattern flg22 in stomatal guard cells are of an oscillatory nature / K. Thor, E. Peiter // The New Phytologist. – 2014. – Vol. 204, N 4. – P. 873–881. – DOI: 10.1111/nph.13064</w:t>
      </w:r>
    </w:p>
    <w:p w14:paraId="7103237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3-Aminobenzamide Blocks MAMP-Induced Callose Deposition Independently of Its Poly(ADPribosyl)ation Inhibiting Activity / B. D. Keppler, J. Song, J. Nyman, C. A. Voigt, A. F. Bent // Frontiers in Plant Science. – 2018. – Vol. 9. – P. </w:t>
      </w:r>
      <w:r w:rsidRPr="003D4A20">
        <w:rPr>
          <w:rFonts w:ascii="Segoe UI" w:hAnsi="Segoe UI" w:cs="Segoe UI"/>
          <w:color w:val="212121"/>
          <w:shd w:val="clear" w:color="auto" w:fill="FFFFFF"/>
          <w:lang w:val="en-US"/>
        </w:rPr>
        <w:t>1907</w:t>
      </w:r>
      <w:r w:rsidRPr="002C6989">
        <w:rPr>
          <w:rFonts w:ascii="Times New Roman" w:eastAsia="Times New Roman" w:hAnsi="Times New Roman"/>
          <w:color w:val="000000"/>
          <w:lang w:val="en-US" w:eastAsia="ru-RU"/>
        </w:rPr>
        <w:t>.</w:t>
      </w:r>
    </w:p>
    <w:p w14:paraId="2074EDF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UV-B- and oxidative stress-induced increase in nicotinamide and trigonelline and inhibition of defensive metabolism induction by poly(ADP-ribose)polymerase inhibitor in plant tissue / T. Berglund, G. Kalbin, Å. Strid, J. Rydström, A. B. Ohlsson // FEBS Letters. – 1996. – Vol. 380, N 1-2. – P. 188–193. – DOI: 10.1016/0014-5793(96)00027-0</w:t>
      </w:r>
    </w:p>
    <w:p w14:paraId="40DAE7B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PARylation of the forkhead-associated domain protein DAWDLE regulates plant immunity / B. Feng, S. Ma, S. Chen, N. Zhu, S. Zhang, B. Yu, Y. Yu, B. Le, X. Chen, S. P. Dinesh-Kumar, L. Shan, P. He // EMBO reports. – 2016. – Vol. 17, N 12. – P. 1799–1813. – DOI: 10.15252/embr.201642486</w:t>
      </w:r>
    </w:p>
    <w:p w14:paraId="28F7308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Arabidopsis RADICAL-INDUCED CELL DEATH1 belongs to the WWE protein-protein interaction domain protein family and modulates abscisic acid, ethylene, and methyl jasmonate responses / R. Ahlfors, S. Lång, K. Overmyer, P. Jaspers, M. Brosché, A. Tauriainen, H. Kollist, H. Tuominen, E. Belles-Boix, M. Piippo, D. Inzé, E. T. Palva, J. Kangasjärvi // The Plant Cell. – 2004. – Vol. 16, N 7. – P. 1925–1937. – DOI: 10.1105/tpc.021832</w:t>
      </w:r>
    </w:p>
    <w:p w14:paraId="2E0E03A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RST and PARP-like domain containing SRO protein family: analysis of protein structure, function and conservation in land plants / P. Jaspers, K. Overmyer, M. Wrzaczek, J. P. Vainonen, T. Blomster, J. Salojärvi, R. A. Reddy, J. Kangasjärvi // BMC Genomics. – 2010. – Vol. 11. – P. 170. – DOI: 10.1186/1471-2164-11-170</w:t>
      </w:r>
    </w:p>
    <w:p w14:paraId="6AAF48F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Special member of the rice SRO family, OsSRO1c, mediates responses to multiple abiotic stresses through interaction with various transcription factors / J. You, W. Zong, H. Du, H. Hu, L. Xiong // Plant molecular biology. – 2014. – </w:t>
      </w:r>
      <w:r>
        <w:rPr>
          <w:rFonts w:ascii="Times New Roman" w:eastAsia="Times New Roman" w:hAnsi="Times New Roman"/>
          <w:color w:val="000000"/>
          <w:lang w:val="en-US" w:eastAsia="ru-RU"/>
        </w:rPr>
        <w:t xml:space="preserve">Vol. 84, N </w:t>
      </w:r>
      <w:r w:rsidRPr="003D4A20">
        <w:rPr>
          <w:rFonts w:ascii="Segoe UI" w:hAnsi="Segoe UI" w:cs="Segoe UI"/>
          <w:color w:val="212121"/>
          <w:shd w:val="clear" w:color="auto" w:fill="FFFFFF"/>
          <w:lang w:val="en-US"/>
        </w:rPr>
        <w:t>6</w:t>
      </w:r>
      <w:r w:rsidRPr="002C6989">
        <w:rPr>
          <w:rFonts w:ascii="Times New Roman" w:eastAsia="Times New Roman" w:hAnsi="Times New Roman"/>
          <w:color w:val="000000"/>
          <w:lang w:val="en-US" w:eastAsia="ru-RU"/>
        </w:rPr>
        <w:t xml:space="preserve"> – P. </w:t>
      </w:r>
      <w:r w:rsidRPr="003D4A20">
        <w:rPr>
          <w:rFonts w:ascii="Segoe UI" w:hAnsi="Segoe UI" w:cs="Segoe UI"/>
          <w:color w:val="212121"/>
          <w:shd w:val="clear" w:color="auto" w:fill="FFFFFF"/>
          <w:lang w:val="en-US"/>
        </w:rPr>
        <w:t>693-705</w:t>
      </w:r>
      <w:r w:rsidRPr="002C6989">
        <w:rPr>
          <w:rFonts w:ascii="Times New Roman" w:eastAsia="Times New Roman" w:hAnsi="Times New Roman"/>
          <w:color w:val="000000"/>
          <w:lang w:val="en-US" w:eastAsia="ru-RU"/>
        </w:rPr>
        <w:t>.</w:t>
      </w:r>
    </w:p>
    <w:p w14:paraId="618E9B5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CEO1, a new protein from Arabidopsis thaliana, protects yeast against oxidative damage 1 / E. Belles-Boix, E. Babiychuk, M. Van Montagu, D. Inzé, S. Kushnir // FEBS Letters. – 2000. – Vol. 482, N 1-2. – P. 19–24. – DOI: 10.1016/S0014-5793(00)02016-0</w:t>
      </w:r>
    </w:p>
    <w:p w14:paraId="36E97B1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Unequally redundant RCD1 and SRO1 mediate stress and developmental responses and interact with transcription factors / P. Jaspers, T. Blomster, M. Brosche, J. Salojarvi, R. Ahlfors, J. P. Vainonen, R. A. Reddy, R. Immink, G. Angenent, F. Turck, K. Overmyer, J. Kangasjarvi // Plant Journal. – 2009. – Vol. 60, N 2. – P. 268–279. – DOI: 10.1111/j.1365-313X.2009.03951.x</w:t>
      </w:r>
    </w:p>
    <w:p w14:paraId="36242D8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Wheat SIMILAR TO RCD-ONE Gene Enhances Seedling Growth and Abiotic Stress Resistance by Modulating Redox Homeostasis and Maintaining Genomic Integrity[C][W] / S. Liu, S. Liu, M. Wang, T. Wei, C. Meng, M. Wang, G. Xia // The Plant Cell. – 2014. – Vol. 26, N 1. – P. 164–180. – DOI: 10.1105/tpc.113.118687</w:t>
      </w:r>
    </w:p>
    <w:p w14:paraId="24F427E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Ozone-sensitive arabidopsis rcd1 mutant reveals opposite roles for ethylene and jasmonate signaling pathways in regulating superoxide-dependent cell death / K. Overmyer, H. Tuominen, R. Kettunen, C. Betz, C. Langebartels, H. Sandermann, J. Kangasjärvi // The Plant Cell. – 2000. – Vol. 12, N 10. – P. 1849–1862. – DOI: 10.1105/tpc.12.10.1849</w:t>
      </w:r>
    </w:p>
    <w:p w14:paraId="45ACA7A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Methyl Viologen-Resistant Mutant of Arabidopsis, Which Is Allelic to Ozone-Sensitive rcd1, Is Tolerant to Supplemental Ultraviolet-B Irradiation / T. Fujibe, H. Saji, K. Arakawa, N. Yabe, Y. Takeuchi, K. T. Yamamoto // Plant Physiology. – 2004. – Vol. 134, N 1. – P. 275–285. – DOI: 10.1104/pp.103.033480</w:t>
      </w:r>
    </w:p>
    <w:p w14:paraId="0BA8BBD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Teotia, S. The paralogous genes RADICAL-INDUCED CELL DEATH1 and SIMILAR TO RCD ONE1 have partially redundant functions during Arabidopsis development / S. Teotia, R. S. Lamb // Plant Physiology. – 2009. – Vol. 151, N 1. – P. 180–198. – DOI: 10.1104/pp.109.142786</w:t>
      </w:r>
    </w:p>
    <w:p w14:paraId="633AD87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Overexpression of the RADICAL-INDUCED CELL DEATH1 (RCD1) gene of Arabidopsis causes weak rcd1 phenotype with compromised oxidative-stress responses / T. Fujibe, H. Saji, M. K. Watahiki, K. T. Yamamoto // Bioscience, Biotechnology, and Biochemistry. – 2006. – Vol. 70, N 8. – P. 1827–1831. – DOI: 10.1271/bbb.50673</w:t>
      </w:r>
    </w:p>
    <w:p w14:paraId="638FDB6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plasma membrane Na+/H+ antiporter SOS1 interacts with RCD1 and functions in oxidative stress tolerance in Arabidopsis / S. Katiyar-Agarwal, J. Zhu, K. Kim, M. Agarwal, X. Fu, A. Huang, J. Zhu // Proceedings of the National Academy of Sciences of the United States of America. – 2006. – Vol. 103, N 49. – P. 18816–18821. – DOI: 10.1073/pnas.0604711103</w:t>
      </w:r>
    </w:p>
    <w:p w14:paraId="20E197E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Ozone-induced programmed cell death in the Arabidopsis radical-induced cell death1 mutant / K. Overmyer, M. Brosché, R. Pellinen, T. Kuittinen, H. Tuominen, R. Ahlfors, M. Keinänen, M. Saarma, D. Scheel, J. Kangasjärvi // Plant Physiology. – 2005. – Vol. 137, N 3. – P. 1092–1104. – DOI: 10.1104/pp.104.055681</w:t>
      </w:r>
    </w:p>
    <w:p w14:paraId="098E22D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Arabidopsis radical-induced cell death1 is involved in UV-B signaling / L. Jiang, Y. Wang, L. O. Björn, S. Li // Photochemical &amp; Photobiological Sciences: Official Journal of the European Photochemistry Association and the European Society for Photobiology. – 2009. – Vol. 8, N 6. – P. 838–846. – DOI: 10.1039/b901187k</w:t>
      </w:r>
    </w:p>
    <w:p w14:paraId="2CDB270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Arabidopsis downy mildew effector HaRxL106 suppresses plant immunity by binding to RADICAL-INDUCED CELL DEATH1 / L. Wirthmueller, S. Asai, G. Rallapalli, J. Sklenar, G. Fabro, D. S. Kim, R. Lintermann, P. Jaspers, M. Wrzaczek, J. Kangasjärvi, D. MacLean, F. L. H. Menke, M. J. Banfield, J. D. G. Jones // New Phytologist. – 2018. – Vol. 220, N 1. – P. 232–248. – DOI: 10.1111/nph.15277</w:t>
      </w:r>
    </w:p>
    <w:p w14:paraId="6E746B9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Metacaspase-8 Modulates Programmed Cell Death Induced by Ultraviolet Light and H2O2 in Arabidopsis* / R. He, G. E. Drury, V. I. Rotari, A. Gordon, M. Willer, T. Farzaneh, E. J. Woltering, P. Gallois // Journal of Biological Chemistry. – 2008. – Vol. 283, N 2. – P. 774–783. – DOI: 10.1074/jbc.M704185200</w:t>
      </w:r>
    </w:p>
    <w:p w14:paraId="034F6C7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Transcriptomics and Functional Genomics of ROS-Induced Cell Death Regulation by RADICAL-INDUCED CELL DEATH1 / M. Brosché, T. Blomster, J. Salojärvi, F. Cui, N. Sipari, J. Leppälä, A. Lamminmäki, G. Tomai, S. Narayanasamy, R. A. Reddy, M. Keinänen, K. Overmyer, J. Kangasjärvi // PLOS Genetics. – 2014. – Vol. 10, N 2. – P. e1004112. – DOI: 10.1371/journal.pgen.1004112</w:t>
      </w:r>
    </w:p>
    <w:p w14:paraId="19012CD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Disease Resistance Gene-Induced Growth Inhibition Is Enhanced by rcd1 Independent of Defense Activation in Arabidopsis / Y. Zhu, B. Du, J. Qian, B. Zou, J. Hua // Plant Physiology. – 2013. – Vol. 161, N 4. – P. 2005–2013. – DOI: 10.1104/pp.112.213363</w:t>
      </w:r>
    </w:p>
    <w:p w14:paraId="5D22B1A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Pelagio-Flores, R. Serotonin modulates Arabidopsis root growth via changes in reactive oxygen species and jasmonic acid–ethylene signaling / R. Pelagio-Flores, L. F. Ruiz-Herrera, J. López-Bucio // Physiologia Plantarum. – 2016. – Vol. 158, N 1. – P. 92–105. – DOI: 10.1111/ppl.12429</w:t>
      </w:r>
    </w:p>
    <w:p w14:paraId="1706AB0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Irani, S. Exogenous allantoin increases Arabidopsis seedlings tolerance to NaCl stress and regulates expression of oxidative stress response genes / S. Irani, C. D. Todd // Journal of Plant Physiology. – 2018. – Vol. 221. – P. 43–50. – DOI: 10.1016/j.jplph.2017.11.011</w:t>
      </w:r>
    </w:p>
    <w:p w14:paraId="75DB6D4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radical induced cell death protein 1 (RCD1) supports transcriptional activation of genes for chloroplast antioxidant enzymes / H. Hiltscher, R. Rudnik, J. Shaikhali, I. Heiber, M. Mellenthin, I. Meirelles Duarte, G. Schuster, U. Kahmann, M. Baier // Frontiers in Plant Science. – 2014. – Vol. 5. – P. 475. – DOI: 10.3389/fpls.2014.00475</w:t>
      </w:r>
    </w:p>
    <w:p w14:paraId="7DFC18C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Senescence-associated barley NAC (NAM, ATAF1,2, CUC) transcription factor interacts with radical-induced cell death 1 through a disordered regulatory domain / T. Kjaersgaard, M. K. Jensen, M. W. Christiansen, P. Gregersen, B. B. Kragelund, K. Skriver // The Journal of Biological Chemistry. – 2011. – Vol. 286, N 41. – P. 35418–35429. – DOI: 10.1074/jbc.M111.247221</w:t>
      </w:r>
    </w:p>
    <w:p w14:paraId="4B5072C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RCD1-DREB2A interaction in leaf senescence and stress responses in Arabidopsis thaliana / J. P. Vainonen, P. Jaspers, M. Wrzaczek, A. Lamminmäki, R. A. Reddy, L. Vaahtera, M. Brosché, J. Kangasjärvi // The Biochemical Journal. – 2012. – Vol. 442, N 3. – P. 573–581. – DOI: 10.1042/BJ20111739</w:t>
      </w:r>
    </w:p>
    <w:p w14:paraId="684FEAF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Dual function of an Arabidopsis transcription factor DREB2A in water-stress-responsive and heat-stress-responsive gene expression / Y. Sakuma, K. Maruyama, F. Qin, Y. Osakabe, K. Shinozaki, K. Yamaguchi-Shinozaki // Proceedings of the National Academy of Sciences of the United States of America. – 2006. – Vol. 103, N 49. – P. 18822–18827. – DOI: 10.1073/pnas.0605639103</w:t>
      </w:r>
    </w:p>
    <w:p w14:paraId="5CF6328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transcription factor interacting protein RCD1 contains a novel conserved domain / P. Jaspers, M. Brosché, K. Overmyer, J. Kangasjär // Plant Signaling &amp; Behavior. – 2010. – Vol. 5, N 1. – P. 78–80. – DOI: 10.4161/psb.5.1.10293</w:t>
      </w:r>
    </w:p>
    <w:p w14:paraId="6BFCC68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1H, 13C and 15N NMR chemical shift assignments of A. thaliana RCD1 RST / H. Tossavainen, M. Hellman, J. P. Vainonen, J. Kangasjärvi, P. Permi // Biomolecular NMR Assignments. – 2017. – Vol. 11, N 2. – P. 207–210. – DOI: 10.1007/s12104-017-9749-4</w:t>
      </w:r>
    </w:p>
    <w:p w14:paraId="5B59C57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Structures and Short Linear Motif of Disordered Transcription Factor Regions Provide Clues to the Interactome of the Cellular Hub Protein Radical-induced Cell Death1 / C. O'Shea, L. Staby, S. K. Bendsen, F. G. Tidemand, A. Redsted, M. Willemoës, B. B. Kragelund, K. Skriver // The Journal of Biological Chemistry. – 2017. – Vol. 292, N 2. – P. 512–527. – DOI: 10.1074/jbc.M116.753426</w:t>
      </w:r>
    </w:p>
    <w:p w14:paraId="1DF979E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Kragelund, B. B. Order by disorder in plant signaling / B. B. Kragelund, M. K. Jensen, K. Skriver // Trends in Plant Science. – 2012. – Vol. 17, N 11. – P. 625–632. – DOI: 10.1016/j.tplants.2012.06.010</w:t>
      </w:r>
    </w:p>
    <w:p w14:paraId="06C6E06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Teotia, S. RCD1 and SRO1 are necessary to maintain meristematic fate in Arabidopsis thaliana / S. Teotia, R. S. Lamb // Journal of Experimental Botany. – 2011. – Vol. 62, N 3. – P. 1271–1284. – DOI: 10.1093/jxb/erq363</w:t>
      </w:r>
    </w:p>
    <w:p w14:paraId="169A789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Babajani, G. Sl-SROl1 increases salt tolerance and is a member of the radical-induced cell death 1—similar to RCD1 gene family of tomato / G. Babajani, J. Effendy, A. L. Plant // Plant Science. – 2009. – Vol. 176, N 2. – P. 214–222. – DOI: 10.1016/j.plantsci.2008.10.012</w:t>
      </w:r>
    </w:p>
    <w:p w14:paraId="3F11687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The SNAC1-targeted gene OsSRO1c modulates stomatal closure and oxidative stress tolerance by regulating hydrogen peroxide in rice / J. You, W. Zong, X. Li, J. Ning, H. Hu, X. Li, J. Xiao, L. Xiong // Journal of Experimental Botany. – 2013. – Vol. 64, N 2. – P. 569–583. – DOI: 10.1093/jxb/ers349</w:t>
      </w:r>
    </w:p>
    <w:p w14:paraId="19E2544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OsSRO1a Interacts with RNA Binding Domain-Containing Protein (OsRBD1) and Functions in Abiotic Stress Tolerance in Yeast / S. Sharma, C. Kaur, S. L. Singla-Pareek, S. K. Sopory // Frontiers in Plant Science. – 2016. – Vol. 7. – P. 62. – DOI: 10.3389/fpls.2016.00062</w:t>
      </w:r>
    </w:p>
    <w:p w14:paraId="1AC7417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Maize similar to RCD1 gene induced by salt enhances Arabidopsis thaliana abiotic stress resistance / X. Li, Y. Xu, F. Liu, M. Zhao, Y. Sun, Q. Ma // Biochemical and Biophysical Research Communications. – 2018. – Vol. 503, N 4. – P. 2625–2632. – DOI: 10.1016/j.bbrc.2018.08.014</w:t>
      </w:r>
    </w:p>
    <w:p w14:paraId="6926613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Jiang, H. Genome-wide identification, systematic analysis and characterization of SRO family genes in maize (Zea mays L.) / H. Jiang, Y. Xiao, S. Zhu // Acta Physiologiae Plantarum. – 2018. – Vol. 40, N 10. – P. 176. – DOI: 10.1007/s11738-018-2738-0</w:t>
      </w:r>
    </w:p>
    <w:p w14:paraId="006D758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 Canonical DREB2-Type Transcription Factor in Lily Is Post-translationally Regulated and Mediates Heat Stress Response / Z. Wu, J. Liang, S. Zhang, B. Zhang, Q. Zhao, G. Li, X. Yang, C. Wang, J. He, M. Yi // Frontiers in Plant Science. – 2018. – Vol. 9. – P. 243. – DOI: 10.3389/fpls.2018.00243</w:t>
      </w:r>
    </w:p>
    <w:p w14:paraId="02423BA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Labeling efficiency of oligonucleotides by T4 polynucleotide kinase depends on 5'-nucleotide / V. Houten, F. Denkers, M. Dijk, M. Brekel, R. Brakenhoff // Analytical Biochemistry. – 1998. – Vol. 265, N 2. – P. 386–389. – DOI: 10.1006/abio.1998.2900</w:t>
      </w:r>
    </w:p>
    <w:p w14:paraId="41F7EC7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Green, M. R. Labeling the 3' Termini of Oligonucleotides Using Terminal Deoxynucleotidyl Transferase / M. R. Green, J. Sambrook // Cold Spring Harbor Protocols. – 2021. – Vol. 2021, N 8. – DOI: 10.1101/pdb.prot100685</w:t>
      </w:r>
    </w:p>
    <w:p w14:paraId="5F381C7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Murashige, T. A Revised Medium for Rapid Growth and Bio Assays with Tobacco Tissue Cultures / T. Murashige, F. Skoog // Physiologia Plantarum. – 1962. – Vol. 15, N 3. – P. 473–497. – DOI: 10.1111/j.1399-3054.1962.tb08052.x</w:t>
      </w:r>
    </w:p>
    <w:p w14:paraId="06A8AA12"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Isolation of High-Quality DNA from a Desert Plant Reaumuria soongorica / X. Wang, H. Xiao, X. Zhao, C. Li, J. Ren, F. Wang, L. Pang. – </w:t>
      </w:r>
      <w:r w:rsidRPr="00425F2A">
        <w:rPr>
          <w:rFonts w:ascii="Times New Roman" w:eastAsia="Times New Roman" w:hAnsi="Times New Roman"/>
          <w:lang w:val="en-US" w:eastAsia="ru-RU"/>
        </w:rPr>
        <w:t>London</w:t>
      </w:r>
      <w:r w:rsidRPr="002C6989">
        <w:rPr>
          <w:rFonts w:ascii="Times New Roman" w:eastAsia="Times New Roman" w:hAnsi="Times New Roman"/>
          <w:color w:val="000000"/>
          <w:lang w:val="en-US" w:eastAsia="ru-RU"/>
        </w:rPr>
        <w:t> : IntechOpen, 2012. – </w:t>
      </w:r>
      <w:r w:rsidRPr="003D4A20">
        <w:rPr>
          <w:rFonts w:ascii="Arial" w:hAnsi="Arial" w:cs="Arial"/>
          <w:color w:val="000000"/>
          <w:shd w:val="clear" w:color="auto" w:fill="FFFFFF"/>
          <w:lang w:val="en-US"/>
        </w:rPr>
        <w:t>10.5772/38367</w:t>
      </w:r>
      <w:r>
        <w:rPr>
          <w:rFonts w:ascii="Arial" w:hAnsi="Arial" w:cs="Arial"/>
          <w:color w:val="000000"/>
          <w:shd w:val="clear" w:color="auto" w:fill="FFFFFF"/>
          <w:lang w:val="en-US"/>
        </w:rPr>
        <w:t xml:space="preserve"> </w:t>
      </w:r>
      <w:r w:rsidRPr="002C6989">
        <w:rPr>
          <w:rFonts w:ascii="Times New Roman" w:eastAsia="Times New Roman" w:hAnsi="Times New Roman"/>
          <w:color w:val="000000"/>
          <w:lang w:val="en-US" w:eastAsia="ru-RU"/>
        </w:rPr>
        <w:t>p.</w:t>
      </w:r>
    </w:p>
    <w:p w14:paraId="0F9127C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Chomczynski, P. Single-step method of RNA isolation by acid guanidinium thiocyanate-phenol-chloroform extraction / P. Chomczynski, N. Sacchi // Analytical Biochemistry. – 1987. – Vol. 162, N 1. – P. 156–159. – DOI: 10.1006/abio.1987.9999</w:t>
      </w:r>
    </w:p>
    <w:p w14:paraId="4EB0538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Zhang, J. Differential priming of RNA templates during cDNA synthesis markedly affects both accuracy and reproducibility of quantitative competitive reverse-transcriptase PCR / J. Zhang, C. D. Byrne // The Biochemical Journal. – 1999. – Vol. 337 ( Pt 2). – P. 231–241.</w:t>
      </w:r>
    </w:p>
    <w:p w14:paraId="5D80AE5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Green, M. R. The Basic Polymerase Chain Reaction (PCR) / M. R. Green, J. Sambrook // Cold Spring Harbor Protocols. – 2018. – Vol. 2018, N 5. – DOI: 10.1101/pdb.prot095117</w:t>
      </w:r>
    </w:p>
    <w:p w14:paraId="311BD803" w14:textId="77777777" w:rsidR="00A11128" w:rsidRDefault="009B328F"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Kunkel, T. A. Rapid and efficient site-specific mutagenesis without phenotypic selection / T. A. Kunkel // Proceedings of the National Academy of Sciences of the United States of America. – 1985. – Vol. 82, N 2. – P. 488–492. – DOI: 10.1073/pnas.82.2.488</w:t>
      </w:r>
      <w:bookmarkStart w:id="84" w:name="_Hlk114433032"/>
    </w:p>
    <w:p w14:paraId="0B8D0FDC" w14:textId="701D5A3D" w:rsidR="009B328F" w:rsidRPr="00A11128" w:rsidRDefault="00A11128"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A11128">
        <w:rPr>
          <w:rFonts w:ascii="Times New Roman" w:hAnsi="Times New Roman"/>
          <w:lang w:val="en-US" w:eastAsia="ru-RU"/>
        </w:rPr>
        <w:t>Chapter 14 - Techniques for Nucleic Acid Engineering: The Foundation of Gene Manipulation / Ş.Tüzmen, Y. Baskın, A. Feyda Nursal, S. Eraslan, Y. Esemen, G. Çalıbaşı, A. Banu Demir, D. Abbasoğlu, C. Hızel // Omics Technologies and Bio-Engineering / ed. D. Barh, V. Azevedo. – Cambridge, Massachusetts Academic Press, 2018. – P. 247–315.</w:t>
      </w:r>
    </w:p>
    <w:bookmarkEnd w:id="84"/>
    <w:p w14:paraId="0AC6A20E" w14:textId="77777777" w:rsidR="00A11128" w:rsidRDefault="009B328F"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Inoue, H. High efficiency transformation of Escherichia coli with plasmids / H. Inoue, H. Nojima, H. Okayama // Gene. – 1990. – Vol. 96, N 1. – P. 23–28. – DOI: 10.1016/0378-1119(90)90336-p</w:t>
      </w:r>
    </w:p>
    <w:p w14:paraId="2A58F02D" w14:textId="51C4ED0B" w:rsidR="009B328F" w:rsidRPr="00A11128" w:rsidRDefault="00A11128"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A11128">
        <w:rPr>
          <w:rFonts w:ascii="Times New Roman" w:hAnsi="Times New Roman"/>
          <w:lang w:val="en-US" w:eastAsia="ru-RU"/>
        </w:rPr>
        <w:t>Sasagawa, N. Plasmid Purification / ed. I. M. Gull. – Plasmid. – London:IntechOpen, 2018. – 10.5772/intechopen.76226</w:t>
      </w:r>
    </w:p>
    <w:p w14:paraId="3102AAF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Bradford, M. M. A rapid and sensitive method for the quantitation of microgram quantities of protein utilizing the principle of protein-dye binding / M. M. Bradford // Analytical Biochemistry. – 1976. – Vol. 72. – P. 248–254. – DOI: 10.1006/abio.1976.9999</w:t>
      </w:r>
    </w:p>
    <w:p w14:paraId="4E659D8C"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Laemmli, U. K. Cleavage of structural proteins during the assembly of the head of bacteriophage T4 / U. K. Laemmli // Nature. – 1970. – Vol. 227, N 5259. – P. 680–685. – DOI: 10.1038/227680a0</w:t>
      </w:r>
    </w:p>
    <w:p w14:paraId="233D19D5" w14:textId="77777777" w:rsidR="00A11128" w:rsidRDefault="009B328F"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Li, Y. Viral removal by column chromatography in downstream processing of monoclonal antibodies / Y. Li // Protein Expression and Purification. – 2022. – Vol. 198. – P. 106131. – DOI: 10.1016/j.pep.2022.106131</w:t>
      </w:r>
    </w:p>
    <w:p w14:paraId="30EE7576" w14:textId="2F6225B8" w:rsidR="009B328F" w:rsidRPr="00A11128" w:rsidRDefault="00A11128"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A11128">
        <w:rPr>
          <w:rFonts w:ascii="Times New Roman" w:hAnsi="Times New Roman"/>
          <w:lang w:val="en-US" w:eastAsia="ru-RU"/>
        </w:rPr>
        <w:t>Smith, H. The production of specific rabbit antibodies by injecting individual antigen—antibody</w:t>
      </w:r>
      <w:r>
        <w:rPr>
          <w:rFonts w:ascii="Times New Roman" w:eastAsia="Times New Roman" w:hAnsi="Times New Roman"/>
          <w:color w:val="000000"/>
          <w:lang w:val="en-US" w:eastAsia="ru-RU"/>
        </w:rPr>
        <w:t xml:space="preserve"> </w:t>
      </w:r>
      <w:r w:rsidRPr="00A11128">
        <w:rPr>
          <w:rFonts w:ascii="Times New Roman" w:hAnsi="Times New Roman"/>
          <w:lang w:val="en-US" w:eastAsia="ru-RU"/>
        </w:rPr>
        <w:t>complexes separated from mixed antigens / H. Smith, R. C. Gallop, B. T. Tozer // Immunology. – 1964. – Vol. 7, N 2. – P. 111–117</w:t>
      </w:r>
    </w:p>
    <w:p w14:paraId="471CF3F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lang w:val="en-US" w:eastAsia="ru-RU"/>
        </w:rPr>
        <w:t xml:space="preserve">Mahmood, T. Western Blot: Technique, Theory, and Trouble Shooting - PMC [Online] / T. Mahmood, P.-C. Yang // N Am J Med Sci. – 2012. </w:t>
      </w:r>
      <w:r w:rsidRPr="002C6989">
        <w:rPr>
          <w:rFonts w:ascii="Times New Roman" w:eastAsia="Times New Roman" w:hAnsi="Times New Roman"/>
          <w:color w:val="000000"/>
          <w:lang w:val="en-US" w:eastAsia="ru-RU"/>
        </w:rPr>
        <w:t>– Vol. 4, N 9. – P. 429-434</w:t>
      </w:r>
    </w:p>
    <w:p w14:paraId="3CC89BE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Characterization of DNA ADP-ribosyltransferase activities of PARP2 and PARP3: new insights into DNA ADP-ribosylation / G. Zarkovic, E. A. Belousova, I. Talhaoui, C. Saint-Pierre, M. M. Kutuzov, B. T. Matkarimov, D. Biard, D. Gasparutto, O. I. Lavrik, A. A. Ishchenko // Nucleic Acids Research. – 2018. – Vol. 46, N 5. – P. 2417–2431. – DOI: 10.1093/nar/gkx1318</w:t>
      </w:r>
    </w:p>
    <w:p w14:paraId="7712D8B1"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lastRenderedPageBreak/>
        <w:t>The Arabidopsis thaliana Poly(ADP-Ribose) Polymerases 1 and 2 Modify DNA by ADP-Ribosylating Terminal Phosphate Residues / S. Taipakova, A. Kuanbay, C. Saint-Pierre, D. Gasparutto, Y. Baiken, R. Groisman, A. A. Ishchenko, M. Saparbaev, A. K. Bissenbaev // Frontiers in Cell and Developmental Biology. – 2020. – Vol. 8. – P. </w:t>
      </w:r>
      <w:r w:rsidRPr="002C6989">
        <w:rPr>
          <w:rFonts w:ascii="Times New Roman" w:eastAsia="Times New Roman" w:hAnsi="Times New Roman"/>
          <w:lang w:val="en-US" w:eastAsia="ru-RU"/>
        </w:rPr>
        <w:t>1-21</w:t>
      </w:r>
    </w:p>
    <w:p w14:paraId="290FF95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Nordhoff, E. Mass spectrometry of nucleic acids / E. Nordhoff, F. Kirpekar, P. Roepstorff // Mass Spectrometry Reviews. – 1996. – Vol. 15, N 2. – P. 67–138. – DOI: 10.1002/(SICI)1098-2787(1996)15:2&lt;67::AID-MAS1&gt;3.0.CO;2-8</w:t>
      </w:r>
    </w:p>
    <w:p w14:paraId="64DD159B"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Rey, M. -. Detection of alien genetic introgressions in bread wheat using dot-blot genomic hybridisation / M. -. Rey, P. Prieto // Molecular Breeding. – 2017. – Vol. 37, N 3. – P. 32. – DOI: 10.1007/s11032-017-0629-5</w:t>
      </w:r>
    </w:p>
    <w:p w14:paraId="1092D27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Visconti, R. New insights on oxidative stress in cancer / R. Visconti, D. Grieco // Current Opinion in Drug Discovery &amp; Development. – 2009. – Vol. 12, N 2. – P. 240–245.</w:t>
      </w:r>
    </w:p>
    <w:p w14:paraId="6BA031E8"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Oxidative stress, inflammation, and cancer: how are they linked? / S. Reuter, S. C. Gupta, M. M. Chaturvedi, B. B. Aggarwal // Free Radical Biology &amp; Medicine. – 2010. – Vol. 49, N 11. – P. 1603–1616. – DOI: 10.1016/j.freeradbiomed.2010.09.006</w:t>
      </w:r>
    </w:p>
    <w:p w14:paraId="7BA790F5"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Oxidative Stress in Cancer-Prone Genetic Diseases in Pediatric Age: The Role of Mitochondrial Dysfunction / S. Perrone, F. Lotti, U. Geronzi, E. Guidoni, M. Longini, G. Buonocore // Oxidative Medicine and Cellular Longevity. – 2016. – Vol. 2016. – P. 4782426. – DOI: 10.1155/2016/4782426</w:t>
      </w:r>
    </w:p>
    <w:p w14:paraId="6670F49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Jackson, A. L. The contribution of endogenous sources of DNA damage to the multiple mutations in cancer / A. L. Jackson, L. A. Loeb // Mutation Research. – 2001. – Vol. 477, N 1-2. – P. 7–21. – DOI: 10.1016/s0027-5107(01)00091-4</w:t>
      </w:r>
    </w:p>
    <w:p w14:paraId="16656E1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Loeb, L. A. DNA polymerases and human disease / L. A. Loeb, R. J. Monnat // Nature Reviews. Genetics. – 2008. – Vol. 9, N 8. – P. 594–604. – DOI: 10.1038/nrg2345</w:t>
      </w:r>
    </w:p>
    <w:p w14:paraId="4C3CA17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Structure of mammalian poly(ADP-ribose) glycohydrolase reveals a flexible tyrosine clasp as a substrate-binding element / I. Kim, J. R. Kiefer, C. M. W. Ho, R. A. Stegeman, S. Classen, J. A. Tainer, T. Ellenberger // Nature Structural &amp; Molecular Biology. – 2012. – Vol. 19, N 6. – P. 653–656. – DOI: 10.1038/nsmb.2305</w:t>
      </w:r>
    </w:p>
    <w:p w14:paraId="4D0B7F3D"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Lindahl, T. DNA glycosylases, endonucleases for apurinic/apyrimidinic sites, and base excision-repair / T. Lindahl // Progress in Nucleic Acid Research and Molecular Biology. – 1979. – Vol. 22. – P. 135–192. – DOI: 10.1016/s0079-6603(08)60800-4</w:t>
      </w:r>
    </w:p>
    <w:p w14:paraId="4D1D30A9"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 xml:space="preserve">Moor, N. Coordination of DNA Base Excision Repair by Protein-Protein Interactions / N. Moor, O. Lavrik // </w:t>
      </w:r>
      <w:r w:rsidRPr="002C6989">
        <w:rPr>
          <w:rFonts w:ascii="Times New Roman" w:eastAsia="Times New Roman" w:hAnsi="Times New Roman"/>
          <w:lang w:val="en-US" w:eastAsia="ru-RU"/>
        </w:rPr>
        <w:t>Biochemistry (Mosc). – 2018. – Vol. 83, N 4. – P. 411-422</w:t>
      </w:r>
      <w:r w:rsidRPr="002C6989">
        <w:rPr>
          <w:rFonts w:ascii="Times New Roman" w:eastAsia="Times New Roman" w:hAnsi="Times New Roman"/>
          <w:color w:val="000000"/>
          <w:lang w:val="en-US" w:eastAsia="ru-RU"/>
        </w:rPr>
        <w:t>.</w:t>
      </w:r>
    </w:p>
    <w:p w14:paraId="73E093A4"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ATR-dependent pathways control hEXO1 stability in response to stalled forks / M. El-Shemerly, D. Hess, A. K. Pyakurel, S. Moselhy, S. Ferrari // Nucleic Acids Research. – 2008. – Vol. 36, N 2. – P. 511–519. – DOI: 10.1093/nar/gkm1052</w:t>
      </w:r>
    </w:p>
    <w:p w14:paraId="098CE907"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Mimitou, E. P. Sae2, Exo1 and Sgs1 collaborate in DNA double-strand break processing / E. P. Mimitou, L. S. Symington // Nature. – 2008. – Vol. 455, N 7214. – P. 10.1038/nature07312. – DOI: 10.1038/nature07312</w:t>
      </w:r>
    </w:p>
    <w:p w14:paraId="7DD45B20"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Alemasova, E. E. Poly(ADP-ribosyl)ation by PARP1: reaction mechanism and regulatory proteins / E. E. Alemasova, O. I. Lavrik // Nucleic Acids Research. – 2019. – Vol. 47, N 8. – P. 3811–3827. – DOI: 10.1093/nar/gkz120</w:t>
      </w:r>
    </w:p>
    <w:p w14:paraId="56B8D38F"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PARP-1 Activation Requires Local Unfolding of an Autoinhibitory Domain / J. M. Dawicki-McKenna, M. Langelier, J. E. DeNizio, A. A. Riccio, C. D. Cao, K. R. Karch, M. McCauley, J. D. Steffen, B. E. Black, J. M. Pascal // Molecular Cell. – 2015. – Vol. 60, N 5. – P. 755–768. – DOI: 10.1016/j.molcel.2015.10.013</w:t>
      </w:r>
    </w:p>
    <w:p w14:paraId="0B98F56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New perspectives on the plant PARP family: Arabidopsis PARP3 is inactive, and PARP1 exhibits predominant poly (ADP-ribose) polymerase activity in response to DNA damage / Z. Gu, W. Pan, W. Chen, Q. Lian, Q. Wu, Z. Lv, X. Cheng, X. Ge // BMC Plant Biology. – 2019. – Vol. 19. – P. 364. – DOI: 10.1186/s12870-019-1958-9</w:t>
      </w:r>
    </w:p>
    <w:p w14:paraId="060A81AE"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Hassa, P. O. The diverse biological roles of mammalian PARPS, a small but powerful family of poly-ADP-ribose polymerases / P. O. Hassa, M. O. Hottiger // Frontiers in Bioscience: A Journal and Virtual Library. – 2008. – Vol. 13. – P. 3046–3082. – DOI: 10.2741/2909</w:t>
      </w:r>
    </w:p>
    <w:p w14:paraId="5C1D91D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Sievers, F. Clustal Omega / F. Sievers, D. G. Higgins // Current Protocols in Bioinformatics. – 2014. – Vol. 48, N 1. – P. 3.13.1–3.13.16. – DOI: 10.1002/0471250953.bi0313s48</w:t>
      </w:r>
    </w:p>
    <w:p w14:paraId="75714763"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 xml:space="preserve">Marsischky, G. T. Role of glutamic acid 988 of human poly-ADP-ribose polymerase in polymer formation. Evidence for active site similarities to the ADP-ribosylating toxins / G. T. Marsischky, B. A. </w:t>
      </w:r>
      <w:r w:rsidRPr="002C6989">
        <w:rPr>
          <w:rFonts w:ascii="Times New Roman" w:eastAsia="Times New Roman" w:hAnsi="Times New Roman"/>
          <w:color w:val="000000"/>
          <w:lang w:val="en-US" w:eastAsia="ru-RU"/>
        </w:rPr>
        <w:lastRenderedPageBreak/>
        <w:t>Wilson, R. J. Collier // The Journal of Biological Chemistry. – 1995. – Vol. 270, N 7. – P. 3247–3254. – DOI: 10.1074/jbc.270.7.3247</w:t>
      </w:r>
    </w:p>
    <w:p w14:paraId="15CC9016"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Random mutagenesis of the poly(ADP-ribose) polymerase catalytic domain reveals amino acids involved in polymer branching / V. Rolli, M. O'Farrell, J. Ménissier-de Murcia, G. Murcia // Biochemistry. – 1997. – Vol. 36, N 40. – P. 12147–12154. – DOI: 10.1021/bi971055p</w:t>
      </w:r>
    </w:p>
    <w:p w14:paraId="63C05DDA" w14:textId="77777777" w:rsidR="009B328F" w:rsidRPr="002C6989" w:rsidRDefault="009B328F" w:rsidP="00347CA9">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Structures and mechanisms of Nudix hydrolases / A. S. Mildvan, Z. Xia, H. F. Azurmendi, V. Saraswat, P. M. Legler, M. A. Massiah, S. B. Gabelli, M. A. Bianchet, L. -. Kang, L. M. Amzel // Archives of Biochemistry and Biophysics. – 2005. – Vol. 433, N 1. – P. 129–143. – DOI: 10.1016/j.abb.2004.08.017</w:t>
      </w:r>
    </w:p>
    <w:p w14:paraId="148E22B1" w14:textId="77777777" w:rsidR="00A11128" w:rsidRDefault="009B328F"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2C6989">
        <w:rPr>
          <w:rFonts w:ascii="Times New Roman" w:eastAsia="Times New Roman" w:hAnsi="Times New Roman"/>
          <w:color w:val="000000"/>
          <w:lang w:val="en-US" w:eastAsia="ru-RU"/>
        </w:rPr>
        <w:t>Insight into DNA substrate specificity of PARP1-catalysed DNA poly(ADP-ribosyl)ation / E. Matta, A. Kiribayeva, B. Khassenov, B. T. Matkarimov, A. A. Ishchenko // Scientific Reports. – 2020. – Vol. 10, N 1. – P. 3699. – DOI: 10.1038/s41598-020-60631-0</w:t>
      </w:r>
    </w:p>
    <w:p w14:paraId="57B050E2" w14:textId="278726E2" w:rsidR="00A11128" w:rsidRPr="00A11128" w:rsidRDefault="00A11128"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A11128">
        <w:rPr>
          <w:rStyle w:val="longtext"/>
          <w:rFonts w:ascii="Times New Roman" w:hAnsi="Times New Roman"/>
          <w:shd w:val="clear" w:color="auto" w:fill="FFFFFF"/>
          <w:lang w:val="en-US"/>
        </w:rPr>
        <w:t>Kuanbay A.K., Taipakova S.M., Saparbaev M.K., Ishchenko A.A., Bissenbaev A.K.</w:t>
      </w:r>
      <w:r w:rsidRPr="00A11128">
        <w:rPr>
          <w:rStyle w:val="longtext"/>
          <w:rFonts w:ascii="Times New Roman" w:hAnsi="Times New Roman"/>
          <w:i/>
          <w:iCs/>
          <w:shd w:val="clear" w:color="auto" w:fill="FFFFFF"/>
          <w:lang w:val="en-US"/>
        </w:rPr>
        <w:t>Arabidopsis thaliana</w:t>
      </w:r>
      <w:r w:rsidRPr="00A11128">
        <w:rPr>
          <w:rStyle w:val="longtext"/>
          <w:rFonts w:ascii="Times New Roman" w:hAnsi="Times New Roman"/>
          <w:shd w:val="clear" w:color="auto" w:fill="FFFFFF"/>
          <w:lang w:val="en-US"/>
        </w:rPr>
        <w:t xml:space="preserve"> Poly(ADP-ribose) polymerases ADP-ribosylate DNA oligonucleotides</w:t>
      </w:r>
      <w:r w:rsidRPr="00A11128">
        <w:rPr>
          <w:rStyle w:val="longtext"/>
          <w:rFonts w:ascii="Times New Roman" w:hAnsi="Times New Roman"/>
          <w:shd w:val="clear" w:color="auto" w:fill="FFFFFF"/>
          <w:lang w:val="kk-KZ"/>
        </w:rPr>
        <w:t xml:space="preserve"> //</w:t>
      </w:r>
      <w:r w:rsidRPr="00A11128">
        <w:rPr>
          <w:rFonts w:ascii="Times New Roman" w:hAnsi="Times New Roman"/>
          <w:lang w:val="kk-KZ"/>
        </w:rPr>
        <w:t xml:space="preserve"> </w:t>
      </w:r>
      <w:r w:rsidR="00596794">
        <w:rPr>
          <w:rFonts w:ascii="Times New Roman" w:hAnsi="Times New Roman"/>
          <w:lang w:val="en-US"/>
        </w:rPr>
        <w:t>International conference</w:t>
      </w:r>
      <w:r w:rsidRPr="00A11128">
        <w:rPr>
          <w:rFonts w:ascii="Times New Roman" w:hAnsi="Times New Roman"/>
        </w:rPr>
        <w:t xml:space="preserve"> Abstracts “Journal of Biotechnology”. – 2018. - Vol. 280S.</w:t>
      </w:r>
    </w:p>
    <w:p w14:paraId="60151AD2" w14:textId="77777777" w:rsidR="00A11128" w:rsidRPr="00A11128" w:rsidRDefault="00A11128"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ru-RU" w:eastAsia="ru-RU"/>
        </w:rPr>
      </w:pPr>
      <w:r w:rsidRPr="00A11128">
        <w:rPr>
          <w:rFonts w:ascii="Times New Roman" w:hAnsi="Times New Roman"/>
          <w:color w:val="000000"/>
          <w:lang w:val="kk-KZ"/>
        </w:rPr>
        <w:t xml:space="preserve">Куанбай А.К., </w:t>
      </w:r>
      <w:r w:rsidRPr="00A11128">
        <w:rPr>
          <w:rFonts w:ascii="Times New Roman" w:hAnsi="Times New Roman"/>
          <w:color w:val="000000"/>
          <w:lang w:val="ru-RU"/>
        </w:rPr>
        <w:t>Алияскарова</w:t>
      </w:r>
      <w:r w:rsidRPr="00A11128">
        <w:rPr>
          <w:rFonts w:ascii="Times New Roman" w:hAnsi="Times New Roman"/>
          <w:color w:val="000000"/>
          <w:lang w:val="kk-KZ"/>
        </w:rPr>
        <w:t xml:space="preserve"> </w:t>
      </w:r>
      <w:r w:rsidRPr="00A11128">
        <w:rPr>
          <w:rFonts w:ascii="Times New Roman" w:hAnsi="Times New Roman"/>
          <w:color w:val="000000"/>
          <w:lang w:val="ru-RU"/>
        </w:rPr>
        <w:t>У.С., Рахматуллаева Г.Т., Тайпақова С.М.</w:t>
      </w:r>
      <w:r w:rsidRPr="00A11128">
        <w:rPr>
          <w:rFonts w:ascii="Times New Roman" w:hAnsi="Times New Roman"/>
          <w:lang w:val="ru-RU"/>
        </w:rPr>
        <w:t xml:space="preserve"> </w:t>
      </w:r>
      <w:r w:rsidRPr="00A11128">
        <w:rPr>
          <w:rFonts w:ascii="Times New Roman" w:hAnsi="Times New Roman"/>
          <w:lang w:val="kk-KZ" w:eastAsia="fr-FR"/>
        </w:rPr>
        <w:t xml:space="preserve">Клонирование кДНК гена </w:t>
      </w:r>
      <w:r w:rsidRPr="00A11128">
        <w:rPr>
          <w:rFonts w:ascii="Times New Roman" w:eastAsia="Times New Roman" w:hAnsi="Times New Roman"/>
          <w:lang w:val="ru-RU" w:eastAsia="ru-RU"/>
        </w:rPr>
        <w:t>поли(АДФ-рибоза) полимераз</w:t>
      </w:r>
      <w:r w:rsidRPr="00A11128">
        <w:rPr>
          <w:rFonts w:ascii="Times New Roman" w:eastAsia="Times New Roman" w:hAnsi="Times New Roman"/>
          <w:lang w:val="kk-KZ" w:eastAsia="ru-RU"/>
        </w:rPr>
        <w:t>ы 2</w:t>
      </w:r>
      <w:r w:rsidRPr="00A11128">
        <w:rPr>
          <w:rFonts w:ascii="Times New Roman" w:eastAsia="Times New Roman" w:hAnsi="Times New Roman"/>
          <w:i/>
          <w:lang w:val="ru-RU" w:eastAsia="ru-RU"/>
        </w:rPr>
        <w:t xml:space="preserve"> </w:t>
      </w:r>
      <w:r w:rsidRPr="00A11128">
        <w:rPr>
          <w:rFonts w:ascii="Times New Roman" w:eastAsia="Times New Roman" w:hAnsi="Times New Roman"/>
          <w:i/>
          <w:lang w:val="en-US" w:eastAsia="ru-RU"/>
        </w:rPr>
        <w:t>Arabidopsis</w:t>
      </w:r>
      <w:r w:rsidRPr="00A11128">
        <w:rPr>
          <w:rFonts w:ascii="Times New Roman" w:eastAsia="Times New Roman" w:hAnsi="Times New Roman"/>
          <w:i/>
          <w:lang w:val="ru-RU" w:eastAsia="ru-RU"/>
        </w:rPr>
        <w:t xml:space="preserve"> </w:t>
      </w:r>
      <w:r w:rsidRPr="00A11128">
        <w:rPr>
          <w:rFonts w:ascii="Times New Roman" w:eastAsia="Times New Roman" w:hAnsi="Times New Roman"/>
          <w:i/>
          <w:lang w:val="en-US" w:eastAsia="ru-RU"/>
        </w:rPr>
        <w:t>thaliana</w:t>
      </w:r>
      <w:r w:rsidRPr="00A11128">
        <w:rPr>
          <w:rFonts w:ascii="Times New Roman" w:eastAsia="Times New Roman" w:hAnsi="Times New Roman"/>
          <w:i/>
          <w:lang w:val="kk-KZ" w:eastAsia="ru-RU"/>
        </w:rPr>
        <w:t xml:space="preserve"> </w:t>
      </w:r>
      <w:r w:rsidRPr="00A11128">
        <w:rPr>
          <w:rFonts w:ascii="Times New Roman" w:eastAsia="Times New Roman" w:hAnsi="Times New Roman"/>
          <w:lang w:val="kk-KZ" w:eastAsia="ru-RU"/>
        </w:rPr>
        <w:t>в</w:t>
      </w:r>
      <w:r w:rsidRPr="00A11128">
        <w:rPr>
          <w:rFonts w:ascii="Times New Roman" w:eastAsia="Times New Roman" w:hAnsi="Times New Roman"/>
          <w:lang w:val="ru-RU" w:eastAsia="ru-RU"/>
        </w:rPr>
        <w:t xml:space="preserve"> </w:t>
      </w:r>
      <w:r w:rsidRPr="00A11128">
        <w:rPr>
          <w:rFonts w:ascii="Times New Roman" w:eastAsia="Times New Roman" w:hAnsi="Times New Roman"/>
          <w:i/>
          <w:lang w:val="en-US" w:eastAsia="ru-RU"/>
        </w:rPr>
        <w:t>E</w:t>
      </w:r>
      <w:r w:rsidRPr="00A11128">
        <w:rPr>
          <w:rFonts w:ascii="Times New Roman" w:eastAsia="Times New Roman" w:hAnsi="Times New Roman"/>
          <w:i/>
          <w:lang w:val="ru-RU" w:eastAsia="ru-RU"/>
        </w:rPr>
        <w:t xml:space="preserve">. </w:t>
      </w:r>
      <w:r w:rsidRPr="00A11128">
        <w:rPr>
          <w:rFonts w:ascii="Times New Roman" w:eastAsia="Times New Roman" w:hAnsi="Times New Roman"/>
          <w:i/>
          <w:lang w:val="en-US" w:eastAsia="ru-RU"/>
        </w:rPr>
        <w:t>c</w:t>
      </w:r>
      <w:r w:rsidRPr="00A11128">
        <w:rPr>
          <w:rFonts w:ascii="Times New Roman" w:eastAsia="Times New Roman" w:hAnsi="Times New Roman"/>
          <w:i/>
          <w:lang w:val="ru-RU" w:eastAsia="ru-RU"/>
        </w:rPr>
        <w:t>о</w:t>
      </w:r>
      <w:r w:rsidRPr="00A11128">
        <w:rPr>
          <w:rFonts w:ascii="Times New Roman" w:eastAsia="Times New Roman" w:hAnsi="Times New Roman"/>
          <w:i/>
          <w:lang w:val="en-US" w:eastAsia="ru-RU"/>
        </w:rPr>
        <w:t>li</w:t>
      </w:r>
      <w:r w:rsidRPr="00A11128">
        <w:rPr>
          <w:rFonts w:ascii="Times New Roman" w:eastAsia="Times New Roman" w:hAnsi="Times New Roman"/>
          <w:i/>
          <w:lang w:val="kk-KZ" w:eastAsia="ru-RU"/>
        </w:rPr>
        <w:t xml:space="preserve"> </w:t>
      </w:r>
      <w:r w:rsidRPr="00A11128">
        <w:rPr>
          <w:rFonts w:ascii="Times New Roman" w:eastAsia="Times New Roman" w:hAnsi="Times New Roman"/>
          <w:lang w:val="kk-KZ" w:eastAsia="ru-RU"/>
        </w:rPr>
        <w:t>и</w:t>
      </w:r>
      <w:r w:rsidRPr="00A11128">
        <w:rPr>
          <w:rFonts w:ascii="Times New Roman" w:eastAsia="Times New Roman" w:hAnsi="Times New Roman"/>
          <w:i/>
          <w:lang w:val="kk-KZ" w:eastAsia="ru-RU"/>
        </w:rPr>
        <w:t xml:space="preserve"> </w:t>
      </w:r>
      <w:r w:rsidRPr="00A11128">
        <w:rPr>
          <w:rFonts w:ascii="Times New Roman" w:eastAsia="Times New Roman" w:hAnsi="Times New Roman"/>
          <w:lang w:val="kk-KZ" w:eastAsia="ru-RU"/>
        </w:rPr>
        <w:t>характеристика</w:t>
      </w:r>
      <w:r w:rsidRPr="00A11128">
        <w:rPr>
          <w:rFonts w:ascii="Times New Roman" w:eastAsia="Times New Roman" w:hAnsi="Times New Roman"/>
          <w:i/>
          <w:lang w:val="kk-KZ" w:eastAsia="ru-RU"/>
        </w:rPr>
        <w:t xml:space="preserve"> </w:t>
      </w:r>
      <w:r w:rsidRPr="00A11128">
        <w:rPr>
          <w:rFonts w:ascii="Times New Roman" w:eastAsia="Times New Roman" w:hAnsi="Times New Roman"/>
          <w:lang w:val="ru-RU" w:eastAsia="ru-RU"/>
        </w:rPr>
        <w:t xml:space="preserve">авто-поли(АДФ-рибозил)ирующей </w:t>
      </w:r>
      <w:r w:rsidRPr="00A11128">
        <w:rPr>
          <w:rFonts w:ascii="Times New Roman" w:eastAsia="Times New Roman" w:hAnsi="Times New Roman"/>
          <w:lang w:val="kk-KZ" w:eastAsia="ru-RU"/>
        </w:rPr>
        <w:t>активности рекомбинантного белка</w:t>
      </w:r>
      <w:r w:rsidRPr="00A11128">
        <w:rPr>
          <w:rFonts w:ascii="Times New Roman" w:hAnsi="Times New Roman"/>
          <w:lang w:val="ru-RU"/>
        </w:rPr>
        <w:t xml:space="preserve"> // Международная научная конференция студентов и молодых ученых «Фараби әлемі». - 2018. </w:t>
      </w:r>
    </w:p>
    <w:p w14:paraId="4C87015F" w14:textId="77777777" w:rsidR="00A11128" w:rsidRDefault="00A11128"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ru-RU" w:eastAsia="ru-RU"/>
        </w:rPr>
      </w:pPr>
      <w:r w:rsidRPr="00A11128">
        <w:rPr>
          <w:rFonts w:ascii="Times New Roman" w:hAnsi="Times New Roman"/>
          <w:lang w:val="kk-KZ"/>
        </w:rPr>
        <w:t xml:space="preserve">Куанбай А.К., </w:t>
      </w:r>
      <w:r w:rsidRPr="00A11128">
        <w:rPr>
          <w:rFonts w:ascii="Times New Roman" w:hAnsi="Times New Roman"/>
          <w:lang w:val="ru-RU"/>
        </w:rPr>
        <w:t>Тайпақова С.М.,</w:t>
      </w:r>
      <w:r w:rsidRPr="00A11128">
        <w:rPr>
          <w:rFonts w:ascii="Times New Roman" w:hAnsi="Times New Roman"/>
          <w:lang w:val="kk-KZ"/>
        </w:rPr>
        <w:t xml:space="preserve"> </w:t>
      </w:r>
      <w:r w:rsidRPr="00A11128">
        <w:rPr>
          <w:rFonts w:ascii="Times New Roman" w:hAnsi="Times New Roman"/>
          <w:lang w:val="ru-RU"/>
        </w:rPr>
        <w:t>Жондербек Ж.А.</w:t>
      </w:r>
      <w:r w:rsidRPr="00A11128">
        <w:rPr>
          <w:rFonts w:ascii="Times New Roman" w:hAnsi="Times New Roman"/>
          <w:lang w:val="kk-KZ"/>
        </w:rPr>
        <w:t xml:space="preserve"> </w:t>
      </w:r>
      <w:r w:rsidRPr="00A11128">
        <w:rPr>
          <w:rFonts w:ascii="Times New Roman" w:hAnsi="Times New Roman"/>
          <w:lang w:val="en-US"/>
        </w:rPr>
        <w:t>Cloning</w:t>
      </w:r>
      <w:r w:rsidRPr="00A11128">
        <w:rPr>
          <w:rFonts w:ascii="Times New Roman" w:hAnsi="Times New Roman"/>
          <w:lang w:val="ru-RU"/>
        </w:rPr>
        <w:t xml:space="preserve"> </w:t>
      </w:r>
      <w:r w:rsidRPr="00A11128">
        <w:rPr>
          <w:rFonts w:ascii="Times New Roman" w:hAnsi="Times New Roman"/>
          <w:lang w:val="en-US"/>
        </w:rPr>
        <w:t>cDNA</w:t>
      </w:r>
      <w:r w:rsidRPr="00A11128">
        <w:rPr>
          <w:rFonts w:ascii="Times New Roman" w:hAnsi="Times New Roman"/>
          <w:lang w:val="ru-RU"/>
        </w:rPr>
        <w:t xml:space="preserve"> </w:t>
      </w:r>
      <w:r w:rsidRPr="00A11128">
        <w:rPr>
          <w:rFonts w:ascii="Times New Roman" w:hAnsi="Times New Roman"/>
          <w:lang w:val="en-US"/>
        </w:rPr>
        <w:t>gene</w:t>
      </w:r>
      <w:r w:rsidRPr="00A11128">
        <w:rPr>
          <w:rFonts w:ascii="Times New Roman" w:hAnsi="Times New Roman"/>
          <w:lang w:val="ru-RU"/>
        </w:rPr>
        <w:t xml:space="preserve"> </w:t>
      </w:r>
      <w:r w:rsidRPr="00A11128">
        <w:rPr>
          <w:rFonts w:ascii="Times New Roman" w:hAnsi="Times New Roman"/>
          <w:lang w:val="en-US"/>
        </w:rPr>
        <w:t>Poly</w:t>
      </w:r>
      <w:r w:rsidRPr="00A11128">
        <w:rPr>
          <w:rFonts w:ascii="Times New Roman" w:hAnsi="Times New Roman"/>
          <w:lang w:val="ru-RU"/>
        </w:rPr>
        <w:t xml:space="preserve"> (</w:t>
      </w:r>
      <w:r w:rsidRPr="00A11128">
        <w:rPr>
          <w:rFonts w:ascii="Times New Roman" w:hAnsi="Times New Roman"/>
          <w:lang w:val="en-US"/>
        </w:rPr>
        <w:t>ADP</w:t>
      </w:r>
      <w:r w:rsidRPr="00A11128">
        <w:rPr>
          <w:rFonts w:ascii="Times New Roman" w:hAnsi="Times New Roman"/>
          <w:lang w:val="ru-RU"/>
        </w:rPr>
        <w:t>-</w:t>
      </w:r>
      <w:r w:rsidRPr="00A11128">
        <w:rPr>
          <w:rFonts w:ascii="Times New Roman" w:hAnsi="Times New Roman"/>
          <w:lang w:val="en-US"/>
        </w:rPr>
        <w:t>ribose</w:t>
      </w:r>
      <w:r w:rsidRPr="00A11128">
        <w:rPr>
          <w:rFonts w:ascii="Times New Roman" w:hAnsi="Times New Roman"/>
          <w:lang w:val="ru-RU"/>
        </w:rPr>
        <w:t xml:space="preserve">) </w:t>
      </w:r>
      <w:r w:rsidRPr="00A11128">
        <w:rPr>
          <w:rFonts w:ascii="Times New Roman" w:hAnsi="Times New Roman"/>
          <w:lang w:val="en-US"/>
        </w:rPr>
        <w:t>polymerase</w:t>
      </w:r>
      <w:r w:rsidRPr="00A11128">
        <w:rPr>
          <w:rFonts w:ascii="Times New Roman" w:hAnsi="Times New Roman"/>
          <w:lang w:val="ru-RU"/>
        </w:rPr>
        <w:t xml:space="preserve"> 3 </w:t>
      </w:r>
      <w:r w:rsidRPr="00A11128">
        <w:rPr>
          <w:rFonts w:ascii="Times New Roman" w:hAnsi="Times New Roman"/>
          <w:i/>
          <w:lang w:val="en-US"/>
        </w:rPr>
        <w:t>Arabidopsis</w:t>
      </w:r>
      <w:r w:rsidRPr="00A11128">
        <w:rPr>
          <w:rFonts w:ascii="Times New Roman" w:hAnsi="Times New Roman"/>
          <w:i/>
          <w:lang w:val="ru-RU"/>
        </w:rPr>
        <w:t xml:space="preserve"> </w:t>
      </w:r>
      <w:r w:rsidRPr="00A11128">
        <w:rPr>
          <w:rFonts w:ascii="Times New Roman" w:hAnsi="Times New Roman"/>
          <w:i/>
          <w:lang w:val="en-US"/>
        </w:rPr>
        <w:t>thaliana</w:t>
      </w:r>
      <w:r w:rsidRPr="00A11128">
        <w:rPr>
          <w:rFonts w:ascii="Times New Roman" w:hAnsi="Times New Roman"/>
          <w:lang w:val="ru-RU"/>
        </w:rPr>
        <w:t xml:space="preserve"> </w:t>
      </w:r>
      <w:r w:rsidRPr="00A11128">
        <w:rPr>
          <w:rFonts w:ascii="Times New Roman" w:hAnsi="Times New Roman"/>
          <w:lang w:val="en-US"/>
        </w:rPr>
        <w:t>in</w:t>
      </w:r>
      <w:r w:rsidRPr="00A11128">
        <w:rPr>
          <w:rFonts w:ascii="Times New Roman" w:hAnsi="Times New Roman"/>
          <w:lang w:val="ru-RU"/>
        </w:rPr>
        <w:t xml:space="preserve"> </w:t>
      </w:r>
      <w:r w:rsidRPr="00A11128">
        <w:rPr>
          <w:rFonts w:ascii="Times New Roman" w:hAnsi="Times New Roman"/>
          <w:i/>
          <w:lang w:val="en-US"/>
        </w:rPr>
        <w:t>E</w:t>
      </w:r>
      <w:r w:rsidRPr="00A11128">
        <w:rPr>
          <w:rFonts w:ascii="Times New Roman" w:hAnsi="Times New Roman"/>
          <w:i/>
          <w:lang w:val="ru-RU"/>
        </w:rPr>
        <w:t>.</w:t>
      </w:r>
      <w:r w:rsidRPr="00A11128">
        <w:rPr>
          <w:rFonts w:ascii="Times New Roman" w:hAnsi="Times New Roman"/>
          <w:i/>
          <w:lang w:val="en-US"/>
        </w:rPr>
        <w:t>coli</w:t>
      </w:r>
      <w:r w:rsidRPr="00A11128">
        <w:rPr>
          <w:rFonts w:ascii="Times New Roman" w:hAnsi="Times New Roman"/>
          <w:i/>
          <w:lang w:val="ru-RU"/>
        </w:rPr>
        <w:t xml:space="preserve"> //</w:t>
      </w:r>
      <w:r w:rsidRPr="00A11128">
        <w:rPr>
          <w:rFonts w:ascii="Times New Roman" w:hAnsi="Times New Roman"/>
          <w:i/>
          <w:lang w:val="kk-KZ"/>
        </w:rPr>
        <w:t xml:space="preserve"> </w:t>
      </w:r>
      <w:r w:rsidRPr="00A11128">
        <w:rPr>
          <w:rFonts w:ascii="Times New Roman" w:hAnsi="Times New Roman"/>
          <w:lang w:val="ru-RU"/>
        </w:rPr>
        <w:t>Международная научная конференция студентов и молодых ученых «Фараби әлемі». – 2019.</w:t>
      </w:r>
    </w:p>
    <w:p w14:paraId="229C19F1" w14:textId="2989DB67" w:rsidR="00A11128" w:rsidRPr="00A11128" w:rsidRDefault="00A11128"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A11128">
        <w:rPr>
          <w:rFonts w:ascii="Times New Roman" w:hAnsi="Times New Roman"/>
          <w:color w:val="000000"/>
        </w:rPr>
        <w:t xml:space="preserve">Kuanbay A.K., Taipakova S.M., Saint Pierre C., Gasparutto D., Baiken Y., Groisman R., Ishchenko A.A., Saparbaev M.K.,  Bissenbaev A.K. </w:t>
      </w:r>
      <w:r w:rsidRPr="00A11128">
        <w:rPr>
          <w:rFonts w:ascii="Times New Roman" w:hAnsi="Times New Roman"/>
          <w:lang w:val="kk-KZ"/>
        </w:rPr>
        <w:t xml:space="preserve">The </w:t>
      </w:r>
      <w:r w:rsidRPr="00A11128">
        <w:rPr>
          <w:rFonts w:ascii="Times New Roman" w:hAnsi="Times New Roman"/>
          <w:i/>
          <w:lang w:val="kk-KZ"/>
        </w:rPr>
        <w:t xml:space="preserve">Arabidopsis thaliana </w:t>
      </w:r>
      <w:r w:rsidRPr="00A11128">
        <w:rPr>
          <w:rFonts w:ascii="Times New Roman" w:hAnsi="Times New Roman"/>
          <w:lang w:val="kk-KZ"/>
        </w:rPr>
        <w:t>poly(ADP ribose) polymerases 1 and 2 modify DNA by ADP ribosylating terminal phosphate residues</w:t>
      </w:r>
      <w:r w:rsidRPr="00A11128">
        <w:rPr>
          <w:rFonts w:ascii="Times New Roman" w:hAnsi="Times New Roman"/>
        </w:rPr>
        <w:t xml:space="preserve"> // International virtual conference “THE PARP FAMILY &amp; ADP-RIBOSYLATION (Cold Spring Harbor Laboratory)”. - 2020.</w:t>
      </w:r>
    </w:p>
    <w:p w14:paraId="6C8D16C6" w14:textId="77777777" w:rsidR="00A11128" w:rsidRPr="00CD45EA" w:rsidRDefault="00A11128"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en-US" w:eastAsia="ru-RU"/>
        </w:rPr>
      </w:pPr>
      <w:r w:rsidRPr="00CD45EA">
        <w:rPr>
          <w:rFonts w:ascii="Times New Roman" w:eastAsia="Arial Unicode MS" w:hAnsi="Times New Roman"/>
          <w:lang w:bidi="en-US"/>
        </w:rPr>
        <w:t xml:space="preserve">Куанбай А.К., Бисенбаев А.К., Тайпақова С.М., Манаткызы Д., Смекенов И.Т., Алыбаев С. Клонирование кднк гена поли (АДФ-рибоза) полимеразы 2 </w:t>
      </w:r>
      <w:r w:rsidRPr="00CD45EA">
        <w:rPr>
          <w:rFonts w:ascii="Times New Roman" w:eastAsia="Arial Unicode MS" w:hAnsi="Times New Roman"/>
          <w:i/>
          <w:lang w:bidi="en-US"/>
        </w:rPr>
        <w:t>Arabidopsis thaliana</w:t>
      </w:r>
      <w:r w:rsidRPr="00CD45EA">
        <w:rPr>
          <w:rFonts w:ascii="Times New Roman" w:eastAsia="Arial Unicode MS" w:hAnsi="Times New Roman"/>
          <w:lang w:bidi="en-US"/>
        </w:rPr>
        <w:t xml:space="preserve"> в </w:t>
      </w:r>
      <w:r w:rsidRPr="00CD45EA">
        <w:rPr>
          <w:rFonts w:ascii="Times New Roman" w:eastAsia="Arial Unicode MS" w:hAnsi="Times New Roman"/>
          <w:i/>
          <w:lang w:bidi="en-US"/>
        </w:rPr>
        <w:t>Saccharomyces cerevisiae</w:t>
      </w:r>
      <w:r w:rsidRPr="00CD45EA">
        <w:rPr>
          <w:rFonts w:ascii="Times New Roman" w:eastAsia="Arial Unicode MS" w:hAnsi="Times New Roman"/>
          <w:lang w:bidi="en-US"/>
        </w:rPr>
        <w:t xml:space="preserve"> // </w:t>
      </w:r>
      <w:r w:rsidRPr="00CD45EA">
        <w:rPr>
          <w:rFonts w:ascii="Times New Roman" w:eastAsia="Arial Unicode MS" w:hAnsi="Times New Roman"/>
          <w:lang w:val="ru-RU" w:bidi="en-US"/>
        </w:rPr>
        <w:t>Вестник</w:t>
      </w:r>
      <w:r w:rsidRPr="00CD45EA">
        <w:rPr>
          <w:rFonts w:ascii="Times New Roman" w:eastAsia="Arial Unicode MS" w:hAnsi="Times New Roman"/>
          <w:lang w:bidi="en-US"/>
        </w:rPr>
        <w:t xml:space="preserve"> </w:t>
      </w:r>
      <w:r w:rsidRPr="00CD45EA">
        <w:rPr>
          <w:rFonts w:ascii="Times New Roman" w:eastAsia="Arial Unicode MS" w:hAnsi="Times New Roman"/>
          <w:lang w:val="ru-RU" w:bidi="en-US"/>
        </w:rPr>
        <w:t>КазНУ</w:t>
      </w:r>
      <w:r w:rsidRPr="00CD45EA">
        <w:rPr>
          <w:rFonts w:ascii="Times New Roman" w:eastAsia="Arial Unicode MS" w:hAnsi="Times New Roman"/>
          <w:lang w:bidi="en-US"/>
        </w:rPr>
        <w:t xml:space="preserve"> - 2020. – </w:t>
      </w:r>
      <w:r w:rsidRPr="00CD45EA">
        <w:rPr>
          <w:rFonts w:ascii="Times New Roman" w:eastAsia="Arial Unicode MS" w:hAnsi="Times New Roman"/>
          <w:lang w:val="ru-RU" w:bidi="en-US"/>
        </w:rPr>
        <w:t>Т</w:t>
      </w:r>
      <w:r w:rsidRPr="00CD45EA">
        <w:rPr>
          <w:rFonts w:ascii="Times New Roman" w:eastAsia="Arial Unicode MS" w:hAnsi="Times New Roman"/>
          <w:lang w:bidi="en-US"/>
        </w:rPr>
        <w:t xml:space="preserve">. 84, № 3. </w:t>
      </w:r>
      <w:r w:rsidRPr="00CD45EA">
        <w:rPr>
          <w:rFonts w:ascii="Times New Roman" w:eastAsia="Arial Unicode MS" w:hAnsi="Times New Roman"/>
          <w:lang w:val="en-US" w:bidi="en-US"/>
        </w:rPr>
        <w:t xml:space="preserve">– </w:t>
      </w:r>
      <w:r>
        <w:rPr>
          <w:rFonts w:ascii="Times New Roman" w:eastAsia="Arial Unicode MS" w:hAnsi="Times New Roman"/>
          <w:lang w:val="ru-RU" w:bidi="en-US"/>
        </w:rPr>
        <w:t>С</w:t>
      </w:r>
      <w:r w:rsidRPr="00CD45EA">
        <w:rPr>
          <w:rFonts w:ascii="Times New Roman" w:eastAsia="Arial Unicode MS" w:hAnsi="Times New Roman"/>
          <w:lang w:val="en-US" w:bidi="en-US"/>
        </w:rPr>
        <w:t>. 86-97</w:t>
      </w:r>
      <w:r w:rsidRPr="00CD45EA">
        <w:rPr>
          <w:rFonts w:ascii="Times New Roman" w:eastAsia="Arial Unicode MS" w:hAnsi="Times New Roman"/>
          <w:lang w:bidi="en-US"/>
        </w:rPr>
        <w:t>.</w:t>
      </w:r>
    </w:p>
    <w:p w14:paraId="1839647D" w14:textId="77777777" w:rsidR="00A11128" w:rsidRPr="00CD45EA" w:rsidRDefault="00A11128"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kk-KZ" w:eastAsia="ru-RU"/>
        </w:rPr>
      </w:pPr>
      <w:r w:rsidRPr="00F25A67">
        <w:rPr>
          <w:rFonts w:ascii="Times New Roman" w:eastAsia="Arial Unicode MS" w:hAnsi="Times New Roman"/>
          <w:lang w:val="kk-KZ" w:bidi="en-US"/>
        </w:rPr>
        <w:t>Куанбай А.К., Бисенбаев А.К., Тайпақова С.М.</w:t>
      </w:r>
      <w:r>
        <w:rPr>
          <w:rFonts w:ascii="Times New Roman" w:eastAsia="Arial Unicode MS" w:hAnsi="Times New Roman"/>
          <w:lang w:val="kk-KZ" w:bidi="en-US"/>
        </w:rPr>
        <w:t xml:space="preserve"> </w:t>
      </w:r>
      <w:r w:rsidRPr="00F25A67">
        <w:rPr>
          <w:rFonts w:ascii="Times New Roman" w:hAnsi="Times New Roman"/>
          <w:sz w:val="24"/>
          <w:szCs w:val="24"/>
          <w:lang w:val="kk-KZ"/>
        </w:rPr>
        <w:t xml:space="preserve">Клонирование кДНК гена поли (АДФ-рибоза) полимеразы 3 </w:t>
      </w:r>
      <w:r w:rsidRPr="00F25A67">
        <w:rPr>
          <w:rFonts w:ascii="Times New Roman" w:hAnsi="Times New Roman"/>
          <w:i/>
          <w:sz w:val="24"/>
          <w:szCs w:val="24"/>
          <w:lang w:val="kk-KZ"/>
        </w:rPr>
        <w:t>Arabidopsis thaliana</w:t>
      </w:r>
      <w:r w:rsidRPr="00F25A67">
        <w:rPr>
          <w:rFonts w:ascii="Times New Roman" w:hAnsi="Times New Roman"/>
          <w:sz w:val="24"/>
          <w:szCs w:val="24"/>
          <w:lang w:val="kk-KZ"/>
        </w:rPr>
        <w:t xml:space="preserve"> в </w:t>
      </w:r>
      <w:r w:rsidRPr="00F25A67">
        <w:rPr>
          <w:rFonts w:ascii="Times New Roman" w:hAnsi="Times New Roman"/>
          <w:i/>
          <w:sz w:val="24"/>
          <w:szCs w:val="24"/>
          <w:lang w:val="kk-KZ"/>
        </w:rPr>
        <w:t>E.соli</w:t>
      </w:r>
      <w:r w:rsidRPr="00F25A67">
        <w:rPr>
          <w:rFonts w:ascii="Times New Roman" w:eastAsia="Arial Unicode MS" w:hAnsi="Times New Roman"/>
          <w:i/>
          <w:lang w:val="kk-KZ" w:bidi="en-US"/>
        </w:rPr>
        <w:t xml:space="preserve"> </w:t>
      </w:r>
      <w:r w:rsidRPr="00F25A67">
        <w:rPr>
          <w:rFonts w:ascii="Times New Roman" w:eastAsia="Arial Unicode MS" w:hAnsi="Times New Roman"/>
          <w:lang w:val="kk-KZ" w:bidi="en-US"/>
        </w:rPr>
        <w:t>// Вестник КазНУ - 20</w:t>
      </w:r>
      <w:r>
        <w:rPr>
          <w:rFonts w:ascii="Times New Roman" w:eastAsia="Arial Unicode MS" w:hAnsi="Times New Roman"/>
          <w:lang w:val="kk-KZ" w:bidi="en-US"/>
        </w:rPr>
        <w:t>19</w:t>
      </w:r>
      <w:r w:rsidRPr="00F25A67">
        <w:rPr>
          <w:rFonts w:ascii="Times New Roman" w:eastAsia="Arial Unicode MS" w:hAnsi="Times New Roman"/>
          <w:lang w:val="kk-KZ" w:bidi="en-US"/>
        </w:rPr>
        <w:t>. – Т</w:t>
      </w:r>
      <w:r w:rsidRPr="00CD45EA">
        <w:rPr>
          <w:rFonts w:ascii="Times New Roman" w:eastAsia="Arial Unicode MS" w:hAnsi="Times New Roman"/>
          <w:lang w:bidi="en-US"/>
        </w:rPr>
        <w:t xml:space="preserve">. </w:t>
      </w:r>
      <w:r w:rsidRPr="00F25A67">
        <w:rPr>
          <w:rFonts w:ascii="Times New Roman" w:eastAsia="Arial Unicode MS" w:hAnsi="Times New Roman"/>
          <w:lang w:val="kk-KZ" w:bidi="en-US"/>
        </w:rPr>
        <w:t>79</w:t>
      </w:r>
      <w:r w:rsidRPr="00CD45EA">
        <w:rPr>
          <w:rFonts w:ascii="Times New Roman" w:eastAsia="Arial Unicode MS" w:hAnsi="Times New Roman"/>
          <w:lang w:bidi="en-US"/>
        </w:rPr>
        <w:t xml:space="preserve">, № </w:t>
      </w:r>
      <w:r w:rsidRPr="00F25A67">
        <w:rPr>
          <w:rFonts w:ascii="Times New Roman" w:eastAsia="Arial Unicode MS" w:hAnsi="Times New Roman"/>
          <w:lang w:val="kk-KZ" w:bidi="en-US"/>
        </w:rPr>
        <w:t>2</w:t>
      </w:r>
      <w:r w:rsidRPr="00CD45EA">
        <w:rPr>
          <w:rFonts w:ascii="Times New Roman" w:eastAsia="Arial Unicode MS" w:hAnsi="Times New Roman"/>
          <w:lang w:bidi="en-US"/>
        </w:rPr>
        <w:t xml:space="preserve">. </w:t>
      </w:r>
      <w:r>
        <w:rPr>
          <w:rFonts w:ascii="Times New Roman" w:eastAsia="Arial Unicode MS" w:hAnsi="Times New Roman"/>
          <w:lang w:val="kk-KZ" w:bidi="en-US"/>
        </w:rPr>
        <w:t>– С. 9</w:t>
      </w:r>
      <w:r w:rsidRPr="00F25A67">
        <w:rPr>
          <w:rFonts w:ascii="Times New Roman" w:eastAsia="Arial Unicode MS" w:hAnsi="Times New Roman"/>
          <w:lang w:val="kk-KZ" w:bidi="en-US"/>
        </w:rPr>
        <w:t>.</w:t>
      </w:r>
    </w:p>
    <w:p w14:paraId="28B2C06E" w14:textId="4D915382" w:rsidR="00A11128" w:rsidRPr="00A11128" w:rsidRDefault="00A11128" w:rsidP="00A11128">
      <w:pPr>
        <w:numPr>
          <w:ilvl w:val="0"/>
          <w:numId w:val="3"/>
        </w:numPr>
        <w:tabs>
          <w:tab w:val="left" w:pos="0"/>
        </w:tabs>
        <w:spacing w:before="100" w:beforeAutospacing="1" w:after="100" w:afterAutospacing="1" w:line="240" w:lineRule="auto"/>
        <w:ind w:left="0" w:firstLine="0"/>
        <w:jc w:val="both"/>
        <w:rPr>
          <w:rFonts w:ascii="Times New Roman" w:eastAsia="Times New Roman" w:hAnsi="Times New Roman"/>
          <w:color w:val="000000"/>
          <w:lang w:val="kk-KZ" w:eastAsia="ru-RU"/>
        </w:rPr>
      </w:pPr>
      <w:r w:rsidRPr="00CD45EA">
        <w:rPr>
          <w:rFonts w:ascii="Times New Roman" w:eastAsia="Times New Roman" w:hAnsi="Times New Roman"/>
          <w:color w:val="000000"/>
          <w:lang w:eastAsia="ru-RU"/>
        </w:rPr>
        <w:t>Куанбай А.К., Бисенбаев А.К., Тайпақова С.М. Выделение и характеристика кДНК гена поли (АДФ-рибоза) полимеразы 2 Arabidopsis thaliana // Вестник КазНУ - 2018. – Т. 74, № 1. – С. 99-111.</w:t>
      </w:r>
    </w:p>
    <w:p w14:paraId="35B9C1BE" w14:textId="4DC5ACAC" w:rsidR="00E7297B" w:rsidRPr="00A11128" w:rsidRDefault="00E7297B" w:rsidP="00773885">
      <w:pPr>
        <w:tabs>
          <w:tab w:val="left" w:pos="0"/>
        </w:tabs>
        <w:spacing w:before="100" w:beforeAutospacing="1" w:after="100" w:afterAutospacing="1" w:line="240" w:lineRule="auto"/>
        <w:jc w:val="both"/>
        <w:rPr>
          <w:rFonts w:ascii="Times New Roman" w:hAnsi="Times New Roman"/>
          <w:bCs/>
          <w:sz w:val="28"/>
          <w:szCs w:val="28"/>
          <w:lang w:val="kk-KZ"/>
        </w:rPr>
      </w:pPr>
    </w:p>
    <w:sectPr w:rsidR="00E7297B" w:rsidRPr="00A11128" w:rsidSect="00787FF6">
      <w:footerReference w:type="default" r:id="rId8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0240E" w14:textId="77777777" w:rsidR="005F3B8C" w:rsidRDefault="005F3B8C" w:rsidP="00C27868">
      <w:pPr>
        <w:spacing w:after="0" w:line="240" w:lineRule="auto"/>
      </w:pPr>
      <w:r>
        <w:separator/>
      </w:r>
    </w:p>
  </w:endnote>
  <w:endnote w:type="continuationSeparator" w:id="0">
    <w:p w14:paraId="28AF2125" w14:textId="77777777" w:rsidR="005F3B8C" w:rsidRDefault="005F3B8C" w:rsidP="00C27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6262D" w14:textId="798274F6" w:rsidR="0068745D" w:rsidRDefault="0068745D" w:rsidP="00626F56">
    <w:pPr>
      <w:pStyle w:val="af0"/>
      <w:jc w:val="center"/>
    </w:pPr>
    <w:r>
      <w:fldChar w:fldCharType="begin"/>
    </w:r>
    <w:r>
      <w:instrText>PAGE   \* MERGEFORMAT</w:instrText>
    </w:r>
    <w:r>
      <w:fldChar w:fldCharType="separate"/>
    </w:r>
    <w:r w:rsidR="008D1829" w:rsidRPr="008D1829">
      <w:rPr>
        <w:noProof/>
        <w:lang w:val="ru-RU"/>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6251A" w14:textId="77777777" w:rsidR="005F3B8C" w:rsidRDefault="005F3B8C" w:rsidP="00C27868">
      <w:pPr>
        <w:spacing w:after="0" w:line="240" w:lineRule="auto"/>
      </w:pPr>
      <w:r>
        <w:separator/>
      </w:r>
    </w:p>
  </w:footnote>
  <w:footnote w:type="continuationSeparator" w:id="0">
    <w:p w14:paraId="3B52FE68" w14:textId="77777777" w:rsidR="005F3B8C" w:rsidRDefault="005F3B8C" w:rsidP="00C278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74ACD"/>
    <w:multiLevelType w:val="hybridMultilevel"/>
    <w:tmpl w:val="940C0EE0"/>
    <w:lvl w:ilvl="0" w:tplc="1108E674">
      <w:start w:val="1"/>
      <w:numFmt w:val="decimal"/>
      <w:lvlText w:val="%1."/>
      <w:lvlJc w:val="left"/>
      <w:pPr>
        <w:ind w:left="1077" w:hanging="51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09F23B08"/>
    <w:multiLevelType w:val="hybridMultilevel"/>
    <w:tmpl w:val="9FDC3F7E"/>
    <w:lvl w:ilvl="0" w:tplc="16CE233E">
      <w:start w:val="1"/>
      <w:numFmt w:val="decimal"/>
      <w:lvlText w:val="%1"/>
      <w:lvlJc w:val="left"/>
      <w:pPr>
        <w:ind w:left="720" w:hanging="360"/>
      </w:pPr>
      <w:rPr>
        <w:rFonts w:hint="default"/>
        <w:b w:val="0"/>
        <w:bCs/>
        <w:i w:val="0"/>
        <w:iCs w:val="0"/>
        <w:strike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FC0CE3"/>
    <w:multiLevelType w:val="hybridMultilevel"/>
    <w:tmpl w:val="B2F25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632BAB"/>
    <w:multiLevelType w:val="hybridMultilevel"/>
    <w:tmpl w:val="6B5055F2"/>
    <w:lvl w:ilvl="0" w:tplc="F45272D8">
      <w:start w:val="1"/>
      <w:numFmt w:val="low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E8271C9"/>
    <w:multiLevelType w:val="hybridMultilevel"/>
    <w:tmpl w:val="3648F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A14"/>
    <w:rsid w:val="00003C27"/>
    <w:rsid w:val="00007B85"/>
    <w:rsid w:val="0001057F"/>
    <w:rsid w:val="00014581"/>
    <w:rsid w:val="00015707"/>
    <w:rsid w:val="00020449"/>
    <w:rsid w:val="00020DA7"/>
    <w:rsid w:val="0002463E"/>
    <w:rsid w:val="00026498"/>
    <w:rsid w:val="000276D9"/>
    <w:rsid w:val="00027787"/>
    <w:rsid w:val="00030E82"/>
    <w:rsid w:val="000401FA"/>
    <w:rsid w:val="00041BBF"/>
    <w:rsid w:val="00051A53"/>
    <w:rsid w:val="00053140"/>
    <w:rsid w:val="000618A4"/>
    <w:rsid w:val="00063457"/>
    <w:rsid w:val="000643DE"/>
    <w:rsid w:val="00064DBC"/>
    <w:rsid w:val="00067DA0"/>
    <w:rsid w:val="00072053"/>
    <w:rsid w:val="00072391"/>
    <w:rsid w:val="0007419C"/>
    <w:rsid w:val="00074EEA"/>
    <w:rsid w:val="000757FC"/>
    <w:rsid w:val="00081289"/>
    <w:rsid w:val="0008192C"/>
    <w:rsid w:val="00083546"/>
    <w:rsid w:val="00083FED"/>
    <w:rsid w:val="00085FF3"/>
    <w:rsid w:val="000A479F"/>
    <w:rsid w:val="000A6545"/>
    <w:rsid w:val="000B1002"/>
    <w:rsid w:val="000B103D"/>
    <w:rsid w:val="000B22BA"/>
    <w:rsid w:val="000B2872"/>
    <w:rsid w:val="000B7F5C"/>
    <w:rsid w:val="000C0377"/>
    <w:rsid w:val="000C141C"/>
    <w:rsid w:val="000C14D8"/>
    <w:rsid w:val="000C16BB"/>
    <w:rsid w:val="000C443C"/>
    <w:rsid w:val="000C60A8"/>
    <w:rsid w:val="000D04A6"/>
    <w:rsid w:val="000D20D2"/>
    <w:rsid w:val="000D33B0"/>
    <w:rsid w:val="000D3A25"/>
    <w:rsid w:val="000D4664"/>
    <w:rsid w:val="000D646B"/>
    <w:rsid w:val="000E2ECF"/>
    <w:rsid w:val="000E397F"/>
    <w:rsid w:val="000E3EF9"/>
    <w:rsid w:val="000E4BE5"/>
    <w:rsid w:val="000E75FB"/>
    <w:rsid w:val="000F0E16"/>
    <w:rsid w:val="000F2600"/>
    <w:rsid w:val="000F76E3"/>
    <w:rsid w:val="00100B3C"/>
    <w:rsid w:val="0010330B"/>
    <w:rsid w:val="00103C69"/>
    <w:rsid w:val="00105F4A"/>
    <w:rsid w:val="00106684"/>
    <w:rsid w:val="00107040"/>
    <w:rsid w:val="001165C8"/>
    <w:rsid w:val="00116CE6"/>
    <w:rsid w:val="00117BF9"/>
    <w:rsid w:val="00120983"/>
    <w:rsid w:val="00121641"/>
    <w:rsid w:val="00121FE2"/>
    <w:rsid w:val="00123502"/>
    <w:rsid w:val="00123D87"/>
    <w:rsid w:val="00123F73"/>
    <w:rsid w:val="00124CEF"/>
    <w:rsid w:val="0013341E"/>
    <w:rsid w:val="00137BAE"/>
    <w:rsid w:val="001412C4"/>
    <w:rsid w:val="0014157B"/>
    <w:rsid w:val="00141FB4"/>
    <w:rsid w:val="001451CB"/>
    <w:rsid w:val="0014612F"/>
    <w:rsid w:val="001472FC"/>
    <w:rsid w:val="0014763E"/>
    <w:rsid w:val="0015146A"/>
    <w:rsid w:val="00154D69"/>
    <w:rsid w:val="00160D00"/>
    <w:rsid w:val="001619E8"/>
    <w:rsid w:val="00162F17"/>
    <w:rsid w:val="0016399E"/>
    <w:rsid w:val="00163BE5"/>
    <w:rsid w:val="00165792"/>
    <w:rsid w:val="00165D48"/>
    <w:rsid w:val="001733A7"/>
    <w:rsid w:val="00174ED5"/>
    <w:rsid w:val="00177BEC"/>
    <w:rsid w:val="001812AC"/>
    <w:rsid w:val="00184354"/>
    <w:rsid w:val="00185DCF"/>
    <w:rsid w:val="00186274"/>
    <w:rsid w:val="00186814"/>
    <w:rsid w:val="00195138"/>
    <w:rsid w:val="001A5556"/>
    <w:rsid w:val="001B0545"/>
    <w:rsid w:val="001B3850"/>
    <w:rsid w:val="001B4738"/>
    <w:rsid w:val="001B5B70"/>
    <w:rsid w:val="001B5EEF"/>
    <w:rsid w:val="001B6384"/>
    <w:rsid w:val="001B7B68"/>
    <w:rsid w:val="001C082B"/>
    <w:rsid w:val="001D2116"/>
    <w:rsid w:val="001D5D5F"/>
    <w:rsid w:val="001E34EA"/>
    <w:rsid w:val="001E5028"/>
    <w:rsid w:val="001E5C81"/>
    <w:rsid w:val="001E5DA6"/>
    <w:rsid w:val="001F0095"/>
    <w:rsid w:val="001F1A0D"/>
    <w:rsid w:val="001F4866"/>
    <w:rsid w:val="001F6EC7"/>
    <w:rsid w:val="0020163B"/>
    <w:rsid w:val="00202C5C"/>
    <w:rsid w:val="00212225"/>
    <w:rsid w:val="00213BAE"/>
    <w:rsid w:val="00213BE4"/>
    <w:rsid w:val="00214F0C"/>
    <w:rsid w:val="002161A1"/>
    <w:rsid w:val="00221180"/>
    <w:rsid w:val="002234D7"/>
    <w:rsid w:val="00223A64"/>
    <w:rsid w:val="00223D34"/>
    <w:rsid w:val="00251009"/>
    <w:rsid w:val="0025165C"/>
    <w:rsid w:val="00251E7E"/>
    <w:rsid w:val="00256D57"/>
    <w:rsid w:val="00266F3E"/>
    <w:rsid w:val="002707A8"/>
    <w:rsid w:val="00270A07"/>
    <w:rsid w:val="00271F26"/>
    <w:rsid w:val="0027302C"/>
    <w:rsid w:val="00277746"/>
    <w:rsid w:val="00283CF5"/>
    <w:rsid w:val="00284AA6"/>
    <w:rsid w:val="00285759"/>
    <w:rsid w:val="00294DF3"/>
    <w:rsid w:val="00297329"/>
    <w:rsid w:val="002A033B"/>
    <w:rsid w:val="002A0F1D"/>
    <w:rsid w:val="002A52DE"/>
    <w:rsid w:val="002A568C"/>
    <w:rsid w:val="002B1508"/>
    <w:rsid w:val="002B3B4F"/>
    <w:rsid w:val="002B6062"/>
    <w:rsid w:val="002B6B68"/>
    <w:rsid w:val="002B6F71"/>
    <w:rsid w:val="002C2B5A"/>
    <w:rsid w:val="002C445E"/>
    <w:rsid w:val="002D3ABB"/>
    <w:rsid w:val="002D6CC5"/>
    <w:rsid w:val="002E7B85"/>
    <w:rsid w:val="002F0090"/>
    <w:rsid w:val="002F2169"/>
    <w:rsid w:val="002F44E8"/>
    <w:rsid w:val="002F79EF"/>
    <w:rsid w:val="00300D05"/>
    <w:rsid w:val="0030334E"/>
    <w:rsid w:val="00307CF4"/>
    <w:rsid w:val="00313B02"/>
    <w:rsid w:val="00316CA5"/>
    <w:rsid w:val="00316F15"/>
    <w:rsid w:val="003234B7"/>
    <w:rsid w:val="00333048"/>
    <w:rsid w:val="00343F38"/>
    <w:rsid w:val="00345169"/>
    <w:rsid w:val="00347CA9"/>
    <w:rsid w:val="00350DA6"/>
    <w:rsid w:val="0035257A"/>
    <w:rsid w:val="00356869"/>
    <w:rsid w:val="00366063"/>
    <w:rsid w:val="00371014"/>
    <w:rsid w:val="00371D4A"/>
    <w:rsid w:val="00372561"/>
    <w:rsid w:val="00376626"/>
    <w:rsid w:val="00376D68"/>
    <w:rsid w:val="003816EF"/>
    <w:rsid w:val="00391576"/>
    <w:rsid w:val="00396EB9"/>
    <w:rsid w:val="00397A5B"/>
    <w:rsid w:val="003A22D5"/>
    <w:rsid w:val="003B6128"/>
    <w:rsid w:val="003B6EA9"/>
    <w:rsid w:val="003C604F"/>
    <w:rsid w:val="003C64AA"/>
    <w:rsid w:val="003C6964"/>
    <w:rsid w:val="003D0BCD"/>
    <w:rsid w:val="003E116D"/>
    <w:rsid w:val="003E621E"/>
    <w:rsid w:val="003F4B5E"/>
    <w:rsid w:val="00402145"/>
    <w:rsid w:val="004044BD"/>
    <w:rsid w:val="00405C07"/>
    <w:rsid w:val="0040640B"/>
    <w:rsid w:val="00410A14"/>
    <w:rsid w:val="00414AF3"/>
    <w:rsid w:val="00416218"/>
    <w:rsid w:val="00416C22"/>
    <w:rsid w:val="00417100"/>
    <w:rsid w:val="00420355"/>
    <w:rsid w:val="00421BAE"/>
    <w:rsid w:val="00424264"/>
    <w:rsid w:val="00431477"/>
    <w:rsid w:val="00435518"/>
    <w:rsid w:val="004371E0"/>
    <w:rsid w:val="00443463"/>
    <w:rsid w:val="00443AD6"/>
    <w:rsid w:val="0045126B"/>
    <w:rsid w:val="004525B7"/>
    <w:rsid w:val="00453242"/>
    <w:rsid w:val="00456D4F"/>
    <w:rsid w:val="00465BCA"/>
    <w:rsid w:val="0046785E"/>
    <w:rsid w:val="00474CD5"/>
    <w:rsid w:val="00475D7D"/>
    <w:rsid w:val="00477B4F"/>
    <w:rsid w:val="0048104E"/>
    <w:rsid w:val="0048697C"/>
    <w:rsid w:val="00493D20"/>
    <w:rsid w:val="00495087"/>
    <w:rsid w:val="00497B05"/>
    <w:rsid w:val="004A38DE"/>
    <w:rsid w:val="004A6222"/>
    <w:rsid w:val="004B641F"/>
    <w:rsid w:val="004C1806"/>
    <w:rsid w:val="004C2AA3"/>
    <w:rsid w:val="004C51B3"/>
    <w:rsid w:val="004C6B0A"/>
    <w:rsid w:val="004C6FCF"/>
    <w:rsid w:val="004D1494"/>
    <w:rsid w:val="004D37CC"/>
    <w:rsid w:val="004D4E51"/>
    <w:rsid w:val="004E0B55"/>
    <w:rsid w:val="004E4B1F"/>
    <w:rsid w:val="004E4CC8"/>
    <w:rsid w:val="004F7934"/>
    <w:rsid w:val="005006F3"/>
    <w:rsid w:val="0050281B"/>
    <w:rsid w:val="00503E84"/>
    <w:rsid w:val="005044E6"/>
    <w:rsid w:val="005047AA"/>
    <w:rsid w:val="005061B1"/>
    <w:rsid w:val="0051485E"/>
    <w:rsid w:val="00515C3E"/>
    <w:rsid w:val="00520B0C"/>
    <w:rsid w:val="00522FD9"/>
    <w:rsid w:val="00526B20"/>
    <w:rsid w:val="00532115"/>
    <w:rsid w:val="005443DB"/>
    <w:rsid w:val="005536B9"/>
    <w:rsid w:val="00553B42"/>
    <w:rsid w:val="00556840"/>
    <w:rsid w:val="00557526"/>
    <w:rsid w:val="0056161D"/>
    <w:rsid w:val="005644B3"/>
    <w:rsid w:val="005673AF"/>
    <w:rsid w:val="005840AA"/>
    <w:rsid w:val="00585406"/>
    <w:rsid w:val="0059193B"/>
    <w:rsid w:val="00592A23"/>
    <w:rsid w:val="00594A17"/>
    <w:rsid w:val="00595EFC"/>
    <w:rsid w:val="00596794"/>
    <w:rsid w:val="005A1161"/>
    <w:rsid w:val="005A329A"/>
    <w:rsid w:val="005B007E"/>
    <w:rsid w:val="005B00E6"/>
    <w:rsid w:val="005B0887"/>
    <w:rsid w:val="005B504C"/>
    <w:rsid w:val="005B747B"/>
    <w:rsid w:val="005C10B2"/>
    <w:rsid w:val="005C2917"/>
    <w:rsid w:val="005C5030"/>
    <w:rsid w:val="005C5687"/>
    <w:rsid w:val="005D68C6"/>
    <w:rsid w:val="005E1DBC"/>
    <w:rsid w:val="005E1F05"/>
    <w:rsid w:val="005E2443"/>
    <w:rsid w:val="005E4AAD"/>
    <w:rsid w:val="005E4B8E"/>
    <w:rsid w:val="005E54DE"/>
    <w:rsid w:val="005F23EC"/>
    <w:rsid w:val="005F3B8C"/>
    <w:rsid w:val="00600E56"/>
    <w:rsid w:val="00602356"/>
    <w:rsid w:val="0060751E"/>
    <w:rsid w:val="00607E29"/>
    <w:rsid w:val="00611E9D"/>
    <w:rsid w:val="006137DB"/>
    <w:rsid w:val="00622B2E"/>
    <w:rsid w:val="00623E7B"/>
    <w:rsid w:val="0062454D"/>
    <w:rsid w:val="00626F56"/>
    <w:rsid w:val="006273C6"/>
    <w:rsid w:val="00634648"/>
    <w:rsid w:val="00644057"/>
    <w:rsid w:val="00647DEF"/>
    <w:rsid w:val="006543C5"/>
    <w:rsid w:val="0065547A"/>
    <w:rsid w:val="006567D6"/>
    <w:rsid w:val="00657F12"/>
    <w:rsid w:val="0066331F"/>
    <w:rsid w:val="00665C8D"/>
    <w:rsid w:val="00667531"/>
    <w:rsid w:val="0067118F"/>
    <w:rsid w:val="00673DE8"/>
    <w:rsid w:val="00676E48"/>
    <w:rsid w:val="0068356E"/>
    <w:rsid w:val="0068745D"/>
    <w:rsid w:val="00691772"/>
    <w:rsid w:val="0069717D"/>
    <w:rsid w:val="006A2B44"/>
    <w:rsid w:val="006A2D2D"/>
    <w:rsid w:val="006B2FB3"/>
    <w:rsid w:val="006B3435"/>
    <w:rsid w:val="006C4840"/>
    <w:rsid w:val="006C49DF"/>
    <w:rsid w:val="006C60A7"/>
    <w:rsid w:val="006C6BDF"/>
    <w:rsid w:val="006C6CB8"/>
    <w:rsid w:val="006D1FB9"/>
    <w:rsid w:val="006D3797"/>
    <w:rsid w:val="006D43CD"/>
    <w:rsid w:val="006D599B"/>
    <w:rsid w:val="006E1E7E"/>
    <w:rsid w:val="006E37AD"/>
    <w:rsid w:val="006E417F"/>
    <w:rsid w:val="006E4635"/>
    <w:rsid w:val="006E578F"/>
    <w:rsid w:val="006E6DE2"/>
    <w:rsid w:val="006E73D0"/>
    <w:rsid w:val="006F38DB"/>
    <w:rsid w:val="006F521B"/>
    <w:rsid w:val="006F5D94"/>
    <w:rsid w:val="006F682D"/>
    <w:rsid w:val="006F7F63"/>
    <w:rsid w:val="007024EE"/>
    <w:rsid w:val="00702F24"/>
    <w:rsid w:val="00704524"/>
    <w:rsid w:val="00713715"/>
    <w:rsid w:val="00714A48"/>
    <w:rsid w:val="007156DE"/>
    <w:rsid w:val="00716C5F"/>
    <w:rsid w:val="007239CD"/>
    <w:rsid w:val="00726071"/>
    <w:rsid w:val="00730479"/>
    <w:rsid w:val="007313A6"/>
    <w:rsid w:val="00735F7B"/>
    <w:rsid w:val="00740872"/>
    <w:rsid w:val="0074114D"/>
    <w:rsid w:val="00744478"/>
    <w:rsid w:val="00744490"/>
    <w:rsid w:val="00745DF3"/>
    <w:rsid w:val="00747221"/>
    <w:rsid w:val="00750FA9"/>
    <w:rsid w:val="007512C7"/>
    <w:rsid w:val="007528D8"/>
    <w:rsid w:val="00753F4F"/>
    <w:rsid w:val="007562BE"/>
    <w:rsid w:val="00757353"/>
    <w:rsid w:val="007661C2"/>
    <w:rsid w:val="00766E10"/>
    <w:rsid w:val="007707E2"/>
    <w:rsid w:val="00773885"/>
    <w:rsid w:val="00774E4B"/>
    <w:rsid w:val="00787751"/>
    <w:rsid w:val="00787FF6"/>
    <w:rsid w:val="007953FF"/>
    <w:rsid w:val="007974BE"/>
    <w:rsid w:val="007B247C"/>
    <w:rsid w:val="007C156E"/>
    <w:rsid w:val="007C1821"/>
    <w:rsid w:val="007D15DD"/>
    <w:rsid w:val="007D1CB7"/>
    <w:rsid w:val="007D26A8"/>
    <w:rsid w:val="007D31E9"/>
    <w:rsid w:val="007D3503"/>
    <w:rsid w:val="007D3EEF"/>
    <w:rsid w:val="007D5A96"/>
    <w:rsid w:val="007D5DBF"/>
    <w:rsid w:val="007F6166"/>
    <w:rsid w:val="007F670B"/>
    <w:rsid w:val="00802AE1"/>
    <w:rsid w:val="00802C6E"/>
    <w:rsid w:val="00805A52"/>
    <w:rsid w:val="00811197"/>
    <w:rsid w:val="0082103D"/>
    <w:rsid w:val="00822B55"/>
    <w:rsid w:val="0082480D"/>
    <w:rsid w:val="00824A35"/>
    <w:rsid w:val="00825A0E"/>
    <w:rsid w:val="00830A07"/>
    <w:rsid w:val="00836313"/>
    <w:rsid w:val="00837756"/>
    <w:rsid w:val="008424DF"/>
    <w:rsid w:val="00843412"/>
    <w:rsid w:val="00844AAE"/>
    <w:rsid w:val="00847CFE"/>
    <w:rsid w:val="00852E08"/>
    <w:rsid w:val="008547DC"/>
    <w:rsid w:val="008551DB"/>
    <w:rsid w:val="008611DC"/>
    <w:rsid w:val="008618F2"/>
    <w:rsid w:val="008648A7"/>
    <w:rsid w:val="00864D51"/>
    <w:rsid w:val="00867EF3"/>
    <w:rsid w:val="00875D69"/>
    <w:rsid w:val="008779D1"/>
    <w:rsid w:val="008854CE"/>
    <w:rsid w:val="008873A0"/>
    <w:rsid w:val="00890CB0"/>
    <w:rsid w:val="00890E62"/>
    <w:rsid w:val="00893538"/>
    <w:rsid w:val="00894569"/>
    <w:rsid w:val="00894CF6"/>
    <w:rsid w:val="008958C2"/>
    <w:rsid w:val="00895D06"/>
    <w:rsid w:val="008A4ABD"/>
    <w:rsid w:val="008A77EB"/>
    <w:rsid w:val="008A7A10"/>
    <w:rsid w:val="008B1859"/>
    <w:rsid w:val="008B458E"/>
    <w:rsid w:val="008B7D4F"/>
    <w:rsid w:val="008C005D"/>
    <w:rsid w:val="008C1FD1"/>
    <w:rsid w:val="008C2EFC"/>
    <w:rsid w:val="008C552E"/>
    <w:rsid w:val="008C6134"/>
    <w:rsid w:val="008D064D"/>
    <w:rsid w:val="008D1829"/>
    <w:rsid w:val="008D4840"/>
    <w:rsid w:val="008D4F1A"/>
    <w:rsid w:val="008D6882"/>
    <w:rsid w:val="008E324D"/>
    <w:rsid w:val="008E405E"/>
    <w:rsid w:val="008E4473"/>
    <w:rsid w:val="008E6FDE"/>
    <w:rsid w:val="008F2672"/>
    <w:rsid w:val="008F26D3"/>
    <w:rsid w:val="008F3F87"/>
    <w:rsid w:val="008F42F1"/>
    <w:rsid w:val="008F4D8E"/>
    <w:rsid w:val="00903387"/>
    <w:rsid w:val="00905267"/>
    <w:rsid w:val="00906E80"/>
    <w:rsid w:val="009118ED"/>
    <w:rsid w:val="0091544D"/>
    <w:rsid w:val="009168FD"/>
    <w:rsid w:val="00916EDB"/>
    <w:rsid w:val="00921109"/>
    <w:rsid w:val="009253E1"/>
    <w:rsid w:val="0093128D"/>
    <w:rsid w:val="00932D4D"/>
    <w:rsid w:val="00932F6E"/>
    <w:rsid w:val="00934A28"/>
    <w:rsid w:val="00934F03"/>
    <w:rsid w:val="009365F0"/>
    <w:rsid w:val="0094515D"/>
    <w:rsid w:val="0094518E"/>
    <w:rsid w:val="0094520C"/>
    <w:rsid w:val="0094524D"/>
    <w:rsid w:val="00951DCF"/>
    <w:rsid w:val="00952925"/>
    <w:rsid w:val="00953ECC"/>
    <w:rsid w:val="00965D2F"/>
    <w:rsid w:val="00966579"/>
    <w:rsid w:val="00966C98"/>
    <w:rsid w:val="00973D99"/>
    <w:rsid w:val="00975080"/>
    <w:rsid w:val="00977A13"/>
    <w:rsid w:val="00981E28"/>
    <w:rsid w:val="009842A0"/>
    <w:rsid w:val="00986B3D"/>
    <w:rsid w:val="00987120"/>
    <w:rsid w:val="00991AA2"/>
    <w:rsid w:val="00991E98"/>
    <w:rsid w:val="00992872"/>
    <w:rsid w:val="00993852"/>
    <w:rsid w:val="00994199"/>
    <w:rsid w:val="009968D9"/>
    <w:rsid w:val="009979B8"/>
    <w:rsid w:val="009A0D9A"/>
    <w:rsid w:val="009A255B"/>
    <w:rsid w:val="009A49DC"/>
    <w:rsid w:val="009A5770"/>
    <w:rsid w:val="009B0FA5"/>
    <w:rsid w:val="009B1CF1"/>
    <w:rsid w:val="009B2206"/>
    <w:rsid w:val="009B2E3B"/>
    <w:rsid w:val="009B328F"/>
    <w:rsid w:val="009B348A"/>
    <w:rsid w:val="009B7C35"/>
    <w:rsid w:val="009C3ECF"/>
    <w:rsid w:val="009C4269"/>
    <w:rsid w:val="009C5F78"/>
    <w:rsid w:val="009C6FB5"/>
    <w:rsid w:val="009D1CBF"/>
    <w:rsid w:val="009D2ABA"/>
    <w:rsid w:val="009E0E23"/>
    <w:rsid w:val="009E5755"/>
    <w:rsid w:val="009F3437"/>
    <w:rsid w:val="009F4000"/>
    <w:rsid w:val="009F7ED4"/>
    <w:rsid w:val="00A0082D"/>
    <w:rsid w:val="00A02894"/>
    <w:rsid w:val="00A11128"/>
    <w:rsid w:val="00A205DB"/>
    <w:rsid w:val="00A20E74"/>
    <w:rsid w:val="00A21340"/>
    <w:rsid w:val="00A362D8"/>
    <w:rsid w:val="00A42A55"/>
    <w:rsid w:val="00A43BB1"/>
    <w:rsid w:val="00A43EC7"/>
    <w:rsid w:val="00A44FCD"/>
    <w:rsid w:val="00A46B9B"/>
    <w:rsid w:val="00A521B6"/>
    <w:rsid w:val="00A523C6"/>
    <w:rsid w:val="00A52ED3"/>
    <w:rsid w:val="00A704F5"/>
    <w:rsid w:val="00A76B68"/>
    <w:rsid w:val="00A809E0"/>
    <w:rsid w:val="00A90F61"/>
    <w:rsid w:val="00A928C0"/>
    <w:rsid w:val="00A92BB0"/>
    <w:rsid w:val="00A93976"/>
    <w:rsid w:val="00A96346"/>
    <w:rsid w:val="00A97A3D"/>
    <w:rsid w:val="00AA10F1"/>
    <w:rsid w:val="00AA2CAF"/>
    <w:rsid w:val="00AA69DA"/>
    <w:rsid w:val="00AB1CA3"/>
    <w:rsid w:val="00AB3697"/>
    <w:rsid w:val="00AB3840"/>
    <w:rsid w:val="00AB440C"/>
    <w:rsid w:val="00AB6D29"/>
    <w:rsid w:val="00AB7589"/>
    <w:rsid w:val="00AC22D9"/>
    <w:rsid w:val="00AC3008"/>
    <w:rsid w:val="00AC6ADC"/>
    <w:rsid w:val="00AC7601"/>
    <w:rsid w:val="00AD22D8"/>
    <w:rsid w:val="00AD7CD7"/>
    <w:rsid w:val="00AE17D4"/>
    <w:rsid w:val="00AE338B"/>
    <w:rsid w:val="00AE5B58"/>
    <w:rsid w:val="00AF2347"/>
    <w:rsid w:val="00B0068B"/>
    <w:rsid w:val="00B034B3"/>
    <w:rsid w:val="00B0447C"/>
    <w:rsid w:val="00B05BBC"/>
    <w:rsid w:val="00B17EB5"/>
    <w:rsid w:val="00B21E32"/>
    <w:rsid w:val="00B27875"/>
    <w:rsid w:val="00B3055B"/>
    <w:rsid w:val="00B33699"/>
    <w:rsid w:val="00B364E9"/>
    <w:rsid w:val="00B37BD0"/>
    <w:rsid w:val="00B41693"/>
    <w:rsid w:val="00B420B2"/>
    <w:rsid w:val="00B5502D"/>
    <w:rsid w:val="00B5516F"/>
    <w:rsid w:val="00B56A89"/>
    <w:rsid w:val="00B60416"/>
    <w:rsid w:val="00B60717"/>
    <w:rsid w:val="00B64D0A"/>
    <w:rsid w:val="00B668F8"/>
    <w:rsid w:val="00B67D1B"/>
    <w:rsid w:val="00B72D13"/>
    <w:rsid w:val="00B73464"/>
    <w:rsid w:val="00B7602B"/>
    <w:rsid w:val="00B760AE"/>
    <w:rsid w:val="00B77197"/>
    <w:rsid w:val="00B77366"/>
    <w:rsid w:val="00B82757"/>
    <w:rsid w:val="00B8355C"/>
    <w:rsid w:val="00B84AA4"/>
    <w:rsid w:val="00B856C1"/>
    <w:rsid w:val="00B8631B"/>
    <w:rsid w:val="00B86EA0"/>
    <w:rsid w:val="00B9382D"/>
    <w:rsid w:val="00BA3609"/>
    <w:rsid w:val="00BA4C6D"/>
    <w:rsid w:val="00BB0960"/>
    <w:rsid w:val="00BB0BA7"/>
    <w:rsid w:val="00BB2981"/>
    <w:rsid w:val="00BB37F2"/>
    <w:rsid w:val="00BB497C"/>
    <w:rsid w:val="00BB5923"/>
    <w:rsid w:val="00BB5A29"/>
    <w:rsid w:val="00BC2689"/>
    <w:rsid w:val="00BC54D1"/>
    <w:rsid w:val="00BC6CFA"/>
    <w:rsid w:val="00BC780C"/>
    <w:rsid w:val="00BD0E78"/>
    <w:rsid w:val="00BD0F77"/>
    <w:rsid w:val="00BD2C3A"/>
    <w:rsid w:val="00BD4681"/>
    <w:rsid w:val="00BD6F5C"/>
    <w:rsid w:val="00BE07A3"/>
    <w:rsid w:val="00BE329C"/>
    <w:rsid w:val="00BE4491"/>
    <w:rsid w:val="00BE4769"/>
    <w:rsid w:val="00BE76A0"/>
    <w:rsid w:val="00BF06FD"/>
    <w:rsid w:val="00BF4F87"/>
    <w:rsid w:val="00C0420B"/>
    <w:rsid w:val="00C04D7A"/>
    <w:rsid w:val="00C05F11"/>
    <w:rsid w:val="00C0684E"/>
    <w:rsid w:val="00C06BF8"/>
    <w:rsid w:val="00C10F22"/>
    <w:rsid w:val="00C26BF4"/>
    <w:rsid w:val="00C27868"/>
    <w:rsid w:val="00C34750"/>
    <w:rsid w:val="00C35486"/>
    <w:rsid w:val="00C36544"/>
    <w:rsid w:val="00C36CDE"/>
    <w:rsid w:val="00C413D9"/>
    <w:rsid w:val="00C4307D"/>
    <w:rsid w:val="00C434BF"/>
    <w:rsid w:val="00C44117"/>
    <w:rsid w:val="00C463E6"/>
    <w:rsid w:val="00C516AB"/>
    <w:rsid w:val="00C5331B"/>
    <w:rsid w:val="00C5462E"/>
    <w:rsid w:val="00C562B7"/>
    <w:rsid w:val="00C56F9F"/>
    <w:rsid w:val="00C67A8B"/>
    <w:rsid w:val="00C70AA2"/>
    <w:rsid w:val="00C73569"/>
    <w:rsid w:val="00C810DF"/>
    <w:rsid w:val="00C83F9E"/>
    <w:rsid w:val="00C867F3"/>
    <w:rsid w:val="00C9063C"/>
    <w:rsid w:val="00C90A32"/>
    <w:rsid w:val="00C91F25"/>
    <w:rsid w:val="00C943EB"/>
    <w:rsid w:val="00CA3D4E"/>
    <w:rsid w:val="00CA4E00"/>
    <w:rsid w:val="00CA5E2E"/>
    <w:rsid w:val="00CA7043"/>
    <w:rsid w:val="00CC00F1"/>
    <w:rsid w:val="00CC2769"/>
    <w:rsid w:val="00CD3393"/>
    <w:rsid w:val="00CD45EA"/>
    <w:rsid w:val="00CD49EA"/>
    <w:rsid w:val="00CD7B68"/>
    <w:rsid w:val="00CE1C81"/>
    <w:rsid w:val="00CE26B7"/>
    <w:rsid w:val="00CE4049"/>
    <w:rsid w:val="00CE5EDF"/>
    <w:rsid w:val="00CE6D70"/>
    <w:rsid w:val="00CF2C30"/>
    <w:rsid w:val="00CF4428"/>
    <w:rsid w:val="00D012BD"/>
    <w:rsid w:val="00D10300"/>
    <w:rsid w:val="00D117CA"/>
    <w:rsid w:val="00D12B49"/>
    <w:rsid w:val="00D13E55"/>
    <w:rsid w:val="00D14B42"/>
    <w:rsid w:val="00D15905"/>
    <w:rsid w:val="00D20014"/>
    <w:rsid w:val="00D2001F"/>
    <w:rsid w:val="00D223C8"/>
    <w:rsid w:val="00D23A61"/>
    <w:rsid w:val="00D26F44"/>
    <w:rsid w:val="00D31027"/>
    <w:rsid w:val="00D313D6"/>
    <w:rsid w:val="00D34165"/>
    <w:rsid w:val="00D36E4F"/>
    <w:rsid w:val="00D40873"/>
    <w:rsid w:val="00D54D41"/>
    <w:rsid w:val="00D60471"/>
    <w:rsid w:val="00D6136A"/>
    <w:rsid w:val="00D65A3B"/>
    <w:rsid w:val="00D66B1A"/>
    <w:rsid w:val="00D67182"/>
    <w:rsid w:val="00D74553"/>
    <w:rsid w:val="00D74AEC"/>
    <w:rsid w:val="00D77B9D"/>
    <w:rsid w:val="00D86E69"/>
    <w:rsid w:val="00D91CA3"/>
    <w:rsid w:val="00D930FF"/>
    <w:rsid w:val="00D967CE"/>
    <w:rsid w:val="00DA142B"/>
    <w:rsid w:val="00DA4C21"/>
    <w:rsid w:val="00DA5E49"/>
    <w:rsid w:val="00DA6279"/>
    <w:rsid w:val="00DA7342"/>
    <w:rsid w:val="00DA7BA0"/>
    <w:rsid w:val="00DB27A5"/>
    <w:rsid w:val="00DB5323"/>
    <w:rsid w:val="00DD09FB"/>
    <w:rsid w:val="00DD475A"/>
    <w:rsid w:val="00DD7252"/>
    <w:rsid w:val="00DD78AF"/>
    <w:rsid w:val="00DD7CE9"/>
    <w:rsid w:val="00DE0F42"/>
    <w:rsid w:val="00DE14FE"/>
    <w:rsid w:val="00DE28EC"/>
    <w:rsid w:val="00DE6645"/>
    <w:rsid w:val="00DF009E"/>
    <w:rsid w:val="00DF07E2"/>
    <w:rsid w:val="00DF65CE"/>
    <w:rsid w:val="00E04339"/>
    <w:rsid w:val="00E06192"/>
    <w:rsid w:val="00E11A5F"/>
    <w:rsid w:val="00E1280E"/>
    <w:rsid w:val="00E13D97"/>
    <w:rsid w:val="00E20298"/>
    <w:rsid w:val="00E206E9"/>
    <w:rsid w:val="00E22A5F"/>
    <w:rsid w:val="00E22AA1"/>
    <w:rsid w:val="00E27B8B"/>
    <w:rsid w:val="00E314D1"/>
    <w:rsid w:val="00E3272B"/>
    <w:rsid w:val="00E33AC9"/>
    <w:rsid w:val="00E34E60"/>
    <w:rsid w:val="00E35884"/>
    <w:rsid w:val="00E50498"/>
    <w:rsid w:val="00E52A38"/>
    <w:rsid w:val="00E54DA2"/>
    <w:rsid w:val="00E55199"/>
    <w:rsid w:val="00E5781C"/>
    <w:rsid w:val="00E57A39"/>
    <w:rsid w:val="00E57C3D"/>
    <w:rsid w:val="00E63FC3"/>
    <w:rsid w:val="00E70F82"/>
    <w:rsid w:val="00E7297B"/>
    <w:rsid w:val="00E80AEC"/>
    <w:rsid w:val="00E81FF5"/>
    <w:rsid w:val="00E84BA4"/>
    <w:rsid w:val="00E84C78"/>
    <w:rsid w:val="00E8549D"/>
    <w:rsid w:val="00E907F1"/>
    <w:rsid w:val="00E9449E"/>
    <w:rsid w:val="00E97228"/>
    <w:rsid w:val="00EA1365"/>
    <w:rsid w:val="00EA2C63"/>
    <w:rsid w:val="00EA3606"/>
    <w:rsid w:val="00EA48D1"/>
    <w:rsid w:val="00EA62F2"/>
    <w:rsid w:val="00EB17A0"/>
    <w:rsid w:val="00EC0311"/>
    <w:rsid w:val="00EC1147"/>
    <w:rsid w:val="00EC246D"/>
    <w:rsid w:val="00EC66D4"/>
    <w:rsid w:val="00EC6861"/>
    <w:rsid w:val="00EC7BB7"/>
    <w:rsid w:val="00ED211F"/>
    <w:rsid w:val="00ED28D6"/>
    <w:rsid w:val="00ED7215"/>
    <w:rsid w:val="00EE52B3"/>
    <w:rsid w:val="00EE6A9A"/>
    <w:rsid w:val="00EE6AD5"/>
    <w:rsid w:val="00EF04D5"/>
    <w:rsid w:val="00F0433A"/>
    <w:rsid w:val="00F062D2"/>
    <w:rsid w:val="00F07E91"/>
    <w:rsid w:val="00F1020D"/>
    <w:rsid w:val="00F105BD"/>
    <w:rsid w:val="00F115B8"/>
    <w:rsid w:val="00F162E7"/>
    <w:rsid w:val="00F173CC"/>
    <w:rsid w:val="00F2006A"/>
    <w:rsid w:val="00F20CEF"/>
    <w:rsid w:val="00F22A26"/>
    <w:rsid w:val="00F253C9"/>
    <w:rsid w:val="00F25F87"/>
    <w:rsid w:val="00F27FAD"/>
    <w:rsid w:val="00F363B1"/>
    <w:rsid w:val="00F45801"/>
    <w:rsid w:val="00F4777E"/>
    <w:rsid w:val="00F55A85"/>
    <w:rsid w:val="00F56B09"/>
    <w:rsid w:val="00F607C8"/>
    <w:rsid w:val="00F655F9"/>
    <w:rsid w:val="00F7007C"/>
    <w:rsid w:val="00F72DE2"/>
    <w:rsid w:val="00F74F7A"/>
    <w:rsid w:val="00F7783F"/>
    <w:rsid w:val="00F77E12"/>
    <w:rsid w:val="00F8299A"/>
    <w:rsid w:val="00F8394F"/>
    <w:rsid w:val="00F84D3E"/>
    <w:rsid w:val="00F865E8"/>
    <w:rsid w:val="00F86F18"/>
    <w:rsid w:val="00F87155"/>
    <w:rsid w:val="00F9448E"/>
    <w:rsid w:val="00F94ACD"/>
    <w:rsid w:val="00F94C02"/>
    <w:rsid w:val="00F95EC1"/>
    <w:rsid w:val="00F963C6"/>
    <w:rsid w:val="00FA30BE"/>
    <w:rsid w:val="00FA666A"/>
    <w:rsid w:val="00FA7361"/>
    <w:rsid w:val="00FA772A"/>
    <w:rsid w:val="00FA7C32"/>
    <w:rsid w:val="00FB2530"/>
    <w:rsid w:val="00FB298B"/>
    <w:rsid w:val="00FB5E68"/>
    <w:rsid w:val="00FC177F"/>
    <w:rsid w:val="00FC1FB6"/>
    <w:rsid w:val="00FC45D6"/>
    <w:rsid w:val="00FD280E"/>
    <w:rsid w:val="00FD42D2"/>
    <w:rsid w:val="00FD6318"/>
    <w:rsid w:val="00FD760C"/>
    <w:rsid w:val="00FD7823"/>
    <w:rsid w:val="00FD7A8D"/>
    <w:rsid w:val="00FE3479"/>
    <w:rsid w:val="00FE67DE"/>
    <w:rsid w:val="00FF2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D67D9"/>
  <w15:chartTrackingRefBased/>
  <w15:docId w15:val="{2730A8B7-0EB1-4B51-8A0F-DB9B916AB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3FF"/>
    <w:pPr>
      <w:spacing w:after="160" w:line="259" w:lineRule="auto"/>
    </w:pPr>
    <w:rPr>
      <w:sz w:val="22"/>
      <w:szCs w:val="22"/>
      <w:lang w:val="fr-FR" w:eastAsia="en-US"/>
    </w:rPr>
  </w:style>
  <w:style w:type="paragraph" w:styleId="1">
    <w:name w:val="heading 1"/>
    <w:basedOn w:val="a"/>
    <w:next w:val="a"/>
    <w:link w:val="10"/>
    <w:uiPriority w:val="9"/>
    <w:qFormat/>
    <w:rsid w:val="00952925"/>
    <w:pPr>
      <w:keepNext/>
      <w:spacing w:before="240" w:after="60"/>
      <w:outlineLvl w:val="0"/>
    </w:pPr>
    <w:rPr>
      <w:rFonts w:ascii="Calibri Light" w:eastAsia="Times New Roman" w:hAnsi="Calibri Light"/>
      <w:b/>
      <w:bCs/>
      <w:kern w:val="32"/>
      <w:sz w:val="32"/>
      <w:szCs w:val="32"/>
    </w:rPr>
  </w:style>
  <w:style w:type="paragraph" w:styleId="2">
    <w:name w:val="heading 2"/>
    <w:basedOn w:val="a"/>
    <w:link w:val="20"/>
    <w:uiPriority w:val="9"/>
    <w:qFormat/>
    <w:rsid w:val="00014581"/>
    <w:pPr>
      <w:spacing w:before="100" w:beforeAutospacing="1" w:after="100" w:afterAutospacing="1" w:line="240" w:lineRule="auto"/>
      <w:outlineLvl w:val="1"/>
    </w:pPr>
    <w:rPr>
      <w:rFonts w:ascii="Times New Roman" w:eastAsia="Times New Roman" w:hAnsi="Times New Roman"/>
      <w:b/>
      <w:bCs/>
      <w:sz w:val="36"/>
      <w:szCs w:val="36"/>
      <w:lang w:val="en-US"/>
    </w:rPr>
  </w:style>
  <w:style w:type="paragraph" w:styleId="3">
    <w:name w:val="heading 3"/>
    <w:basedOn w:val="a"/>
    <w:next w:val="a"/>
    <w:link w:val="30"/>
    <w:uiPriority w:val="9"/>
    <w:unhideWhenUsed/>
    <w:qFormat/>
    <w:rsid w:val="00A43BB1"/>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0"/>
    <w:uiPriority w:val="9"/>
    <w:unhideWhenUsed/>
    <w:qFormat/>
    <w:rsid w:val="001070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rsid w:val="00410A14"/>
  </w:style>
  <w:style w:type="character" w:customStyle="1" w:styleId="viiyi">
    <w:name w:val="viiyi"/>
    <w:rsid w:val="004C6FCF"/>
  </w:style>
  <w:style w:type="paragraph" w:styleId="a3">
    <w:name w:val="Bibliography"/>
    <w:basedOn w:val="a"/>
    <w:next w:val="a"/>
    <w:uiPriority w:val="37"/>
    <w:unhideWhenUsed/>
    <w:rsid w:val="00F87155"/>
    <w:pPr>
      <w:tabs>
        <w:tab w:val="left" w:pos="504"/>
      </w:tabs>
      <w:spacing w:after="0" w:line="240" w:lineRule="auto"/>
      <w:ind w:left="504" w:hanging="504"/>
    </w:pPr>
  </w:style>
  <w:style w:type="character" w:styleId="a4">
    <w:name w:val="Hyperlink"/>
    <w:uiPriority w:val="99"/>
    <w:unhideWhenUsed/>
    <w:rsid w:val="0008192C"/>
    <w:rPr>
      <w:color w:val="0000FF"/>
      <w:u w:val="single"/>
    </w:rPr>
  </w:style>
  <w:style w:type="paragraph" w:customStyle="1" w:styleId="chapter-para">
    <w:name w:val="chapter-para"/>
    <w:basedOn w:val="a"/>
    <w:rsid w:val="0048697C"/>
    <w:pPr>
      <w:spacing w:before="100" w:beforeAutospacing="1" w:after="100" w:afterAutospacing="1" w:line="240" w:lineRule="auto"/>
    </w:pPr>
    <w:rPr>
      <w:rFonts w:ascii="Times New Roman" w:eastAsia="Times New Roman" w:hAnsi="Times New Roman"/>
      <w:sz w:val="24"/>
      <w:szCs w:val="24"/>
      <w:lang w:val="en-US"/>
    </w:rPr>
  </w:style>
  <w:style w:type="character" w:styleId="a5">
    <w:name w:val="Strong"/>
    <w:uiPriority w:val="22"/>
    <w:qFormat/>
    <w:rsid w:val="0048697C"/>
    <w:rPr>
      <w:b/>
      <w:bCs/>
    </w:rPr>
  </w:style>
  <w:style w:type="character" w:customStyle="1" w:styleId="20">
    <w:name w:val="Заголовок 2 Знак"/>
    <w:link w:val="2"/>
    <w:uiPriority w:val="9"/>
    <w:rsid w:val="00014581"/>
    <w:rPr>
      <w:rFonts w:ascii="Times New Roman" w:eastAsia="Times New Roman" w:hAnsi="Times New Roman"/>
      <w:b/>
      <w:bCs/>
      <w:sz w:val="36"/>
      <w:szCs w:val="36"/>
    </w:rPr>
  </w:style>
  <w:style w:type="character" w:customStyle="1" w:styleId="30">
    <w:name w:val="Заголовок 3 Знак"/>
    <w:link w:val="3"/>
    <w:uiPriority w:val="9"/>
    <w:rsid w:val="00A43BB1"/>
    <w:rPr>
      <w:rFonts w:ascii="Calibri Light" w:eastAsia="Times New Roman" w:hAnsi="Calibri Light" w:cs="Times New Roman"/>
      <w:b/>
      <w:bCs/>
      <w:sz w:val="26"/>
      <w:szCs w:val="26"/>
      <w:lang w:val="fr-FR"/>
    </w:rPr>
  </w:style>
  <w:style w:type="table" w:styleId="a6">
    <w:name w:val="Table Grid"/>
    <w:basedOn w:val="a1"/>
    <w:uiPriority w:val="39"/>
    <w:rsid w:val="00161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uiPriority w:val="20"/>
    <w:qFormat/>
    <w:rsid w:val="00623E7B"/>
    <w:rPr>
      <w:i/>
      <w:iCs/>
    </w:rPr>
  </w:style>
  <w:style w:type="paragraph" w:customStyle="1" w:styleId="11">
    <w:name w:val="Обычный (веб)1"/>
    <w:basedOn w:val="a"/>
    <w:uiPriority w:val="99"/>
    <w:unhideWhenUsed/>
    <w:rsid w:val="00141FB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
    <w:name w:val="p"/>
    <w:basedOn w:val="a"/>
    <w:rsid w:val="00141FB4"/>
    <w:pPr>
      <w:spacing w:before="100" w:beforeAutospacing="1" w:after="100" w:afterAutospacing="1" w:line="240" w:lineRule="auto"/>
    </w:pPr>
    <w:rPr>
      <w:rFonts w:ascii="Times New Roman" w:eastAsia="Times New Roman" w:hAnsi="Times New Roman"/>
      <w:sz w:val="24"/>
      <w:szCs w:val="24"/>
      <w:lang w:val="en-US"/>
    </w:rPr>
  </w:style>
  <w:style w:type="paragraph" w:styleId="a8">
    <w:name w:val="List Paragraph"/>
    <w:basedOn w:val="a"/>
    <w:uiPriority w:val="34"/>
    <w:qFormat/>
    <w:rsid w:val="001812AC"/>
    <w:pPr>
      <w:spacing w:after="0" w:line="240" w:lineRule="auto"/>
      <w:ind w:left="720"/>
      <w:contextualSpacing/>
    </w:pPr>
    <w:rPr>
      <w:rFonts w:ascii="Times New Roman" w:eastAsia="MS Mincho" w:hAnsi="Times New Roman"/>
      <w:sz w:val="24"/>
      <w:szCs w:val="24"/>
      <w:lang w:val="en-US" w:eastAsia="ja-JP"/>
    </w:rPr>
  </w:style>
  <w:style w:type="character" w:customStyle="1" w:styleId="10">
    <w:name w:val="Заголовок 1 Знак"/>
    <w:link w:val="1"/>
    <w:uiPriority w:val="9"/>
    <w:rsid w:val="00952925"/>
    <w:rPr>
      <w:rFonts w:ascii="Calibri Light" w:eastAsia="Times New Roman" w:hAnsi="Calibri Light" w:cs="Times New Roman"/>
      <w:b/>
      <w:bCs/>
      <w:kern w:val="32"/>
      <w:sz w:val="32"/>
      <w:szCs w:val="32"/>
      <w:lang w:val="fr-FR" w:eastAsia="en-US"/>
    </w:rPr>
  </w:style>
  <w:style w:type="numbering" w:customStyle="1" w:styleId="12">
    <w:name w:val="Нет списка1"/>
    <w:next w:val="a2"/>
    <w:uiPriority w:val="99"/>
    <w:semiHidden/>
    <w:unhideWhenUsed/>
    <w:rsid w:val="00952925"/>
  </w:style>
  <w:style w:type="paragraph" w:styleId="a9">
    <w:name w:val="No Spacing"/>
    <w:aliases w:val="агай"/>
    <w:link w:val="aa"/>
    <w:uiPriority w:val="1"/>
    <w:qFormat/>
    <w:rsid w:val="00952925"/>
    <w:pPr>
      <w:widowControl w:val="0"/>
      <w:suppressAutoHyphens/>
    </w:pPr>
    <w:rPr>
      <w:rFonts w:ascii="Times New Roman" w:eastAsia="Arial Unicode MS" w:hAnsi="Times New Roman" w:cs="Tahoma"/>
      <w:color w:val="000000"/>
      <w:sz w:val="24"/>
      <w:szCs w:val="24"/>
      <w:lang w:val="en-US" w:eastAsia="en-US" w:bidi="en-US"/>
    </w:rPr>
  </w:style>
  <w:style w:type="character" w:customStyle="1" w:styleId="apple-converted-space">
    <w:name w:val="apple-converted-space"/>
    <w:rsid w:val="00952925"/>
  </w:style>
  <w:style w:type="character" w:customStyle="1" w:styleId="aa">
    <w:name w:val="Без интервала Знак"/>
    <w:aliases w:val="агай Знак"/>
    <w:link w:val="a9"/>
    <w:uiPriority w:val="1"/>
    <w:rsid w:val="00952925"/>
    <w:rPr>
      <w:rFonts w:ascii="Times New Roman" w:eastAsia="Arial Unicode MS" w:hAnsi="Times New Roman" w:cs="Tahoma"/>
      <w:color w:val="000000"/>
      <w:sz w:val="24"/>
      <w:szCs w:val="24"/>
      <w:lang w:val="en-US" w:eastAsia="en-US" w:bidi="en-US"/>
    </w:rPr>
  </w:style>
  <w:style w:type="table" w:customStyle="1" w:styleId="13">
    <w:name w:val="Сетка таблицы1"/>
    <w:basedOn w:val="a1"/>
    <w:next w:val="a6"/>
    <w:uiPriority w:val="39"/>
    <w:rsid w:val="009529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992872"/>
  </w:style>
  <w:style w:type="paragraph" w:styleId="ab">
    <w:name w:val="header"/>
    <w:basedOn w:val="a"/>
    <w:link w:val="ac"/>
    <w:uiPriority w:val="99"/>
    <w:rsid w:val="00992872"/>
    <w:pPr>
      <w:tabs>
        <w:tab w:val="center" w:pos="4536"/>
        <w:tab w:val="right" w:pos="9072"/>
      </w:tabs>
      <w:spacing w:after="0" w:line="240" w:lineRule="auto"/>
    </w:pPr>
    <w:rPr>
      <w:rFonts w:ascii="Times New Roman" w:eastAsia="MS Mincho" w:hAnsi="Times New Roman"/>
      <w:sz w:val="24"/>
      <w:szCs w:val="24"/>
      <w:lang w:val="en-US" w:eastAsia="ja-JP"/>
    </w:rPr>
  </w:style>
  <w:style w:type="character" w:customStyle="1" w:styleId="ac">
    <w:name w:val="Верхний колонтитул Знак"/>
    <w:link w:val="ab"/>
    <w:uiPriority w:val="99"/>
    <w:rsid w:val="00992872"/>
    <w:rPr>
      <w:rFonts w:ascii="Times New Roman" w:eastAsia="MS Mincho" w:hAnsi="Times New Roman"/>
      <w:sz w:val="24"/>
      <w:szCs w:val="24"/>
      <w:lang w:val="en-US" w:eastAsia="ja-JP"/>
    </w:rPr>
  </w:style>
  <w:style w:type="character" w:styleId="ad">
    <w:name w:val="page number"/>
    <w:rsid w:val="00992872"/>
  </w:style>
  <w:style w:type="paragraph" w:customStyle="1" w:styleId="EndNoteBibliographyTitle">
    <w:name w:val="EndNote Bibliography Title"/>
    <w:basedOn w:val="a"/>
    <w:link w:val="EndNoteBibliographyTitleCar"/>
    <w:rsid w:val="00992872"/>
    <w:pPr>
      <w:spacing w:after="0" w:line="240" w:lineRule="auto"/>
      <w:jc w:val="center"/>
    </w:pPr>
    <w:rPr>
      <w:rFonts w:ascii="Times New Roman" w:eastAsia="MS Mincho" w:hAnsi="Times New Roman"/>
      <w:noProof/>
      <w:sz w:val="20"/>
      <w:szCs w:val="24"/>
      <w:lang w:val="en-US" w:eastAsia="ja-JP"/>
    </w:rPr>
  </w:style>
  <w:style w:type="character" w:customStyle="1" w:styleId="EndNoteBibliographyTitleCar">
    <w:name w:val="EndNote Bibliography Title Car"/>
    <w:link w:val="EndNoteBibliographyTitle"/>
    <w:rsid w:val="00992872"/>
    <w:rPr>
      <w:rFonts w:ascii="Times New Roman" w:eastAsia="MS Mincho" w:hAnsi="Times New Roman"/>
      <w:noProof/>
      <w:szCs w:val="24"/>
      <w:lang w:val="en-US" w:eastAsia="ja-JP"/>
    </w:rPr>
  </w:style>
  <w:style w:type="paragraph" w:customStyle="1" w:styleId="EndNoteBibliography">
    <w:name w:val="EndNote Bibliography"/>
    <w:basedOn w:val="a"/>
    <w:link w:val="EndNoteBibliographyCar"/>
    <w:rsid w:val="00992872"/>
    <w:pPr>
      <w:spacing w:after="0" w:line="240" w:lineRule="auto"/>
    </w:pPr>
    <w:rPr>
      <w:rFonts w:ascii="Times New Roman" w:eastAsia="MS Mincho" w:hAnsi="Times New Roman"/>
      <w:noProof/>
      <w:sz w:val="20"/>
      <w:szCs w:val="24"/>
      <w:lang w:val="en-US" w:eastAsia="ja-JP"/>
    </w:rPr>
  </w:style>
  <w:style w:type="character" w:customStyle="1" w:styleId="EndNoteBibliographyCar">
    <w:name w:val="EndNote Bibliography Car"/>
    <w:link w:val="EndNoteBibliography"/>
    <w:rsid w:val="00992872"/>
    <w:rPr>
      <w:rFonts w:ascii="Times New Roman" w:eastAsia="MS Mincho" w:hAnsi="Times New Roman"/>
      <w:noProof/>
      <w:szCs w:val="24"/>
      <w:lang w:val="en-US" w:eastAsia="ja-JP"/>
    </w:rPr>
  </w:style>
  <w:style w:type="paragraph" w:styleId="ae">
    <w:name w:val="Body Text"/>
    <w:basedOn w:val="a"/>
    <w:link w:val="af"/>
    <w:qFormat/>
    <w:rsid w:val="00992872"/>
    <w:pPr>
      <w:autoSpaceDE w:val="0"/>
      <w:autoSpaceDN w:val="0"/>
      <w:adjustRightInd w:val="0"/>
      <w:spacing w:after="0" w:line="240" w:lineRule="auto"/>
      <w:ind w:left="140"/>
    </w:pPr>
    <w:rPr>
      <w:rFonts w:ascii="Times New Roman" w:eastAsia="MS Mincho" w:hAnsi="Times New Roman"/>
      <w:sz w:val="20"/>
      <w:szCs w:val="20"/>
      <w:lang w:val="en-US"/>
    </w:rPr>
  </w:style>
  <w:style w:type="character" w:customStyle="1" w:styleId="af">
    <w:name w:val="Основной текст Знак"/>
    <w:link w:val="ae"/>
    <w:rsid w:val="00992872"/>
    <w:rPr>
      <w:rFonts w:ascii="Times New Roman" w:eastAsia="MS Mincho" w:hAnsi="Times New Roman"/>
      <w:lang w:val="en-US" w:eastAsia="en-US"/>
    </w:rPr>
  </w:style>
  <w:style w:type="paragraph" w:styleId="af0">
    <w:name w:val="footer"/>
    <w:basedOn w:val="a"/>
    <w:link w:val="af1"/>
    <w:uiPriority w:val="99"/>
    <w:rsid w:val="00992872"/>
    <w:pPr>
      <w:tabs>
        <w:tab w:val="center" w:pos="4680"/>
        <w:tab w:val="right" w:pos="9360"/>
      </w:tabs>
      <w:spacing w:after="0" w:line="240" w:lineRule="auto"/>
    </w:pPr>
    <w:rPr>
      <w:rFonts w:ascii="Times New Roman" w:eastAsia="MS Mincho" w:hAnsi="Times New Roman"/>
      <w:sz w:val="24"/>
      <w:szCs w:val="24"/>
      <w:lang w:val="en-US" w:eastAsia="ja-JP"/>
    </w:rPr>
  </w:style>
  <w:style w:type="character" w:customStyle="1" w:styleId="af1">
    <w:name w:val="Нижний колонтитул Знак"/>
    <w:link w:val="af0"/>
    <w:uiPriority w:val="99"/>
    <w:rsid w:val="00992872"/>
    <w:rPr>
      <w:rFonts w:ascii="Times New Roman" w:eastAsia="MS Mincho" w:hAnsi="Times New Roman"/>
      <w:sz w:val="24"/>
      <w:szCs w:val="24"/>
      <w:lang w:val="en-US" w:eastAsia="ja-JP"/>
    </w:rPr>
  </w:style>
  <w:style w:type="character" w:styleId="af2">
    <w:name w:val="Intense Reference"/>
    <w:uiPriority w:val="32"/>
    <w:qFormat/>
    <w:rsid w:val="00992872"/>
    <w:rPr>
      <w:b/>
      <w:bCs/>
      <w:smallCaps/>
      <w:color w:val="4472C4"/>
      <w:spacing w:val="5"/>
    </w:rPr>
  </w:style>
  <w:style w:type="paragraph" w:customStyle="1" w:styleId="Default">
    <w:name w:val="Default"/>
    <w:rsid w:val="00992872"/>
    <w:pPr>
      <w:autoSpaceDE w:val="0"/>
      <w:autoSpaceDN w:val="0"/>
      <w:adjustRightInd w:val="0"/>
    </w:pPr>
    <w:rPr>
      <w:rFonts w:ascii="Times New Roman" w:eastAsia="Times New Roman" w:hAnsi="Times New Roman"/>
      <w:color w:val="000000"/>
      <w:sz w:val="24"/>
      <w:szCs w:val="24"/>
    </w:rPr>
  </w:style>
  <w:style w:type="table" w:customStyle="1" w:styleId="Grilledutableau1">
    <w:name w:val="Grille du tableau1"/>
    <w:basedOn w:val="a1"/>
    <w:next w:val="a6"/>
    <w:rsid w:val="00992872"/>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6"/>
    <w:uiPriority w:val="39"/>
    <w:rsid w:val="00992872"/>
    <w:rPr>
      <w:rFonts w:ascii="Times New Roman" w:eastAsia="MS Mincho"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style3">
    <w:name w:val="auto-style3"/>
    <w:basedOn w:val="a"/>
    <w:rsid w:val="0099287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
    <w:name w:val="Неразрешенное упоминание1"/>
    <w:uiPriority w:val="99"/>
    <w:semiHidden/>
    <w:unhideWhenUsed/>
    <w:rsid w:val="00992872"/>
    <w:rPr>
      <w:color w:val="605E5C"/>
      <w:shd w:val="clear" w:color="auto" w:fill="E1DFDD"/>
    </w:rPr>
  </w:style>
  <w:style w:type="paragraph" w:styleId="23">
    <w:name w:val="Body Text 2"/>
    <w:basedOn w:val="a"/>
    <w:link w:val="24"/>
    <w:rsid w:val="00992872"/>
    <w:pPr>
      <w:spacing w:after="120" w:line="480" w:lineRule="auto"/>
    </w:pPr>
    <w:rPr>
      <w:rFonts w:ascii="Times New Roman" w:eastAsia="MS Mincho" w:hAnsi="Times New Roman"/>
      <w:sz w:val="24"/>
      <w:szCs w:val="24"/>
      <w:lang w:val="en-US" w:eastAsia="ja-JP"/>
    </w:rPr>
  </w:style>
  <w:style w:type="character" w:customStyle="1" w:styleId="24">
    <w:name w:val="Основной текст 2 Знак"/>
    <w:link w:val="23"/>
    <w:rsid w:val="00992872"/>
    <w:rPr>
      <w:rFonts w:ascii="Times New Roman" w:eastAsia="MS Mincho" w:hAnsi="Times New Roman"/>
      <w:sz w:val="24"/>
      <w:szCs w:val="24"/>
      <w:lang w:val="en-US" w:eastAsia="ja-JP"/>
    </w:rPr>
  </w:style>
  <w:style w:type="character" w:customStyle="1" w:styleId="longtext">
    <w:name w:val="long_text"/>
    <w:rsid w:val="00992872"/>
  </w:style>
  <w:style w:type="paragraph" w:customStyle="1" w:styleId="Normal1">
    <w:name w:val="Normal1"/>
    <w:rsid w:val="00992872"/>
    <w:rPr>
      <w:rFonts w:ascii="Times New Roman" w:eastAsia="Times New Roman" w:hAnsi="Times New Roman"/>
    </w:rPr>
  </w:style>
  <w:style w:type="paragraph" w:styleId="HTML">
    <w:name w:val="HTML Preformatted"/>
    <w:basedOn w:val="a"/>
    <w:link w:val="HTML0"/>
    <w:unhideWhenUsed/>
    <w:rsid w:val="0099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fr-FR"/>
    </w:rPr>
  </w:style>
  <w:style w:type="character" w:customStyle="1" w:styleId="HTML0">
    <w:name w:val="Стандартный HTML Знак"/>
    <w:link w:val="HTML"/>
    <w:rsid w:val="00992872"/>
    <w:rPr>
      <w:rFonts w:ascii="Courier New" w:eastAsia="Times New Roman" w:hAnsi="Courier New" w:cs="Courier New"/>
      <w:color w:val="000000"/>
      <w:sz w:val="18"/>
      <w:szCs w:val="18"/>
      <w:lang w:val="fr-FR" w:eastAsia="fr-FR"/>
    </w:rPr>
  </w:style>
  <w:style w:type="character" w:customStyle="1" w:styleId="st">
    <w:name w:val="st"/>
    <w:rsid w:val="00992872"/>
  </w:style>
  <w:style w:type="paragraph" w:customStyle="1" w:styleId="af3">
    <w:name w:val="ДИССЕР"/>
    <w:basedOn w:val="a"/>
    <w:link w:val="af4"/>
    <w:qFormat/>
    <w:rsid w:val="00992872"/>
    <w:pPr>
      <w:spacing w:after="0" w:line="240" w:lineRule="auto"/>
      <w:ind w:firstLine="851"/>
      <w:jc w:val="both"/>
    </w:pPr>
    <w:rPr>
      <w:rFonts w:ascii="Times New Roman" w:hAnsi="Times New Roman"/>
      <w:sz w:val="28"/>
      <w:szCs w:val="28"/>
      <w:lang w:val="en-US"/>
    </w:rPr>
  </w:style>
  <w:style w:type="character" w:customStyle="1" w:styleId="af4">
    <w:name w:val="ДИССЕР Знак"/>
    <w:link w:val="af3"/>
    <w:rsid w:val="00992872"/>
    <w:rPr>
      <w:rFonts w:ascii="Times New Roman" w:hAnsi="Times New Roman"/>
      <w:sz w:val="28"/>
      <w:szCs w:val="28"/>
      <w:lang w:val="en-US" w:eastAsia="en-US"/>
    </w:rPr>
  </w:style>
  <w:style w:type="character" w:customStyle="1" w:styleId="apple-style-span">
    <w:name w:val="apple-style-span"/>
    <w:rsid w:val="00992872"/>
  </w:style>
  <w:style w:type="character" w:customStyle="1" w:styleId="hps">
    <w:name w:val="hps"/>
    <w:rsid w:val="00992872"/>
  </w:style>
  <w:style w:type="character" w:customStyle="1" w:styleId="st1">
    <w:name w:val="st1"/>
    <w:rsid w:val="00992872"/>
  </w:style>
  <w:style w:type="character" w:customStyle="1" w:styleId="go">
    <w:name w:val="go"/>
    <w:rsid w:val="00992872"/>
  </w:style>
  <w:style w:type="character" w:customStyle="1" w:styleId="shorttext">
    <w:name w:val="short_text"/>
    <w:rsid w:val="00992872"/>
  </w:style>
  <w:style w:type="character" w:customStyle="1" w:styleId="reference-text">
    <w:name w:val="reference-text"/>
    <w:rsid w:val="00992872"/>
  </w:style>
  <w:style w:type="character" w:customStyle="1" w:styleId="jrnl">
    <w:name w:val="jrnl"/>
    <w:rsid w:val="00992872"/>
  </w:style>
  <w:style w:type="character" w:customStyle="1" w:styleId="cit">
    <w:name w:val="cit"/>
    <w:rsid w:val="00992872"/>
  </w:style>
  <w:style w:type="character" w:customStyle="1" w:styleId="fm-vol-iss-date">
    <w:name w:val="fm-vol-iss-date"/>
    <w:rsid w:val="00992872"/>
  </w:style>
  <w:style w:type="character" w:customStyle="1" w:styleId="doi">
    <w:name w:val="doi"/>
    <w:rsid w:val="00992872"/>
  </w:style>
  <w:style w:type="character" w:customStyle="1" w:styleId="fm-citation-ids-label">
    <w:name w:val="fm-citation-ids-label"/>
    <w:rsid w:val="00992872"/>
  </w:style>
  <w:style w:type="paragraph" w:styleId="af5">
    <w:name w:val="Balloon Text"/>
    <w:basedOn w:val="a"/>
    <w:link w:val="af6"/>
    <w:uiPriority w:val="99"/>
    <w:semiHidden/>
    <w:unhideWhenUsed/>
    <w:rsid w:val="00992872"/>
    <w:pPr>
      <w:spacing w:after="0" w:line="240" w:lineRule="auto"/>
    </w:pPr>
    <w:rPr>
      <w:rFonts w:ascii="Tahoma" w:eastAsia="Times New Roman" w:hAnsi="Tahoma" w:cs="Tahoma"/>
      <w:sz w:val="16"/>
      <w:szCs w:val="16"/>
      <w:lang w:val="ru-RU" w:eastAsia="ru-RU"/>
    </w:rPr>
  </w:style>
  <w:style w:type="character" w:customStyle="1" w:styleId="af6">
    <w:name w:val="Текст выноски Знак"/>
    <w:link w:val="af5"/>
    <w:uiPriority w:val="99"/>
    <w:semiHidden/>
    <w:rsid w:val="00992872"/>
    <w:rPr>
      <w:rFonts w:ascii="Tahoma" w:eastAsia="Times New Roman" w:hAnsi="Tahoma" w:cs="Tahoma"/>
      <w:sz w:val="16"/>
      <w:szCs w:val="16"/>
    </w:rPr>
  </w:style>
  <w:style w:type="character" w:customStyle="1" w:styleId="fontstyle30">
    <w:name w:val="fontstyle30"/>
    <w:rsid w:val="00992872"/>
  </w:style>
  <w:style w:type="character" w:customStyle="1" w:styleId="fontstyle25">
    <w:name w:val="fontstyle25"/>
    <w:rsid w:val="00992872"/>
  </w:style>
  <w:style w:type="character" w:customStyle="1" w:styleId="15">
    <w:name w:val="Верхний колонтитул1"/>
    <w:rsid w:val="00992872"/>
  </w:style>
  <w:style w:type="character" w:customStyle="1" w:styleId="16">
    <w:name w:val="Сильная ссылка1"/>
    <w:uiPriority w:val="32"/>
    <w:qFormat/>
    <w:rsid w:val="00C27868"/>
    <w:rPr>
      <w:b/>
      <w:bCs/>
      <w:smallCaps/>
      <w:color w:val="5B9BD5"/>
      <w:spacing w:val="5"/>
    </w:rPr>
  </w:style>
  <w:style w:type="paragraph" w:customStyle="1" w:styleId="17">
    <w:name w:val="Обычный (веб)1"/>
    <w:basedOn w:val="a"/>
    <w:next w:val="11"/>
    <w:unhideWhenUsed/>
    <w:rsid w:val="00C27868"/>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7">
    <w:name w:val="endnote text"/>
    <w:basedOn w:val="a"/>
    <w:link w:val="af8"/>
    <w:uiPriority w:val="99"/>
    <w:semiHidden/>
    <w:unhideWhenUsed/>
    <w:rsid w:val="00C27868"/>
    <w:rPr>
      <w:sz w:val="20"/>
      <w:szCs w:val="20"/>
    </w:rPr>
  </w:style>
  <w:style w:type="character" w:customStyle="1" w:styleId="af8">
    <w:name w:val="Текст концевой сноски Знак"/>
    <w:link w:val="af7"/>
    <w:uiPriority w:val="99"/>
    <w:semiHidden/>
    <w:rsid w:val="00C27868"/>
    <w:rPr>
      <w:lang w:val="fr-FR" w:eastAsia="en-US"/>
    </w:rPr>
  </w:style>
  <w:style w:type="character" w:styleId="af9">
    <w:name w:val="endnote reference"/>
    <w:uiPriority w:val="99"/>
    <w:semiHidden/>
    <w:unhideWhenUsed/>
    <w:rsid w:val="00C27868"/>
    <w:rPr>
      <w:vertAlign w:val="superscript"/>
    </w:rPr>
  </w:style>
  <w:style w:type="paragraph" w:styleId="afa">
    <w:name w:val="Normal (Web)"/>
    <w:basedOn w:val="a"/>
    <w:uiPriority w:val="99"/>
    <w:unhideWhenUsed/>
    <w:rsid w:val="000B103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40">
    <w:name w:val="Заголовок 4 Знак"/>
    <w:basedOn w:val="a0"/>
    <w:link w:val="4"/>
    <w:uiPriority w:val="9"/>
    <w:rsid w:val="00107040"/>
    <w:rPr>
      <w:rFonts w:asciiTheme="majorHAnsi" w:eastAsiaTheme="majorEastAsia" w:hAnsiTheme="majorHAnsi" w:cstheme="majorBidi"/>
      <w:i/>
      <w:iCs/>
      <w:color w:val="2F5496" w:themeColor="accent1" w:themeShade="BF"/>
      <w:sz w:val="22"/>
      <w:szCs w:val="22"/>
      <w:lang w:val="fr-FR" w:eastAsia="en-US"/>
    </w:rPr>
  </w:style>
  <w:style w:type="character" w:customStyle="1" w:styleId="UnresolvedMention">
    <w:name w:val="Unresolved Mention"/>
    <w:basedOn w:val="a0"/>
    <w:uiPriority w:val="99"/>
    <w:semiHidden/>
    <w:unhideWhenUsed/>
    <w:rsid w:val="00107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8373">
      <w:bodyDiv w:val="1"/>
      <w:marLeft w:val="0"/>
      <w:marRight w:val="0"/>
      <w:marTop w:val="0"/>
      <w:marBottom w:val="0"/>
      <w:divBdr>
        <w:top w:val="none" w:sz="0" w:space="0" w:color="auto"/>
        <w:left w:val="none" w:sz="0" w:space="0" w:color="auto"/>
        <w:bottom w:val="none" w:sz="0" w:space="0" w:color="auto"/>
        <w:right w:val="none" w:sz="0" w:space="0" w:color="auto"/>
      </w:divBdr>
    </w:div>
    <w:div w:id="81534969">
      <w:bodyDiv w:val="1"/>
      <w:marLeft w:val="0"/>
      <w:marRight w:val="0"/>
      <w:marTop w:val="0"/>
      <w:marBottom w:val="0"/>
      <w:divBdr>
        <w:top w:val="none" w:sz="0" w:space="0" w:color="auto"/>
        <w:left w:val="none" w:sz="0" w:space="0" w:color="auto"/>
        <w:bottom w:val="none" w:sz="0" w:space="0" w:color="auto"/>
        <w:right w:val="none" w:sz="0" w:space="0" w:color="auto"/>
      </w:divBdr>
    </w:div>
    <w:div w:id="203371602">
      <w:bodyDiv w:val="1"/>
      <w:marLeft w:val="0"/>
      <w:marRight w:val="0"/>
      <w:marTop w:val="0"/>
      <w:marBottom w:val="0"/>
      <w:divBdr>
        <w:top w:val="none" w:sz="0" w:space="0" w:color="auto"/>
        <w:left w:val="none" w:sz="0" w:space="0" w:color="auto"/>
        <w:bottom w:val="none" w:sz="0" w:space="0" w:color="auto"/>
        <w:right w:val="none" w:sz="0" w:space="0" w:color="auto"/>
      </w:divBdr>
    </w:div>
    <w:div w:id="672145592">
      <w:bodyDiv w:val="1"/>
      <w:marLeft w:val="0"/>
      <w:marRight w:val="0"/>
      <w:marTop w:val="0"/>
      <w:marBottom w:val="0"/>
      <w:divBdr>
        <w:top w:val="none" w:sz="0" w:space="0" w:color="auto"/>
        <w:left w:val="none" w:sz="0" w:space="0" w:color="auto"/>
        <w:bottom w:val="none" w:sz="0" w:space="0" w:color="auto"/>
        <w:right w:val="none" w:sz="0" w:space="0" w:color="auto"/>
      </w:divBdr>
      <w:divsChild>
        <w:div w:id="768158597">
          <w:marLeft w:val="0"/>
          <w:marRight w:val="0"/>
          <w:marTop w:val="0"/>
          <w:marBottom w:val="0"/>
          <w:divBdr>
            <w:top w:val="none" w:sz="0" w:space="0" w:color="auto"/>
            <w:left w:val="none" w:sz="0" w:space="0" w:color="auto"/>
            <w:bottom w:val="none" w:sz="0" w:space="0" w:color="auto"/>
            <w:right w:val="none" w:sz="0" w:space="0" w:color="auto"/>
          </w:divBdr>
          <w:divsChild>
            <w:div w:id="93902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0050">
      <w:bodyDiv w:val="1"/>
      <w:marLeft w:val="0"/>
      <w:marRight w:val="0"/>
      <w:marTop w:val="0"/>
      <w:marBottom w:val="0"/>
      <w:divBdr>
        <w:top w:val="none" w:sz="0" w:space="0" w:color="auto"/>
        <w:left w:val="none" w:sz="0" w:space="0" w:color="auto"/>
        <w:bottom w:val="none" w:sz="0" w:space="0" w:color="auto"/>
        <w:right w:val="none" w:sz="0" w:space="0" w:color="auto"/>
      </w:divBdr>
    </w:div>
    <w:div w:id="856964946">
      <w:bodyDiv w:val="1"/>
      <w:marLeft w:val="0"/>
      <w:marRight w:val="0"/>
      <w:marTop w:val="0"/>
      <w:marBottom w:val="0"/>
      <w:divBdr>
        <w:top w:val="none" w:sz="0" w:space="0" w:color="auto"/>
        <w:left w:val="none" w:sz="0" w:space="0" w:color="auto"/>
        <w:bottom w:val="none" w:sz="0" w:space="0" w:color="auto"/>
        <w:right w:val="none" w:sz="0" w:space="0" w:color="auto"/>
      </w:divBdr>
    </w:div>
    <w:div w:id="861936834">
      <w:bodyDiv w:val="1"/>
      <w:marLeft w:val="0"/>
      <w:marRight w:val="0"/>
      <w:marTop w:val="0"/>
      <w:marBottom w:val="0"/>
      <w:divBdr>
        <w:top w:val="none" w:sz="0" w:space="0" w:color="auto"/>
        <w:left w:val="none" w:sz="0" w:space="0" w:color="auto"/>
        <w:bottom w:val="none" w:sz="0" w:space="0" w:color="auto"/>
        <w:right w:val="none" w:sz="0" w:space="0" w:color="auto"/>
      </w:divBdr>
    </w:div>
    <w:div w:id="954679754">
      <w:bodyDiv w:val="1"/>
      <w:marLeft w:val="0"/>
      <w:marRight w:val="0"/>
      <w:marTop w:val="0"/>
      <w:marBottom w:val="0"/>
      <w:divBdr>
        <w:top w:val="none" w:sz="0" w:space="0" w:color="auto"/>
        <w:left w:val="none" w:sz="0" w:space="0" w:color="auto"/>
        <w:bottom w:val="none" w:sz="0" w:space="0" w:color="auto"/>
        <w:right w:val="none" w:sz="0" w:space="0" w:color="auto"/>
      </w:divBdr>
    </w:div>
    <w:div w:id="1142697583">
      <w:bodyDiv w:val="1"/>
      <w:marLeft w:val="0"/>
      <w:marRight w:val="0"/>
      <w:marTop w:val="0"/>
      <w:marBottom w:val="0"/>
      <w:divBdr>
        <w:top w:val="none" w:sz="0" w:space="0" w:color="auto"/>
        <w:left w:val="none" w:sz="0" w:space="0" w:color="auto"/>
        <w:bottom w:val="none" w:sz="0" w:space="0" w:color="auto"/>
        <w:right w:val="none" w:sz="0" w:space="0" w:color="auto"/>
      </w:divBdr>
    </w:div>
    <w:div w:id="1189829537">
      <w:bodyDiv w:val="1"/>
      <w:marLeft w:val="0"/>
      <w:marRight w:val="0"/>
      <w:marTop w:val="0"/>
      <w:marBottom w:val="0"/>
      <w:divBdr>
        <w:top w:val="none" w:sz="0" w:space="0" w:color="auto"/>
        <w:left w:val="none" w:sz="0" w:space="0" w:color="auto"/>
        <w:bottom w:val="none" w:sz="0" w:space="0" w:color="auto"/>
        <w:right w:val="none" w:sz="0" w:space="0" w:color="auto"/>
      </w:divBdr>
    </w:div>
    <w:div w:id="1245534201">
      <w:bodyDiv w:val="1"/>
      <w:marLeft w:val="0"/>
      <w:marRight w:val="0"/>
      <w:marTop w:val="0"/>
      <w:marBottom w:val="0"/>
      <w:divBdr>
        <w:top w:val="none" w:sz="0" w:space="0" w:color="auto"/>
        <w:left w:val="none" w:sz="0" w:space="0" w:color="auto"/>
        <w:bottom w:val="none" w:sz="0" w:space="0" w:color="auto"/>
        <w:right w:val="none" w:sz="0" w:space="0" w:color="auto"/>
      </w:divBdr>
    </w:div>
    <w:div w:id="1455556005">
      <w:bodyDiv w:val="1"/>
      <w:marLeft w:val="0"/>
      <w:marRight w:val="0"/>
      <w:marTop w:val="0"/>
      <w:marBottom w:val="0"/>
      <w:divBdr>
        <w:top w:val="none" w:sz="0" w:space="0" w:color="auto"/>
        <w:left w:val="none" w:sz="0" w:space="0" w:color="auto"/>
        <w:bottom w:val="none" w:sz="0" w:space="0" w:color="auto"/>
        <w:right w:val="none" w:sz="0" w:space="0" w:color="auto"/>
      </w:divBdr>
    </w:div>
    <w:div w:id="1616519814">
      <w:bodyDiv w:val="1"/>
      <w:marLeft w:val="0"/>
      <w:marRight w:val="0"/>
      <w:marTop w:val="0"/>
      <w:marBottom w:val="0"/>
      <w:divBdr>
        <w:top w:val="none" w:sz="0" w:space="0" w:color="auto"/>
        <w:left w:val="none" w:sz="0" w:space="0" w:color="auto"/>
        <w:bottom w:val="none" w:sz="0" w:space="0" w:color="auto"/>
        <w:right w:val="none" w:sz="0" w:space="0" w:color="auto"/>
      </w:divBdr>
    </w:div>
    <w:div w:id="1647318019">
      <w:bodyDiv w:val="1"/>
      <w:marLeft w:val="0"/>
      <w:marRight w:val="0"/>
      <w:marTop w:val="0"/>
      <w:marBottom w:val="0"/>
      <w:divBdr>
        <w:top w:val="none" w:sz="0" w:space="0" w:color="auto"/>
        <w:left w:val="none" w:sz="0" w:space="0" w:color="auto"/>
        <w:bottom w:val="none" w:sz="0" w:space="0" w:color="auto"/>
        <w:right w:val="none" w:sz="0" w:space="0" w:color="auto"/>
      </w:divBdr>
    </w:div>
    <w:div w:id="1813134374">
      <w:bodyDiv w:val="1"/>
      <w:marLeft w:val="0"/>
      <w:marRight w:val="0"/>
      <w:marTop w:val="0"/>
      <w:marBottom w:val="0"/>
      <w:divBdr>
        <w:top w:val="none" w:sz="0" w:space="0" w:color="auto"/>
        <w:left w:val="none" w:sz="0" w:space="0" w:color="auto"/>
        <w:bottom w:val="none" w:sz="0" w:space="0" w:color="auto"/>
        <w:right w:val="none" w:sz="0" w:space="0" w:color="auto"/>
      </w:divBdr>
    </w:div>
    <w:div w:id="186189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4.png"/><Relationship Id="rId50" Type="http://schemas.openxmlformats.org/officeDocument/2006/relationships/oleObject" Target="embeddings/oleObject17.bin"/><Relationship Id="rId55"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image" Target="media/image39.jpeg"/><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9.png"/><Relationship Id="rId40" Type="http://schemas.openxmlformats.org/officeDocument/2006/relationships/oleObject" Target="embeddings/oleObject12.bin"/><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5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oleObject" Target="embeddings/oleObject7.bin"/><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image" Target="media/image35.png"/><Relationship Id="rId69" Type="http://schemas.openxmlformats.org/officeDocument/2006/relationships/image" Target="media/image40.jpeg"/><Relationship Id="rId77"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3.jpeg"/><Relationship Id="rId80" Type="http://schemas.openxmlformats.org/officeDocument/2006/relationships/image" Target="media/image51.png"/><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oleObject" Target="embeddings/oleObject2.bin"/><Relationship Id="rId41" Type="http://schemas.openxmlformats.org/officeDocument/2006/relationships/image" Target="media/image21.png"/><Relationship Id="rId54" Type="http://schemas.openxmlformats.org/officeDocument/2006/relationships/oleObject" Target="embeddings/oleObject19.bin"/><Relationship Id="rId62" Type="http://schemas.openxmlformats.org/officeDocument/2006/relationships/image" Target="media/image33.pn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5.png"/><Relationship Id="rId57" Type="http://schemas.openxmlformats.org/officeDocument/2006/relationships/hyperlink" Target="http://www.arabidopsis.org" TargetMode="External"/><Relationship Id="rId10" Type="http://schemas.openxmlformats.org/officeDocument/2006/relationships/hyperlink" Target="https://www.ncbi.nlm.nih.gov/pmc/articles/PMC5474181/" TargetMode="External"/><Relationship Id="rId31" Type="http://schemas.openxmlformats.org/officeDocument/2006/relationships/image" Target="media/image16.png"/><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jpe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0B344-8091-4D5E-9BDB-F999ED19B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325634</Words>
  <Characters>1856116</Characters>
  <Application>Microsoft Office Word</Application>
  <DocSecurity>0</DocSecurity>
  <Lines>15467</Lines>
  <Paragraphs>4354</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2177396</CharactersWithSpaces>
  <SharedDoc>false</SharedDoc>
  <HLinks>
    <vt:vector size="12" baseType="variant">
      <vt:variant>
        <vt:i4>2424929</vt:i4>
      </vt:variant>
      <vt:variant>
        <vt:i4>1059</vt:i4>
      </vt:variant>
      <vt:variant>
        <vt:i4>0</vt:i4>
      </vt:variant>
      <vt:variant>
        <vt:i4>5</vt:i4>
      </vt:variant>
      <vt:variant>
        <vt:lpwstr>http://www.arabidopsis.org/</vt:lpwstr>
      </vt:variant>
      <vt:variant>
        <vt:lpwstr/>
      </vt:variant>
      <vt:variant>
        <vt:i4>1376268</vt:i4>
      </vt:variant>
      <vt:variant>
        <vt:i4>195</vt:i4>
      </vt:variant>
      <vt:variant>
        <vt:i4>0</vt:i4>
      </vt:variant>
      <vt:variant>
        <vt:i4>5</vt:i4>
      </vt:variant>
      <vt:variant>
        <vt:lpwstr>https://www.ncbi.nlm.nih.gov/pmc/articles/PMC5474181/</vt:lpwstr>
      </vt:variant>
      <vt:variant>
        <vt:lpwstr>R142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Асия Баймухаметова</cp:lastModifiedBy>
  <cp:revision>2</cp:revision>
  <dcterms:created xsi:type="dcterms:W3CDTF">2022-09-23T11:50:00Z</dcterms:created>
  <dcterms:modified xsi:type="dcterms:W3CDTF">2022-09-23T11:50:00Z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id="MPjqK5ng"/&gt;&lt;style id="http://www.zotero.org/styles/gost-r-7-0-5-2008-numeric" hasBibliography="1" bibliographyStyleHasBeenSet="1"/&gt;&lt;prefs&gt;&lt;pref name="fieldType" value="Field"/&gt;&lt;pref name="automat</vt:lpwstr>
  </property>
  <property fmtid="{D5CDD505-2E9C-101B-9397-08002B2CF9AE}" pid="3" name="ZOTERO_PREF_2">
    <vt:lpwstr>icJournalAbbreviations" value="true"/&gt;&lt;pref name="dontAskDelayCitationUpdates" value="true"/&gt;&lt;/prefs&gt;&lt;/data&gt;</vt:lpwstr>
  </property>
</Properties>
</file>